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A8E" w:rsidRPr="00452E2E" w:rsidRDefault="00D03A8E" w:rsidP="00D03A8E">
      <w:pPr>
        <w:autoSpaceDE w:val="0"/>
        <w:autoSpaceDN w:val="0"/>
        <w:adjustRightInd w:val="0"/>
        <w:spacing w:after="0" w:line="240" w:lineRule="auto"/>
        <w:rPr>
          <w:rFonts w:asciiTheme="majorBidi" w:hAnsiTheme="majorBidi" w:cstheme="majorBidi"/>
          <w:szCs w:val="24"/>
        </w:rPr>
      </w:pPr>
      <w:r w:rsidRPr="00452E2E">
        <w:rPr>
          <w:rFonts w:asciiTheme="majorBidi" w:hAnsiTheme="majorBidi" w:cstheme="majorBidi"/>
          <w:noProof/>
          <w:szCs w:val="24"/>
          <w:lang w:eastAsia="en-GB"/>
        </w:rPr>
        <w:drawing>
          <wp:anchor distT="0" distB="0" distL="114300" distR="114300" simplePos="0" relativeHeight="251653632" behindDoc="0" locked="0" layoutInCell="1" allowOverlap="1" wp14:anchorId="635306FE" wp14:editId="03401A4A">
            <wp:simplePos x="0" y="0"/>
            <wp:positionH relativeFrom="column">
              <wp:posOffset>1310652</wp:posOffset>
            </wp:positionH>
            <wp:positionV relativeFrom="paragraph">
              <wp:posOffset>-310515</wp:posOffset>
            </wp:positionV>
            <wp:extent cx="3036570" cy="1104265"/>
            <wp:effectExtent l="0" t="0" r="0" b="0"/>
            <wp:wrapNone/>
            <wp:docPr id="51" name="Picture 51"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rsidR="00D03A8E" w:rsidRPr="00452E2E" w:rsidRDefault="00D03A8E" w:rsidP="00D03A8E">
      <w:pPr>
        <w:autoSpaceDE w:val="0"/>
        <w:autoSpaceDN w:val="0"/>
        <w:adjustRightInd w:val="0"/>
        <w:spacing w:after="0" w:line="240" w:lineRule="auto"/>
        <w:rPr>
          <w:rFonts w:asciiTheme="majorBidi" w:hAnsiTheme="majorBidi" w:cstheme="majorBidi"/>
          <w:szCs w:val="24"/>
        </w:rPr>
      </w:pPr>
    </w:p>
    <w:p w:rsidR="00D03A8E" w:rsidRPr="00452E2E" w:rsidRDefault="00D03A8E" w:rsidP="00D03A8E">
      <w:pPr>
        <w:autoSpaceDE w:val="0"/>
        <w:autoSpaceDN w:val="0"/>
        <w:adjustRightInd w:val="0"/>
        <w:spacing w:after="0" w:line="240" w:lineRule="auto"/>
        <w:rPr>
          <w:rFonts w:asciiTheme="majorBidi" w:hAnsiTheme="majorBidi" w:cstheme="majorBidi"/>
          <w:szCs w:val="24"/>
        </w:rPr>
      </w:pPr>
    </w:p>
    <w:p w:rsidR="00D03A8E" w:rsidRPr="00452E2E" w:rsidRDefault="00D03A8E" w:rsidP="00D03A8E">
      <w:pPr>
        <w:autoSpaceDE w:val="0"/>
        <w:autoSpaceDN w:val="0"/>
        <w:adjustRightInd w:val="0"/>
        <w:spacing w:after="0" w:line="240" w:lineRule="auto"/>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asciiTheme="majorBidi" w:hAnsiTheme="majorBidi" w:cstheme="majorBidi"/>
          <w:szCs w:val="24"/>
        </w:rPr>
      </w:pPr>
    </w:p>
    <w:p w:rsidR="00D03A8E" w:rsidRPr="00452E2E" w:rsidRDefault="00D03A8E" w:rsidP="00D03A8E">
      <w:pPr>
        <w:autoSpaceDE w:val="0"/>
        <w:autoSpaceDN w:val="0"/>
        <w:adjustRightInd w:val="0"/>
        <w:spacing w:after="0" w:line="240" w:lineRule="auto"/>
        <w:jc w:val="center"/>
        <w:rPr>
          <w:rFonts w:cstheme="majorBidi"/>
          <w:b/>
          <w:bCs/>
          <w:sz w:val="28"/>
          <w:szCs w:val="28"/>
        </w:rPr>
      </w:pPr>
      <w:r w:rsidRPr="00452E2E">
        <w:rPr>
          <w:rFonts w:cstheme="majorBidi"/>
          <w:b/>
          <w:bCs/>
          <w:sz w:val="28"/>
          <w:szCs w:val="28"/>
          <w:shd w:val="clear" w:color="auto" w:fill="FFFFFF"/>
        </w:rPr>
        <w:t xml:space="preserve">Institutional Context and the Effects of Human Resource Practices on Employee Attitudes in </w:t>
      </w:r>
      <w:r w:rsidR="00D85050" w:rsidRPr="00452E2E">
        <w:rPr>
          <w:rFonts w:cstheme="majorBidi"/>
          <w:b/>
          <w:bCs/>
          <w:sz w:val="28"/>
          <w:szCs w:val="28"/>
          <w:shd w:val="clear" w:color="auto" w:fill="FFFFFF"/>
        </w:rPr>
        <w:t xml:space="preserve">the Nigerian </w:t>
      </w:r>
      <w:r w:rsidRPr="00452E2E">
        <w:rPr>
          <w:rFonts w:cstheme="majorBidi"/>
          <w:b/>
          <w:bCs/>
          <w:sz w:val="28"/>
          <w:szCs w:val="28"/>
          <w:shd w:val="clear" w:color="auto" w:fill="FFFFFF"/>
        </w:rPr>
        <w:t>Public and Private Sector</w:t>
      </w:r>
      <w:r w:rsidRPr="00452E2E">
        <w:rPr>
          <w:rFonts w:cstheme="majorBidi"/>
          <w:b/>
          <w:bCs/>
          <w:sz w:val="28"/>
          <w:szCs w:val="28"/>
        </w:rPr>
        <w:br/>
      </w:r>
      <w:r w:rsidRPr="00452E2E">
        <w:rPr>
          <w:rFonts w:cstheme="majorBidi"/>
          <w:b/>
          <w:bCs/>
          <w:sz w:val="28"/>
          <w:szCs w:val="28"/>
        </w:rPr>
        <w:br/>
      </w:r>
    </w:p>
    <w:p w:rsidR="00D03A8E" w:rsidRPr="00452E2E" w:rsidRDefault="00D03A8E" w:rsidP="00D03A8E">
      <w:pPr>
        <w:autoSpaceDE w:val="0"/>
        <w:autoSpaceDN w:val="0"/>
        <w:adjustRightInd w:val="0"/>
        <w:spacing w:after="0" w:line="240" w:lineRule="auto"/>
        <w:rPr>
          <w:rFonts w:cstheme="majorBidi"/>
          <w:szCs w:val="24"/>
        </w:rPr>
      </w:pPr>
    </w:p>
    <w:p w:rsidR="00D03A8E" w:rsidRPr="00452E2E" w:rsidRDefault="00D03A8E" w:rsidP="00D03A8E">
      <w:pPr>
        <w:autoSpaceDE w:val="0"/>
        <w:autoSpaceDN w:val="0"/>
        <w:adjustRightInd w:val="0"/>
        <w:spacing w:after="0" w:line="240" w:lineRule="auto"/>
        <w:jc w:val="center"/>
        <w:rPr>
          <w:rFonts w:cstheme="majorBidi"/>
          <w:szCs w:val="24"/>
        </w:rPr>
      </w:pPr>
    </w:p>
    <w:p w:rsidR="00D03A8E" w:rsidRPr="00452E2E" w:rsidRDefault="00D03A8E" w:rsidP="00D03A8E">
      <w:pPr>
        <w:autoSpaceDE w:val="0"/>
        <w:autoSpaceDN w:val="0"/>
        <w:adjustRightInd w:val="0"/>
        <w:spacing w:after="0" w:line="240" w:lineRule="auto"/>
        <w:jc w:val="center"/>
        <w:rPr>
          <w:rFonts w:cstheme="majorBidi"/>
          <w:szCs w:val="24"/>
        </w:rPr>
      </w:pPr>
    </w:p>
    <w:p w:rsidR="00D03A8E" w:rsidRPr="00452E2E" w:rsidRDefault="00D03A8E" w:rsidP="00D03A8E">
      <w:pPr>
        <w:autoSpaceDE w:val="0"/>
        <w:autoSpaceDN w:val="0"/>
        <w:adjustRightInd w:val="0"/>
        <w:spacing w:after="0" w:line="240" w:lineRule="auto"/>
        <w:jc w:val="center"/>
        <w:rPr>
          <w:rFonts w:cstheme="majorBidi"/>
          <w:b/>
          <w:bCs/>
          <w:szCs w:val="24"/>
        </w:rPr>
      </w:pPr>
      <w:r w:rsidRPr="00452E2E">
        <w:rPr>
          <w:rFonts w:cstheme="majorBidi"/>
          <w:b/>
          <w:bCs/>
          <w:szCs w:val="24"/>
        </w:rPr>
        <w:t>By:</w:t>
      </w:r>
    </w:p>
    <w:p w:rsidR="00D03A8E" w:rsidRPr="00452E2E" w:rsidRDefault="00D03A8E" w:rsidP="00D03A8E">
      <w:pPr>
        <w:autoSpaceDE w:val="0"/>
        <w:autoSpaceDN w:val="0"/>
        <w:adjustRightInd w:val="0"/>
        <w:spacing w:after="0" w:line="240" w:lineRule="auto"/>
        <w:jc w:val="center"/>
        <w:rPr>
          <w:rFonts w:cstheme="majorBidi"/>
          <w:szCs w:val="24"/>
        </w:rPr>
      </w:pPr>
    </w:p>
    <w:p w:rsidR="00D03A8E" w:rsidRPr="00452E2E" w:rsidRDefault="00D03A8E" w:rsidP="00D03A8E">
      <w:pPr>
        <w:autoSpaceDE w:val="0"/>
        <w:autoSpaceDN w:val="0"/>
        <w:adjustRightInd w:val="0"/>
        <w:spacing w:after="0" w:line="240" w:lineRule="auto"/>
        <w:jc w:val="center"/>
        <w:rPr>
          <w:rFonts w:cstheme="majorBidi"/>
          <w:sz w:val="28"/>
          <w:szCs w:val="28"/>
        </w:rPr>
      </w:pPr>
      <w:r w:rsidRPr="00452E2E">
        <w:rPr>
          <w:rFonts w:cstheme="majorBidi"/>
          <w:sz w:val="28"/>
          <w:szCs w:val="28"/>
        </w:rPr>
        <w:t>Darius Ngutor Ikyanyon</w:t>
      </w:r>
    </w:p>
    <w:p w:rsidR="00D03A8E" w:rsidRPr="00452E2E" w:rsidRDefault="00D03A8E" w:rsidP="00D03A8E">
      <w:pPr>
        <w:autoSpaceDE w:val="0"/>
        <w:autoSpaceDN w:val="0"/>
        <w:adjustRightInd w:val="0"/>
        <w:spacing w:after="0" w:line="240" w:lineRule="auto"/>
        <w:rPr>
          <w:rFonts w:cstheme="majorBidi"/>
          <w:sz w:val="28"/>
          <w:szCs w:val="28"/>
        </w:rPr>
      </w:pPr>
    </w:p>
    <w:p w:rsidR="00D03A8E" w:rsidRPr="00452E2E" w:rsidRDefault="00D03A8E" w:rsidP="00D03A8E">
      <w:pPr>
        <w:autoSpaceDE w:val="0"/>
        <w:autoSpaceDN w:val="0"/>
        <w:adjustRightInd w:val="0"/>
        <w:spacing w:after="0" w:line="240" w:lineRule="auto"/>
        <w:rPr>
          <w:rFonts w:cstheme="majorBidi"/>
          <w:szCs w:val="24"/>
        </w:rPr>
      </w:pPr>
    </w:p>
    <w:p w:rsidR="00D03A8E" w:rsidRPr="00452E2E" w:rsidRDefault="00D03A8E" w:rsidP="00D03A8E">
      <w:pPr>
        <w:autoSpaceDE w:val="0"/>
        <w:autoSpaceDN w:val="0"/>
        <w:adjustRightInd w:val="0"/>
        <w:spacing w:after="0" w:line="240" w:lineRule="auto"/>
        <w:rPr>
          <w:rFonts w:cstheme="majorBidi"/>
          <w:szCs w:val="24"/>
        </w:rPr>
      </w:pPr>
    </w:p>
    <w:p w:rsidR="00D03A8E" w:rsidRPr="00452E2E" w:rsidRDefault="00D03A8E" w:rsidP="00D03A8E">
      <w:pPr>
        <w:autoSpaceDE w:val="0"/>
        <w:autoSpaceDN w:val="0"/>
        <w:adjustRightInd w:val="0"/>
        <w:spacing w:after="0" w:line="240" w:lineRule="auto"/>
        <w:rPr>
          <w:rFonts w:cstheme="majorBidi"/>
          <w:szCs w:val="24"/>
        </w:rPr>
      </w:pPr>
    </w:p>
    <w:p w:rsidR="00D03A8E" w:rsidRPr="00452E2E" w:rsidRDefault="00D03A8E" w:rsidP="00D03A8E">
      <w:pPr>
        <w:autoSpaceDE w:val="0"/>
        <w:autoSpaceDN w:val="0"/>
        <w:adjustRightInd w:val="0"/>
        <w:spacing w:after="0" w:line="240" w:lineRule="auto"/>
        <w:jc w:val="center"/>
        <w:rPr>
          <w:rFonts w:cstheme="majorBidi"/>
          <w:szCs w:val="24"/>
        </w:rPr>
      </w:pPr>
      <w:r w:rsidRPr="00452E2E">
        <w:rPr>
          <w:rFonts w:cstheme="majorBidi"/>
          <w:szCs w:val="24"/>
        </w:rPr>
        <w:t>A thesis submitted in partial fulfilment of the requirements for the degree of</w:t>
      </w:r>
    </w:p>
    <w:p w:rsidR="00D03A8E" w:rsidRPr="00452E2E" w:rsidRDefault="00D03A8E" w:rsidP="00D03A8E">
      <w:pPr>
        <w:jc w:val="center"/>
        <w:rPr>
          <w:rFonts w:cstheme="majorBidi"/>
          <w:szCs w:val="24"/>
        </w:rPr>
      </w:pPr>
      <w:r w:rsidRPr="00452E2E">
        <w:rPr>
          <w:rFonts w:cstheme="majorBidi"/>
          <w:szCs w:val="24"/>
        </w:rPr>
        <w:t xml:space="preserve">Doctor of Philosophy </w:t>
      </w:r>
    </w:p>
    <w:p w:rsidR="00D03A8E" w:rsidRPr="00452E2E" w:rsidRDefault="00D03A8E" w:rsidP="00D03A8E">
      <w:pPr>
        <w:jc w:val="center"/>
        <w:rPr>
          <w:rFonts w:cstheme="majorBidi"/>
          <w:szCs w:val="24"/>
        </w:rPr>
      </w:pPr>
    </w:p>
    <w:p w:rsidR="00D03A8E" w:rsidRPr="00452E2E" w:rsidRDefault="00D03A8E" w:rsidP="00D03A8E">
      <w:pPr>
        <w:jc w:val="center"/>
        <w:rPr>
          <w:rFonts w:cstheme="majorBidi"/>
          <w:szCs w:val="24"/>
        </w:rPr>
      </w:pPr>
    </w:p>
    <w:p w:rsidR="00D03A8E" w:rsidRPr="00452E2E" w:rsidRDefault="00D03A8E" w:rsidP="00D03A8E">
      <w:pPr>
        <w:jc w:val="center"/>
        <w:rPr>
          <w:rFonts w:cstheme="majorBidi"/>
          <w:szCs w:val="24"/>
        </w:rPr>
      </w:pPr>
    </w:p>
    <w:p w:rsidR="00D03A8E" w:rsidRPr="00452E2E" w:rsidRDefault="00D03A8E" w:rsidP="00D03A8E">
      <w:pPr>
        <w:spacing w:after="0" w:line="240" w:lineRule="auto"/>
        <w:jc w:val="center"/>
        <w:rPr>
          <w:rFonts w:cstheme="majorBidi"/>
          <w:szCs w:val="24"/>
        </w:rPr>
      </w:pPr>
      <w:r w:rsidRPr="00452E2E">
        <w:rPr>
          <w:rFonts w:cstheme="majorBidi"/>
          <w:szCs w:val="24"/>
        </w:rPr>
        <w:t>The University of Sheffield</w:t>
      </w:r>
    </w:p>
    <w:p w:rsidR="00D03A8E" w:rsidRPr="00452E2E" w:rsidRDefault="00D03A8E" w:rsidP="00D03A8E">
      <w:pPr>
        <w:autoSpaceDE w:val="0"/>
        <w:autoSpaceDN w:val="0"/>
        <w:adjustRightInd w:val="0"/>
        <w:spacing w:after="0" w:line="240" w:lineRule="auto"/>
        <w:jc w:val="center"/>
        <w:rPr>
          <w:rFonts w:cstheme="majorBidi"/>
          <w:szCs w:val="24"/>
        </w:rPr>
      </w:pPr>
      <w:r w:rsidRPr="00452E2E">
        <w:rPr>
          <w:rFonts w:cstheme="majorBidi"/>
          <w:szCs w:val="24"/>
        </w:rPr>
        <w:t>Faculty of Social Science</w:t>
      </w:r>
    </w:p>
    <w:p w:rsidR="00D03A8E" w:rsidRPr="00452E2E" w:rsidRDefault="00D03A8E" w:rsidP="00D03A8E">
      <w:pPr>
        <w:jc w:val="center"/>
        <w:rPr>
          <w:rFonts w:cstheme="majorBidi"/>
          <w:szCs w:val="24"/>
        </w:rPr>
      </w:pPr>
      <w:r w:rsidRPr="00452E2E">
        <w:rPr>
          <w:rFonts w:cstheme="majorBidi"/>
          <w:szCs w:val="24"/>
        </w:rPr>
        <w:t>Management School</w:t>
      </w:r>
    </w:p>
    <w:p w:rsidR="00D03A8E" w:rsidRPr="00452E2E" w:rsidRDefault="00D03A8E" w:rsidP="00D03A8E">
      <w:pPr>
        <w:jc w:val="center"/>
        <w:rPr>
          <w:rFonts w:cstheme="majorBidi"/>
          <w:szCs w:val="24"/>
        </w:rPr>
      </w:pPr>
    </w:p>
    <w:p w:rsidR="00D03A8E" w:rsidRPr="00452E2E" w:rsidRDefault="00D03A8E" w:rsidP="00D03A8E">
      <w:pPr>
        <w:jc w:val="center"/>
        <w:rPr>
          <w:rFonts w:cstheme="majorBidi"/>
          <w:szCs w:val="24"/>
        </w:rPr>
      </w:pPr>
      <w:r w:rsidRPr="00452E2E">
        <w:rPr>
          <w:rFonts w:cstheme="majorBidi"/>
          <w:szCs w:val="24"/>
        </w:rPr>
        <w:t xml:space="preserve"> </w:t>
      </w:r>
    </w:p>
    <w:p w:rsidR="00D03A8E" w:rsidRPr="00452E2E" w:rsidRDefault="00D03A8E" w:rsidP="00D03A8E">
      <w:pPr>
        <w:jc w:val="center"/>
        <w:rPr>
          <w:rFonts w:cstheme="majorBidi"/>
          <w:szCs w:val="24"/>
        </w:rPr>
      </w:pPr>
    </w:p>
    <w:p w:rsidR="00D03A8E" w:rsidRPr="00452E2E" w:rsidRDefault="00D03A8E" w:rsidP="00D03A8E">
      <w:pPr>
        <w:jc w:val="center"/>
        <w:rPr>
          <w:rFonts w:cstheme="majorBidi"/>
          <w:szCs w:val="24"/>
        </w:rPr>
      </w:pPr>
    </w:p>
    <w:p w:rsidR="00D03A8E" w:rsidRPr="00452E2E" w:rsidRDefault="00D03A8E" w:rsidP="00D03A8E">
      <w:pPr>
        <w:jc w:val="center"/>
        <w:rPr>
          <w:rFonts w:asciiTheme="majorHAnsi" w:hAnsiTheme="majorHAnsi" w:cstheme="majorBidi"/>
          <w:szCs w:val="24"/>
        </w:rPr>
      </w:pPr>
    </w:p>
    <w:p w:rsidR="00D03A8E" w:rsidRPr="00452E2E" w:rsidRDefault="00D03A8E" w:rsidP="00D03A8E">
      <w:pPr>
        <w:jc w:val="center"/>
        <w:rPr>
          <w:rFonts w:cstheme="majorBidi"/>
          <w:szCs w:val="24"/>
        </w:rPr>
      </w:pPr>
      <w:r w:rsidRPr="00452E2E">
        <w:rPr>
          <w:rFonts w:cstheme="majorBidi"/>
          <w:szCs w:val="24"/>
        </w:rPr>
        <w:t>November, 2016</w:t>
      </w:r>
    </w:p>
    <w:p w:rsidR="00D03A8E" w:rsidRPr="00452E2E" w:rsidRDefault="00D03A8E" w:rsidP="00D03A8E">
      <w:pPr>
        <w:sectPr w:rsidR="00D03A8E" w:rsidRPr="00452E2E" w:rsidSect="00B57950">
          <w:footerReference w:type="default" r:id="rId9"/>
          <w:footerReference w:type="first" r:id="rId10"/>
          <w:pgSz w:w="11906" w:h="16838"/>
          <w:pgMar w:top="1440" w:right="1440" w:bottom="1440" w:left="2268" w:header="708" w:footer="708" w:gutter="0"/>
          <w:pgNumType w:fmt="lowerRoman"/>
          <w:cols w:space="708"/>
          <w:titlePg/>
          <w:docGrid w:linePitch="360"/>
        </w:sectPr>
      </w:pPr>
    </w:p>
    <w:p w:rsidR="00D03A8E" w:rsidRPr="00452E2E" w:rsidRDefault="00D03A8E" w:rsidP="00D03A8E">
      <w:pPr>
        <w:pStyle w:val="Heading1"/>
        <w:numPr>
          <w:ilvl w:val="0"/>
          <w:numId w:val="0"/>
        </w:numPr>
      </w:pPr>
      <w:bookmarkStart w:id="0" w:name="_Toc473808082"/>
      <w:r w:rsidRPr="00452E2E">
        <w:lastRenderedPageBreak/>
        <w:t>DECLARATION</w:t>
      </w:r>
      <w:bookmarkEnd w:id="0"/>
    </w:p>
    <w:p w:rsidR="00D03A8E" w:rsidRPr="00452E2E" w:rsidRDefault="00D03A8E" w:rsidP="00D03A8E">
      <w:r w:rsidRPr="00452E2E">
        <w:t>I, Darius Ngutor Ikyanyon, declare that this thesis titled ‘</w:t>
      </w:r>
      <w:r w:rsidRPr="00452E2E">
        <w:rPr>
          <w:b/>
          <w:bCs/>
        </w:rPr>
        <w:t xml:space="preserve">Institutional Context and the Effects of Human Resource Practices on Employee Attitudes in </w:t>
      </w:r>
      <w:r w:rsidR="007A7715" w:rsidRPr="00452E2E">
        <w:rPr>
          <w:b/>
          <w:bCs/>
        </w:rPr>
        <w:t xml:space="preserve">the Nigerian </w:t>
      </w:r>
      <w:r w:rsidRPr="00452E2E">
        <w:rPr>
          <w:b/>
          <w:bCs/>
        </w:rPr>
        <w:t>Public and Private Sector</w:t>
      </w:r>
      <w:r w:rsidRPr="00452E2E">
        <w:t xml:space="preserve">’, has never been submitted anywhere for the award of any degree and all sources have been properly acknowledged and referenced. </w:t>
      </w:r>
    </w:p>
    <w:p w:rsidR="00D03A8E" w:rsidRPr="00452E2E" w:rsidRDefault="00D03A8E" w:rsidP="00D03A8E"/>
    <w:p w:rsidR="00D03A8E" w:rsidRPr="00452E2E" w:rsidRDefault="00D03A8E" w:rsidP="00D03A8E">
      <w:pPr>
        <w:rPr>
          <w:u w:val="single"/>
        </w:rPr>
      </w:pPr>
      <w:r w:rsidRPr="00452E2E">
        <w:t>Signed: ………………………………………………….</w:t>
      </w:r>
    </w:p>
    <w:p w:rsidR="00D03A8E" w:rsidRPr="00452E2E" w:rsidRDefault="00D03A8E" w:rsidP="00D03A8E">
      <w:pPr>
        <w:rPr>
          <w:u w:val="single"/>
        </w:rPr>
      </w:pPr>
      <w:r w:rsidRPr="00452E2E">
        <w:t>Date:</w:t>
      </w:r>
      <w:r w:rsidRPr="00452E2E">
        <w:rPr>
          <w:u w:val="single"/>
        </w:rPr>
        <w:t xml:space="preserve"> </w:t>
      </w:r>
      <w:r w:rsidRPr="00452E2E">
        <w:t>…………………………………………………….</w:t>
      </w:r>
    </w:p>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Pr>
        <w:rPr>
          <w:b/>
          <w:bCs/>
        </w:rPr>
      </w:pPr>
      <w:r w:rsidRPr="00452E2E">
        <w:rPr>
          <w:b/>
          <w:bCs/>
        </w:rPr>
        <w:t xml:space="preserve">PhD Candidate: </w:t>
      </w:r>
    </w:p>
    <w:p w:rsidR="00D03A8E" w:rsidRPr="00452E2E" w:rsidRDefault="00D03A8E" w:rsidP="00D03A8E">
      <w:r w:rsidRPr="00452E2E">
        <w:t>Darius Ngutor Ikyanyon</w:t>
      </w:r>
    </w:p>
    <w:p w:rsidR="00D03A8E" w:rsidRPr="00452E2E" w:rsidRDefault="00D03A8E" w:rsidP="00D03A8E"/>
    <w:p w:rsidR="00352144" w:rsidRPr="00452E2E" w:rsidRDefault="00352144" w:rsidP="00D03A8E"/>
    <w:p w:rsidR="00352144" w:rsidRPr="00452E2E" w:rsidRDefault="00352144" w:rsidP="00D03A8E"/>
    <w:p w:rsidR="00D03A8E" w:rsidRPr="00452E2E" w:rsidRDefault="00D03A8E" w:rsidP="00D03A8E">
      <w:pPr>
        <w:rPr>
          <w:b/>
          <w:bCs/>
        </w:rPr>
      </w:pPr>
      <w:r w:rsidRPr="00452E2E">
        <w:rPr>
          <w:b/>
          <w:bCs/>
        </w:rPr>
        <w:t xml:space="preserve">Supervisors: </w:t>
      </w:r>
    </w:p>
    <w:p w:rsidR="00D03A8E" w:rsidRPr="00452E2E" w:rsidRDefault="00D03A8E" w:rsidP="00D03A8E">
      <w:r w:rsidRPr="00452E2E">
        <w:t>Professor Phil Johnson</w:t>
      </w:r>
    </w:p>
    <w:p w:rsidR="00D03A8E" w:rsidRPr="00452E2E" w:rsidRDefault="00D03A8E" w:rsidP="00D03A8E">
      <w:pPr>
        <w:sectPr w:rsidR="00D03A8E" w:rsidRPr="00452E2E" w:rsidSect="00B57950">
          <w:footerReference w:type="first" r:id="rId11"/>
          <w:pgSz w:w="11906" w:h="16838"/>
          <w:pgMar w:top="1440" w:right="1440" w:bottom="1440" w:left="2268" w:header="708" w:footer="708" w:gutter="0"/>
          <w:pgNumType w:fmt="lowerRoman" w:start="1"/>
          <w:cols w:space="708"/>
          <w:titlePg/>
          <w:docGrid w:linePitch="360"/>
        </w:sectPr>
      </w:pPr>
      <w:r w:rsidRPr="00452E2E">
        <w:t>Professor Jeremy Dawson</w:t>
      </w:r>
    </w:p>
    <w:p w:rsidR="00D03A8E" w:rsidRPr="00452E2E" w:rsidRDefault="00D03A8E" w:rsidP="00D03A8E">
      <w:pPr>
        <w:pStyle w:val="Heading1"/>
        <w:numPr>
          <w:ilvl w:val="0"/>
          <w:numId w:val="0"/>
        </w:numPr>
      </w:pPr>
      <w:bookmarkStart w:id="1" w:name="_Toc473808083"/>
      <w:r w:rsidRPr="00452E2E">
        <w:lastRenderedPageBreak/>
        <w:t>ABSTRACT</w:t>
      </w:r>
      <w:bookmarkEnd w:id="1"/>
    </w:p>
    <w:p w:rsidR="004A6D76" w:rsidRPr="00452E2E" w:rsidRDefault="004A6D76" w:rsidP="00D03A8E">
      <w:pPr>
        <w:spacing w:line="360" w:lineRule="auto"/>
        <w:jc w:val="both"/>
        <w:rPr>
          <w:rFonts w:eastAsia="Calibri" w:cs="Arial"/>
          <w:i/>
        </w:rPr>
      </w:pPr>
    </w:p>
    <w:p w:rsidR="00D03A8E" w:rsidRPr="00452E2E" w:rsidRDefault="00D03A8E" w:rsidP="00D03A8E">
      <w:pPr>
        <w:spacing w:line="360" w:lineRule="auto"/>
        <w:jc w:val="both"/>
        <w:rPr>
          <w:rFonts w:eastAsia="Calibri" w:cs="Arial"/>
          <w:i/>
        </w:rPr>
      </w:pPr>
      <w:r w:rsidRPr="00452E2E">
        <w:rPr>
          <w:rFonts w:eastAsia="Calibri" w:cs="Arial"/>
          <w:i/>
        </w:rPr>
        <w:t xml:space="preserve">This research examined the nature of HRM, and the effects of HR practices on employee attitudes, in </w:t>
      </w:r>
      <w:r w:rsidR="002559B3" w:rsidRPr="00452E2E">
        <w:rPr>
          <w:rFonts w:eastAsia="Calibri" w:cs="Arial"/>
          <w:i/>
        </w:rPr>
        <w:t xml:space="preserve">the Nigerian </w:t>
      </w:r>
      <w:r w:rsidRPr="00452E2E">
        <w:rPr>
          <w:rFonts w:eastAsia="Calibri" w:cs="Arial"/>
          <w:i/>
        </w:rPr>
        <w:t xml:space="preserve">public and private sector from an institutional perspective. The research was divided into 2 studies. Study 1 explored the influence of institutions on HRM in </w:t>
      </w:r>
      <w:r w:rsidR="0024735B" w:rsidRPr="00452E2E">
        <w:rPr>
          <w:rFonts w:eastAsia="Calibri" w:cs="Arial"/>
          <w:i/>
        </w:rPr>
        <w:t xml:space="preserve">the </w:t>
      </w:r>
      <w:r w:rsidRPr="00452E2E">
        <w:rPr>
          <w:rFonts w:eastAsia="Calibri" w:cs="Arial"/>
          <w:i/>
        </w:rPr>
        <w:t xml:space="preserve">public and private sector as well as examining the specific HRM techniques adopted in public and private sector organizations in Nigeria. Data for study 1 were collected from HR managers via questionnaires (n=122) and in-depth qualitative interviews (n=13) whilst study 2 data were collected from public and private sector employees (n=521) drawn from organizations participating in study 1. Findings from study 1 indicate that mimetic and normative mechanisms such as the influence of consultants and professional socialization respectively influenced HRM in both sectors in the same </w:t>
      </w:r>
      <w:r w:rsidR="004266BE" w:rsidRPr="00452E2E">
        <w:rPr>
          <w:rFonts w:eastAsia="Calibri" w:cs="Arial"/>
          <w:i/>
        </w:rPr>
        <w:t>way</w:t>
      </w:r>
      <w:r w:rsidRPr="00452E2E">
        <w:rPr>
          <w:rFonts w:eastAsia="Calibri" w:cs="Arial"/>
          <w:i/>
        </w:rPr>
        <w:t>. Nevertheless, due to weak enforcement of labour legislation</w:t>
      </w:r>
      <w:r w:rsidR="00933136" w:rsidRPr="00452E2E">
        <w:rPr>
          <w:rFonts w:eastAsia="Calibri" w:cs="Arial"/>
          <w:i/>
        </w:rPr>
        <w:t xml:space="preserve"> in the private sector</w:t>
      </w:r>
      <w:r w:rsidRPr="00452E2E">
        <w:rPr>
          <w:rFonts w:eastAsia="Calibri" w:cs="Arial"/>
          <w:i/>
        </w:rPr>
        <w:t>, the influence of coercive mechanisms such as labour laws, trade unions and regulatory bodies had stronger influence in the public sector. This resulted in diversity in specific HRM practices adopted across organizations; with private organizations more likely to adopt practices that were characterised by informality, cost-cutting, low employee voice and neglect of labour legislation.</w:t>
      </w:r>
      <w:r w:rsidR="0045167B" w:rsidRPr="00452E2E">
        <w:rPr>
          <w:rFonts w:eastAsia="Calibri" w:cs="Arial"/>
          <w:i/>
        </w:rPr>
        <w:t xml:space="preserve"> Findings from study 2 indicate</w:t>
      </w:r>
      <w:r w:rsidR="00E949B7" w:rsidRPr="00452E2E">
        <w:rPr>
          <w:rFonts w:eastAsia="Calibri" w:cs="Arial"/>
          <w:i/>
        </w:rPr>
        <w:t xml:space="preserve"> significant effect</w:t>
      </w:r>
      <w:r w:rsidR="0045167B" w:rsidRPr="00452E2E">
        <w:rPr>
          <w:rFonts w:eastAsia="Calibri" w:cs="Arial"/>
          <w:i/>
        </w:rPr>
        <w:t>s</w:t>
      </w:r>
      <w:r w:rsidR="00E949B7" w:rsidRPr="00452E2E">
        <w:rPr>
          <w:rFonts w:eastAsia="Calibri" w:cs="Arial"/>
          <w:i/>
        </w:rPr>
        <w:t xml:space="preserve"> of HR practices on</w:t>
      </w:r>
      <w:r w:rsidRPr="00452E2E">
        <w:rPr>
          <w:rFonts w:eastAsia="Calibri" w:cs="Arial"/>
          <w:i/>
        </w:rPr>
        <w:t xml:space="preserve"> employee attitudes in both sectors. Although it was expected that procedural </w:t>
      </w:r>
      <w:r w:rsidR="00B56D21" w:rsidRPr="00452E2E">
        <w:rPr>
          <w:rFonts w:eastAsia="Calibri" w:cs="Arial"/>
          <w:i/>
        </w:rPr>
        <w:t>justice and HR attributions would</w:t>
      </w:r>
      <w:r w:rsidRPr="00452E2E">
        <w:rPr>
          <w:rFonts w:eastAsia="Calibri" w:cs="Arial"/>
          <w:i/>
        </w:rPr>
        <w:t xml:space="preserve"> account for differences in the effects of HR practices on employee attitudes between public and private sector employees, the hypothesized relationships for HR attributions were not supported. However, the effects of HR practices on affective commitmen</w:t>
      </w:r>
      <w:r w:rsidR="00553F4C" w:rsidRPr="00452E2E">
        <w:rPr>
          <w:rFonts w:eastAsia="Calibri" w:cs="Arial"/>
          <w:i/>
        </w:rPr>
        <w:t>t through procedural justice were</w:t>
      </w:r>
      <w:r w:rsidRPr="00452E2E">
        <w:rPr>
          <w:rFonts w:eastAsia="Calibri" w:cs="Arial"/>
          <w:i/>
        </w:rPr>
        <w:t xml:space="preserve"> higher in the public sector. This research highlights the link between the institutional environment and the specific HRM practices adopted by organizations and how this in turn influences employee perceptions of fairness in relation to attitudinal outcomes of HR practices.</w:t>
      </w:r>
    </w:p>
    <w:p w:rsidR="00D03A8E" w:rsidRPr="00452E2E" w:rsidRDefault="00D03A8E" w:rsidP="00D03A8E">
      <w:pPr>
        <w:rPr>
          <w:highlight w:val="lightGray"/>
        </w:rPr>
      </w:pPr>
      <w:r w:rsidRPr="00452E2E">
        <w:rPr>
          <w:highlight w:val="lightGray"/>
        </w:rPr>
        <w:br w:type="page"/>
      </w:r>
    </w:p>
    <w:p w:rsidR="00D03A8E" w:rsidRPr="00452E2E" w:rsidRDefault="00D03A8E" w:rsidP="00D03A8E">
      <w:pPr>
        <w:pStyle w:val="Heading1"/>
        <w:numPr>
          <w:ilvl w:val="0"/>
          <w:numId w:val="0"/>
        </w:numPr>
      </w:pPr>
      <w:bookmarkStart w:id="2" w:name="_Toc473808084"/>
      <w:r w:rsidRPr="00452E2E">
        <w:lastRenderedPageBreak/>
        <w:t>ACKNOWLEDGEMENTS</w:t>
      </w:r>
      <w:bookmarkEnd w:id="2"/>
    </w:p>
    <w:p w:rsidR="00D03A8E" w:rsidRPr="00452E2E" w:rsidRDefault="00D03A8E" w:rsidP="00352144">
      <w:pPr>
        <w:spacing w:before="240" w:after="0" w:line="276" w:lineRule="auto"/>
        <w:jc w:val="both"/>
      </w:pPr>
      <w:r w:rsidRPr="00452E2E">
        <w:t xml:space="preserve">I thank God for guiding me through this programme, despite the inevitable odds against me. My special thanks goes to my first supervisor, Professor Phil Johnson and my second supervisor, Professor Jeremy Dawson for their expert guidance and support throughout every stage of my research process. Their timely and constructive feedback helped in shaping my ideas and has impacted positively on the quality of this thesis. Professor Dawson also took out time to teach me all the statistical methods used in analysing quantitative data in this thesis, which I highly appreciate. Indeed, I was lucky to have the best supervisory team any PhD </w:t>
      </w:r>
      <w:r w:rsidR="00D75F2C" w:rsidRPr="00452E2E">
        <w:t>candidate</w:t>
      </w:r>
      <w:r w:rsidRPr="00452E2E">
        <w:t xml:space="preserve"> would wish to have. Words alone cannot adequately express my appreciation for the invaluable support I got from my supervisors</w:t>
      </w:r>
      <w:r w:rsidR="007A29A1" w:rsidRPr="00452E2E">
        <w:t>.</w:t>
      </w:r>
      <w:r w:rsidRPr="00452E2E">
        <w:t xml:space="preserve"> </w:t>
      </w:r>
      <w:r w:rsidR="007A29A1" w:rsidRPr="00452E2E">
        <w:t>Nevertheless,</w:t>
      </w:r>
      <w:r w:rsidRPr="00452E2E">
        <w:t xml:space="preserve"> I take full responsibility for any errors found in this thesis.</w:t>
      </w:r>
    </w:p>
    <w:p w:rsidR="00D03A8E" w:rsidRPr="00452E2E" w:rsidRDefault="00FC2E9A" w:rsidP="00352144">
      <w:pPr>
        <w:spacing w:before="240" w:after="0" w:line="276" w:lineRule="auto"/>
        <w:jc w:val="both"/>
      </w:pPr>
      <w:r w:rsidRPr="00452E2E">
        <w:t xml:space="preserve">My wife </w:t>
      </w:r>
      <w:r w:rsidR="001C5EEC" w:rsidRPr="00452E2E">
        <w:t xml:space="preserve">Ahemen and my daughter </w:t>
      </w:r>
      <w:r w:rsidR="00D03A8E" w:rsidRPr="00452E2E">
        <w:t xml:space="preserve">Fanyam were very caring and supportive throughout the programme. Their relocation from Nigeria to Sheffield to stay with me was actually the game changer that enabled me </w:t>
      </w:r>
      <w:r w:rsidR="00A72518" w:rsidRPr="00452E2E">
        <w:t xml:space="preserve">to </w:t>
      </w:r>
      <w:r w:rsidR="00D03A8E" w:rsidRPr="00452E2E">
        <w:t xml:space="preserve">complete the writing of this thesis. For when I felt like I could no longer carry on, they cheered me up and provided me </w:t>
      </w:r>
      <w:r w:rsidR="00A72518" w:rsidRPr="00452E2E">
        <w:t xml:space="preserve">with </w:t>
      </w:r>
      <w:r w:rsidR="00D03A8E" w:rsidRPr="00452E2E">
        <w:t>a reason to keep going. Back home</w:t>
      </w:r>
      <w:r w:rsidR="006A07A7" w:rsidRPr="00452E2E">
        <w:t xml:space="preserve"> in Nigeria</w:t>
      </w:r>
      <w:r w:rsidR="00D03A8E" w:rsidRPr="00452E2E">
        <w:t>, my dad and mum were on hand to support and encourage me throughout the process, as were my siblings. I thank them all for their love and kindness to me.</w:t>
      </w:r>
    </w:p>
    <w:p w:rsidR="00D03A8E" w:rsidRPr="00452E2E" w:rsidRDefault="00D03A8E" w:rsidP="00352144">
      <w:pPr>
        <w:spacing w:before="240" w:after="0" w:line="276" w:lineRule="auto"/>
        <w:jc w:val="both"/>
      </w:pPr>
      <w:r w:rsidRPr="00452E2E">
        <w:t xml:space="preserve">My sincere appreciation to Professor Pauline Dibben and Professor Geoffrey Wood for sharing with me the questionnaire on the specific techniques of HRM used in study 1 of this thesis. Also, thanks to Professor John P. Meyer for sharing with me the scales on training and employee benefits used in study 2 of the thesis. Equally, I appreciate the support from the </w:t>
      </w:r>
      <w:r w:rsidR="00717B2D" w:rsidRPr="00452E2E">
        <w:t xml:space="preserve">Management School’s </w:t>
      </w:r>
      <w:r w:rsidRPr="00452E2E">
        <w:t>research office team - Mandy, Josie</w:t>
      </w:r>
      <w:r w:rsidR="00495407" w:rsidRPr="00452E2E">
        <w:t>, Rebecca</w:t>
      </w:r>
      <w:r w:rsidRPr="00452E2E">
        <w:t xml:space="preserve"> and Harriet. I would also like to appreciate the contributions of the Research Assistants who worked with me during the field work, especially Calvin Anza and Roland Tyonongu for co-ordinating the Research Assistants. </w:t>
      </w:r>
    </w:p>
    <w:p w:rsidR="00D03A8E" w:rsidRPr="00452E2E" w:rsidRDefault="00D03A8E" w:rsidP="00352144">
      <w:pPr>
        <w:spacing w:before="240" w:after="0" w:line="276" w:lineRule="auto"/>
        <w:jc w:val="both"/>
        <w:rPr>
          <w:highlight w:val="lightGray"/>
        </w:rPr>
      </w:pPr>
      <w:r w:rsidRPr="00452E2E">
        <w:t>Finally, I appreciate the encouragement and support I got from friends in UK particularly, Raymond</w:t>
      </w:r>
      <w:r w:rsidR="00894CA9" w:rsidRPr="00452E2E">
        <w:t xml:space="preserve"> Obayi</w:t>
      </w:r>
      <w:r w:rsidR="005A7ED0" w:rsidRPr="00452E2E">
        <w:t>, Oliver</w:t>
      </w:r>
      <w:r w:rsidR="00894CA9" w:rsidRPr="00452E2E">
        <w:t xml:space="preserve"> Iorhemen</w:t>
      </w:r>
      <w:r w:rsidR="005A7ED0" w:rsidRPr="00452E2E">
        <w:t>, Egena</w:t>
      </w:r>
      <w:r w:rsidR="00894CA9" w:rsidRPr="00452E2E">
        <w:t xml:space="preserve"> Ode</w:t>
      </w:r>
      <w:r w:rsidR="005A7ED0" w:rsidRPr="00452E2E">
        <w:t>, Aamo</w:t>
      </w:r>
      <w:r w:rsidR="00894CA9" w:rsidRPr="00452E2E">
        <w:t xml:space="preserve"> Iorliam</w:t>
      </w:r>
      <w:r w:rsidR="005A7ED0" w:rsidRPr="00452E2E">
        <w:t>, Abiye</w:t>
      </w:r>
      <w:r w:rsidR="00894CA9" w:rsidRPr="00452E2E">
        <w:t xml:space="preserve"> Tob-Ogu</w:t>
      </w:r>
      <w:r w:rsidR="005A7ED0" w:rsidRPr="00452E2E">
        <w:t>, Ehimen</w:t>
      </w:r>
      <w:r w:rsidR="00894CA9" w:rsidRPr="00452E2E">
        <w:t xml:space="preserve"> </w:t>
      </w:r>
      <w:r w:rsidR="002E5563" w:rsidRPr="00452E2E">
        <w:t>E</w:t>
      </w:r>
      <w:r w:rsidR="00894CA9" w:rsidRPr="00452E2E">
        <w:t>jodame</w:t>
      </w:r>
      <w:r w:rsidR="005A7ED0" w:rsidRPr="00452E2E">
        <w:t xml:space="preserve">, </w:t>
      </w:r>
      <w:r w:rsidR="00894CA9" w:rsidRPr="00452E2E">
        <w:t xml:space="preserve">Alhaji </w:t>
      </w:r>
      <w:r w:rsidRPr="00452E2E">
        <w:t>Usman</w:t>
      </w:r>
      <w:r w:rsidR="000925CD" w:rsidRPr="00452E2E">
        <w:t>,</w:t>
      </w:r>
      <w:r w:rsidRPr="00452E2E">
        <w:t xml:space="preserve"> </w:t>
      </w:r>
      <w:r w:rsidR="00894CA9" w:rsidRPr="00452E2E">
        <w:t>Peter Azende</w:t>
      </w:r>
      <w:r w:rsidR="005A7ED0" w:rsidRPr="00452E2E">
        <w:t xml:space="preserve"> </w:t>
      </w:r>
      <w:r w:rsidRPr="00452E2E">
        <w:t>and Mark</w:t>
      </w:r>
      <w:r w:rsidR="00894CA9" w:rsidRPr="00452E2E">
        <w:t xml:space="preserve"> Wilson</w:t>
      </w:r>
      <w:r w:rsidRPr="00452E2E">
        <w:t xml:space="preserve">. Not forgetting all my friends </w:t>
      </w:r>
      <w:r w:rsidR="00182339" w:rsidRPr="00452E2E">
        <w:t>in Nigeria</w:t>
      </w:r>
      <w:r w:rsidRPr="00452E2E">
        <w:t xml:space="preserve"> who believed in me and encouraged me to accomplish this dream. Thanks also to all my colleagues at the Faculty of Management Sciences, Benue State University, Makurdi for their moral support. </w:t>
      </w:r>
      <w:r w:rsidRPr="00452E2E">
        <w:rPr>
          <w:highlight w:val="lightGray"/>
        </w:rPr>
        <w:br w:type="page"/>
      </w:r>
    </w:p>
    <w:p w:rsidR="00D03A8E" w:rsidRPr="00452E2E" w:rsidRDefault="00D03A8E" w:rsidP="00D03A8E">
      <w:pPr>
        <w:pStyle w:val="Heading1"/>
        <w:numPr>
          <w:ilvl w:val="0"/>
          <w:numId w:val="0"/>
        </w:numPr>
      </w:pPr>
      <w:bookmarkStart w:id="3" w:name="_Toc473808085"/>
      <w:r w:rsidRPr="00452E2E">
        <w:lastRenderedPageBreak/>
        <w:t>DEDICATION</w:t>
      </w:r>
      <w:bookmarkEnd w:id="3"/>
    </w:p>
    <w:p w:rsidR="00D03A8E" w:rsidRPr="00452E2E" w:rsidRDefault="00D03A8E" w:rsidP="00D03A8E"/>
    <w:p w:rsidR="00D03A8E" w:rsidRPr="00452E2E" w:rsidRDefault="00D03A8E" w:rsidP="00D03A8E"/>
    <w:p w:rsidR="00D03A8E" w:rsidRPr="00452E2E" w:rsidRDefault="00D03A8E" w:rsidP="00D03A8E">
      <w:pPr>
        <w:jc w:val="center"/>
        <w:rPr>
          <w:rFonts w:ascii="Viner Hand ITC" w:hAnsi="Viner Hand ITC" w:cs="Andalus"/>
          <w:sz w:val="36"/>
          <w:szCs w:val="36"/>
        </w:rPr>
      </w:pPr>
      <w:r w:rsidRPr="00452E2E">
        <w:rPr>
          <w:rFonts w:ascii="Viner Hand ITC" w:hAnsi="Viner Hand ITC" w:cs="Andalus"/>
          <w:sz w:val="36"/>
          <w:szCs w:val="36"/>
        </w:rPr>
        <w:t>To Fanyam and Ahemen – my angels.</w:t>
      </w:r>
    </w:p>
    <w:p w:rsidR="00D03A8E" w:rsidRPr="00452E2E" w:rsidRDefault="00D03A8E" w:rsidP="00D03A8E">
      <w:pPr>
        <w:sectPr w:rsidR="00D03A8E" w:rsidRPr="00452E2E" w:rsidSect="00B57950">
          <w:pgSz w:w="11906" w:h="16838"/>
          <w:pgMar w:top="1440" w:right="1440" w:bottom="1440" w:left="2268" w:header="708" w:footer="708" w:gutter="0"/>
          <w:pgNumType w:fmt="lowerRoman"/>
          <w:cols w:space="708"/>
          <w:titlePg/>
          <w:docGrid w:linePitch="360"/>
        </w:sectPr>
      </w:pPr>
    </w:p>
    <w:p w:rsidR="00D03A8E" w:rsidRPr="00452E2E" w:rsidRDefault="00D03A8E" w:rsidP="00D03A8E">
      <w:pPr>
        <w:pStyle w:val="Heading1"/>
        <w:numPr>
          <w:ilvl w:val="0"/>
          <w:numId w:val="0"/>
        </w:numPr>
        <w:rPr>
          <w:noProof/>
        </w:rPr>
      </w:pPr>
      <w:bookmarkStart w:id="4" w:name="_Toc473808086"/>
      <w:r w:rsidRPr="00452E2E">
        <w:rPr>
          <w:noProof/>
        </w:rPr>
        <w:lastRenderedPageBreak/>
        <w:t>LIST OF ABBREVIATIONS</w:t>
      </w:r>
      <w:bookmarkEnd w:id="4"/>
    </w:p>
    <w:p w:rsidR="00D03A8E" w:rsidRPr="00452E2E" w:rsidRDefault="00D03A8E" w:rsidP="00D03A8E">
      <w:pPr>
        <w:spacing w:line="240" w:lineRule="auto"/>
      </w:pPr>
      <w:r w:rsidRPr="00452E2E">
        <w:t>AC</w:t>
      </w:r>
      <w:r w:rsidRPr="00452E2E">
        <w:tab/>
      </w:r>
      <w:r w:rsidRPr="00452E2E">
        <w:tab/>
      </w:r>
      <w:r w:rsidRPr="00452E2E">
        <w:tab/>
      </w:r>
      <w:r w:rsidRPr="00452E2E">
        <w:tab/>
        <w:t>Affective Commitment</w:t>
      </w:r>
    </w:p>
    <w:p w:rsidR="00D03A8E" w:rsidRPr="00452E2E" w:rsidRDefault="00D03A8E" w:rsidP="00D03A8E">
      <w:pPr>
        <w:spacing w:line="240" w:lineRule="auto"/>
      </w:pPr>
      <w:r w:rsidRPr="00452E2E">
        <w:t>AGFI</w:t>
      </w:r>
      <w:r w:rsidRPr="00452E2E">
        <w:tab/>
      </w:r>
      <w:r w:rsidRPr="00452E2E">
        <w:tab/>
      </w:r>
      <w:r w:rsidRPr="00452E2E">
        <w:tab/>
      </w:r>
      <w:r w:rsidRPr="00452E2E">
        <w:tab/>
        <w:t>Adjusted Goodness of Fit Index</w:t>
      </w:r>
    </w:p>
    <w:p w:rsidR="00D03A8E" w:rsidRPr="00452E2E" w:rsidRDefault="00D03A8E" w:rsidP="00D03A8E">
      <w:pPr>
        <w:spacing w:line="240" w:lineRule="auto"/>
      </w:pPr>
      <w:r w:rsidRPr="00452E2E">
        <w:t>AMOS</w:t>
      </w:r>
      <w:r w:rsidRPr="00452E2E">
        <w:tab/>
      </w:r>
      <w:r w:rsidRPr="00452E2E">
        <w:tab/>
      </w:r>
      <w:r w:rsidRPr="00452E2E">
        <w:tab/>
      </w:r>
      <w:r w:rsidRPr="00452E2E">
        <w:tab/>
        <w:t>Analysis of Moment Structures</w:t>
      </w:r>
    </w:p>
    <w:p w:rsidR="00D03A8E" w:rsidRPr="00452E2E" w:rsidRDefault="00D03A8E" w:rsidP="00D03A8E">
      <w:pPr>
        <w:spacing w:line="240" w:lineRule="auto"/>
      </w:pPr>
      <w:r w:rsidRPr="00452E2E">
        <w:t>AVE</w:t>
      </w:r>
      <w:r w:rsidRPr="00452E2E">
        <w:tab/>
      </w:r>
      <w:r w:rsidRPr="00452E2E">
        <w:tab/>
      </w:r>
      <w:r w:rsidRPr="00452E2E">
        <w:tab/>
      </w:r>
      <w:r w:rsidRPr="00452E2E">
        <w:tab/>
        <w:t>Average Variance Extracted</w:t>
      </w:r>
    </w:p>
    <w:p w:rsidR="00D03A8E" w:rsidRPr="00452E2E" w:rsidRDefault="00D03A8E" w:rsidP="00D03A8E">
      <w:pPr>
        <w:spacing w:line="240" w:lineRule="auto"/>
      </w:pPr>
      <w:r w:rsidRPr="00452E2E">
        <w:t>CC</w:t>
      </w:r>
      <w:r w:rsidRPr="00452E2E">
        <w:tab/>
      </w:r>
      <w:r w:rsidRPr="00452E2E">
        <w:tab/>
      </w:r>
      <w:r w:rsidRPr="00452E2E">
        <w:tab/>
      </w:r>
      <w:r w:rsidRPr="00452E2E">
        <w:tab/>
        <w:t>Continuance Commitment</w:t>
      </w:r>
    </w:p>
    <w:p w:rsidR="00D03A8E" w:rsidRPr="00452E2E" w:rsidRDefault="00D03A8E" w:rsidP="00D03A8E">
      <w:pPr>
        <w:spacing w:line="240" w:lineRule="auto"/>
      </w:pPr>
      <w:r w:rsidRPr="00452E2E">
        <w:t>CFA</w:t>
      </w:r>
      <w:r w:rsidRPr="00452E2E">
        <w:tab/>
      </w:r>
      <w:r w:rsidRPr="00452E2E">
        <w:tab/>
      </w:r>
      <w:r w:rsidRPr="00452E2E">
        <w:tab/>
      </w:r>
      <w:r w:rsidRPr="00452E2E">
        <w:tab/>
        <w:t>Confirmatory Factor Analysis</w:t>
      </w:r>
    </w:p>
    <w:p w:rsidR="00D03A8E" w:rsidRPr="00452E2E" w:rsidRDefault="00D03A8E" w:rsidP="00D03A8E">
      <w:pPr>
        <w:spacing w:line="240" w:lineRule="auto"/>
      </w:pPr>
      <w:r w:rsidRPr="00452E2E">
        <w:t>CFI</w:t>
      </w:r>
      <w:r w:rsidRPr="00452E2E">
        <w:tab/>
      </w:r>
      <w:r w:rsidRPr="00452E2E">
        <w:tab/>
      </w:r>
      <w:r w:rsidRPr="00452E2E">
        <w:tab/>
      </w:r>
      <w:r w:rsidRPr="00452E2E">
        <w:tab/>
        <w:t>Comparative Fit Index</w:t>
      </w:r>
    </w:p>
    <w:p w:rsidR="00D03A8E" w:rsidRPr="00452E2E" w:rsidRDefault="00D03A8E" w:rsidP="00D03A8E">
      <w:pPr>
        <w:spacing w:line="240" w:lineRule="auto"/>
      </w:pPr>
      <w:r w:rsidRPr="00452E2E">
        <w:t>CMEs</w:t>
      </w:r>
      <w:r w:rsidRPr="00452E2E">
        <w:tab/>
      </w:r>
      <w:r w:rsidRPr="00452E2E">
        <w:tab/>
      </w:r>
      <w:r w:rsidRPr="00452E2E">
        <w:tab/>
      </w:r>
      <w:r w:rsidRPr="00452E2E">
        <w:tab/>
        <w:t>Co-ordinated Market Economies</w:t>
      </w:r>
    </w:p>
    <w:p w:rsidR="00D03A8E" w:rsidRPr="00452E2E" w:rsidRDefault="00D03A8E" w:rsidP="00D03A8E">
      <w:pPr>
        <w:spacing w:line="240" w:lineRule="auto"/>
      </w:pPr>
      <w:r w:rsidRPr="00452E2E">
        <w:t>CR</w:t>
      </w:r>
      <w:r w:rsidRPr="00452E2E">
        <w:tab/>
      </w:r>
      <w:r w:rsidRPr="00452E2E">
        <w:tab/>
      </w:r>
      <w:r w:rsidRPr="00452E2E">
        <w:tab/>
      </w:r>
      <w:r w:rsidRPr="00452E2E">
        <w:tab/>
        <w:t>Composite Reliability</w:t>
      </w:r>
    </w:p>
    <w:p w:rsidR="00D03A8E" w:rsidRPr="00452E2E" w:rsidRDefault="00D03A8E" w:rsidP="00D03A8E">
      <w:pPr>
        <w:spacing w:line="240" w:lineRule="auto"/>
      </w:pPr>
      <w:r w:rsidRPr="00452E2E">
        <w:t>EFA</w:t>
      </w:r>
      <w:r w:rsidRPr="00452E2E">
        <w:tab/>
      </w:r>
      <w:r w:rsidRPr="00452E2E">
        <w:tab/>
      </w:r>
      <w:r w:rsidRPr="00452E2E">
        <w:tab/>
      </w:r>
      <w:r w:rsidRPr="00452E2E">
        <w:tab/>
        <w:t>Exploratory Factor Analysis</w:t>
      </w:r>
    </w:p>
    <w:p w:rsidR="00D03A8E" w:rsidRPr="00452E2E" w:rsidRDefault="00D03A8E" w:rsidP="00D03A8E">
      <w:pPr>
        <w:spacing w:line="240" w:lineRule="auto"/>
      </w:pPr>
      <w:r w:rsidRPr="00452E2E">
        <w:t>GFI</w:t>
      </w:r>
      <w:r w:rsidRPr="00452E2E">
        <w:tab/>
      </w:r>
      <w:r w:rsidRPr="00452E2E">
        <w:tab/>
      </w:r>
      <w:r w:rsidRPr="00452E2E">
        <w:tab/>
      </w:r>
      <w:r w:rsidRPr="00452E2E">
        <w:tab/>
        <w:t>Goodness of Fit Index</w:t>
      </w:r>
    </w:p>
    <w:p w:rsidR="00D03A8E" w:rsidRPr="00452E2E" w:rsidRDefault="00D03A8E" w:rsidP="00D03A8E">
      <w:pPr>
        <w:spacing w:line="240" w:lineRule="auto"/>
      </w:pPr>
      <w:r w:rsidRPr="00452E2E">
        <w:t>HR</w:t>
      </w:r>
      <w:r w:rsidRPr="00452E2E">
        <w:tab/>
      </w:r>
      <w:r w:rsidRPr="00452E2E">
        <w:tab/>
      </w:r>
      <w:r w:rsidRPr="00452E2E">
        <w:tab/>
      </w:r>
      <w:r w:rsidRPr="00452E2E">
        <w:tab/>
        <w:t>Human Resource(s)</w:t>
      </w:r>
    </w:p>
    <w:p w:rsidR="00D03A8E" w:rsidRPr="00452E2E" w:rsidRDefault="00D03A8E" w:rsidP="00D03A8E">
      <w:pPr>
        <w:spacing w:line="240" w:lineRule="auto"/>
      </w:pPr>
      <w:r w:rsidRPr="00452E2E">
        <w:t>HRM</w:t>
      </w:r>
      <w:r w:rsidRPr="00452E2E">
        <w:tab/>
      </w:r>
      <w:r w:rsidRPr="00452E2E">
        <w:tab/>
      </w:r>
      <w:r w:rsidRPr="00452E2E">
        <w:tab/>
      </w:r>
      <w:r w:rsidRPr="00452E2E">
        <w:tab/>
        <w:t>Human Resource Management</w:t>
      </w:r>
    </w:p>
    <w:p w:rsidR="00D03A8E" w:rsidRPr="00452E2E" w:rsidRDefault="00D03A8E" w:rsidP="00D03A8E">
      <w:pPr>
        <w:spacing w:line="240" w:lineRule="auto"/>
      </w:pPr>
      <w:r w:rsidRPr="00452E2E">
        <w:t>ITF</w:t>
      </w:r>
      <w:r w:rsidRPr="00452E2E">
        <w:tab/>
      </w:r>
      <w:r w:rsidRPr="00452E2E">
        <w:tab/>
      </w:r>
      <w:r w:rsidRPr="00452E2E">
        <w:tab/>
      </w:r>
      <w:r w:rsidRPr="00452E2E">
        <w:tab/>
        <w:t>Industrial Training Fund</w:t>
      </w:r>
    </w:p>
    <w:p w:rsidR="00D03A8E" w:rsidRPr="00452E2E" w:rsidRDefault="00D03A8E" w:rsidP="00D03A8E">
      <w:pPr>
        <w:spacing w:line="240" w:lineRule="auto"/>
      </w:pPr>
      <w:r w:rsidRPr="00452E2E">
        <w:t>JS</w:t>
      </w:r>
      <w:r w:rsidRPr="00452E2E">
        <w:tab/>
      </w:r>
      <w:r w:rsidRPr="00452E2E">
        <w:tab/>
      </w:r>
      <w:r w:rsidRPr="00452E2E">
        <w:tab/>
      </w:r>
      <w:r w:rsidRPr="00452E2E">
        <w:tab/>
        <w:t>Job Satisfaction</w:t>
      </w:r>
    </w:p>
    <w:p w:rsidR="00D03A8E" w:rsidRPr="00452E2E" w:rsidRDefault="00D03A8E" w:rsidP="00D03A8E">
      <w:pPr>
        <w:spacing w:line="240" w:lineRule="auto"/>
      </w:pPr>
      <w:r w:rsidRPr="00452E2E">
        <w:t>LMEs</w:t>
      </w:r>
      <w:r w:rsidRPr="00452E2E">
        <w:tab/>
      </w:r>
      <w:r w:rsidRPr="00452E2E">
        <w:tab/>
      </w:r>
      <w:r w:rsidRPr="00452E2E">
        <w:tab/>
      </w:r>
      <w:r w:rsidRPr="00452E2E">
        <w:tab/>
        <w:t>Liberal Market Economies</w:t>
      </w:r>
    </w:p>
    <w:p w:rsidR="00D03A8E" w:rsidRPr="00452E2E" w:rsidRDefault="00D03A8E" w:rsidP="00D03A8E">
      <w:pPr>
        <w:spacing w:line="240" w:lineRule="auto"/>
      </w:pPr>
      <w:r w:rsidRPr="00452E2E">
        <w:t>NC</w:t>
      </w:r>
      <w:r w:rsidRPr="00452E2E">
        <w:tab/>
      </w:r>
      <w:r w:rsidRPr="00452E2E">
        <w:tab/>
      </w:r>
      <w:r w:rsidRPr="00452E2E">
        <w:tab/>
      </w:r>
      <w:r w:rsidRPr="00452E2E">
        <w:tab/>
        <w:t>Normative Commitment</w:t>
      </w:r>
    </w:p>
    <w:p w:rsidR="00D03A8E" w:rsidRPr="00452E2E" w:rsidRDefault="00D03A8E" w:rsidP="00D03A8E">
      <w:pPr>
        <w:spacing w:line="240" w:lineRule="auto"/>
      </w:pPr>
      <w:r w:rsidRPr="00452E2E">
        <w:t>NECA</w:t>
      </w:r>
      <w:r w:rsidRPr="00452E2E">
        <w:tab/>
      </w:r>
      <w:r w:rsidRPr="00452E2E">
        <w:tab/>
      </w:r>
      <w:r w:rsidRPr="00452E2E">
        <w:tab/>
      </w:r>
      <w:r w:rsidRPr="00452E2E">
        <w:tab/>
        <w:t>Nigeria Employers’ Consultative Association</w:t>
      </w:r>
    </w:p>
    <w:p w:rsidR="00D03A8E" w:rsidRPr="00452E2E" w:rsidRDefault="00D03A8E" w:rsidP="00D03A8E">
      <w:pPr>
        <w:spacing w:line="240" w:lineRule="auto"/>
      </w:pPr>
      <w:r w:rsidRPr="00452E2E">
        <w:t>NFI</w:t>
      </w:r>
      <w:r w:rsidRPr="00452E2E">
        <w:tab/>
      </w:r>
      <w:r w:rsidRPr="00452E2E">
        <w:tab/>
      </w:r>
      <w:r w:rsidRPr="00452E2E">
        <w:tab/>
      </w:r>
      <w:r w:rsidRPr="00452E2E">
        <w:tab/>
        <w:t>Normed Fit Index</w:t>
      </w:r>
    </w:p>
    <w:p w:rsidR="00D03A8E" w:rsidRPr="00452E2E" w:rsidRDefault="00D03A8E" w:rsidP="00D03A8E">
      <w:pPr>
        <w:spacing w:line="240" w:lineRule="auto"/>
      </w:pPr>
      <w:r w:rsidRPr="00452E2E">
        <w:t>NHS</w:t>
      </w:r>
      <w:r w:rsidRPr="00452E2E">
        <w:tab/>
      </w:r>
      <w:r w:rsidRPr="00452E2E">
        <w:tab/>
      </w:r>
      <w:r w:rsidRPr="00452E2E">
        <w:tab/>
      </w:r>
      <w:r w:rsidRPr="00452E2E">
        <w:tab/>
        <w:t>National Health Service</w:t>
      </w:r>
    </w:p>
    <w:p w:rsidR="00D03A8E" w:rsidRPr="00452E2E" w:rsidRDefault="00D03A8E" w:rsidP="00D03A8E">
      <w:pPr>
        <w:spacing w:line="240" w:lineRule="auto"/>
      </w:pPr>
      <w:r w:rsidRPr="00452E2E">
        <w:t>NLC</w:t>
      </w:r>
      <w:r w:rsidRPr="00452E2E">
        <w:tab/>
      </w:r>
      <w:r w:rsidRPr="00452E2E">
        <w:tab/>
      </w:r>
      <w:r w:rsidRPr="00452E2E">
        <w:tab/>
      </w:r>
      <w:r w:rsidRPr="00452E2E">
        <w:tab/>
        <w:t>Nigeria Labour Congress</w:t>
      </w:r>
    </w:p>
    <w:p w:rsidR="00D03A8E" w:rsidRPr="00452E2E" w:rsidRDefault="00D03A8E" w:rsidP="00D03A8E">
      <w:pPr>
        <w:spacing w:line="240" w:lineRule="auto"/>
      </w:pPr>
      <w:r w:rsidRPr="00452E2E">
        <w:t>NNPC</w:t>
      </w:r>
      <w:r w:rsidRPr="00452E2E">
        <w:tab/>
      </w:r>
      <w:r w:rsidRPr="00452E2E">
        <w:tab/>
      </w:r>
      <w:r w:rsidRPr="00452E2E">
        <w:tab/>
      </w:r>
      <w:r w:rsidRPr="00452E2E">
        <w:tab/>
        <w:t>Nigerian National Petroleum Corporation</w:t>
      </w:r>
    </w:p>
    <w:p w:rsidR="00D03A8E" w:rsidRPr="00452E2E" w:rsidRDefault="00D03A8E" w:rsidP="00D03A8E">
      <w:pPr>
        <w:spacing w:line="240" w:lineRule="auto"/>
      </w:pPr>
      <w:r w:rsidRPr="00452E2E">
        <w:t>RMSEA</w:t>
      </w:r>
      <w:r w:rsidRPr="00452E2E">
        <w:tab/>
      </w:r>
      <w:r w:rsidRPr="00452E2E">
        <w:tab/>
      </w:r>
      <w:r w:rsidRPr="00452E2E">
        <w:tab/>
        <w:t>Root Mean Square Error of Approximation</w:t>
      </w:r>
    </w:p>
    <w:p w:rsidR="00D03A8E" w:rsidRPr="00452E2E" w:rsidRDefault="00D03A8E" w:rsidP="00D03A8E">
      <w:pPr>
        <w:spacing w:line="240" w:lineRule="auto"/>
      </w:pPr>
      <w:r w:rsidRPr="00452E2E">
        <w:t>SPSS</w:t>
      </w:r>
      <w:r w:rsidRPr="00452E2E">
        <w:tab/>
      </w:r>
      <w:r w:rsidRPr="00452E2E">
        <w:tab/>
      </w:r>
      <w:r w:rsidRPr="00452E2E">
        <w:tab/>
      </w:r>
      <w:r w:rsidRPr="00452E2E">
        <w:tab/>
        <w:t>Statistical Package for Social Sciences</w:t>
      </w:r>
    </w:p>
    <w:p w:rsidR="00D03A8E" w:rsidRPr="00452E2E" w:rsidRDefault="00D03A8E" w:rsidP="00D03A8E">
      <w:pPr>
        <w:spacing w:line="240" w:lineRule="auto"/>
      </w:pPr>
      <w:r w:rsidRPr="00452E2E">
        <w:t>SRMR</w:t>
      </w:r>
      <w:r w:rsidRPr="00452E2E">
        <w:tab/>
      </w:r>
      <w:r w:rsidRPr="00452E2E">
        <w:tab/>
      </w:r>
      <w:r w:rsidRPr="00452E2E">
        <w:tab/>
      </w:r>
      <w:r w:rsidRPr="00452E2E">
        <w:tab/>
        <w:t>Standardized Root Mean Residual</w:t>
      </w:r>
    </w:p>
    <w:p w:rsidR="00D03A8E" w:rsidRPr="00452E2E" w:rsidRDefault="00D03A8E" w:rsidP="00D03A8E">
      <w:pPr>
        <w:spacing w:line="240" w:lineRule="auto"/>
      </w:pPr>
      <w:r w:rsidRPr="00452E2E">
        <w:t>TLI</w:t>
      </w:r>
      <w:r w:rsidRPr="00452E2E">
        <w:tab/>
      </w:r>
      <w:r w:rsidRPr="00452E2E">
        <w:tab/>
      </w:r>
      <w:r w:rsidRPr="00452E2E">
        <w:tab/>
      </w:r>
      <w:r w:rsidRPr="00452E2E">
        <w:tab/>
        <w:t>Tucker-Lewis Index</w:t>
      </w:r>
    </w:p>
    <w:p w:rsidR="00D03A8E" w:rsidRPr="00452E2E" w:rsidRDefault="00D03A8E" w:rsidP="00D03A8E">
      <w:pPr>
        <w:spacing w:line="240" w:lineRule="auto"/>
      </w:pPr>
      <w:r w:rsidRPr="00452E2E">
        <w:t>TUC</w:t>
      </w:r>
      <w:r w:rsidRPr="00452E2E">
        <w:tab/>
      </w:r>
      <w:r w:rsidRPr="00452E2E">
        <w:tab/>
      </w:r>
      <w:r w:rsidRPr="00452E2E">
        <w:tab/>
      </w:r>
      <w:r w:rsidRPr="00452E2E">
        <w:tab/>
        <w:t>Trade Union Congress</w:t>
      </w:r>
    </w:p>
    <w:p w:rsidR="00D03A8E" w:rsidRPr="00452E2E" w:rsidRDefault="00D03A8E" w:rsidP="00D03A8E">
      <w:pPr>
        <w:spacing w:line="240" w:lineRule="auto"/>
      </w:pPr>
      <w:r w:rsidRPr="00452E2E">
        <w:t>UK</w:t>
      </w:r>
      <w:r w:rsidRPr="00452E2E">
        <w:tab/>
      </w:r>
      <w:r w:rsidRPr="00452E2E">
        <w:tab/>
      </w:r>
      <w:r w:rsidRPr="00452E2E">
        <w:tab/>
      </w:r>
      <w:r w:rsidRPr="00452E2E">
        <w:tab/>
        <w:t>United Kingdom</w:t>
      </w:r>
    </w:p>
    <w:p w:rsidR="00D03A8E" w:rsidRPr="00452E2E" w:rsidRDefault="00D03A8E" w:rsidP="00D03A8E">
      <w:pPr>
        <w:spacing w:line="240" w:lineRule="auto"/>
      </w:pPr>
      <w:r w:rsidRPr="00452E2E">
        <w:t>USA</w:t>
      </w:r>
      <w:r w:rsidRPr="00452E2E">
        <w:tab/>
      </w:r>
      <w:r w:rsidRPr="00452E2E">
        <w:tab/>
      </w:r>
      <w:r w:rsidRPr="00452E2E">
        <w:tab/>
      </w:r>
      <w:r w:rsidRPr="00452E2E">
        <w:tab/>
        <w:t>United States of America</w:t>
      </w:r>
    </w:p>
    <w:p w:rsidR="00D03A8E" w:rsidRPr="00452E2E" w:rsidRDefault="00D03A8E" w:rsidP="00D03A8E">
      <w:pPr>
        <w:rPr>
          <w:rFonts w:eastAsiaTheme="majorEastAsia" w:cstheme="majorBidi"/>
          <w:sz w:val="32"/>
          <w:szCs w:val="32"/>
        </w:rPr>
      </w:pPr>
      <w:r w:rsidRPr="00452E2E">
        <w:rPr>
          <w:highlight w:val="lightGray"/>
        </w:rPr>
        <w:br w:type="page"/>
      </w:r>
    </w:p>
    <w:bookmarkStart w:id="5" w:name="_Toc473808087" w:displacedByCustomXml="next"/>
    <w:sdt>
      <w:sdtPr>
        <w:rPr>
          <w:rFonts w:eastAsiaTheme="minorHAnsi" w:cstheme="minorBidi"/>
          <w:sz w:val="24"/>
          <w:szCs w:val="22"/>
        </w:rPr>
        <w:id w:val="-138649934"/>
        <w:docPartObj>
          <w:docPartGallery w:val="Table of Contents"/>
          <w:docPartUnique/>
        </w:docPartObj>
      </w:sdtPr>
      <w:sdtEndPr>
        <w:rPr>
          <w:b/>
          <w:bCs/>
          <w:noProof/>
        </w:rPr>
      </w:sdtEndPr>
      <w:sdtContent>
        <w:p w:rsidR="00D03A8E" w:rsidRPr="00452E2E" w:rsidRDefault="00D03A8E" w:rsidP="00D03A8E">
          <w:pPr>
            <w:pStyle w:val="Heading1"/>
            <w:numPr>
              <w:ilvl w:val="0"/>
              <w:numId w:val="0"/>
            </w:numPr>
          </w:pPr>
          <w:r w:rsidRPr="00452E2E">
            <w:t>TABLE OF CONTENTS</w:t>
          </w:r>
          <w:bookmarkEnd w:id="5"/>
        </w:p>
        <w:p w:rsidR="00A55699" w:rsidRPr="00452E2E" w:rsidRDefault="003C2ACD">
          <w:pPr>
            <w:pStyle w:val="TOC1"/>
            <w:rPr>
              <w:rFonts w:asciiTheme="minorHAnsi" w:eastAsiaTheme="minorEastAsia" w:hAnsiTheme="minorHAnsi"/>
              <w:noProof/>
              <w:sz w:val="22"/>
              <w:lang w:eastAsia="en-GB"/>
            </w:rPr>
          </w:pPr>
          <w:r w:rsidRPr="00452E2E">
            <w:fldChar w:fldCharType="begin"/>
          </w:r>
          <w:r w:rsidRPr="00452E2E">
            <w:instrText xml:space="preserve"> TOC \o "1-6" \h \z \u </w:instrText>
          </w:r>
          <w:r w:rsidRPr="00452E2E">
            <w:fldChar w:fldCharType="separate"/>
          </w:r>
          <w:hyperlink w:anchor="_Toc473808082" w:history="1">
            <w:r w:rsidR="00A55699" w:rsidRPr="00452E2E">
              <w:rPr>
                <w:rStyle w:val="Hyperlink"/>
                <w:noProof/>
                <w:color w:val="auto"/>
              </w:rPr>
              <w:t>DECLARATION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_Toc473808082 \h </w:instrText>
            </w:r>
            <w:r w:rsidR="00A55699" w:rsidRPr="00452E2E">
              <w:rPr>
                <w:noProof/>
                <w:webHidden/>
              </w:rPr>
            </w:r>
            <w:r w:rsidR="00A55699" w:rsidRPr="00452E2E">
              <w:rPr>
                <w:noProof/>
                <w:webHidden/>
              </w:rPr>
              <w:fldChar w:fldCharType="separate"/>
            </w:r>
            <w:r w:rsidR="00937762">
              <w:rPr>
                <w:noProof/>
                <w:webHidden/>
              </w:rPr>
              <w:t>i</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83" w:history="1">
            <w:r w:rsidR="00A55699" w:rsidRPr="00452E2E">
              <w:rPr>
                <w:rStyle w:val="Hyperlink"/>
                <w:noProof/>
                <w:color w:val="auto"/>
              </w:rPr>
              <w:t>ABSTRACT</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_Toc473808083 \h </w:instrText>
            </w:r>
            <w:r w:rsidR="00A55699" w:rsidRPr="00452E2E">
              <w:rPr>
                <w:noProof/>
                <w:webHidden/>
              </w:rPr>
            </w:r>
            <w:r w:rsidR="00A55699" w:rsidRPr="00452E2E">
              <w:rPr>
                <w:noProof/>
                <w:webHidden/>
              </w:rPr>
              <w:fldChar w:fldCharType="separate"/>
            </w:r>
            <w:r w:rsidR="00937762">
              <w:rPr>
                <w:noProof/>
                <w:webHidden/>
              </w:rPr>
              <w:t>ii</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84" w:history="1">
            <w:r w:rsidR="00A55699" w:rsidRPr="00452E2E">
              <w:rPr>
                <w:rStyle w:val="Hyperlink"/>
                <w:noProof/>
                <w:color w:val="auto"/>
              </w:rPr>
              <w:t>ACKNOWLEDGEMENTS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_Toc473808084 \h </w:instrText>
            </w:r>
            <w:r w:rsidR="00A55699" w:rsidRPr="00452E2E">
              <w:rPr>
                <w:noProof/>
                <w:webHidden/>
              </w:rPr>
            </w:r>
            <w:r w:rsidR="00A55699" w:rsidRPr="00452E2E">
              <w:rPr>
                <w:noProof/>
                <w:webHidden/>
              </w:rPr>
              <w:fldChar w:fldCharType="separate"/>
            </w:r>
            <w:r w:rsidR="00937762">
              <w:rPr>
                <w:noProof/>
                <w:webHidden/>
              </w:rPr>
              <w:t>iii</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85" w:history="1">
            <w:r w:rsidR="00A55699" w:rsidRPr="00452E2E">
              <w:rPr>
                <w:rStyle w:val="Hyperlink"/>
                <w:noProof/>
                <w:color w:val="auto"/>
              </w:rPr>
              <w:t>DEDICATION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_Toc473808085 \h </w:instrText>
            </w:r>
            <w:r w:rsidR="00A55699" w:rsidRPr="00452E2E">
              <w:rPr>
                <w:noProof/>
                <w:webHidden/>
              </w:rPr>
            </w:r>
            <w:r w:rsidR="00A55699" w:rsidRPr="00452E2E">
              <w:rPr>
                <w:noProof/>
                <w:webHidden/>
              </w:rPr>
              <w:fldChar w:fldCharType="separate"/>
            </w:r>
            <w:r w:rsidR="00937762">
              <w:rPr>
                <w:noProof/>
                <w:webHidden/>
              </w:rPr>
              <w:t>iv</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86" w:history="1">
            <w:r w:rsidR="00A55699" w:rsidRPr="00452E2E">
              <w:rPr>
                <w:rStyle w:val="Hyperlink"/>
                <w:noProof/>
                <w:color w:val="auto"/>
              </w:rPr>
              <w:t>LIST OF ABBREVIATIONS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_Toc473808086 \h </w:instrText>
            </w:r>
            <w:r w:rsidR="00A55699" w:rsidRPr="00452E2E">
              <w:rPr>
                <w:noProof/>
                <w:webHidden/>
              </w:rPr>
            </w:r>
            <w:r w:rsidR="00A55699" w:rsidRPr="00452E2E">
              <w:rPr>
                <w:noProof/>
                <w:webHidden/>
              </w:rPr>
              <w:fldChar w:fldCharType="separate"/>
            </w:r>
            <w:r w:rsidR="00937762">
              <w:rPr>
                <w:noProof/>
                <w:webHidden/>
              </w:rPr>
              <w:t>v</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87" w:history="1">
            <w:r w:rsidR="00A55699" w:rsidRPr="00452E2E">
              <w:rPr>
                <w:rStyle w:val="Hyperlink"/>
                <w:noProof/>
                <w:color w:val="auto"/>
              </w:rPr>
              <w:t>TABLE OF CONTENTS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_Toc473808087 \h </w:instrText>
            </w:r>
            <w:r w:rsidR="00A55699" w:rsidRPr="00452E2E">
              <w:rPr>
                <w:noProof/>
                <w:webHidden/>
              </w:rPr>
            </w:r>
            <w:r w:rsidR="00A55699" w:rsidRPr="00452E2E">
              <w:rPr>
                <w:noProof/>
                <w:webHidden/>
              </w:rPr>
              <w:fldChar w:fldCharType="separate"/>
            </w:r>
            <w:r w:rsidR="00937762">
              <w:rPr>
                <w:noProof/>
                <w:webHidden/>
              </w:rPr>
              <w:t>vi</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88" w:history="1">
            <w:r w:rsidR="00A55699" w:rsidRPr="00452E2E">
              <w:rPr>
                <w:rStyle w:val="Hyperlink"/>
                <w:noProof/>
                <w:color w:val="auto"/>
              </w:rPr>
              <w:t>LIST OF TABLES</w:t>
            </w:r>
            <w:bookmarkStart w:id="6" w:name="_GoBack"/>
            <w:bookmarkEnd w:id="6"/>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_Toc473808088 \h </w:instrText>
            </w:r>
            <w:r w:rsidR="00A55699" w:rsidRPr="00452E2E">
              <w:rPr>
                <w:noProof/>
                <w:webHidden/>
              </w:rPr>
            </w:r>
            <w:r w:rsidR="00A55699" w:rsidRPr="00452E2E">
              <w:rPr>
                <w:noProof/>
                <w:webHidden/>
              </w:rPr>
              <w:fldChar w:fldCharType="separate"/>
            </w:r>
            <w:r w:rsidR="00937762">
              <w:rPr>
                <w:noProof/>
                <w:webHidden/>
              </w:rPr>
              <w:t>xi</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89" w:history="1">
            <w:r w:rsidR="00A55699" w:rsidRPr="00452E2E">
              <w:rPr>
                <w:rStyle w:val="Hyperlink"/>
                <w:noProof/>
                <w:color w:val="auto"/>
              </w:rPr>
              <w:t>TABLE OF FIGURES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_Toc473808089 \h </w:instrText>
            </w:r>
            <w:r w:rsidR="00A55699" w:rsidRPr="00452E2E">
              <w:rPr>
                <w:noProof/>
                <w:webHidden/>
              </w:rPr>
            </w:r>
            <w:r w:rsidR="00A55699" w:rsidRPr="00452E2E">
              <w:rPr>
                <w:noProof/>
                <w:webHidden/>
              </w:rPr>
              <w:fldChar w:fldCharType="separate"/>
            </w:r>
            <w:r w:rsidR="00937762">
              <w:rPr>
                <w:noProof/>
                <w:webHidden/>
              </w:rPr>
              <w:t>xv</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090" w:history="1">
            <w:r w:rsidR="00A55699" w:rsidRPr="00452E2E">
              <w:rPr>
                <w:rStyle w:val="Hyperlink"/>
                <w:noProof/>
                <w:color w:val="auto"/>
              </w:rPr>
              <w:t>CHAPTER ONE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_Toc473808090 \h </w:instrText>
            </w:r>
            <w:r w:rsidR="00A55699" w:rsidRPr="00452E2E">
              <w:rPr>
                <w:noProof/>
                <w:webHidden/>
              </w:rPr>
            </w:r>
            <w:r w:rsidR="00A55699" w:rsidRPr="00452E2E">
              <w:rPr>
                <w:noProof/>
                <w:webHidden/>
              </w:rPr>
              <w:fldChar w:fldCharType="separate"/>
            </w:r>
            <w:r w:rsidR="00937762">
              <w:rPr>
                <w:noProof/>
                <w:webHidden/>
              </w:rPr>
              <w:t>1</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091" w:history="1">
            <w:r w:rsidR="00A55699" w:rsidRPr="00452E2E">
              <w:rPr>
                <w:rStyle w:val="Hyperlink"/>
                <w:noProof/>
                <w:color w:val="auto"/>
              </w:rPr>
              <w:t>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_Toc473808091 \h </w:instrText>
            </w:r>
            <w:r w:rsidR="00A55699" w:rsidRPr="00452E2E">
              <w:rPr>
                <w:noProof/>
                <w:webHidden/>
              </w:rPr>
            </w:r>
            <w:r w:rsidR="00A55699" w:rsidRPr="00452E2E">
              <w:rPr>
                <w:noProof/>
                <w:webHidden/>
              </w:rPr>
              <w:fldChar w:fldCharType="separate"/>
            </w:r>
            <w:r w:rsidR="00937762">
              <w:rPr>
                <w:noProof/>
                <w:webHidden/>
              </w:rPr>
              <w:t>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092" w:history="1">
            <w:r w:rsidR="00A55699" w:rsidRPr="00452E2E">
              <w:rPr>
                <w:rStyle w:val="Hyperlink"/>
                <w:noProof/>
                <w:color w:val="auto"/>
              </w:rPr>
              <w:t>1.1 Research Background</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_Toc473808092 \h </w:instrText>
            </w:r>
            <w:r w:rsidR="00A55699" w:rsidRPr="00452E2E">
              <w:rPr>
                <w:noProof/>
                <w:webHidden/>
              </w:rPr>
            </w:r>
            <w:r w:rsidR="00A55699" w:rsidRPr="00452E2E">
              <w:rPr>
                <w:noProof/>
                <w:webHidden/>
              </w:rPr>
              <w:fldChar w:fldCharType="separate"/>
            </w:r>
            <w:r w:rsidR="00937762">
              <w:rPr>
                <w:noProof/>
                <w:webHidden/>
              </w:rPr>
              <w:t>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093" w:history="1">
            <w:r w:rsidR="00A55699" w:rsidRPr="00452E2E">
              <w:rPr>
                <w:rStyle w:val="Hyperlink"/>
                <w:noProof/>
                <w:color w:val="auto"/>
              </w:rPr>
              <w:t>1.2 The Research Context: Nigeria</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_Toc473808093 \h </w:instrText>
            </w:r>
            <w:r w:rsidR="00A55699" w:rsidRPr="00452E2E">
              <w:rPr>
                <w:noProof/>
                <w:webHidden/>
              </w:rPr>
            </w:r>
            <w:r w:rsidR="00A55699" w:rsidRPr="00452E2E">
              <w:rPr>
                <w:noProof/>
                <w:webHidden/>
              </w:rPr>
              <w:fldChar w:fldCharType="separate"/>
            </w:r>
            <w:r w:rsidR="00937762">
              <w:rPr>
                <w:noProof/>
                <w:webHidden/>
              </w:rPr>
              <w:t>3</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094" w:history="1">
            <w:r w:rsidR="00A55699" w:rsidRPr="00452E2E">
              <w:rPr>
                <w:rStyle w:val="Hyperlink"/>
                <w:noProof/>
                <w:color w:val="auto"/>
              </w:rPr>
              <w:t>1.2.1 HRM in Nigeria</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_Toc473808094 \h </w:instrText>
            </w:r>
            <w:r w:rsidR="00A55699" w:rsidRPr="00452E2E">
              <w:rPr>
                <w:noProof/>
                <w:webHidden/>
              </w:rPr>
            </w:r>
            <w:r w:rsidR="00A55699" w:rsidRPr="00452E2E">
              <w:rPr>
                <w:noProof/>
                <w:webHidden/>
              </w:rPr>
              <w:fldChar w:fldCharType="separate"/>
            </w:r>
            <w:r w:rsidR="00937762">
              <w:rPr>
                <w:noProof/>
                <w:webHidden/>
              </w:rPr>
              <w:t>6</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095" w:history="1">
            <w:r w:rsidR="00A55699" w:rsidRPr="00452E2E">
              <w:rPr>
                <w:rStyle w:val="Hyperlink"/>
                <w:noProof/>
                <w:color w:val="auto"/>
              </w:rPr>
              <w:t>1.3 Public and Private Sector Organizations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_Toc473808095 \h </w:instrText>
            </w:r>
            <w:r w:rsidR="00A55699" w:rsidRPr="00452E2E">
              <w:rPr>
                <w:noProof/>
                <w:webHidden/>
              </w:rPr>
            </w:r>
            <w:r w:rsidR="00A55699" w:rsidRPr="00452E2E">
              <w:rPr>
                <w:noProof/>
                <w:webHidden/>
              </w:rPr>
              <w:fldChar w:fldCharType="separate"/>
            </w:r>
            <w:r w:rsidR="00937762">
              <w:rPr>
                <w:noProof/>
                <w:webHidden/>
              </w:rPr>
              <w:t>8</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096" w:history="1">
            <w:r w:rsidR="00A55699" w:rsidRPr="00452E2E">
              <w:rPr>
                <w:rStyle w:val="Hyperlink"/>
                <w:noProof/>
                <w:color w:val="auto"/>
              </w:rPr>
              <w:t>1.3.1 Generic Approach</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_Toc473808096 \h </w:instrText>
            </w:r>
            <w:r w:rsidR="00A55699" w:rsidRPr="00452E2E">
              <w:rPr>
                <w:noProof/>
                <w:webHidden/>
              </w:rPr>
            </w:r>
            <w:r w:rsidR="00A55699" w:rsidRPr="00452E2E">
              <w:rPr>
                <w:noProof/>
                <w:webHidden/>
              </w:rPr>
              <w:fldChar w:fldCharType="separate"/>
            </w:r>
            <w:r w:rsidR="00937762">
              <w:rPr>
                <w:noProof/>
                <w:webHidden/>
              </w:rPr>
              <w:t>9</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097" w:history="1">
            <w:r w:rsidR="00A55699" w:rsidRPr="00452E2E">
              <w:rPr>
                <w:rStyle w:val="Hyperlink"/>
                <w:noProof/>
                <w:color w:val="auto"/>
              </w:rPr>
              <w:t>1.3.2 Core Approach</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_Toc473808097 \h </w:instrText>
            </w:r>
            <w:r w:rsidR="00A55699" w:rsidRPr="00452E2E">
              <w:rPr>
                <w:noProof/>
                <w:webHidden/>
              </w:rPr>
            </w:r>
            <w:r w:rsidR="00A55699" w:rsidRPr="00452E2E">
              <w:rPr>
                <w:noProof/>
                <w:webHidden/>
              </w:rPr>
              <w:fldChar w:fldCharType="separate"/>
            </w:r>
            <w:r w:rsidR="00937762">
              <w:rPr>
                <w:noProof/>
                <w:webHidden/>
              </w:rPr>
              <w:t>11</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098" w:history="1">
            <w:r w:rsidR="00A55699" w:rsidRPr="00452E2E">
              <w:rPr>
                <w:rStyle w:val="Hyperlink"/>
                <w:noProof/>
                <w:color w:val="auto"/>
              </w:rPr>
              <w:t>1.3.3 Dimensional Approach</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_Toc473808098 \h </w:instrText>
            </w:r>
            <w:r w:rsidR="00A55699" w:rsidRPr="00452E2E">
              <w:rPr>
                <w:noProof/>
                <w:webHidden/>
              </w:rPr>
            </w:r>
            <w:r w:rsidR="00A55699" w:rsidRPr="00452E2E">
              <w:rPr>
                <w:noProof/>
                <w:webHidden/>
              </w:rPr>
              <w:fldChar w:fldCharType="separate"/>
            </w:r>
            <w:r w:rsidR="00937762">
              <w:rPr>
                <w:noProof/>
                <w:webHidden/>
              </w:rPr>
              <w:t>12</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099" w:history="1">
            <w:r w:rsidR="00A55699" w:rsidRPr="00452E2E">
              <w:rPr>
                <w:rStyle w:val="Hyperlink"/>
                <w:noProof/>
                <w:color w:val="auto"/>
              </w:rPr>
              <w:t>1.4 The Research Problem</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_Toc473808099 \h </w:instrText>
            </w:r>
            <w:r w:rsidR="00A55699" w:rsidRPr="00452E2E">
              <w:rPr>
                <w:noProof/>
                <w:webHidden/>
              </w:rPr>
            </w:r>
            <w:r w:rsidR="00A55699" w:rsidRPr="00452E2E">
              <w:rPr>
                <w:noProof/>
                <w:webHidden/>
              </w:rPr>
              <w:fldChar w:fldCharType="separate"/>
            </w:r>
            <w:r w:rsidR="00937762">
              <w:rPr>
                <w:noProof/>
                <w:webHidden/>
              </w:rPr>
              <w:t>12</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00" w:history="1">
            <w:r w:rsidR="00A55699" w:rsidRPr="00452E2E">
              <w:rPr>
                <w:rStyle w:val="Hyperlink"/>
                <w:noProof/>
                <w:color w:val="auto"/>
              </w:rPr>
              <w:t>1.5 Research Objectives and Questions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_Toc473808100 \h </w:instrText>
            </w:r>
            <w:r w:rsidR="00A55699" w:rsidRPr="00452E2E">
              <w:rPr>
                <w:noProof/>
                <w:webHidden/>
              </w:rPr>
            </w:r>
            <w:r w:rsidR="00A55699" w:rsidRPr="00452E2E">
              <w:rPr>
                <w:noProof/>
                <w:webHidden/>
              </w:rPr>
              <w:fldChar w:fldCharType="separate"/>
            </w:r>
            <w:r w:rsidR="00937762">
              <w:rPr>
                <w:noProof/>
                <w:webHidden/>
              </w:rPr>
              <w:t>16</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01" w:history="1">
            <w:r w:rsidR="00A55699" w:rsidRPr="00452E2E">
              <w:rPr>
                <w:rStyle w:val="Hyperlink"/>
                <w:noProof/>
                <w:color w:val="auto"/>
              </w:rPr>
              <w:t>1.6 Significance of the Research</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_Toc473808101 \h </w:instrText>
            </w:r>
            <w:r w:rsidR="00A55699" w:rsidRPr="00452E2E">
              <w:rPr>
                <w:noProof/>
                <w:webHidden/>
              </w:rPr>
            </w:r>
            <w:r w:rsidR="00A55699" w:rsidRPr="00452E2E">
              <w:rPr>
                <w:noProof/>
                <w:webHidden/>
              </w:rPr>
              <w:fldChar w:fldCharType="separate"/>
            </w:r>
            <w:r w:rsidR="00937762">
              <w:rPr>
                <w:noProof/>
                <w:webHidden/>
              </w:rPr>
              <w:t>17</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02" w:history="1">
            <w:r w:rsidR="00A55699" w:rsidRPr="00452E2E">
              <w:rPr>
                <w:rStyle w:val="Hyperlink"/>
                <w:noProof/>
                <w:color w:val="auto"/>
              </w:rPr>
              <w:t>1.7 The Research Model</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_Toc473808102 \h </w:instrText>
            </w:r>
            <w:r w:rsidR="00A55699" w:rsidRPr="00452E2E">
              <w:rPr>
                <w:noProof/>
                <w:webHidden/>
              </w:rPr>
            </w:r>
            <w:r w:rsidR="00A55699" w:rsidRPr="00452E2E">
              <w:rPr>
                <w:noProof/>
                <w:webHidden/>
              </w:rPr>
              <w:fldChar w:fldCharType="separate"/>
            </w:r>
            <w:r w:rsidR="00937762">
              <w:rPr>
                <w:noProof/>
                <w:webHidden/>
              </w:rPr>
              <w:t>20</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03" w:history="1">
            <w:r w:rsidR="00A55699" w:rsidRPr="00452E2E">
              <w:rPr>
                <w:rStyle w:val="Hyperlink"/>
                <w:noProof/>
                <w:color w:val="auto"/>
              </w:rPr>
              <w:t>1.8 Structure of the Thesis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_Toc473808103 \h </w:instrText>
            </w:r>
            <w:r w:rsidR="00A55699" w:rsidRPr="00452E2E">
              <w:rPr>
                <w:noProof/>
                <w:webHidden/>
              </w:rPr>
            </w:r>
            <w:r w:rsidR="00A55699" w:rsidRPr="00452E2E">
              <w:rPr>
                <w:noProof/>
                <w:webHidden/>
              </w:rPr>
              <w:fldChar w:fldCharType="separate"/>
            </w:r>
            <w:r w:rsidR="00937762">
              <w:rPr>
                <w:noProof/>
                <w:webHidden/>
              </w:rPr>
              <w:t>22</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104" w:history="1">
            <w:r w:rsidR="00A55699" w:rsidRPr="00452E2E">
              <w:rPr>
                <w:rStyle w:val="Hyperlink"/>
                <w:noProof/>
                <w:color w:val="auto"/>
              </w:rPr>
              <w:t>CHAPTER TWO</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_Toc473808104 \h </w:instrText>
            </w:r>
            <w:r w:rsidR="00A55699" w:rsidRPr="00452E2E">
              <w:rPr>
                <w:noProof/>
                <w:webHidden/>
              </w:rPr>
            </w:r>
            <w:r w:rsidR="00A55699" w:rsidRPr="00452E2E">
              <w:rPr>
                <w:noProof/>
                <w:webHidden/>
              </w:rPr>
              <w:fldChar w:fldCharType="separate"/>
            </w:r>
            <w:r w:rsidR="00937762">
              <w:rPr>
                <w:noProof/>
                <w:webHidden/>
              </w:rPr>
              <w:t>25</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105" w:history="1">
            <w:r w:rsidR="00A55699" w:rsidRPr="00452E2E">
              <w:rPr>
                <w:rStyle w:val="Hyperlink"/>
                <w:noProof/>
                <w:color w:val="auto"/>
              </w:rPr>
              <w:t>HUMAN RESOURCE MANAGEMENT AND INSTITUTIONAL APPROACHES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_Toc473808105 \h </w:instrText>
            </w:r>
            <w:r w:rsidR="00A55699" w:rsidRPr="00452E2E">
              <w:rPr>
                <w:noProof/>
                <w:webHidden/>
              </w:rPr>
            </w:r>
            <w:r w:rsidR="00A55699" w:rsidRPr="00452E2E">
              <w:rPr>
                <w:noProof/>
                <w:webHidden/>
              </w:rPr>
              <w:fldChar w:fldCharType="separate"/>
            </w:r>
            <w:r w:rsidR="00937762">
              <w:rPr>
                <w:noProof/>
                <w:webHidden/>
              </w:rPr>
              <w:t>25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06" w:history="1">
            <w:r w:rsidR="00A55699" w:rsidRPr="00452E2E">
              <w:rPr>
                <w:rStyle w:val="Hyperlink"/>
                <w:noProof/>
                <w:color w:val="auto"/>
              </w:rPr>
              <w:t>2.1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_Toc473808106 \h </w:instrText>
            </w:r>
            <w:r w:rsidR="00A55699" w:rsidRPr="00452E2E">
              <w:rPr>
                <w:noProof/>
                <w:webHidden/>
              </w:rPr>
            </w:r>
            <w:r w:rsidR="00A55699" w:rsidRPr="00452E2E">
              <w:rPr>
                <w:noProof/>
                <w:webHidden/>
              </w:rPr>
              <w:fldChar w:fldCharType="separate"/>
            </w:r>
            <w:r w:rsidR="00937762">
              <w:rPr>
                <w:noProof/>
                <w:webHidden/>
              </w:rPr>
              <w:t>25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07" w:history="1">
            <w:r w:rsidR="00A55699" w:rsidRPr="00452E2E">
              <w:rPr>
                <w:rStyle w:val="Hyperlink"/>
                <w:noProof/>
                <w:color w:val="auto"/>
              </w:rPr>
              <w:t>2.2 The Concept of HRM</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_Toc473808107 \h </w:instrText>
            </w:r>
            <w:r w:rsidR="00A55699" w:rsidRPr="00452E2E">
              <w:rPr>
                <w:noProof/>
                <w:webHidden/>
              </w:rPr>
            </w:r>
            <w:r w:rsidR="00A55699" w:rsidRPr="00452E2E">
              <w:rPr>
                <w:noProof/>
                <w:webHidden/>
              </w:rPr>
              <w:fldChar w:fldCharType="separate"/>
            </w:r>
            <w:r w:rsidR="00937762">
              <w:rPr>
                <w:noProof/>
                <w:webHidden/>
              </w:rPr>
              <w:t>25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08" w:history="1">
            <w:r w:rsidR="00A55699" w:rsidRPr="00452E2E">
              <w:rPr>
                <w:rStyle w:val="Hyperlink"/>
                <w:noProof/>
                <w:color w:val="auto"/>
              </w:rPr>
              <w:t>2.3 Institutions and HRM</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_Toc473808108 \h </w:instrText>
            </w:r>
            <w:r w:rsidR="00A55699" w:rsidRPr="00452E2E">
              <w:rPr>
                <w:noProof/>
                <w:webHidden/>
              </w:rPr>
            </w:r>
            <w:r w:rsidR="00A55699" w:rsidRPr="00452E2E">
              <w:rPr>
                <w:noProof/>
                <w:webHidden/>
              </w:rPr>
              <w:fldChar w:fldCharType="separate"/>
            </w:r>
            <w:r w:rsidR="00937762">
              <w:rPr>
                <w:noProof/>
                <w:webHidden/>
              </w:rPr>
              <w:t>28</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09" w:history="1">
            <w:r w:rsidR="00A55699" w:rsidRPr="00452E2E">
              <w:rPr>
                <w:rStyle w:val="Hyperlink"/>
                <w:noProof/>
                <w:color w:val="auto"/>
              </w:rPr>
              <w:t>2.3.1 Economic Perspective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_Toc473808109 \h </w:instrText>
            </w:r>
            <w:r w:rsidR="00A55699" w:rsidRPr="00452E2E">
              <w:rPr>
                <w:noProof/>
                <w:webHidden/>
              </w:rPr>
            </w:r>
            <w:r w:rsidR="00A55699" w:rsidRPr="00452E2E">
              <w:rPr>
                <w:noProof/>
                <w:webHidden/>
              </w:rPr>
              <w:fldChar w:fldCharType="separate"/>
            </w:r>
            <w:r w:rsidR="00937762">
              <w:rPr>
                <w:noProof/>
                <w:webHidden/>
              </w:rPr>
              <w:t>28</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10" w:history="1">
            <w:r w:rsidR="00A55699" w:rsidRPr="00452E2E">
              <w:rPr>
                <w:rStyle w:val="Hyperlink"/>
                <w:noProof/>
                <w:color w:val="auto"/>
              </w:rPr>
              <w:t>2.3.2 New Institutionalism</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_Toc473808110 \h </w:instrText>
            </w:r>
            <w:r w:rsidR="00A55699" w:rsidRPr="00452E2E">
              <w:rPr>
                <w:noProof/>
                <w:webHidden/>
              </w:rPr>
            </w:r>
            <w:r w:rsidR="00A55699" w:rsidRPr="00452E2E">
              <w:rPr>
                <w:noProof/>
                <w:webHidden/>
              </w:rPr>
              <w:fldChar w:fldCharType="separate"/>
            </w:r>
            <w:r w:rsidR="00937762">
              <w:rPr>
                <w:noProof/>
                <w:webHidden/>
              </w:rPr>
              <w:t>31</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11" w:history="1">
            <w:r w:rsidR="00A55699" w:rsidRPr="00452E2E">
              <w:rPr>
                <w:rStyle w:val="Hyperlink"/>
                <w:noProof/>
                <w:color w:val="auto"/>
              </w:rPr>
              <w:t>2.3.3 Varieties of Capitalism Approach</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_Toc473808111 \h </w:instrText>
            </w:r>
            <w:r w:rsidR="00A55699" w:rsidRPr="00452E2E">
              <w:rPr>
                <w:noProof/>
                <w:webHidden/>
              </w:rPr>
            </w:r>
            <w:r w:rsidR="00A55699" w:rsidRPr="00452E2E">
              <w:rPr>
                <w:noProof/>
                <w:webHidden/>
              </w:rPr>
              <w:fldChar w:fldCharType="separate"/>
            </w:r>
            <w:r w:rsidR="00937762">
              <w:rPr>
                <w:noProof/>
                <w:webHidden/>
              </w:rPr>
              <w:t>35</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12" w:history="1">
            <w:r w:rsidR="00A55699" w:rsidRPr="00452E2E">
              <w:rPr>
                <w:rStyle w:val="Hyperlink"/>
                <w:noProof/>
                <w:color w:val="auto"/>
              </w:rPr>
              <w:t>2.3.4 Business System Theory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_Toc473808112 \h </w:instrText>
            </w:r>
            <w:r w:rsidR="00A55699" w:rsidRPr="00452E2E">
              <w:rPr>
                <w:noProof/>
                <w:webHidden/>
              </w:rPr>
            </w:r>
            <w:r w:rsidR="00A55699" w:rsidRPr="00452E2E">
              <w:rPr>
                <w:noProof/>
                <w:webHidden/>
              </w:rPr>
              <w:fldChar w:fldCharType="separate"/>
            </w:r>
            <w:r w:rsidR="00937762">
              <w:rPr>
                <w:noProof/>
                <w:webHidden/>
              </w:rPr>
              <w:t>39</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13" w:history="1">
            <w:r w:rsidR="00A55699" w:rsidRPr="00452E2E">
              <w:rPr>
                <w:rStyle w:val="Hyperlink"/>
                <w:noProof/>
                <w:color w:val="auto"/>
              </w:rPr>
              <w:t>2.3.5 Institutional Diversity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_Toc473808113 \h </w:instrText>
            </w:r>
            <w:r w:rsidR="00A55699" w:rsidRPr="00452E2E">
              <w:rPr>
                <w:noProof/>
                <w:webHidden/>
              </w:rPr>
            </w:r>
            <w:r w:rsidR="00A55699" w:rsidRPr="00452E2E">
              <w:rPr>
                <w:noProof/>
                <w:webHidden/>
              </w:rPr>
              <w:fldChar w:fldCharType="separate"/>
            </w:r>
            <w:r w:rsidR="00937762">
              <w:rPr>
                <w:noProof/>
                <w:webHidden/>
              </w:rPr>
              <w:t>44</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14" w:history="1">
            <w:r w:rsidR="00A55699" w:rsidRPr="00452E2E">
              <w:rPr>
                <w:rStyle w:val="Hyperlink"/>
                <w:noProof/>
                <w:color w:val="auto"/>
              </w:rPr>
              <w:t>2.4 HR Practices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_Toc473808114 \h </w:instrText>
            </w:r>
            <w:r w:rsidR="00A55699" w:rsidRPr="00452E2E">
              <w:rPr>
                <w:noProof/>
                <w:webHidden/>
              </w:rPr>
            </w:r>
            <w:r w:rsidR="00A55699" w:rsidRPr="00452E2E">
              <w:rPr>
                <w:noProof/>
                <w:webHidden/>
              </w:rPr>
              <w:fldChar w:fldCharType="separate"/>
            </w:r>
            <w:r w:rsidR="00937762">
              <w:rPr>
                <w:noProof/>
                <w:webHidden/>
              </w:rPr>
              <w:t>47</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15" w:history="1">
            <w:r w:rsidR="00A55699" w:rsidRPr="00452E2E">
              <w:rPr>
                <w:rStyle w:val="Hyperlink"/>
                <w:noProof/>
                <w:color w:val="auto"/>
              </w:rPr>
              <w:t>2.4.1 Recruitment and Selection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_Toc473808115 \h </w:instrText>
            </w:r>
            <w:r w:rsidR="00A55699" w:rsidRPr="00452E2E">
              <w:rPr>
                <w:noProof/>
                <w:webHidden/>
              </w:rPr>
            </w:r>
            <w:r w:rsidR="00A55699" w:rsidRPr="00452E2E">
              <w:rPr>
                <w:noProof/>
                <w:webHidden/>
              </w:rPr>
              <w:fldChar w:fldCharType="separate"/>
            </w:r>
            <w:r w:rsidR="00937762">
              <w:rPr>
                <w:noProof/>
                <w:webHidden/>
              </w:rPr>
              <w:t>48</w:t>
            </w:r>
            <w:r w:rsidR="00A55699" w:rsidRPr="00452E2E">
              <w:rPr>
                <w:noProof/>
                <w:webHidden/>
              </w:rPr>
              <w:fldChar w:fldCharType="end"/>
            </w:r>
          </w:hyperlink>
        </w:p>
        <w:p w:rsidR="00A55699" w:rsidRPr="00452E2E" w:rsidRDefault="00B26571">
          <w:pPr>
            <w:pStyle w:val="TOC5"/>
            <w:tabs>
              <w:tab w:val="right" w:leader="dot" w:pos="8188"/>
            </w:tabs>
            <w:rPr>
              <w:rFonts w:asciiTheme="minorHAnsi" w:eastAsiaTheme="minorEastAsia" w:hAnsiTheme="minorHAnsi"/>
              <w:noProof/>
              <w:sz w:val="22"/>
              <w:lang w:eastAsia="en-GB"/>
            </w:rPr>
          </w:pPr>
          <w:hyperlink w:anchor="_Toc473808116" w:history="1">
            <w:r w:rsidR="00A55699" w:rsidRPr="00452E2E">
              <w:rPr>
                <w:rStyle w:val="Hyperlink"/>
                <w:noProof/>
                <w:color w:val="auto"/>
              </w:rPr>
              <w:t>2.4.1.1 Recruitment</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_Toc473808116 \h </w:instrText>
            </w:r>
            <w:r w:rsidR="00A55699" w:rsidRPr="00452E2E">
              <w:rPr>
                <w:noProof/>
                <w:webHidden/>
              </w:rPr>
            </w:r>
            <w:r w:rsidR="00A55699" w:rsidRPr="00452E2E">
              <w:rPr>
                <w:noProof/>
                <w:webHidden/>
              </w:rPr>
              <w:fldChar w:fldCharType="separate"/>
            </w:r>
            <w:r w:rsidR="00937762">
              <w:rPr>
                <w:noProof/>
                <w:webHidden/>
              </w:rPr>
              <w:t>49</w:t>
            </w:r>
            <w:r w:rsidR="00A55699" w:rsidRPr="00452E2E">
              <w:rPr>
                <w:noProof/>
                <w:webHidden/>
              </w:rPr>
              <w:fldChar w:fldCharType="end"/>
            </w:r>
          </w:hyperlink>
        </w:p>
        <w:p w:rsidR="00A55699" w:rsidRPr="00452E2E" w:rsidRDefault="00B26571">
          <w:pPr>
            <w:pStyle w:val="TOC5"/>
            <w:tabs>
              <w:tab w:val="right" w:leader="dot" w:pos="8188"/>
            </w:tabs>
            <w:rPr>
              <w:rFonts w:asciiTheme="minorHAnsi" w:eastAsiaTheme="minorEastAsia" w:hAnsiTheme="minorHAnsi"/>
              <w:noProof/>
              <w:sz w:val="22"/>
              <w:lang w:eastAsia="en-GB"/>
            </w:rPr>
          </w:pPr>
          <w:hyperlink w:anchor="_Toc473808117" w:history="1">
            <w:r w:rsidR="00A55699" w:rsidRPr="00452E2E">
              <w:rPr>
                <w:rStyle w:val="Hyperlink"/>
                <w:noProof/>
                <w:color w:val="auto"/>
              </w:rPr>
              <w:t>2.4.1.2 Selection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_Toc473808117 \h </w:instrText>
            </w:r>
            <w:r w:rsidR="00A55699" w:rsidRPr="00452E2E">
              <w:rPr>
                <w:noProof/>
                <w:webHidden/>
              </w:rPr>
            </w:r>
            <w:r w:rsidR="00A55699" w:rsidRPr="00452E2E">
              <w:rPr>
                <w:noProof/>
                <w:webHidden/>
              </w:rPr>
              <w:fldChar w:fldCharType="separate"/>
            </w:r>
            <w:r w:rsidR="00937762">
              <w:rPr>
                <w:noProof/>
                <w:webHidden/>
              </w:rPr>
              <w:t>50</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18" w:history="1">
            <w:r w:rsidR="00A55699" w:rsidRPr="00452E2E">
              <w:rPr>
                <w:rStyle w:val="Hyperlink"/>
                <w:noProof/>
                <w:color w:val="auto"/>
              </w:rPr>
              <w:t>2.4.2 Training</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_Toc473808118 \h </w:instrText>
            </w:r>
            <w:r w:rsidR="00A55699" w:rsidRPr="00452E2E">
              <w:rPr>
                <w:noProof/>
                <w:webHidden/>
              </w:rPr>
            </w:r>
            <w:r w:rsidR="00A55699" w:rsidRPr="00452E2E">
              <w:rPr>
                <w:noProof/>
                <w:webHidden/>
              </w:rPr>
              <w:fldChar w:fldCharType="separate"/>
            </w:r>
            <w:r w:rsidR="00937762">
              <w:rPr>
                <w:noProof/>
                <w:webHidden/>
              </w:rPr>
              <w:t>52</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19" w:history="1">
            <w:r w:rsidR="00A55699" w:rsidRPr="00452E2E">
              <w:rPr>
                <w:rStyle w:val="Hyperlink"/>
                <w:noProof/>
                <w:color w:val="auto"/>
              </w:rPr>
              <w:t>2.4.3 Employee Benefits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_Toc473808119 \h </w:instrText>
            </w:r>
            <w:r w:rsidR="00A55699" w:rsidRPr="00452E2E">
              <w:rPr>
                <w:noProof/>
                <w:webHidden/>
              </w:rPr>
            </w:r>
            <w:r w:rsidR="00A55699" w:rsidRPr="00452E2E">
              <w:rPr>
                <w:noProof/>
                <w:webHidden/>
              </w:rPr>
              <w:fldChar w:fldCharType="separate"/>
            </w:r>
            <w:r w:rsidR="00937762">
              <w:rPr>
                <w:noProof/>
                <w:webHidden/>
              </w:rPr>
              <w:t>55</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20" w:history="1">
            <w:r w:rsidR="00A55699" w:rsidRPr="00452E2E">
              <w:rPr>
                <w:rStyle w:val="Hyperlink"/>
                <w:noProof/>
                <w:color w:val="auto"/>
              </w:rPr>
              <w:t>2.4.4 Employee Participation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_Toc473808120 \h </w:instrText>
            </w:r>
            <w:r w:rsidR="00A55699" w:rsidRPr="00452E2E">
              <w:rPr>
                <w:noProof/>
                <w:webHidden/>
              </w:rPr>
            </w:r>
            <w:r w:rsidR="00A55699" w:rsidRPr="00452E2E">
              <w:rPr>
                <w:noProof/>
                <w:webHidden/>
              </w:rPr>
              <w:fldChar w:fldCharType="separate"/>
            </w:r>
            <w:r w:rsidR="00937762">
              <w:rPr>
                <w:noProof/>
                <w:webHidden/>
              </w:rPr>
              <w:t>57</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21" w:history="1">
            <w:r w:rsidR="00A55699" w:rsidRPr="00452E2E">
              <w:rPr>
                <w:rStyle w:val="Hyperlink"/>
                <w:noProof/>
                <w:color w:val="auto"/>
              </w:rPr>
              <w:t>2.5 Summary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_Toc473808121 \h </w:instrText>
            </w:r>
            <w:r w:rsidR="00A55699" w:rsidRPr="00452E2E">
              <w:rPr>
                <w:noProof/>
                <w:webHidden/>
              </w:rPr>
            </w:r>
            <w:r w:rsidR="00A55699" w:rsidRPr="00452E2E">
              <w:rPr>
                <w:noProof/>
                <w:webHidden/>
              </w:rPr>
              <w:fldChar w:fldCharType="separate"/>
            </w:r>
            <w:r w:rsidR="00937762">
              <w:rPr>
                <w:noProof/>
                <w:webHidden/>
              </w:rPr>
              <w:t>61</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122" w:history="1">
            <w:r w:rsidR="00A55699" w:rsidRPr="00452E2E">
              <w:rPr>
                <w:rStyle w:val="Hyperlink"/>
                <w:noProof/>
                <w:color w:val="auto"/>
              </w:rPr>
              <w:t>CHAPTER THREE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_Toc473808122 \h </w:instrText>
            </w:r>
            <w:r w:rsidR="00A55699" w:rsidRPr="00452E2E">
              <w:rPr>
                <w:noProof/>
                <w:webHidden/>
              </w:rPr>
            </w:r>
            <w:r w:rsidR="00A55699" w:rsidRPr="00452E2E">
              <w:rPr>
                <w:noProof/>
                <w:webHidden/>
              </w:rPr>
              <w:fldChar w:fldCharType="separate"/>
            </w:r>
            <w:r w:rsidR="00937762">
              <w:rPr>
                <w:noProof/>
                <w:webHidden/>
              </w:rPr>
              <w:t>63</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123" w:history="1">
            <w:r w:rsidR="00A55699" w:rsidRPr="00452E2E">
              <w:rPr>
                <w:rStyle w:val="Hyperlink"/>
                <w:noProof/>
                <w:color w:val="auto"/>
              </w:rPr>
              <w:t>THE EFFECTS OF HUMAN RESOURCE PRACTICES ON EMPLOYEE ATTITUDES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_Toc473808123 \h </w:instrText>
            </w:r>
            <w:r w:rsidR="00A55699" w:rsidRPr="00452E2E">
              <w:rPr>
                <w:noProof/>
                <w:webHidden/>
              </w:rPr>
            </w:r>
            <w:r w:rsidR="00A55699" w:rsidRPr="00452E2E">
              <w:rPr>
                <w:noProof/>
                <w:webHidden/>
              </w:rPr>
              <w:fldChar w:fldCharType="separate"/>
            </w:r>
            <w:r w:rsidR="00937762">
              <w:rPr>
                <w:noProof/>
                <w:webHidden/>
              </w:rPr>
              <w:t>63</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24" w:history="1">
            <w:r w:rsidR="00A55699" w:rsidRPr="00452E2E">
              <w:rPr>
                <w:rStyle w:val="Hyperlink"/>
                <w:noProof/>
                <w:color w:val="auto"/>
              </w:rPr>
              <w:t>3.1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_Toc473808124 \h </w:instrText>
            </w:r>
            <w:r w:rsidR="00A55699" w:rsidRPr="00452E2E">
              <w:rPr>
                <w:noProof/>
                <w:webHidden/>
              </w:rPr>
            </w:r>
            <w:r w:rsidR="00A55699" w:rsidRPr="00452E2E">
              <w:rPr>
                <w:noProof/>
                <w:webHidden/>
              </w:rPr>
              <w:fldChar w:fldCharType="separate"/>
            </w:r>
            <w:r w:rsidR="00937762">
              <w:rPr>
                <w:noProof/>
                <w:webHidden/>
              </w:rPr>
              <w:t>63</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25" w:history="1">
            <w:r w:rsidR="00A55699" w:rsidRPr="00452E2E">
              <w:rPr>
                <w:rStyle w:val="Hyperlink"/>
                <w:noProof/>
                <w:color w:val="auto"/>
              </w:rPr>
              <w:t>3.2 Overview of Research on HR Practices and Organizational Performance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_Toc473808125 \h </w:instrText>
            </w:r>
            <w:r w:rsidR="00A55699" w:rsidRPr="00452E2E">
              <w:rPr>
                <w:noProof/>
                <w:webHidden/>
              </w:rPr>
            </w:r>
            <w:r w:rsidR="00A55699" w:rsidRPr="00452E2E">
              <w:rPr>
                <w:noProof/>
                <w:webHidden/>
              </w:rPr>
              <w:fldChar w:fldCharType="separate"/>
            </w:r>
            <w:r w:rsidR="00937762">
              <w:rPr>
                <w:noProof/>
                <w:webHidden/>
              </w:rPr>
              <w:t>63</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26" w:history="1">
            <w:r w:rsidR="00A55699" w:rsidRPr="00452E2E">
              <w:rPr>
                <w:rStyle w:val="Hyperlink"/>
                <w:noProof/>
                <w:color w:val="auto"/>
              </w:rPr>
              <w:t>3.3 Employee Attitudes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_Toc473808126 \h </w:instrText>
            </w:r>
            <w:r w:rsidR="00A55699" w:rsidRPr="00452E2E">
              <w:rPr>
                <w:noProof/>
                <w:webHidden/>
              </w:rPr>
            </w:r>
            <w:r w:rsidR="00A55699" w:rsidRPr="00452E2E">
              <w:rPr>
                <w:noProof/>
                <w:webHidden/>
              </w:rPr>
              <w:fldChar w:fldCharType="separate"/>
            </w:r>
            <w:r w:rsidR="00937762">
              <w:rPr>
                <w:noProof/>
                <w:webHidden/>
              </w:rPr>
              <w:t>66</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27" w:history="1">
            <w:r w:rsidR="00A55699" w:rsidRPr="00452E2E">
              <w:rPr>
                <w:rStyle w:val="Hyperlink"/>
                <w:noProof/>
                <w:color w:val="auto"/>
              </w:rPr>
              <w:t>3.3.1 Job Satisfaction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_Toc473808127 \h </w:instrText>
            </w:r>
            <w:r w:rsidR="00A55699" w:rsidRPr="00452E2E">
              <w:rPr>
                <w:noProof/>
                <w:webHidden/>
              </w:rPr>
            </w:r>
            <w:r w:rsidR="00A55699" w:rsidRPr="00452E2E">
              <w:rPr>
                <w:noProof/>
                <w:webHidden/>
              </w:rPr>
              <w:fldChar w:fldCharType="separate"/>
            </w:r>
            <w:r w:rsidR="00937762">
              <w:rPr>
                <w:noProof/>
                <w:webHidden/>
              </w:rPr>
              <w:t>67</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28" w:history="1">
            <w:r w:rsidR="00A55699" w:rsidRPr="00452E2E">
              <w:rPr>
                <w:rStyle w:val="Hyperlink"/>
                <w:noProof/>
                <w:color w:val="auto"/>
              </w:rPr>
              <w:t>3.3.2 Organizational Commitment</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_Toc473808128 \h </w:instrText>
            </w:r>
            <w:r w:rsidR="00A55699" w:rsidRPr="00452E2E">
              <w:rPr>
                <w:noProof/>
                <w:webHidden/>
              </w:rPr>
            </w:r>
            <w:r w:rsidR="00A55699" w:rsidRPr="00452E2E">
              <w:rPr>
                <w:noProof/>
                <w:webHidden/>
              </w:rPr>
              <w:fldChar w:fldCharType="separate"/>
            </w:r>
            <w:r w:rsidR="00937762">
              <w:rPr>
                <w:noProof/>
                <w:webHidden/>
              </w:rPr>
              <w:t>68</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29" w:history="1">
            <w:r w:rsidR="00A55699" w:rsidRPr="00452E2E">
              <w:rPr>
                <w:rStyle w:val="Hyperlink"/>
                <w:noProof/>
                <w:color w:val="auto"/>
              </w:rPr>
              <w:t>3.4 HR Practices and Employee Attitudes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_Toc473808129 \h </w:instrText>
            </w:r>
            <w:r w:rsidR="00A55699" w:rsidRPr="00452E2E">
              <w:rPr>
                <w:noProof/>
                <w:webHidden/>
              </w:rPr>
            </w:r>
            <w:r w:rsidR="00A55699" w:rsidRPr="00452E2E">
              <w:rPr>
                <w:noProof/>
                <w:webHidden/>
              </w:rPr>
              <w:fldChar w:fldCharType="separate"/>
            </w:r>
            <w:r w:rsidR="00937762">
              <w:rPr>
                <w:noProof/>
                <w:webHidden/>
              </w:rPr>
              <w:t>71</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30" w:history="1">
            <w:r w:rsidR="00A55699" w:rsidRPr="00452E2E">
              <w:rPr>
                <w:rStyle w:val="Hyperlink"/>
                <w:noProof/>
                <w:color w:val="auto"/>
              </w:rPr>
              <w:t>3.4.1 Theoretical Link between HR Practices and Employee Attitudes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_Toc473808130 \h </w:instrText>
            </w:r>
            <w:r w:rsidR="00A55699" w:rsidRPr="00452E2E">
              <w:rPr>
                <w:noProof/>
                <w:webHidden/>
              </w:rPr>
            </w:r>
            <w:r w:rsidR="00A55699" w:rsidRPr="00452E2E">
              <w:rPr>
                <w:noProof/>
                <w:webHidden/>
              </w:rPr>
              <w:fldChar w:fldCharType="separate"/>
            </w:r>
            <w:r w:rsidR="00937762">
              <w:rPr>
                <w:noProof/>
                <w:webHidden/>
              </w:rPr>
              <w:t>72</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31" w:history="1">
            <w:r w:rsidR="00A55699" w:rsidRPr="00452E2E">
              <w:rPr>
                <w:rStyle w:val="Hyperlink"/>
                <w:noProof/>
                <w:color w:val="auto"/>
              </w:rPr>
              <w:t>3.4.2 Studies on HR Practices and Job Satisfaction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_Toc473808131 \h </w:instrText>
            </w:r>
            <w:r w:rsidR="00A55699" w:rsidRPr="00452E2E">
              <w:rPr>
                <w:noProof/>
                <w:webHidden/>
              </w:rPr>
            </w:r>
            <w:r w:rsidR="00A55699" w:rsidRPr="00452E2E">
              <w:rPr>
                <w:noProof/>
                <w:webHidden/>
              </w:rPr>
              <w:fldChar w:fldCharType="separate"/>
            </w:r>
            <w:r w:rsidR="00937762">
              <w:rPr>
                <w:noProof/>
                <w:webHidden/>
              </w:rPr>
              <w:t>78</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32" w:history="1">
            <w:r w:rsidR="00A55699" w:rsidRPr="00452E2E">
              <w:rPr>
                <w:rStyle w:val="Hyperlink"/>
                <w:noProof/>
                <w:color w:val="auto"/>
              </w:rPr>
              <w:t>3.4.3 Studies on HR Practices and Organizational Commitment</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_Toc473808132 \h </w:instrText>
            </w:r>
            <w:r w:rsidR="00A55699" w:rsidRPr="00452E2E">
              <w:rPr>
                <w:noProof/>
                <w:webHidden/>
              </w:rPr>
            </w:r>
            <w:r w:rsidR="00A55699" w:rsidRPr="00452E2E">
              <w:rPr>
                <w:noProof/>
                <w:webHidden/>
              </w:rPr>
              <w:fldChar w:fldCharType="separate"/>
            </w:r>
            <w:r w:rsidR="00937762">
              <w:rPr>
                <w:noProof/>
                <w:webHidden/>
              </w:rPr>
              <w:t>83</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33" w:history="1">
            <w:r w:rsidR="00A55699" w:rsidRPr="00452E2E">
              <w:rPr>
                <w:rStyle w:val="Hyperlink"/>
                <w:noProof/>
                <w:color w:val="auto"/>
              </w:rPr>
              <w:t>3.4.4 Analysis of Studies Linking HR Practices and Employee Attitudes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_Toc473808133 \h </w:instrText>
            </w:r>
            <w:r w:rsidR="00A55699" w:rsidRPr="00452E2E">
              <w:rPr>
                <w:noProof/>
                <w:webHidden/>
              </w:rPr>
            </w:r>
            <w:r w:rsidR="00A55699" w:rsidRPr="00452E2E">
              <w:rPr>
                <w:noProof/>
                <w:webHidden/>
              </w:rPr>
              <w:fldChar w:fldCharType="separate"/>
            </w:r>
            <w:r w:rsidR="00937762">
              <w:rPr>
                <w:noProof/>
                <w:webHidden/>
              </w:rPr>
              <w:t>91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34" w:history="1">
            <w:r w:rsidR="00A55699" w:rsidRPr="00452E2E">
              <w:rPr>
                <w:rStyle w:val="Hyperlink"/>
                <w:noProof/>
                <w:color w:val="auto"/>
              </w:rPr>
              <w:t>3.5 Summary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_Toc473808134 \h </w:instrText>
            </w:r>
            <w:r w:rsidR="00A55699" w:rsidRPr="00452E2E">
              <w:rPr>
                <w:noProof/>
                <w:webHidden/>
              </w:rPr>
            </w:r>
            <w:r w:rsidR="00A55699" w:rsidRPr="00452E2E">
              <w:rPr>
                <w:noProof/>
                <w:webHidden/>
              </w:rPr>
              <w:fldChar w:fldCharType="separate"/>
            </w:r>
            <w:r w:rsidR="00937762">
              <w:rPr>
                <w:noProof/>
                <w:webHidden/>
              </w:rPr>
              <w:t>94</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135" w:history="1">
            <w:r w:rsidR="00A55699" w:rsidRPr="00452E2E">
              <w:rPr>
                <w:rStyle w:val="Hyperlink"/>
                <w:noProof/>
                <w:color w:val="auto"/>
              </w:rPr>
              <w:t>CHAPTER FOUR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_Toc473808135 \h </w:instrText>
            </w:r>
            <w:r w:rsidR="00A55699" w:rsidRPr="00452E2E">
              <w:rPr>
                <w:noProof/>
                <w:webHidden/>
              </w:rPr>
            </w:r>
            <w:r w:rsidR="00A55699" w:rsidRPr="00452E2E">
              <w:rPr>
                <w:noProof/>
                <w:webHidden/>
              </w:rPr>
              <w:fldChar w:fldCharType="separate"/>
            </w:r>
            <w:r w:rsidR="00937762">
              <w:rPr>
                <w:noProof/>
                <w:webHidden/>
              </w:rPr>
              <w:t>95</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136" w:history="1">
            <w:r w:rsidR="00A55699" w:rsidRPr="00452E2E">
              <w:rPr>
                <w:rStyle w:val="Hyperlink"/>
                <w:noProof/>
                <w:color w:val="auto"/>
              </w:rPr>
              <w:t>RESEARCH METHODOLOGY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_Toc473808136 \h </w:instrText>
            </w:r>
            <w:r w:rsidR="00A55699" w:rsidRPr="00452E2E">
              <w:rPr>
                <w:noProof/>
                <w:webHidden/>
              </w:rPr>
            </w:r>
            <w:r w:rsidR="00A55699" w:rsidRPr="00452E2E">
              <w:rPr>
                <w:noProof/>
                <w:webHidden/>
              </w:rPr>
              <w:fldChar w:fldCharType="separate"/>
            </w:r>
            <w:r w:rsidR="00937762">
              <w:rPr>
                <w:noProof/>
                <w:webHidden/>
              </w:rPr>
              <w:t>95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37" w:history="1">
            <w:r w:rsidR="00A55699" w:rsidRPr="00452E2E">
              <w:rPr>
                <w:rStyle w:val="Hyperlink"/>
                <w:noProof/>
                <w:color w:val="auto"/>
              </w:rPr>
              <w:t>4.1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_Toc473808137 \h </w:instrText>
            </w:r>
            <w:r w:rsidR="00A55699" w:rsidRPr="00452E2E">
              <w:rPr>
                <w:noProof/>
                <w:webHidden/>
              </w:rPr>
            </w:r>
            <w:r w:rsidR="00A55699" w:rsidRPr="00452E2E">
              <w:rPr>
                <w:noProof/>
                <w:webHidden/>
              </w:rPr>
              <w:fldChar w:fldCharType="separate"/>
            </w:r>
            <w:r w:rsidR="00937762">
              <w:rPr>
                <w:noProof/>
                <w:webHidden/>
              </w:rPr>
              <w:t>95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38" w:history="1">
            <w:r w:rsidR="00A55699" w:rsidRPr="00452E2E">
              <w:rPr>
                <w:rStyle w:val="Hyperlink"/>
                <w:noProof/>
                <w:color w:val="auto"/>
              </w:rPr>
              <w:t>4.2 Research Philosophical Stance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_Toc473808138 \h </w:instrText>
            </w:r>
            <w:r w:rsidR="00A55699" w:rsidRPr="00452E2E">
              <w:rPr>
                <w:noProof/>
                <w:webHidden/>
              </w:rPr>
            </w:r>
            <w:r w:rsidR="00A55699" w:rsidRPr="00452E2E">
              <w:rPr>
                <w:noProof/>
                <w:webHidden/>
              </w:rPr>
              <w:fldChar w:fldCharType="separate"/>
            </w:r>
            <w:r w:rsidR="00937762">
              <w:rPr>
                <w:noProof/>
                <w:webHidden/>
              </w:rPr>
              <w:t>96</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39" w:history="1">
            <w:r w:rsidR="00A55699" w:rsidRPr="00452E2E">
              <w:rPr>
                <w:rStyle w:val="Hyperlink"/>
                <w:noProof/>
                <w:color w:val="auto"/>
              </w:rPr>
              <w:t>4.3 Research Design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_Toc473808139 \h </w:instrText>
            </w:r>
            <w:r w:rsidR="00A55699" w:rsidRPr="00452E2E">
              <w:rPr>
                <w:noProof/>
                <w:webHidden/>
              </w:rPr>
            </w:r>
            <w:r w:rsidR="00A55699" w:rsidRPr="00452E2E">
              <w:rPr>
                <w:noProof/>
                <w:webHidden/>
              </w:rPr>
              <w:fldChar w:fldCharType="separate"/>
            </w:r>
            <w:r w:rsidR="00937762">
              <w:rPr>
                <w:noProof/>
                <w:webHidden/>
              </w:rPr>
              <w:t>102</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40" w:history="1">
            <w:r w:rsidR="00A55699" w:rsidRPr="00452E2E">
              <w:rPr>
                <w:rStyle w:val="Hyperlink"/>
                <w:noProof/>
                <w:color w:val="auto"/>
              </w:rPr>
              <w:t>4.4 How I conducted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_Toc473808140 \h </w:instrText>
            </w:r>
            <w:r w:rsidR="00A55699" w:rsidRPr="00452E2E">
              <w:rPr>
                <w:noProof/>
                <w:webHidden/>
              </w:rPr>
            </w:r>
            <w:r w:rsidR="00A55699" w:rsidRPr="00452E2E">
              <w:rPr>
                <w:noProof/>
                <w:webHidden/>
              </w:rPr>
              <w:fldChar w:fldCharType="separate"/>
            </w:r>
            <w:r w:rsidR="00937762">
              <w:rPr>
                <w:noProof/>
                <w:webHidden/>
              </w:rPr>
              <w:t>106</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41" w:history="1">
            <w:r w:rsidR="00A55699" w:rsidRPr="00452E2E">
              <w:rPr>
                <w:rStyle w:val="Hyperlink"/>
                <w:noProof/>
                <w:color w:val="auto"/>
              </w:rPr>
              <w:t>4.4.1 The Sample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_Toc473808141 \h </w:instrText>
            </w:r>
            <w:r w:rsidR="00A55699" w:rsidRPr="00452E2E">
              <w:rPr>
                <w:noProof/>
                <w:webHidden/>
              </w:rPr>
            </w:r>
            <w:r w:rsidR="00A55699" w:rsidRPr="00452E2E">
              <w:rPr>
                <w:noProof/>
                <w:webHidden/>
              </w:rPr>
              <w:fldChar w:fldCharType="separate"/>
            </w:r>
            <w:r w:rsidR="00937762">
              <w:rPr>
                <w:noProof/>
                <w:webHidden/>
              </w:rPr>
              <w:t>106</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42" w:history="1">
            <w:r w:rsidR="00A55699" w:rsidRPr="00452E2E">
              <w:rPr>
                <w:rStyle w:val="Hyperlink"/>
                <w:noProof/>
                <w:color w:val="auto"/>
              </w:rPr>
              <w:t>4.4.2 Participants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_Toc473808142 \h </w:instrText>
            </w:r>
            <w:r w:rsidR="00A55699" w:rsidRPr="00452E2E">
              <w:rPr>
                <w:noProof/>
                <w:webHidden/>
              </w:rPr>
            </w:r>
            <w:r w:rsidR="00A55699" w:rsidRPr="00452E2E">
              <w:rPr>
                <w:noProof/>
                <w:webHidden/>
              </w:rPr>
              <w:fldChar w:fldCharType="separate"/>
            </w:r>
            <w:r w:rsidR="00937762">
              <w:rPr>
                <w:noProof/>
                <w:webHidden/>
              </w:rPr>
              <w:t>109</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43" w:history="1">
            <w:r w:rsidR="00A55699" w:rsidRPr="00452E2E">
              <w:rPr>
                <w:rStyle w:val="Hyperlink"/>
                <w:noProof/>
                <w:color w:val="auto"/>
              </w:rPr>
              <w:t>4.4.3 Data Collection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_Toc473808143 \h </w:instrText>
            </w:r>
            <w:r w:rsidR="00A55699" w:rsidRPr="00452E2E">
              <w:rPr>
                <w:noProof/>
                <w:webHidden/>
              </w:rPr>
            </w:r>
            <w:r w:rsidR="00A55699" w:rsidRPr="00452E2E">
              <w:rPr>
                <w:noProof/>
                <w:webHidden/>
              </w:rPr>
              <w:fldChar w:fldCharType="separate"/>
            </w:r>
            <w:r w:rsidR="00937762">
              <w:rPr>
                <w:noProof/>
                <w:webHidden/>
              </w:rPr>
              <w:t>110</w:t>
            </w:r>
            <w:r w:rsidR="00A55699" w:rsidRPr="00452E2E">
              <w:rPr>
                <w:noProof/>
                <w:webHidden/>
              </w:rPr>
              <w:fldChar w:fldCharType="end"/>
            </w:r>
          </w:hyperlink>
        </w:p>
        <w:p w:rsidR="00A55699" w:rsidRPr="00452E2E" w:rsidRDefault="00B26571">
          <w:pPr>
            <w:pStyle w:val="TOC5"/>
            <w:tabs>
              <w:tab w:val="right" w:leader="dot" w:pos="8188"/>
            </w:tabs>
            <w:rPr>
              <w:rFonts w:asciiTheme="minorHAnsi" w:eastAsiaTheme="minorEastAsia" w:hAnsiTheme="minorHAnsi"/>
              <w:noProof/>
              <w:sz w:val="22"/>
              <w:lang w:eastAsia="en-GB"/>
            </w:rPr>
          </w:pPr>
          <w:hyperlink w:anchor="_Toc473808144" w:history="1">
            <w:r w:rsidR="00A55699" w:rsidRPr="00452E2E">
              <w:rPr>
                <w:rStyle w:val="Hyperlink"/>
                <w:noProof/>
                <w:color w:val="auto"/>
              </w:rPr>
              <w:t>4.4.3.1 Questionnaire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_Toc473808144 \h </w:instrText>
            </w:r>
            <w:r w:rsidR="00A55699" w:rsidRPr="00452E2E">
              <w:rPr>
                <w:noProof/>
                <w:webHidden/>
              </w:rPr>
            </w:r>
            <w:r w:rsidR="00A55699" w:rsidRPr="00452E2E">
              <w:rPr>
                <w:noProof/>
                <w:webHidden/>
              </w:rPr>
              <w:fldChar w:fldCharType="separate"/>
            </w:r>
            <w:r w:rsidR="00937762">
              <w:rPr>
                <w:noProof/>
                <w:webHidden/>
              </w:rPr>
              <w:t>110</w:t>
            </w:r>
            <w:r w:rsidR="00A55699" w:rsidRPr="00452E2E">
              <w:rPr>
                <w:noProof/>
                <w:webHidden/>
              </w:rPr>
              <w:fldChar w:fldCharType="end"/>
            </w:r>
          </w:hyperlink>
        </w:p>
        <w:p w:rsidR="00A55699" w:rsidRPr="00452E2E" w:rsidRDefault="00B26571">
          <w:pPr>
            <w:pStyle w:val="TOC6"/>
            <w:tabs>
              <w:tab w:val="right" w:leader="dot" w:pos="8188"/>
            </w:tabs>
            <w:rPr>
              <w:rFonts w:asciiTheme="minorHAnsi" w:eastAsiaTheme="minorEastAsia" w:hAnsiTheme="minorHAnsi"/>
              <w:noProof/>
              <w:sz w:val="22"/>
              <w:lang w:eastAsia="en-GB"/>
            </w:rPr>
          </w:pPr>
          <w:hyperlink w:anchor="_Toc473808145" w:history="1">
            <w:r w:rsidR="00A55699" w:rsidRPr="00452E2E">
              <w:rPr>
                <w:rStyle w:val="Hyperlink"/>
                <w:noProof/>
                <w:color w:val="auto"/>
              </w:rPr>
              <w:t>4.4.3.1.1 Structure of Questionnaire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_Toc473808145 \h </w:instrText>
            </w:r>
            <w:r w:rsidR="00A55699" w:rsidRPr="00452E2E">
              <w:rPr>
                <w:noProof/>
                <w:webHidden/>
              </w:rPr>
            </w:r>
            <w:r w:rsidR="00A55699" w:rsidRPr="00452E2E">
              <w:rPr>
                <w:noProof/>
                <w:webHidden/>
              </w:rPr>
              <w:fldChar w:fldCharType="separate"/>
            </w:r>
            <w:r w:rsidR="00937762">
              <w:rPr>
                <w:noProof/>
                <w:webHidden/>
              </w:rPr>
              <w:t>111</w:t>
            </w:r>
            <w:r w:rsidR="00A55699" w:rsidRPr="00452E2E">
              <w:rPr>
                <w:noProof/>
                <w:webHidden/>
              </w:rPr>
              <w:fldChar w:fldCharType="end"/>
            </w:r>
          </w:hyperlink>
        </w:p>
        <w:p w:rsidR="00A55699" w:rsidRPr="00452E2E" w:rsidRDefault="00B26571">
          <w:pPr>
            <w:pStyle w:val="TOC6"/>
            <w:tabs>
              <w:tab w:val="right" w:leader="dot" w:pos="8188"/>
            </w:tabs>
            <w:rPr>
              <w:rFonts w:asciiTheme="minorHAnsi" w:eastAsiaTheme="minorEastAsia" w:hAnsiTheme="minorHAnsi"/>
              <w:noProof/>
              <w:sz w:val="22"/>
              <w:lang w:eastAsia="en-GB"/>
            </w:rPr>
          </w:pPr>
          <w:hyperlink w:anchor="_Toc473808146" w:history="1">
            <w:r w:rsidR="00A55699" w:rsidRPr="00452E2E">
              <w:rPr>
                <w:rStyle w:val="Hyperlink"/>
                <w:noProof/>
                <w:color w:val="auto"/>
              </w:rPr>
              <w:t>4.4.3.1.2 Questionnaire Administration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_Toc473808146 \h </w:instrText>
            </w:r>
            <w:r w:rsidR="00A55699" w:rsidRPr="00452E2E">
              <w:rPr>
                <w:noProof/>
                <w:webHidden/>
              </w:rPr>
            </w:r>
            <w:r w:rsidR="00A55699" w:rsidRPr="00452E2E">
              <w:rPr>
                <w:noProof/>
                <w:webHidden/>
              </w:rPr>
              <w:fldChar w:fldCharType="separate"/>
            </w:r>
            <w:r w:rsidR="00937762">
              <w:rPr>
                <w:noProof/>
                <w:webHidden/>
              </w:rPr>
              <w:t>114</w:t>
            </w:r>
            <w:r w:rsidR="00A55699" w:rsidRPr="00452E2E">
              <w:rPr>
                <w:noProof/>
                <w:webHidden/>
              </w:rPr>
              <w:fldChar w:fldCharType="end"/>
            </w:r>
          </w:hyperlink>
        </w:p>
        <w:p w:rsidR="00A55699" w:rsidRPr="00452E2E" w:rsidRDefault="00B26571">
          <w:pPr>
            <w:pStyle w:val="TOC5"/>
            <w:tabs>
              <w:tab w:val="right" w:leader="dot" w:pos="8188"/>
            </w:tabs>
            <w:rPr>
              <w:rFonts w:asciiTheme="minorHAnsi" w:eastAsiaTheme="minorEastAsia" w:hAnsiTheme="minorHAnsi"/>
              <w:noProof/>
              <w:sz w:val="22"/>
              <w:lang w:eastAsia="en-GB"/>
            </w:rPr>
          </w:pPr>
          <w:hyperlink w:anchor="_Toc473808147" w:history="1">
            <w:r w:rsidR="00A55699" w:rsidRPr="00452E2E">
              <w:rPr>
                <w:rStyle w:val="Hyperlink"/>
                <w:noProof/>
                <w:color w:val="auto"/>
              </w:rPr>
              <w:t>4.4.3.2 Interviews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_Toc473808147 \h </w:instrText>
            </w:r>
            <w:r w:rsidR="00A55699" w:rsidRPr="00452E2E">
              <w:rPr>
                <w:noProof/>
                <w:webHidden/>
              </w:rPr>
            </w:r>
            <w:r w:rsidR="00A55699" w:rsidRPr="00452E2E">
              <w:rPr>
                <w:noProof/>
                <w:webHidden/>
              </w:rPr>
              <w:fldChar w:fldCharType="separate"/>
            </w:r>
            <w:r w:rsidR="00937762">
              <w:rPr>
                <w:noProof/>
                <w:webHidden/>
              </w:rPr>
              <w:t>116</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48" w:history="1">
            <w:r w:rsidR="00A55699" w:rsidRPr="00452E2E">
              <w:rPr>
                <w:rStyle w:val="Hyperlink"/>
                <w:noProof/>
                <w:color w:val="auto"/>
              </w:rPr>
              <w:t>4.4.4 Data Analysis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_Toc473808148 \h </w:instrText>
            </w:r>
            <w:r w:rsidR="00A55699" w:rsidRPr="00452E2E">
              <w:rPr>
                <w:noProof/>
                <w:webHidden/>
              </w:rPr>
            </w:r>
            <w:r w:rsidR="00A55699" w:rsidRPr="00452E2E">
              <w:rPr>
                <w:noProof/>
                <w:webHidden/>
              </w:rPr>
              <w:fldChar w:fldCharType="separate"/>
            </w:r>
            <w:r w:rsidR="00937762">
              <w:rPr>
                <w:noProof/>
                <w:webHidden/>
              </w:rPr>
              <w:t>120</w:t>
            </w:r>
            <w:r w:rsidR="00A55699" w:rsidRPr="00452E2E">
              <w:rPr>
                <w:noProof/>
                <w:webHidden/>
              </w:rPr>
              <w:fldChar w:fldCharType="end"/>
            </w:r>
          </w:hyperlink>
        </w:p>
        <w:p w:rsidR="00A55699" w:rsidRPr="00452E2E" w:rsidRDefault="00B26571">
          <w:pPr>
            <w:pStyle w:val="TOC5"/>
            <w:tabs>
              <w:tab w:val="right" w:leader="dot" w:pos="8188"/>
            </w:tabs>
            <w:rPr>
              <w:rFonts w:asciiTheme="minorHAnsi" w:eastAsiaTheme="minorEastAsia" w:hAnsiTheme="minorHAnsi"/>
              <w:noProof/>
              <w:sz w:val="22"/>
              <w:lang w:eastAsia="en-GB"/>
            </w:rPr>
          </w:pPr>
          <w:hyperlink w:anchor="_Toc473808149" w:history="1">
            <w:r w:rsidR="00A55699" w:rsidRPr="00452E2E">
              <w:rPr>
                <w:rStyle w:val="Hyperlink"/>
                <w:noProof/>
                <w:color w:val="auto"/>
              </w:rPr>
              <w:t>4.4.4.1 Quantitative Data Analysis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_Toc473808149 \h </w:instrText>
            </w:r>
            <w:r w:rsidR="00A55699" w:rsidRPr="00452E2E">
              <w:rPr>
                <w:noProof/>
                <w:webHidden/>
              </w:rPr>
            </w:r>
            <w:r w:rsidR="00A55699" w:rsidRPr="00452E2E">
              <w:rPr>
                <w:noProof/>
                <w:webHidden/>
              </w:rPr>
              <w:fldChar w:fldCharType="separate"/>
            </w:r>
            <w:r w:rsidR="00937762">
              <w:rPr>
                <w:noProof/>
                <w:webHidden/>
              </w:rPr>
              <w:t>121</w:t>
            </w:r>
            <w:r w:rsidR="00A55699" w:rsidRPr="00452E2E">
              <w:rPr>
                <w:noProof/>
                <w:webHidden/>
              </w:rPr>
              <w:fldChar w:fldCharType="end"/>
            </w:r>
          </w:hyperlink>
        </w:p>
        <w:p w:rsidR="00A55699" w:rsidRPr="00452E2E" w:rsidRDefault="00B26571">
          <w:pPr>
            <w:pStyle w:val="TOC5"/>
            <w:tabs>
              <w:tab w:val="right" w:leader="dot" w:pos="8188"/>
            </w:tabs>
            <w:rPr>
              <w:rFonts w:asciiTheme="minorHAnsi" w:eastAsiaTheme="minorEastAsia" w:hAnsiTheme="minorHAnsi"/>
              <w:noProof/>
              <w:sz w:val="22"/>
              <w:lang w:eastAsia="en-GB"/>
            </w:rPr>
          </w:pPr>
          <w:hyperlink w:anchor="_Toc473808150" w:history="1">
            <w:r w:rsidR="00A55699" w:rsidRPr="00452E2E">
              <w:rPr>
                <w:rStyle w:val="Hyperlink"/>
                <w:noProof/>
                <w:color w:val="auto"/>
              </w:rPr>
              <w:t>4.4.4.2 Qualitative Data Analysis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_Toc473808150 \h </w:instrText>
            </w:r>
            <w:r w:rsidR="00A55699" w:rsidRPr="00452E2E">
              <w:rPr>
                <w:noProof/>
                <w:webHidden/>
              </w:rPr>
            </w:r>
            <w:r w:rsidR="00A55699" w:rsidRPr="00452E2E">
              <w:rPr>
                <w:noProof/>
                <w:webHidden/>
              </w:rPr>
              <w:fldChar w:fldCharType="separate"/>
            </w:r>
            <w:r w:rsidR="00937762">
              <w:rPr>
                <w:noProof/>
                <w:webHidden/>
              </w:rPr>
              <w:t>121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51" w:history="1">
            <w:r w:rsidR="00A55699" w:rsidRPr="00452E2E">
              <w:rPr>
                <w:rStyle w:val="Hyperlink"/>
                <w:noProof/>
                <w:color w:val="auto"/>
              </w:rPr>
              <w:t>4.5 How I conducted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_Toc473808151 \h </w:instrText>
            </w:r>
            <w:r w:rsidR="00A55699" w:rsidRPr="00452E2E">
              <w:rPr>
                <w:noProof/>
                <w:webHidden/>
              </w:rPr>
            </w:r>
            <w:r w:rsidR="00A55699" w:rsidRPr="00452E2E">
              <w:rPr>
                <w:noProof/>
                <w:webHidden/>
              </w:rPr>
              <w:fldChar w:fldCharType="separate"/>
            </w:r>
            <w:r w:rsidR="00937762">
              <w:rPr>
                <w:noProof/>
                <w:webHidden/>
              </w:rPr>
              <w:t>124</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52" w:history="1">
            <w:r w:rsidR="00A55699" w:rsidRPr="00452E2E">
              <w:rPr>
                <w:rStyle w:val="Hyperlink"/>
                <w:noProof/>
                <w:color w:val="auto"/>
              </w:rPr>
              <w:t>4.5.1 The Sample for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_Toc473808152 \h </w:instrText>
            </w:r>
            <w:r w:rsidR="00A55699" w:rsidRPr="00452E2E">
              <w:rPr>
                <w:noProof/>
                <w:webHidden/>
              </w:rPr>
            </w:r>
            <w:r w:rsidR="00A55699" w:rsidRPr="00452E2E">
              <w:rPr>
                <w:noProof/>
                <w:webHidden/>
              </w:rPr>
              <w:fldChar w:fldCharType="separate"/>
            </w:r>
            <w:r w:rsidR="00937762">
              <w:rPr>
                <w:noProof/>
                <w:webHidden/>
              </w:rPr>
              <w:t>124</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53" w:history="1">
            <w:r w:rsidR="00A55699" w:rsidRPr="00452E2E">
              <w:rPr>
                <w:rStyle w:val="Hyperlink"/>
                <w:noProof/>
                <w:color w:val="auto"/>
              </w:rPr>
              <w:t>4.5.2 Participants for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_Toc473808153 \h </w:instrText>
            </w:r>
            <w:r w:rsidR="00A55699" w:rsidRPr="00452E2E">
              <w:rPr>
                <w:noProof/>
                <w:webHidden/>
              </w:rPr>
            </w:r>
            <w:r w:rsidR="00A55699" w:rsidRPr="00452E2E">
              <w:rPr>
                <w:noProof/>
                <w:webHidden/>
              </w:rPr>
              <w:fldChar w:fldCharType="separate"/>
            </w:r>
            <w:r w:rsidR="00937762">
              <w:rPr>
                <w:noProof/>
                <w:webHidden/>
              </w:rPr>
              <w:t>125</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54" w:history="1">
            <w:r w:rsidR="00A55699" w:rsidRPr="00452E2E">
              <w:rPr>
                <w:rStyle w:val="Hyperlink"/>
                <w:noProof/>
                <w:color w:val="auto"/>
              </w:rPr>
              <w:t>4.5.3 Data Collection for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_Toc473808154 \h </w:instrText>
            </w:r>
            <w:r w:rsidR="00A55699" w:rsidRPr="00452E2E">
              <w:rPr>
                <w:noProof/>
                <w:webHidden/>
              </w:rPr>
            </w:r>
            <w:r w:rsidR="00A55699" w:rsidRPr="00452E2E">
              <w:rPr>
                <w:noProof/>
                <w:webHidden/>
              </w:rPr>
              <w:fldChar w:fldCharType="separate"/>
            </w:r>
            <w:r w:rsidR="00937762">
              <w:rPr>
                <w:noProof/>
                <w:webHidden/>
              </w:rPr>
              <w:t>125</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55" w:history="1">
            <w:r w:rsidR="00A55699" w:rsidRPr="00452E2E">
              <w:rPr>
                <w:rStyle w:val="Hyperlink"/>
                <w:noProof/>
                <w:color w:val="auto"/>
              </w:rPr>
              <w:t>4.5.4 Measures for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_Toc473808155 \h </w:instrText>
            </w:r>
            <w:r w:rsidR="00A55699" w:rsidRPr="00452E2E">
              <w:rPr>
                <w:noProof/>
                <w:webHidden/>
              </w:rPr>
            </w:r>
            <w:r w:rsidR="00A55699" w:rsidRPr="00452E2E">
              <w:rPr>
                <w:noProof/>
                <w:webHidden/>
              </w:rPr>
              <w:fldChar w:fldCharType="separate"/>
            </w:r>
            <w:r w:rsidR="00937762">
              <w:rPr>
                <w:noProof/>
                <w:webHidden/>
              </w:rPr>
              <w:t>126</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56" w:history="1">
            <w:r w:rsidR="00A55699" w:rsidRPr="00452E2E">
              <w:rPr>
                <w:rStyle w:val="Hyperlink"/>
                <w:noProof/>
                <w:color w:val="auto"/>
              </w:rPr>
              <w:t>4.5.5 Data Analysis for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_Toc473808156 \h </w:instrText>
            </w:r>
            <w:r w:rsidR="00A55699" w:rsidRPr="00452E2E">
              <w:rPr>
                <w:noProof/>
                <w:webHidden/>
              </w:rPr>
            </w:r>
            <w:r w:rsidR="00A55699" w:rsidRPr="00452E2E">
              <w:rPr>
                <w:noProof/>
                <w:webHidden/>
              </w:rPr>
              <w:fldChar w:fldCharType="separate"/>
            </w:r>
            <w:r w:rsidR="00937762">
              <w:rPr>
                <w:noProof/>
                <w:webHidden/>
              </w:rPr>
              <w:t>128</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57" w:history="1">
            <w:r w:rsidR="00A55699" w:rsidRPr="00452E2E">
              <w:rPr>
                <w:rStyle w:val="Hyperlink"/>
                <w:noProof/>
                <w:color w:val="auto"/>
              </w:rPr>
              <w:t>4.6 Ethical Considerations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_Toc473808157 \h </w:instrText>
            </w:r>
            <w:r w:rsidR="00A55699" w:rsidRPr="00452E2E">
              <w:rPr>
                <w:noProof/>
                <w:webHidden/>
              </w:rPr>
            </w:r>
            <w:r w:rsidR="00A55699" w:rsidRPr="00452E2E">
              <w:rPr>
                <w:noProof/>
                <w:webHidden/>
              </w:rPr>
              <w:fldChar w:fldCharType="separate"/>
            </w:r>
            <w:r w:rsidR="00937762">
              <w:rPr>
                <w:noProof/>
                <w:webHidden/>
              </w:rPr>
              <w:t>129</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58" w:history="1">
            <w:r w:rsidR="00A55699" w:rsidRPr="00452E2E">
              <w:rPr>
                <w:rStyle w:val="Hyperlink"/>
                <w:noProof/>
                <w:color w:val="auto"/>
              </w:rPr>
              <w:t>4.7 Summary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_Toc473808158 \h </w:instrText>
            </w:r>
            <w:r w:rsidR="00A55699" w:rsidRPr="00452E2E">
              <w:rPr>
                <w:noProof/>
                <w:webHidden/>
              </w:rPr>
            </w:r>
            <w:r w:rsidR="00A55699" w:rsidRPr="00452E2E">
              <w:rPr>
                <w:noProof/>
                <w:webHidden/>
              </w:rPr>
              <w:fldChar w:fldCharType="separate"/>
            </w:r>
            <w:r w:rsidR="00937762">
              <w:rPr>
                <w:noProof/>
                <w:webHidden/>
              </w:rPr>
              <w:t>132</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159" w:history="1">
            <w:r w:rsidR="00A55699" w:rsidRPr="00452E2E">
              <w:rPr>
                <w:rStyle w:val="Hyperlink"/>
                <w:noProof/>
                <w:color w:val="auto"/>
              </w:rPr>
              <w:t>CHAPTER FIVE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_Toc473808159 \h </w:instrText>
            </w:r>
            <w:r w:rsidR="00A55699" w:rsidRPr="00452E2E">
              <w:rPr>
                <w:noProof/>
                <w:webHidden/>
              </w:rPr>
            </w:r>
            <w:r w:rsidR="00A55699" w:rsidRPr="00452E2E">
              <w:rPr>
                <w:noProof/>
                <w:webHidden/>
              </w:rPr>
              <w:fldChar w:fldCharType="separate"/>
            </w:r>
            <w:r w:rsidR="00937762">
              <w:rPr>
                <w:noProof/>
                <w:webHidden/>
              </w:rPr>
              <w:t>134</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160" w:history="1">
            <w:r w:rsidR="00A55699" w:rsidRPr="00452E2E">
              <w:rPr>
                <w:rStyle w:val="Hyperlink"/>
                <w:noProof/>
                <w:color w:val="auto"/>
              </w:rPr>
              <w:t>DATA ANALYSIS AND FINDINGS FROM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_Toc473808160 \h </w:instrText>
            </w:r>
            <w:r w:rsidR="00A55699" w:rsidRPr="00452E2E">
              <w:rPr>
                <w:noProof/>
                <w:webHidden/>
              </w:rPr>
            </w:r>
            <w:r w:rsidR="00A55699" w:rsidRPr="00452E2E">
              <w:rPr>
                <w:noProof/>
                <w:webHidden/>
              </w:rPr>
              <w:fldChar w:fldCharType="separate"/>
            </w:r>
            <w:r w:rsidR="00937762">
              <w:rPr>
                <w:noProof/>
                <w:webHidden/>
              </w:rPr>
              <w:t>134</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61" w:history="1">
            <w:r w:rsidR="00A55699" w:rsidRPr="00452E2E">
              <w:rPr>
                <w:rStyle w:val="Hyperlink"/>
                <w:noProof/>
                <w:color w:val="auto"/>
              </w:rPr>
              <w:t>5.1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_Toc473808161 \h </w:instrText>
            </w:r>
            <w:r w:rsidR="00A55699" w:rsidRPr="00452E2E">
              <w:rPr>
                <w:noProof/>
                <w:webHidden/>
              </w:rPr>
            </w:r>
            <w:r w:rsidR="00A55699" w:rsidRPr="00452E2E">
              <w:rPr>
                <w:noProof/>
                <w:webHidden/>
              </w:rPr>
              <w:fldChar w:fldCharType="separate"/>
            </w:r>
            <w:r w:rsidR="00937762">
              <w:rPr>
                <w:noProof/>
                <w:webHidden/>
              </w:rPr>
              <w:t>134</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62" w:history="1">
            <w:r w:rsidR="00A55699" w:rsidRPr="00452E2E">
              <w:rPr>
                <w:rStyle w:val="Hyperlink"/>
                <w:noProof/>
                <w:color w:val="auto"/>
              </w:rPr>
              <w:t>5.2 Response Rate and Characteristics of the Sample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_Toc473808162 \h </w:instrText>
            </w:r>
            <w:r w:rsidR="00A55699" w:rsidRPr="00452E2E">
              <w:rPr>
                <w:noProof/>
                <w:webHidden/>
              </w:rPr>
            </w:r>
            <w:r w:rsidR="00A55699" w:rsidRPr="00452E2E">
              <w:rPr>
                <w:noProof/>
                <w:webHidden/>
              </w:rPr>
              <w:fldChar w:fldCharType="separate"/>
            </w:r>
            <w:r w:rsidR="00937762">
              <w:rPr>
                <w:noProof/>
                <w:webHidden/>
              </w:rPr>
              <w:t>134</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63" w:history="1">
            <w:r w:rsidR="00A55699" w:rsidRPr="00452E2E">
              <w:rPr>
                <w:rStyle w:val="Hyperlink"/>
                <w:noProof/>
                <w:color w:val="auto"/>
              </w:rPr>
              <w:t>5.3 Analysis and Results of the Influence of Institutions on HRM in Public and Private Sector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_Toc473808163 \h </w:instrText>
            </w:r>
            <w:r w:rsidR="00A55699" w:rsidRPr="00452E2E">
              <w:rPr>
                <w:noProof/>
                <w:webHidden/>
              </w:rPr>
            </w:r>
            <w:r w:rsidR="00A55699" w:rsidRPr="00452E2E">
              <w:rPr>
                <w:noProof/>
                <w:webHidden/>
              </w:rPr>
              <w:fldChar w:fldCharType="separate"/>
            </w:r>
            <w:r w:rsidR="00937762">
              <w:rPr>
                <w:noProof/>
                <w:webHidden/>
              </w:rPr>
              <w:t>136</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64" w:history="1">
            <w:r w:rsidR="00A55699" w:rsidRPr="00452E2E">
              <w:rPr>
                <w:rStyle w:val="Hyperlink"/>
                <w:noProof/>
                <w:color w:val="auto"/>
              </w:rPr>
              <w:t>5.3.1 Quantitative Analysis of the Influence of Institutions on HRM</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_Toc473808164 \h </w:instrText>
            </w:r>
            <w:r w:rsidR="00A55699" w:rsidRPr="00452E2E">
              <w:rPr>
                <w:noProof/>
                <w:webHidden/>
              </w:rPr>
            </w:r>
            <w:r w:rsidR="00A55699" w:rsidRPr="00452E2E">
              <w:rPr>
                <w:noProof/>
                <w:webHidden/>
              </w:rPr>
              <w:fldChar w:fldCharType="separate"/>
            </w:r>
            <w:r w:rsidR="00937762">
              <w:rPr>
                <w:noProof/>
                <w:webHidden/>
              </w:rPr>
              <w:t>136</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65" w:history="1">
            <w:r w:rsidR="00A55699" w:rsidRPr="00452E2E">
              <w:rPr>
                <w:rStyle w:val="Hyperlink"/>
                <w:noProof/>
                <w:color w:val="auto"/>
              </w:rPr>
              <w:t>5.3.2 Qualitative Analysis of the Influence of Institutions on HRM</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_Toc473808165 \h </w:instrText>
            </w:r>
            <w:r w:rsidR="00A55699" w:rsidRPr="00452E2E">
              <w:rPr>
                <w:noProof/>
                <w:webHidden/>
              </w:rPr>
            </w:r>
            <w:r w:rsidR="00A55699" w:rsidRPr="00452E2E">
              <w:rPr>
                <w:noProof/>
                <w:webHidden/>
              </w:rPr>
              <w:fldChar w:fldCharType="separate"/>
            </w:r>
            <w:r w:rsidR="00937762">
              <w:rPr>
                <w:noProof/>
                <w:webHidden/>
              </w:rPr>
              <w:t>138</w:t>
            </w:r>
            <w:r w:rsidR="00A55699" w:rsidRPr="00452E2E">
              <w:rPr>
                <w:noProof/>
                <w:webHidden/>
              </w:rPr>
              <w:fldChar w:fldCharType="end"/>
            </w:r>
          </w:hyperlink>
        </w:p>
        <w:p w:rsidR="00A55699" w:rsidRPr="00452E2E" w:rsidRDefault="00B26571">
          <w:pPr>
            <w:pStyle w:val="TOC5"/>
            <w:tabs>
              <w:tab w:val="right" w:leader="dot" w:pos="8188"/>
            </w:tabs>
            <w:rPr>
              <w:rFonts w:asciiTheme="minorHAnsi" w:eastAsiaTheme="minorEastAsia" w:hAnsiTheme="minorHAnsi"/>
              <w:noProof/>
              <w:sz w:val="22"/>
              <w:lang w:eastAsia="en-GB"/>
            </w:rPr>
          </w:pPr>
          <w:hyperlink w:anchor="_Toc473808166" w:history="1">
            <w:r w:rsidR="00A55699" w:rsidRPr="00452E2E">
              <w:rPr>
                <w:rStyle w:val="Hyperlink"/>
                <w:noProof/>
                <w:color w:val="auto"/>
              </w:rPr>
              <w:t>5.3.2.1 Findings from Qualitative Interviews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_Toc473808166 \h </w:instrText>
            </w:r>
            <w:r w:rsidR="00A55699" w:rsidRPr="00452E2E">
              <w:rPr>
                <w:noProof/>
                <w:webHidden/>
              </w:rPr>
            </w:r>
            <w:r w:rsidR="00A55699" w:rsidRPr="00452E2E">
              <w:rPr>
                <w:noProof/>
                <w:webHidden/>
              </w:rPr>
              <w:fldChar w:fldCharType="separate"/>
            </w:r>
            <w:r w:rsidR="00937762">
              <w:rPr>
                <w:noProof/>
                <w:webHidden/>
              </w:rPr>
              <w:t>141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67" w:history="1">
            <w:r w:rsidR="00A55699" w:rsidRPr="00452E2E">
              <w:rPr>
                <w:rStyle w:val="Hyperlink"/>
                <w:noProof/>
                <w:color w:val="auto"/>
              </w:rPr>
              <w:t>5.4 Analysis and Results of Techniques of HRM in Public and Private Sector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_Toc473808167 \h </w:instrText>
            </w:r>
            <w:r w:rsidR="00A55699" w:rsidRPr="00452E2E">
              <w:rPr>
                <w:noProof/>
                <w:webHidden/>
              </w:rPr>
            </w:r>
            <w:r w:rsidR="00A55699" w:rsidRPr="00452E2E">
              <w:rPr>
                <w:noProof/>
                <w:webHidden/>
              </w:rPr>
              <w:fldChar w:fldCharType="separate"/>
            </w:r>
            <w:r w:rsidR="00937762">
              <w:rPr>
                <w:noProof/>
                <w:webHidden/>
              </w:rPr>
              <w:t>148</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68" w:history="1">
            <w:r w:rsidR="00A55699" w:rsidRPr="00452E2E">
              <w:rPr>
                <w:rStyle w:val="Hyperlink"/>
                <w:noProof/>
                <w:color w:val="auto"/>
              </w:rPr>
              <w:t>5.4.1 Recruitment and Selection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_Toc473808168 \h </w:instrText>
            </w:r>
            <w:r w:rsidR="00A55699" w:rsidRPr="00452E2E">
              <w:rPr>
                <w:noProof/>
                <w:webHidden/>
              </w:rPr>
            </w:r>
            <w:r w:rsidR="00A55699" w:rsidRPr="00452E2E">
              <w:rPr>
                <w:noProof/>
                <w:webHidden/>
              </w:rPr>
              <w:fldChar w:fldCharType="separate"/>
            </w:r>
            <w:r w:rsidR="00937762">
              <w:rPr>
                <w:noProof/>
                <w:webHidden/>
              </w:rPr>
              <w:t>148</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69" w:history="1">
            <w:r w:rsidR="00A55699" w:rsidRPr="00452E2E">
              <w:rPr>
                <w:rStyle w:val="Hyperlink"/>
                <w:noProof/>
                <w:color w:val="auto"/>
              </w:rPr>
              <w:t>5.4.2 Training</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_Toc473808169 \h </w:instrText>
            </w:r>
            <w:r w:rsidR="00A55699" w:rsidRPr="00452E2E">
              <w:rPr>
                <w:noProof/>
                <w:webHidden/>
              </w:rPr>
            </w:r>
            <w:r w:rsidR="00A55699" w:rsidRPr="00452E2E">
              <w:rPr>
                <w:noProof/>
                <w:webHidden/>
              </w:rPr>
              <w:fldChar w:fldCharType="separate"/>
            </w:r>
            <w:r w:rsidR="00937762">
              <w:rPr>
                <w:noProof/>
                <w:webHidden/>
              </w:rPr>
              <w:t>169</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70" w:history="1">
            <w:r w:rsidR="00A55699" w:rsidRPr="00452E2E">
              <w:rPr>
                <w:rStyle w:val="Hyperlink"/>
                <w:noProof/>
                <w:color w:val="auto"/>
              </w:rPr>
              <w:t>5.4.3 Employee Benefits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_Toc473808170 \h </w:instrText>
            </w:r>
            <w:r w:rsidR="00A55699" w:rsidRPr="00452E2E">
              <w:rPr>
                <w:noProof/>
                <w:webHidden/>
              </w:rPr>
            </w:r>
            <w:r w:rsidR="00A55699" w:rsidRPr="00452E2E">
              <w:rPr>
                <w:noProof/>
                <w:webHidden/>
              </w:rPr>
              <w:fldChar w:fldCharType="separate"/>
            </w:r>
            <w:r w:rsidR="00937762">
              <w:rPr>
                <w:noProof/>
                <w:webHidden/>
              </w:rPr>
              <w:t>173</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71" w:history="1">
            <w:r w:rsidR="00A55699" w:rsidRPr="00452E2E">
              <w:rPr>
                <w:rStyle w:val="Hyperlink"/>
                <w:noProof/>
                <w:color w:val="auto"/>
              </w:rPr>
              <w:t>5.4.4 Employee Participation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_Toc473808171 \h </w:instrText>
            </w:r>
            <w:r w:rsidR="00A55699" w:rsidRPr="00452E2E">
              <w:rPr>
                <w:noProof/>
                <w:webHidden/>
              </w:rPr>
            </w:r>
            <w:r w:rsidR="00A55699" w:rsidRPr="00452E2E">
              <w:rPr>
                <w:noProof/>
                <w:webHidden/>
              </w:rPr>
              <w:fldChar w:fldCharType="separate"/>
            </w:r>
            <w:r w:rsidR="00937762">
              <w:rPr>
                <w:noProof/>
                <w:webHidden/>
              </w:rPr>
              <w:t>177</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72" w:history="1">
            <w:r w:rsidR="00A55699" w:rsidRPr="00452E2E">
              <w:rPr>
                <w:rStyle w:val="Hyperlink"/>
                <w:noProof/>
                <w:color w:val="auto"/>
              </w:rPr>
              <w:t>5.5 Summary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_Toc473808172 \h </w:instrText>
            </w:r>
            <w:r w:rsidR="00A55699" w:rsidRPr="00452E2E">
              <w:rPr>
                <w:noProof/>
                <w:webHidden/>
              </w:rPr>
            </w:r>
            <w:r w:rsidR="00A55699" w:rsidRPr="00452E2E">
              <w:rPr>
                <w:noProof/>
                <w:webHidden/>
              </w:rPr>
              <w:fldChar w:fldCharType="separate"/>
            </w:r>
            <w:r w:rsidR="00937762">
              <w:rPr>
                <w:noProof/>
                <w:webHidden/>
              </w:rPr>
              <w:t>183</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173" w:history="1">
            <w:r w:rsidR="00A55699" w:rsidRPr="00452E2E">
              <w:rPr>
                <w:rStyle w:val="Hyperlink"/>
                <w:noProof/>
                <w:color w:val="auto"/>
              </w:rPr>
              <w:t>CHAPTER SIX</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_Toc473808173 \h </w:instrText>
            </w:r>
            <w:r w:rsidR="00A55699" w:rsidRPr="00452E2E">
              <w:rPr>
                <w:noProof/>
                <w:webHidden/>
              </w:rPr>
            </w:r>
            <w:r w:rsidR="00A55699" w:rsidRPr="00452E2E">
              <w:rPr>
                <w:noProof/>
                <w:webHidden/>
              </w:rPr>
              <w:fldChar w:fldCharType="separate"/>
            </w:r>
            <w:r w:rsidR="00937762">
              <w:rPr>
                <w:noProof/>
                <w:webHidden/>
              </w:rPr>
              <w:t>185</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174" w:history="1">
            <w:r w:rsidR="00A55699" w:rsidRPr="00452E2E">
              <w:rPr>
                <w:rStyle w:val="Hyperlink"/>
                <w:noProof/>
                <w:color w:val="auto"/>
              </w:rPr>
              <w:t>DEVELOPING HYPOTHESES FOR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_Toc473808174 \h </w:instrText>
            </w:r>
            <w:r w:rsidR="00A55699" w:rsidRPr="00452E2E">
              <w:rPr>
                <w:noProof/>
                <w:webHidden/>
              </w:rPr>
            </w:r>
            <w:r w:rsidR="00A55699" w:rsidRPr="00452E2E">
              <w:rPr>
                <w:noProof/>
                <w:webHidden/>
              </w:rPr>
              <w:fldChar w:fldCharType="separate"/>
            </w:r>
            <w:r w:rsidR="00937762">
              <w:rPr>
                <w:noProof/>
                <w:webHidden/>
              </w:rPr>
              <w:t>185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75" w:history="1">
            <w:r w:rsidR="00A55699" w:rsidRPr="00452E2E">
              <w:rPr>
                <w:rStyle w:val="Hyperlink"/>
                <w:noProof/>
                <w:color w:val="auto"/>
              </w:rPr>
              <w:t>6.1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_Toc473808175 \h </w:instrText>
            </w:r>
            <w:r w:rsidR="00A55699" w:rsidRPr="00452E2E">
              <w:rPr>
                <w:noProof/>
                <w:webHidden/>
              </w:rPr>
            </w:r>
            <w:r w:rsidR="00A55699" w:rsidRPr="00452E2E">
              <w:rPr>
                <w:noProof/>
                <w:webHidden/>
              </w:rPr>
              <w:fldChar w:fldCharType="separate"/>
            </w:r>
            <w:r w:rsidR="00937762">
              <w:rPr>
                <w:noProof/>
                <w:webHidden/>
              </w:rPr>
              <w:t>185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76" w:history="1">
            <w:r w:rsidR="00A55699" w:rsidRPr="00452E2E">
              <w:rPr>
                <w:rStyle w:val="Hyperlink"/>
                <w:noProof/>
                <w:color w:val="auto"/>
              </w:rPr>
              <w:t>6.2 The Direct Relationship between HR Practices and Employee Attitudes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_Toc473808176 \h </w:instrText>
            </w:r>
            <w:r w:rsidR="00A55699" w:rsidRPr="00452E2E">
              <w:rPr>
                <w:noProof/>
                <w:webHidden/>
              </w:rPr>
            </w:r>
            <w:r w:rsidR="00A55699" w:rsidRPr="00452E2E">
              <w:rPr>
                <w:noProof/>
                <w:webHidden/>
              </w:rPr>
              <w:fldChar w:fldCharType="separate"/>
            </w:r>
            <w:r w:rsidR="00937762">
              <w:rPr>
                <w:noProof/>
                <w:webHidden/>
              </w:rPr>
              <w:t>185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77" w:history="1">
            <w:r w:rsidR="00A55699" w:rsidRPr="00452E2E">
              <w:rPr>
                <w:rStyle w:val="Hyperlink"/>
                <w:noProof/>
                <w:color w:val="auto"/>
              </w:rPr>
              <w:t>6.3 The Mediating Role of Procedural Justice and the Moderating Effect of Sector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_Toc473808177 \h </w:instrText>
            </w:r>
            <w:r w:rsidR="00A55699" w:rsidRPr="00452E2E">
              <w:rPr>
                <w:noProof/>
                <w:webHidden/>
              </w:rPr>
            </w:r>
            <w:r w:rsidR="00A55699" w:rsidRPr="00452E2E">
              <w:rPr>
                <w:noProof/>
                <w:webHidden/>
              </w:rPr>
              <w:fldChar w:fldCharType="separate"/>
            </w:r>
            <w:r w:rsidR="00937762">
              <w:rPr>
                <w:noProof/>
                <w:webHidden/>
              </w:rPr>
              <w:t>185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78" w:history="1">
            <w:r w:rsidR="00A55699" w:rsidRPr="00452E2E">
              <w:rPr>
                <w:rStyle w:val="Hyperlink"/>
                <w:noProof/>
                <w:color w:val="auto"/>
              </w:rPr>
              <w:t>6.4 The Mediating Role of HR Attributions and the Moderating Effect of Sector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_Toc473808178 \h </w:instrText>
            </w:r>
            <w:r w:rsidR="00A55699" w:rsidRPr="00452E2E">
              <w:rPr>
                <w:noProof/>
                <w:webHidden/>
              </w:rPr>
            </w:r>
            <w:r w:rsidR="00A55699" w:rsidRPr="00452E2E">
              <w:rPr>
                <w:noProof/>
                <w:webHidden/>
              </w:rPr>
              <w:fldChar w:fldCharType="separate"/>
            </w:r>
            <w:r w:rsidR="00937762">
              <w:rPr>
                <w:noProof/>
                <w:webHidden/>
              </w:rPr>
              <w:t>189</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79" w:history="1">
            <w:r w:rsidR="00A55699" w:rsidRPr="00452E2E">
              <w:rPr>
                <w:rStyle w:val="Hyperlink"/>
                <w:noProof/>
                <w:color w:val="auto"/>
              </w:rPr>
              <w:t>6.5 Summary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_Toc473808179 \h </w:instrText>
            </w:r>
            <w:r w:rsidR="00A55699" w:rsidRPr="00452E2E">
              <w:rPr>
                <w:noProof/>
                <w:webHidden/>
              </w:rPr>
            </w:r>
            <w:r w:rsidR="00A55699" w:rsidRPr="00452E2E">
              <w:rPr>
                <w:noProof/>
                <w:webHidden/>
              </w:rPr>
              <w:fldChar w:fldCharType="separate"/>
            </w:r>
            <w:r w:rsidR="00937762">
              <w:rPr>
                <w:noProof/>
                <w:webHidden/>
              </w:rPr>
              <w:t>199</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180" w:history="1">
            <w:r w:rsidR="00A55699" w:rsidRPr="00452E2E">
              <w:rPr>
                <w:rStyle w:val="Hyperlink"/>
                <w:noProof/>
                <w:color w:val="auto"/>
              </w:rPr>
              <w:t>CHAPTER SEVEN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_Toc473808180 \h </w:instrText>
            </w:r>
            <w:r w:rsidR="00A55699" w:rsidRPr="00452E2E">
              <w:rPr>
                <w:noProof/>
                <w:webHidden/>
              </w:rPr>
            </w:r>
            <w:r w:rsidR="00A55699" w:rsidRPr="00452E2E">
              <w:rPr>
                <w:noProof/>
                <w:webHidden/>
              </w:rPr>
              <w:fldChar w:fldCharType="separate"/>
            </w:r>
            <w:r w:rsidR="00937762">
              <w:rPr>
                <w:noProof/>
                <w:webHidden/>
              </w:rPr>
              <w:t>201</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181" w:history="1">
            <w:r w:rsidR="00A55699" w:rsidRPr="00452E2E">
              <w:rPr>
                <w:rStyle w:val="Hyperlink"/>
                <w:noProof/>
                <w:color w:val="auto"/>
              </w:rPr>
              <w:t>DATA ANALYSIS AND FINDINGS FROM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_Toc473808181 \h </w:instrText>
            </w:r>
            <w:r w:rsidR="00A55699" w:rsidRPr="00452E2E">
              <w:rPr>
                <w:noProof/>
                <w:webHidden/>
              </w:rPr>
            </w:r>
            <w:r w:rsidR="00A55699" w:rsidRPr="00452E2E">
              <w:rPr>
                <w:noProof/>
                <w:webHidden/>
              </w:rPr>
              <w:fldChar w:fldCharType="separate"/>
            </w:r>
            <w:r w:rsidR="00937762">
              <w:rPr>
                <w:noProof/>
                <w:webHidden/>
              </w:rPr>
              <w:t>201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82" w:history="1">
            <w:r w:rsidR="00A55699" w:rsidRPr="00452E2E">
              <w:rPr>
                <w:rStyle w:val="Hyperlink"/>
                <w:noProof/>
                <w:color w:val="auto"/>
              </w:rPr>
              <w:t>7.1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_Toc473808182 \h </w:instrText>
            </w:r>
            <w:r w:rsidR="00A55699" w:rsidRPr="00452E2E">
              <w:rPr>
                <w:noProof/>
                <w:webHidden/>
              </w:rPr>
            </w:r>
            <w:r w:rsidR="00A55699" w:rsidRPr="00452E2E">
              <w:rPr>
                <w:noProof/>
                <w:webHidden/>
              </w:rPr>
              <w:fldChar w:fldCharType="separate"/>
            </w:r>
            <w:r w:rsidR="00937762">
              <w:rPr>
                <w:noProof/>
                <w:webHidden/>
              </w:rPr>
              <w:t>201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83" w:history="1">
            <w:r w:rsidR="00A55699" w:rsidRPr="00452E2E">
              <w:rPr>
                <w:rStyle w:val="Hyperlink"/>
                <w:noProof/>
                <w:color w:val="auto"/>
              </w:rPr>
              <w:t>7.2 Response Rate and Dealing with Missing Data</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_Toc473808183 \h </w:instrText>
            </w:r>
            <w:r w:rsidR="00A55699" w:rsidRPr="00452E2E">
              <w:rPr>
                <w:noProof/>
                <w:webHidden/>
              </w:rPr>
            </w:r>
            <w:r w:rsidR="00A55699" w:rsidRPr="00452E2E">
              <w:rPr>
                <w:noProof/>
                <w:webHidden/>
              </w:rPr>
              <w:fldChar w:fldCharType="separate"/>
            </w:r>
            <w:r w:rsidR="00937762">
              <w:rPr>
                <w:noProof/>
                <w:webHidden/>
              </w:rPr>
              <w:t>201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84" w:history="1">
            <w:r w:rsidR="00A55699" w:rsidRPr="00452E2E">
              <w:rPr>
                <w:rStyle w:val="Hyperlink"/>
                <w:noProof/>
                <w:color w:val="auto"/>
              </w:rPr>
              <w:t>7.3 Characteristics of the Sample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_Toc473808184 \h </w:instrText>
            </w:r>
            <w:r w:rsidR="00A55699" w:rsidRPr="00452E2E">
              <w:rPr>
                <w:noProof/>
                <w:webHidden/>
              </w:rPr>
            </w:r>
            <w:r w:rsidR="00A55699" w:rsidRPr="00452E2E">
              <w:rPr>
                <w:noProof/>
                <w:webHidden/>
              </w:rPr>
              <w:fldChar w:fldCharType="separate"/>
            </w:r>
            <w:r w:rsidR="00937762">
              <w:rPr>
                <w:noProof/>
                <w:webHidden/>
              </w:rPr>
              <w:t>202</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85" w:history="1">
            <w:r w:rsidR="00A55699" w:rsidRPr="00452E2E">
              <w:rPr>
                <w:rStyle w:val="Hyperlink"/>
                <w:noProof/>
                <w:color w:val="auto"/>
              </w:rPr>
              <w:t>7.4 Data Analysis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_Toc473808185 \h </w:instrText>
            </w:r>
            <w:r w:rsidR="00A55699" w:rsidRPr="00452E2E">
              <w:rPr>
                <w:noProof/>
                <w:webHidden/>
              </w:rPr>
            </w:r>
            <w:r w:rsidR="00A55699" w:rsidRPr="00452E2E">
              <w:rPr>
                <w:noProof/>
                <w:webHidden/>
              </w:rPr>
              <w:fldChar w:fldCharType="separate"/>
            </w:r>
            <w:r w:rsidR="00937762">
              <w:rPr>
                <w:noProof/>
                <w:webHidden/>
              </w:rPr>
              <w:t>203</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86" w:history="1">
            <w:r w:rsidR="00A55699" w:rsidRPr="00452E2E">
              <w:rPr>
                <w:rStyle w:val="Hyperlink"/>
                <w:noProof/>
                <w:color w:val="auto"/>
              </w:rPr>
              <w:t>7.4.1 Test of Validity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_Toc473808186 \h </w:instrText>
            </w:r>
            <w:r w:rsidR="00A55699" w:rsidRPr="00452E2E">
              <w:rPr>
                <w:noProof/>
                <w:webHidden/>
              </w:rPr>
            </w:r>
            <w:r w:rsidR="00A55699" w:rsidRPr="00452E2E">
              <w:rPr>
                <w:noProof/>
                <w:webHidden/>
              </w:rPr>
              <w:fldChar w:fldCharType="separate"/>
            </w:r>
            <w:r w:rsidR="00937762">
              <w:rPr>
                <w:noProof/>
                <w:webHidden/>
              </w:rPr>
              <w:t>204</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87" w:history="1">
            <w:r w:rsidR="00A55699" w:rsidRPr="00452E2E">
              <w:rPr>
                <w:rStyle w:val="Hyperlink"/>
                <w:noProof/>
                <w:color w:val="auto"/>
              </w:rPr>
              <w:t>7.4.2 Reliabilities and Bivariate Correlations of Variables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_Toc473808187 \h </w:instrText>
            </w:r>
            <w:r w:rsidR="00A55699" w:rsidRPr="00452E2E">
              <w:rPr>
                <w:noProof/>
                <w:webHidden/>
              </w:rPr>
            </w:r>
            <w:r w:rsidR="00A55699" w:rsidRPr="00452E2E">
              <w:rPr>
                <w:noProof/>
                <w:webHidden/>
              </w:rPr>
              <w:fldChar w:fldCharType="separate"/>
            </w:r>
            <w:r w:rsidR="00937762">
              <w:rPr>
                <w:noProof/>
                <w:webHidden/>
              </w:rPr>
              <w:t>207</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88" w:history="1">
            <w:r w:rsidR="00A55699" w:rsidRPr="00452E2E">
              <w:rPr>
                <w:rStyle w:val="Hyperlink"/>
                <w:noProof/>
                <w:color w:val="auto"/>
              </w:rPr>
              <w:t>7.5 Test of Hypotheses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_Toc473808188 \h </w:instrText>
            </w:r>
            <w:r w:rsidR="00A55699" w:rsidRPr="00452E2E">
              <w:rPr>
                <w:noProof/>
                <w:webHidden/>
              </w:rPr>
            </w:r>
            <w:r w:rsidR="00A55699" w:rsidRPr="00452E2E">
              <w:rPr>
                <w:noProof/>
                <w:webHidden/>
              </w:rPr>
              <w:fldChar w:fldCharType="separate"/>
            </w:r>
            <w:r w:rsidR="00937762">
              <w:rPr>
                <w:noProof/>
                <w:webHidden/>
              </w:rPr>
              <w:t>209</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89" w:history="1">
            <w:r w:rsidR="00A55699" w:rsidRPr="00452E2E">
              <w:rPr>
                <w:rStyle w:val="Hyperlink"/>
                <w:noProof/>
                <w:color w:val="auto"/>
              </w:rPr>
              <w:t>7.5.1 Test of Direct Relationships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_Toc473808189 \h </w:instrText>
            </w:r>
            <w:r w:rsidR="00A55699" w:rsidRPr="00452E2E">
              <w:rPr>
                <w:noProof/>
                <w:webHidden/>
              </w:rPr>
            </w:r>
            <w:r w:rsidR="00A55699" w:rsidRPr="00452E2E">
              <w:rPr>
                <w:noProof/>
                <w:webHidden/>
              </w:rPr>
              <w:fldChar w:fldCharType="separate"/>
            </w:r>
            <w:r w:rsidR="00937762">
              <w:rPr>
                <w:noProof/>
                <w:webHidden/>
              </w:rPr>
              <w:t>209</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90" w:history="1">
            <w:r w:rsidR="00A55699" w:rsidRPr="00452E2E">
              <w:rPr>
                <w:rStyle w:val="Hyperlink"/>
                <w:noProof/>
                <w:color w:val="auto"/>
              </w:rPr>
              <w:t>7.5.2 Tests of Mediation Effects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_Toc473808190 \h </w:instrText>
            </w:r>
            <w:r w:rsidR="00A55699" w:rsidRPr="00452E2E">
              <w:rPr>
                <w:noProof/>
                <w:webHidden/>
              </w:rPr>
            </w:r>
            <w:r w:rsidR="00A55699" w:rsidRPr="00452E2E">
              <w:rPr>
                <w:noProof/>
                <w:webHidden/>
              </w:rPr>
              <w:fldChar w:fldCharType="separate"/>
            </w:r>
            <w:r w:rsidR="00937762">
              <w:rPr>
                <w:noProof/>
                <w:webHidden/>
              </w:rPr>
              <w:t>221</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91" w:history="1">
            <w:r w:rsidR="00A55699" w:rsidRPr="00452E2E">
              <w:rPr>
                <w:rStyle w:val="Hyperlink"/>
                <w:noProof/>
                <w:color w:val="auto"/>
              </w:rPr>
              <w:t>7.5.3 Tests of Moderated Mediation Effects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_Toc473808191 \h </w:instrText>
            </w:r>
            <w:r w:rsidR="00A55699" w:rsidRPr="00452E2E">
              <w:rPr>
                <w:noProof/>
                <w:webHidden/>
              </w:rPr>
            </w:r>
            <w:r w:rsidR="00A55699" w:rsidRPr="00452E2E">
              <w:rPr>
                <w:noProof/>
                <w:webHidden/>
              </w:rPr>
              <w:fldChar w:fldCharType="separate"/>
            </w:r>
            <w:r w:rsidR="00937762">
              <w:rPr>
                <w:noProof/>
                <w:webHidden/>
              </w:rPr>
              <w:t>229</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92" w:history="1">
            <w:r w:rsidR="00A55699" w:rsidRPr="00452E2E">
              <w:rPr>
                <w:rStyle w:val="Hyperlink"/>
                <w:noProof/>
                <w:color w:val="auto"/>
              </w:rPr>
              <w:t>7.6 Summary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_Toc473808192 \h </w:instrText>
            </w:r>
            <w:r w:rsidR="00A55699" w:rsidRPr="00452E2E">
              <w:rPr>
                <w:noProof/>
                <w:webHidden/>
              </w:rPr>
            </w:r>
            <w:r w:rsidR="00A55699" w:rsidRPr="00452E2E">
              <w:rPr>
                <w:noProof/>
                <w:webHidden/>
              </w:rPr>
              <w:fldChar w:fldCharType="separate"/>
            </w:r>
            <w:r w:rsidR="00937762">
              <w:rPr>
                <w:noProof/>
                <w:webHidden/>
              </w:rPr>
              <w:t>242</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193" w:history="1">
            <w:r w:rsidR="00A55699" w:rsidRPr="00452E2E">
              <w:rPr>
                <w:rStyle w:val="Hyperlink"/>
                <w:noProof/>
                <w:color w:val="auto"/>
              </w:rPr>
              <w:t>CHAPTER EIGHT</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_Toc473808193 \h </w:instrText>
            </w:r>
            <w:r w:rsidR="00A55699" w:rsidRPr="00452E2E">
              <w:rPr>
                <w:noProof/>
                <w:webHidden/>
              </w:rPr>
            </w:r>
            <w:r w:rsidR="00A55699" w:rsidRPr="00452E2E">
              <w:rPr>
                <w:noProof/>
                <w:webHidden/>
              </w:rPr>
              <w:fldChar w:fldCharType="separate"/>
            </w:r>
            <w:r w:rsidR="00937762">
              <w:rPr>
                <w:noProof/>
                <w:webHidden/>
              </w:rPr>
              <w:t>247</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194" w:history="1">
            <w:r w:rsidR="00A55699" w:rsidRPr="00452E2E">
              <w:rPr>
                <w:rStyle w:val="Hyperlink"/>
                <w:noProof/>
                <w:color w:val="auto"/>
              </w:rPr>
              <w:t>DISCUSSION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_Toc473808194 \h </w:instrText>
            </w:r>
            <w:r w:rsidR="00A55699" w:rsidRPr="00452E2E">
              <w:rPr>
                <w:noProof/>
                <w:webHidden/>
              </w:rPr>
            </w:r>
            <w:r w:rsidR="00A55699" w:rsidRPr="00452E2E">
              <w:rPr>
                <w:noProof/>
                <w:webHidden/>
              </w:rPr>
              <w:fldChar w:fldCharType="separate"/>
            </w:r>
            <w:r w:rsidR="00937762">
              <w:rPr>
                <w:noProof/>
                <w:webHidden/>
              </w:rPr>
              <w:t>247</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95" w:history="1">
            <w:r w:rsidR="00A55699" w:rsidRPr="00452E2E">
              <w:rPr>
                <w:rStyle w:val="Hyperlink"/>
                <w:noProof/>
                <w:color w:val="auto"/>
              </w:rPr>
              <w:t>8.1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_Toc473808195 \h </w:instrText>
            </w:r>
            <w:r w:rsidR="00A55699" w:rsidRPr="00452E2E">
              <w:rPr>
                <w:noProof/>
                <w:webHidden/>
              </w:rPr>
            </w:r>
            <w:r w:rsidR="00A55699" w:rsidRPr="00452E2E">
              <w:rPr>
                <w:noProof/>
                <w:webHidden/>
              </w:rPr>
              <w:fldChar w:fldCharType="separate"/>
            </w:r>
            <w:r w:rsidR="00937762">
              <w:rPr>
                <w:noProof/>
                <w:webHidden/>
              </w:rPr>
              <w:t>247</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96" w:history="1">
            <w:r w:rsidR="00A55699" w:rsidRPr="00452E2E">
              <w:rPr>
                <w:rStyle w:val="Hyperlink"/>
                <w:noProof/>
                <w:color w:val="auto"/>
              </w:rPr>
              <w:t>8.2 How do institutions influence HRM in public and private sector in Nigeria?</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_Toc473808196 \h </w:instrText>
            </w:r>
            <w:r w:rsidR="00A55699" w:rsidRPr="00452E2E">
              <w:rPr>
                <w:noProof/>
                <w:webHidden/>
              </w:rPr>
            </w:r>
            <w:r w:rsidR="00A55699" w:rsidRPr="00452E2E">
              <w:rPr>
                <w:noProof/>
                <w:webHidden/>
              </w:rPr>
              <w:fldChar w:fldCharType="separate"/>
            </w:r>
            <w:r w:rsidR="00937762">
              <w:rPr>
                <w:noProof/>
                <w:webHidden/>
              </w:rPr>
              <w:t>247</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197" w:history="1">
            <w:r w:rsidR="00A55699" w:rsidRPr="00452E2E">
              <w:rPr>
                <w:rStyle w:val="Hyperlink"/>
                <w:noProof/>
                <w:color w:val="auto"/>
              </w:rPr>
              <w:t>8.3 What are the Specific Techniques of HRM adopted in Public and Private Sector in Nigeria?</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_Toc473808197 \h </w:instrText>
            </w:r>
            <w:r w:rsidR="00A55699" w:rsidRPr="00452E2E">
              <w:rPr>
                <w:noProof/>
                <w:webHidden/>
              </w:rPr>
            </w:r>
            <w:r w:rsidR="00A55699" w:rsidRPr="00452E2E">
              <w:rPr>
                <w:noProof/>
                <w:webHidden/>
              </w:rPr>
              <w:fldChar w:fldCharType="separate"/>
            </w:r>
            <w:r w:rsidR="00937762">
              <w:rPr>
                <w:noProof/>
                <w:webHidden/>
              </w:rPr>
              <w:t>254</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98" w:history="1">
            <w:r w:rsidR="00A55699" w:rsidRPr="00452E2E">
              <w:rPr>
                <w:rStyle w:val="Hyperlink"/>
                <w:noProof/>
                <w:color w:val="auto"/>
              </w:rPr>
              <w:t>8.3.1 Recruitment and Selection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_Toc473808198 \h </w:instrText>
            </w:r>
            <w:r w:rsidR="00A55699" w:rsidRPr="00452E2E">
              <w:rPr>
                <w:noProof/>
                <w:webHidden/>
              </w:rPr>
            </w:r>
            <w:r w:rsidR="00A55699" w:rsidRPr="00452E2E">
              <w:rPr>
                <w:noProof/>
                <w:webHidden/>
              </w:rPr>
              <w:fldChar w:fldCharType="separate"/>
            </w:r>
            <w:r w:rsidR="00937762">
              <w:rPr>
                <w:noProof/>
                <w:webHidden/>
              </w:rPr>
              <w:t>254</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199" w:history="1">
            <w:r w:rsidR="00A55699" w:rsidRPr="00452E2E">
              <w:rPr>
                <w:rStyle w:val="Hyperlink"/>
                <w:noProof/>
                <w:color w:val="auto"/>
              </w:rPr>
              <w:t>8.3.2 Training</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_Toc473808199 \h </w:instrText>
            </w:r>
            <w:r w:rsidR="00A55699" w:rsidRPr="00452E2E">
              <w:rPr>
                <w:noProof/>
                <w:webHidden/>
              </w:rPr>
            </w:r>
            <w:r w:rsidR="00A55699" w:rsidRPr="00452E2E">
              <w:rPr>
                <w:noProof/>
                <w:webHidden/>
              </w:rPr>
              <w:fldChar w:fldCharType="separate"/>
            </w:r>
            <w:r w:rsidR="00937762">
              <w:rPr>
                <w:noProof/>
                <w:webHidden/>
              </w:rPr>
              <w:t>257</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200" w:history="1">
            <w:r w:rsidR="00A55699" w:rsidRPr="00452E2E">
              <w:rPr>
                <w:rStyle w:val="Hyperlink"/>
                <w:noProof/>
                <w:color w:val="auto"/>
              </w:rPr>
              <w:t>8.3.3 Employee Benefits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_Toc473808200 \h </w:instrText>
            </w:r>
            <w:r w:rsidR="00A55699" w:rsidRPr="00452E2E">
              <w:rPr>
                <w:noProof/>
                <w:webHidden/>
              </w:rPr>
            </w:r>
            <w:r w:rsidR="00A55699" w:rsidRPr="00452E2E">
              <w:rPr>
                <w:noProof/>
                <w:webHidden/>
              </w:rPr>
              <w:fldChar w:fldCharType="separate"/>
            </w:r>
            <w:r w:rsidR="00937762">
              <w:rPr>
                <w:noProof/>
                <w:webHidden/>
              </w:rPr>
              <w:t>259</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201" w:history="1">
            <w:r w:rsidR="00A55699" w:rsidRPr="00452E2E">
              <w:rPr>
                <w:rStyle w:val="Hyperlink"/>
                <w:noProof/>
                <w:color w:val="auto"/>
              </w:rPr>
              <w:t>8.3.4 Employee Participation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_Toc473808201 \h </w:instrText>
            </w:r>
            <w:r w:rsidR="00A55699" w:rsidRPr="00452E2E">
              <w:rPr>
                <w:noProof/>
                <w:webHidden/>
              </w:rPr>
            </w:r>
            <w:r w:rsidR="00A55699" w:rsidRPr="00452E2E">
              <w:rPr>
                <w:noProof/>
                <w:webHidden/>
              </w:rPr>
              <w:fldChar w:fldCharType="separate"/>
            </w:r>
            <w:r w:rsidR="00937762">
              <w:rPr>
                <w:noProof/>
                <w:webHidden/>
              </w:rPr>
              <w:t>261</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02" w:history="1">
            <w:r w:rsidR="00A55699" w:rsidRPr="00452E2E">
              <w:rPr>
                <w:rStyle w:val="Hyperlink"/>
                <w:noProof/>
                <w:color w:val="auto"/>
              </w:rPr>
              <w:t>8.4 What is the Effect of HR Practices on Employee Attitudes in Public and Private Sector in Nigeria?</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_Toc473808202 \h </w:instrText>
            </w:r>
            <w:r w:rsidR="00A55699" w:rsidRPr="00452E2E">
              <w:rPr>
                <w:noProof/>
                <w:webHidden/>
              </w:rPr>
            </w:r>
            <w:r w:rsidR="00A55699" w:rsidRPr="00452E2E">
              <w:rPr>
                <w:noProof/>
                <w:webHidden/>
              </w:rPr>
              <w:fldChar w:fldCharType="separate"/>
            </w:r>
            <w:r w:rsidR="00937762">
              <w:rPr>
                <w:noProof/>
                <w:webHidden/>
              </w:rPr>
              <w:t>263</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203" w:history="1">
            <w:r w:rsidR="00A55699" w:rsidRPr="00452E2E">
              <w:rPr>
                <w:rStyle w:val="Hyperlink"/>
                <w:noProof/>
                <w:color w:val="auto"/>
              </w:rPr>
              <w:t>8.4.1 The Mediating Role of Procedural Justice and the Moderation Effect of Sector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_Toc473808203 \h </w:instrText>
            </w:r>
            <w:r w:rsidR="00A55699" w:rsidRPr="00452E2E">
              <w:rPr>
                <w:noProof/>
                <w:webHidden/>
              </w:rPr>
            </w:r>
            <w:r w:rsidR="00A55699" w:rsidRPr="00452E2E">
              <w:rPr>
                <w:noProof/>
                <w:webHidden/>
              </w:rPr>
              <w:fldChar w:fldCharType="separate"/>
            </w:r>
            <w:r w:rsidR="00937762">
              <w:rPr>
                <w:noProof/>
                <w:webHidden/>
              </w:rPr>
              <w:t>265</w:t>
            </w:r>
            <w:r w:rsidR="00A55699" w:rsidRPr="00452E2E">
              <w:rPr>
                <w:noProof/>
                <w:webHidden/>
              </w:rPr>
              <w:fldChar w:fldCharType="end"/>
            </w:r>
          </w:hyperlink>
        </w:p>
        <w:p w:rsidR="00A55699" w:rsidRPr="00452E2E" w:rsidRDefault="00B26571">
          <w:pPr>
            <w:pStyle w:val="TOC4"/>
            <w:tabs>
              <w:tab w:val="right" w:leader="dot" w:pos="8188"/>
            </w:tabs>
            <w:rPr>
              <w:rFonts w:asciiTheme="minorHAnsi" w:eastAsiaTheme="minorEastAsia" w:hAnsiTheme="minorHAnsi"/>
              <w:noProof/>
              <w:sz w:val="22"/>
              <w:lang w:eastAsia="en-GB"/>
            </w:rPr>
          </w:pPr>
          <w:hyperlink w:anchor="_Toc473808204" w:history="1">
            <w:r w:rsidR="00A55699" w:rsidRPr="00452E2E">
              <w:rPr>
                <w:rStyle w:val="Hyperlink"/>
                <w:noProof/>
                <w:color w:val="auto"/>
              </w:rPr>
              <w:t>8.4.2 The mediating Role of HR Attributions and the Moderation Effect of Sector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_Toc473808204 \h </w:instrText>
            </w:r>
            <w:r w:rsidR="00A55699" w:rsidRPr="00452E2E">
              <w:rPr>
                <w:noProof/>
                <w:webHidden/>
              </w:rPr>
            </w:r>
            <w:r w:rsidR="00A55699" w:rsidRPr="00452E2E">
              <w:rPr>
                <w:noProof/>
                <w:webHidden/>
              </w:rPr>
              <w:fldChar w:fldCharType="separate"/>
            </w:r>
            <w:r w:rsidR="00937762">
              <w:rPr>
                <w:noProof/>
                <w:webHidden/>
              </w:rPr>
              <w:t>268</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05" w:history="1">
            <w:r w:rsidR="00A55699" w:rsidRPr="00452E2E">
              <w:rPr>
                <w:rStyle w:val="Hyperlink"/>
                <w:noProof/>
                <w:color w:val="auto"/>
              </w:rPr>
              <w:t>8.5 The Effect of Sector on Employee Attitudes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_Toc473808205 \h </w:instrText>
            </w:r>
            <w:r w:rsidR="00A55699" w:rsidRPr="00452E2E">
              <w:rPr>
                <w:noProof/>
                <w:webHidden/>
              </w:rPr>
            </w:r>
            <w:r w:rsidR="00A55699" w:rsidRPr="00452E2E">
              <w:rPr>
                <w:noProof/>
                <w:webHidden/>
              </w:rPr>
              <w:fldChar w:fldCharType="separate"/>
            </w:r>
            <w:r w:rsidR="00937762">
              <w:rPr>
                <w:noProof/>
                <w:webHidden/>
              </w:rPr>
              <w:t>272</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06" w:history="1">
            <w:r w:rsidR="00A55699" w:rsidRPr="00452E2E">
              <w:rPr>
                <w:rStyle w:val="Hyperlink"/>
                <w:noProof/>
                <w:color w:val="auto"/>
              </w:rPr>
              <w:t>8.6 Summary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_Toc473808206 \h </w:instrText>
            </w:r>
            <w:r w:rsidR="00A55699" w:rsidRPr="00452E2E">
              <w:rPr>
                <w:noProof/>
                <w:webHidden/>
              </w:rPr>
            </w:r>
            <w:r w:rsidR="00A55699" w:rsidRPr="00452E2E">
              <w:rPr>
                <w:noProof/>
                <w:webHidden/>
              </w:rPr>
              <w:fldChar w:fldCharType="separate"/>
            </w:r>
            <w:r w:rsidR="00937762">
              <w:rPr>
                <w:noProof/>
                <w:webHidden/>
              </w:rPr>
              <w:t>274</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207" w:history="1">
            <w:r w:rsidR="00A55699" w:rsidRPr="00452E2E">
              <w:rPr>
                <w:rStyle w:val="Hyperlink"/>
                <w:noProof/>
                <w:color w:val="auto"/>
              </w:rPr>
              <w:t>CHAPTER NINE</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_Toc473808207 \h </w:instrText>
            </w:r>
            <w:r w:rsidR="00A55699" w:rsidRPr="00452E2E">
              <w:rPr>
                <w:noProof/>
                <w:webHidden/>
              </w:rPr>
            </w:r>
            <w:r w:rsidR="00A55699" w:rsidRPr="00452E2E">
              <w:rPr>
                <w:noProof/>
                <w:webHidden/>
              </w:rPr>
              <w:fldChar w:fldCharType="separate"/>
            </w:r>
            <w:r w:rsidR="00937762">
              <w:rPr>
                <w:noProof/>
                <w:webHidden/>
              </w:rPr>
              <w:t>275</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08" w:history="1">
            <w:r w:rsidR="00A55699" w:rsidRPr="00452E2E">
              <w:rPr>
                <w:rStyle w:val="Hyperlink"/>
                <w:noProof/>
                <w:color w:val="auto"/>
              </w:rPr>
              <w:t>CONCLUSIONS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_Toc473808208 \h </w:instrText>
            </w:r>
            <w:r w:rsidR="00A55699" w:rsidRPr="00452E2E">
              <w:rPr>
                <w:noProof/>
                <w:webHidden/>
              </w:rPr>
            </w:r>
            <w:r w:rsidR="00A55699" w:rsidRPr="00452E2E">
              <w:rPr>
                <w:noProof/>
                <w:webHidden/>
              </w:rPr>
              <w:fldChar w:fldCharType="separate"/>
            </w:r>
            <w:r w:rsidR="00937762">
              <w:rPr>
                <w:noProof/>
                <w:webHidden/>
              </w:rPr>
              <w:t>275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09" w:history="1">
            <w:r w:rsidR="00A55699" w:rsidRPr="00452E2E">
              <w:rPr>
                <w:rStyle w:val="Hyperlink"/>
                <w:noProof/>
                <w:color w:val="auto"/>
              </w:rPr>
              <w:t>9.1 Introduction</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_Toc473808209 \h </w:instrText>
            </w:r>
            <w:r w:rsidR="00A55699" w:rsidRPr="00452E2E">
              <w:rPr>
                <w:noProof/>
                <w:webHidden/>
              </w:rPr>
            </w:r>
            <w:r w:rsidR="00A55699" w:rsidRPr="00452E2E">
              <w:rPr>
                <w:noProof/>
                <w:webHidden/>
              </w:rPr>
              <w:fldChar w:fldCharType="separate"/>
            </w:r>
            <w:r w:rsidR="00937762">
              <w:rPr>
                <w:noProof/>
                <w:webHidden/>
              </w:rPr>
              <w:t>275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10" w:history="1">
            <w:r w:rsidR="00A55699" w:rsidRPr="00452E2E">
              <w:rPr>
                <w:rStyle w:val="Hyperlink"/>
                <w:noProof/>
                <w:color w:val="auto"/>
              </w:rPr>
              <w:t>9.2 Conclusions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_Toc473808210 \h </w:instrText>
            </w:r>
            <w:r w:rsidR="00A55699" w:rsidRPr="00452E2E">
              <w:rPr>
                <w:noProof/>
                <w:webHidden/>
              </w:rPr>
            </w:r>
            <w:r w:rsidR="00A55699" w:rsidRPr="00452E2E">
              <w:rPr>
                <w:noProof/>
                <w:webHidden/>
              </w:rPr>
              <w:fldChar w:fldCharType="separate"/>
            </w:r>
            <w:r w:rsidR="00937762">
              <w:rPr>
                <w:noProof/>
                <w:webHidden/>
              </w:rPr>
              <w:t>275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11" w:history="1">
            <w:r w:rsidR="00A55699" w:rsidRPr="00452E2E">
              <w:rPr>
                <w:rStyle w:val="Hyperlink"/>
                <w:noProof/>
                <w:color w:val="auto"/>
              </w:rPr>
              <w:t>9.3 Research Contributions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_Toc473808211 \h </w:instrText>
            </w:r>
            <w:r w:rsidR="00A55699" w:rsidRPr="00452E2E">
              <w:rPr>
                <w:noProof/>
                <w:webHidden/>
              </w:rPr>
            </w:r>
            <w:r w:rsidR="00A55699" w:rsidRPr="00452E2E">
              <w:rPr>
                <w:noProof/>
                <w:webHidden/>
              </w:rPr>
              <w:fldChar w:fldCharType="separate"/>
            </w:r>
            <w:r w:rsidR="00937762">
              <w:rPr>
                <w:noProof/>
                <w:webHidden/>
              </w:rPr>
              <w:t>279</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12" w:history="1">
            <w:r w:rsidR="00A55699" w:rsidRPr="00452E2E">
              <w:rPr>
                <w:rStyle w:val="Hyperlink"/>
                <w:noProof/>
                <w:color w:val="auto"/>
              </w:rPr>
              <w:t>9.4 Practical Implications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_Toc473808212 \h </w:instrText>
            </w:r>
            <w:r w:rsidR="00A55699" w:rsidRPr="00452E2E">
              <w:rPr>
                <w:noProof/>
                <w:webHidden/>
              </w:rPr>
            </w:r>
            <w:r w:rsidR="00A55699" w:rsidRPr="00452E2E">
              <w:rPr>
                <w:noProof/>
                <w:webHidden/>
              </w:rPr>
              <w:fldChar w:fldCharType="separate"/>
            </w:r>
            <w:r w:rsidR="00937762">
              <w:rPr>
                <w:noProof/>
                <w:webHidden/>
              </w:rPr>
              <w:t>283</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13" w:history="1">
            <w:r w:rsidR="00A55699" w:rsidRPr="00452E2E">
              <w:rPr>
                <w:rStyle w:val="Hyperlink"/>
                <w:noProof/>
                <w:color w:val="auto"/>
              </w:rPr>
              <w:t>9.5 Research Limitations and Directions for Future Research</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_Toc473808213 \h </w:instrText>
            </w:r>
            <w:r w:rsidR="00A55699" w:rsidRPr="00452E2E">
              <w:rPr>
                <w:noProof/>
                <w:webHidden/>
              </w:rPr>
            </w:r>
            <w:r w:rsidR="00A55699" w:rsidRPr="00452E2E">
              <w:rPr>
                <w:noProof/>
                <w:webHidden/>
              </w:rPr>
              <w:fldChar w:fldCharType="separate"/>
            </w:r>
            <w:r w:rsidR="00937762">
              <w:rPr>
                <w:noProof/>
                <w:webHidden/>
              </w:rPr>
              <w:t>285</w:t>
            </w:r>
            <w:r w:rsidR="00A55699" w:rsidRPr="00452E2E">
              <w:rPr>
                <w:noProof/>
                <w:webHidden/>
              </w:rPr>
              <w:fldChar w:fldCharType="end"/>
            </w:r>
          </w:hyperlink>
        </w:p>
        <w:p w:rsidR="00A55699" w:rsidRPr="00452E2E" w:rsidRDefault="00B26571">
          <w:pPr>
            <w:pStyle w:val="TOC3"/>
            <w:tabs>
              <w:tab w:val="right" w:leader="dot" w:pos="8188"/>
            </w:tabs>
            <w:rPr>
              <w:rFonts w:asciiTheme="minorHAnsi" w:eastAsiaTheme="minorEastAsia" w:hAnsiTheme="minorHAnsi"/>
              <w:noProof/>
              <w:sz w:val="22"/>
              <w:lang w:eastAsia="en-GB"/>
            </w:rPr>
          </w:pPr>
          <w:hyperlink w:anchor="_Toc473808214" w:history="1">
            <w:r w:rsidR="00A55699" w:rsidRPr="00452E2E">
              <w:rPr>
                <w:rStyle w:val="Hyperlink"/>
                <w:noProof/>
                <w:color w:val="auto"/>
              </w:rPr>
              <w:t>9.6 Final Reflections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_Toc473808214 \h </w:instrText>
            </w:r>
            <w:r w:rsidR="00A55699" w:rsidRPr="00452E2E">
              <w:rPr>
                <w:noProof/>
                <w:webHidden/>
              </w:rPr>
            </w:r>
            <w:r w:rsidR="00A55699" w:rsidRPr="00452E2E">
              <w:rPr>
                <w:noProof/>
                <w:webHidden/>
              </w:rPr>
              <w:fldChar w:fldCharType="separate"/>
            </w:r>
            <w:r w:rsidR="00937762">
              <w:rPr>
                <w:noProof/>
                <w:webHidden/>
              </w:rPr>
              <w:t>288</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215" w:history="1">
            <w:r w:rsidR="00A55699" w:rsidRPr="00452E2E">
              <w:rPr>
                <w:rStyle w:val="Hyperlink"/>
                <w:noProof/>
                <w:color w:val="auto"/>
              </w:rPr>
              <w:t>BIBLIOGRAPHY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_Toc473808215 \h </w:instrText>
            </w:r>
            <w:r w:rsidR="00A55699" w:rsidRPr="00452E2E">
              <w:rPr>
                <w:noProof/>
                <w:webHidden/>
              </w:rPr>
            </w:r>
            <w:r w:rsidR="00A55699" w:rsidRPr="00452E2E">
              <w:rPr>
                <w:noProof/>
                <w:webHidden/>
              </w:rPr>
              <w:fldChar w:fldCharType="separate"/>
            </w:r>
            <w:r w:rsidR="00937762">
              <w:rPr>
                <w:noProof/>
                <w:webHidden/>
              </w:rPr>
              <w:t>290</w:t>
            </w:r>
            <w:r w:rsidR="00A55699" w:rsidRPr="00452E2E">
              <w:rPr>
                <w:noProof/>
                <w:webHidden/>
              </w:rPr>
              <w:fldChar w:fldCharType="end"/>
            </w:r>
          </w:hyperlink>
        </w:p>
        <w:p w:rsidR="00A55699" w:rsidRPr="00452E2E" w:rsidRDefault="00B26571">
          <w:pPr>
            <w:pStyle w:val="TOC1"/>
            <w:rPr>
              <w:rFonts w:asciiTheme="minorHAnsi" w:eastAsiaTheme="minorEastAsia" w:hAnsiTheme="minorHAnsi"/>
              <w:noProof/>
              <w:sz w:val="22"/>
              <w:lang w:eastAsia="en-GB"/>
            </w:rPr>
          </w:pPr>
          <w:hyperlink w:anchor="_Toc473808216" w:history="1">
            <w:r w:rsidR="00A55699" w:rsidRPr="00452E2E">
              <w:rPr>
                <w:rStyle w:val="Hyperlink"/>
                <w:noProof/>
                <w:color w:val="auto"/>
              </w:rPr>
              <w:t>APPENDICES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_Toc473808216 \h </w:instrText>
            </w:r>
            <w:r w:rsidR="00A55699" w:rsidRPr="00452E2E">
              <w:rPr>
                <w:noProof/>
                <w:webHidden/>
              </w:rPr>
            </w:r>
            <w:r w:rsidR="00A55699" w:rsidRPr="00452E2E">
              <w:rPr>
                <w:noProof/>
                <w:webHidden/>
              </w:rPr>
              <w:fldChar w:fldCharType="separate"/>
            </w:r>
            <w:r w:rsidR="00937762">
              <w:rPr>
                <w:noProof/>
                <w:webHidden/>
              </w:rPr>
              <w:t>323</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17" w:history="1">
            <w:r w:rsidR="00A55699" w:rsidRPr="00452E2E">
              <w:rPr>
                <w:rStyle w:val="Hyperlink"/>
                <w:noProof/>
                <w:color w:val="auto"/>
              </w:rPr>
              <w:t>Appendix 1: Ethics Approval Letter</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_Toc473808217 \h </w:instrText>
            </w:r>
            <w:r w:rsidR="00A55699" w:rsidRPr="00452E2E">
              <w:rPr>
                <w:noProof/>
                <w:webHidden/>
              </w:rPr>
            </w:r>
            <w:r w:rsidR="00A55699" w:rsidRPr="00452E2E">
              <w:rPr>
                <w:noProof/>
                <w:webHidden/>
              </w:rPr>
              <w:fldChar w:fldCharType="separate"/>
            </w:r>
            <w:r w:rsidR="00937762">
              <w:rPr>
                <w:noProof/>
                <w:webHidden/>
              </w:rPr>
              <w:t>323</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18" w:history="1">
            <w:r w:rsidR="00A55699" w:rsidRPr="00452E2E">
              <w:rPr>
                <w:rStyle w:val="Hyperlink"/>
                <w:noProof/>
                <w:color w:val="auto"/>
              </w:rPr>
              <w:t>Appendix 2: Information Sheet for HR Managers Completing Questionnaires only</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_Toc473808218 \h </w:instrText>
            </w:r>
            <w:r w:rsidR="00A55699" w:rsidRPr="00452E2E">
              <w:rPr>
                <w:noProof/>
                <w:webHidden/>
              </w:rPr>
            </w:r>
            <w:r w:rsidR="00A55699" w:rsidRPr="00452E2E">
              <w:rPr>
                <w:noProof/>
                <w:webHidden/>
              </w:rPr>
              <w:fldChar w:fldCharType="separate"/>
            </w:r>
            <w:r w:rsidR="00937762">
              <w:rPr>
                <w:noProof/>
                <w:webHidden/>
              </w:rPr>
              <w:t>324</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19" w:history="1">
            <w:r w:rsidR="00A55699" w:rsidRPr="00452E2E">
              <w:rPr>
                <w:rStyle w:val="Hyperlink"/>
                <w:noProof/>
                <w:color w:val="auto"/>
              </w:rPr>
              <w:t>Appendix 3: Information Sheet for HR Managers Completing Questionnaires and Participating in Interviews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_Toc473808219 \h </w:instrText>
            </w:r>
            <w:r w:rsidR="00A55699" w:rsidRPr="00452E2E">
              <w:rPr>
                <w:noProof/>
                <w:webHidden/>
              </w:rPr>
            </w:r>
            <w:r w:rsidR="00A55699" w:rsidRPr="00452E2E">
              <w:rPr>
                <w:noProof/>
                <w:webHidden/>
              </w:rPr>
              <w:fldChar w:fldCharType="separate"/>
            </w:r>
            <w:r w:rsidR="00937762">
              <w:rPr>
                <w:noProof/>
                <w:webHidden/>
              </w:rPr>
              <w:t>325</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20" w:history="1">
            <w:r w:rsidR="00A55699" w:rsidRPr="00452E2E">
              <w:rPr>
                <w:rStyle w:val="Hyperlink"/>
                <w:noProof/>
                <w:color w:val="auto"/>
              </w:rPr>
              <w:t>Appendix 4: Consent form for managers participating in interviews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_Toc473808220 \h </w:instrText>
            </w:r>
            <w:r w:rsidR="00A55699" w:rsidRPr="00452E2E">
              <w:rPr>
                <w:noProof/>
                <w:webHidden/>
              </w:rPr>
            </w:r>
            <w:r w:rsidR="00A55699" w:rsidRPr="00452E2E">
              <w:rPr>
                <w:noProof/>
                <w:webHidden/>
              </w:rPr>
              <w:fldChar w:fldCharType="separate"/>
            </w:r>
            <w:r w:rsidR="00937762">
              <w:rPr>
                <w:noProof/>
                <w:webHidden/>
              </w:rPr>
              <w:t>326</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21" w:history="1">
            <w:r w:rsidR="00A55699" w:rsidRPr="00452E2E">
              <w:rPr>
                <w:rStyle w:val="Hyperlink"/>
                <w:noProof/>
                <w:color w:val="auto"/>
              </w:rPr>
              <w:t>Appendix 5: Information Sheet for Non-managerial Employees Participating in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_Toc473808221 \h </w:instrText>
            </w:r>
            <w:r w:rsidR="00A55699" w:rsidRPr="00452E2E">
              <w:rPr>
                <w:noProof/>
                <w:webHidden/>
              </w:rPr>
            </w:r>
            <w:r w:rsidR="00A55699" w:rsidRPr="00452E2E">
              <w:rPr>
                <w:noProof/>
                <w:webHidden/>
              </w:rPr>
              <w:fldChar w:fldCharType="separate"/>
            </w:r>
            <w:r w:rsidR="00937762">
              <w:rPr>
                <w:noProof/>
                <w:webHidden/>
              </w:rPr>
              <w:t>327</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22" w:history="1">
            <w:r w:rsidR="00A55699" w:rsidRPr="00452E2E">
              <w:rPr>
                <w:rStyle w:val="Hyperlink"/>
                <w:noProof/>
                <w:color w:val="auto"/>
              </w:rPr>
              <w:t>Appendix 6: Questionnaire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_Toc473808222 \h </w:instrText>
            </w:r>
            <w:r w:rsidR="00A55699" w:rsidRPr="00452E2E">
              <w:rPr>
                <w:noProof/>
                <w:webHidden/>
              </w:rPr>
            </w:r>
            <w:r w:rsidR="00A55699" w:rsidRPr="00452E2E">
              <w:rPr>
                <w:noProof/>
                <w:webHidden/>
              </w:rPr>
              <w:fldChar w:fldCharType="separate"/>
            </w:r>
            <w:r w:rsidR="00937762">
              <w:rPr>
                <w:noProof/>
                <w:webHidden/>
              </w:rPr>
              <w:t>328</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23" w:history="1">
            <w:r w:rsidR="00A55699" w:rsidRPr="00452E2E">
              <w:rPr>
                <w:rStyle w:val="Hyperlink"/>
                <w:noProof/>
                <w:color w:val="auto"/>
              </w:rPr>
              <w:t>Appendix 7: Interview Questions for Study 1</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_Toc473808223 \h </w:instrText>
            </w:r>
            <w:r w:rsidR="00A55699" w:rsidRPr="00452E2E">
              <w:rPr>
                <w:noProof/>
                <w:webHidden/>
              </w:rPr>
            </w:r>
            <w:r w:rsidR="00A55699" w:rsidRPr="00452E2E">
              <w:rPr>
                <w:noProof/>
                <w:webHidden/>
              </w:rPr>
              <w:fldChar w:fldCharType="separate"/>
            </w:r>
            <w:r w:rsidR="00937762">
              <w:rPr>
                <w:noProof/>
                <w:webHidden/>
              </w:rPr>
              <w:t>331</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24" w:history="1">
            <w:r w:rsidR="00A55699" w:rsidRPr="00452E2E">
              <w:rPr>
                <w:rStyle w:val="Hyperlink"/>
                <w:noProof/>
                <w:color w:val="auto"/>
              </w:rPr>
              <w:t>Appendix 8: Questionnaire for Study 2</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_Toc473808224 \h </w:instrText>
            </w:r>
            <w:r w:rsidR="00A55699" w:rsidRPr="00452E2E">
              <w:rPr>
                <w:noProof/>
                <w:webHidden/>
              </w:rPr>
            </w:r>
            <w:r w:rsidR="00A55699" w:rsidRPr="00452E2E">
              <w:rPr>
                <w:noProof/>
                <w:webHidden/>
              </w:rPr>
              <w:fldChar w:fldCharType="separate"/>
            </w:r>
            <w:r w:rsidR="00937762">
              <w:rPr>
                <w:noProof/>
                <w:webHidden/>
              </w:rPr>
              <w:t>332</w:t>
            </w:r>
            <w:r w:rsidR="00A55699" w:rsidRPr="00452E2E">
              <w:rPr>
                <w:noProof/>
                <w:webHidden/>
              </w:rPr>
              <w:fldChar w:fldCharType="end"/>
            </w:r>
          </w:hyperlink>
        </w:p>
        <w:p w:rsidR="00A55699" w:rsidRPr="00452E2E" w:rsidRDefault="00B26571">
          <w:pPr>
            <w:pStyle w:val="TOC2"/>
            <w:tabs>
              <w:tab w:val="right" w:leader="dot" w:pos="8188"/>
            </w:tabs>
            <w:rPr>
              <w:rFonts w:asciiTheme="minorHAnsi" w:eastAsiaTheme="minorEastAsia" w:hAnsiTheme="minorHAnsi"/>
              <w:noProof/>
              <w:sz w:val="22"/>
              <w:lang w:eastAsia="en-GB"/>
            </w:rPr>
          </w:pPr>
          <w:hyperlink w:anchor="_Toc473808225" w:history="1">
            <w:r w:rsidR="00A55699" w:rsidRPr="00452E2E">
              <w:rPr>
                <w:rStyle w:val="Hyperlink"/>
                <w:noProof/>
                <w:color w:val="auto"/>
              </w:rPr>
              <w:t>Appendix 9: Example of Regression Plots Showing Non-normality of Residuals</w:t>
            </w:r>
            <w:r w:rsidR="00A55699" w:rsidRPr="00452E2E">
              <w:rPr>
                <w:noProof/>
                <w:webHidden/>
              </w:rPr>
              <w:tab/>
            </w:r>
            <w:r w:rsidR="00A55699" w:rsidRPr="00452E2E">
              <w:rPr>
                <w:noProof/>
                <w:webHidden/>
              </w:rPr>
              <w:fldChar w:fldCharType="begin"/>
            </w:r>
            <w:r w:rsidR="00A55699" w:rsidRPr="00452E2E">
              <w:rPr>
                <w:noProof/>
                <w:webHidden/>
              </w:rPr>
              <w:instrText xml:space="preserve"> PAGEREF _Toc473808225 \h </w:instrText>
            </w:r>
            <w:r w:rsidR="00A55699" w:rsidRPr="00452E2E">
              <w:rPr>
                <w:noProof/>
                <w:webHidden/>
              </w:rPr>
            </w:r>
            <w:r w:rsidR="00A55699" w:rsidRPr="00452E2E">
              <w:rPr>
                <w:noProof/>
                <w:webHidden/>
              </w:rPr>
              <w:fldChar w:fldCharType="separate"/>
            </w:r>
            <w:r w:rsidR="00937762">
              <w:rPr>
                <w:noProof/>
                <w:webHidden/>
              </w:rPr>
              <w:t>337</w:t>
            </w:r>
            <w:r w:rsidR="00A55699" w:rsidRPr="00452E2E">
              <w:rPr>
                <w:noProof/>
                <w:webHidden/>
              </w:rPr>
              <w:fldChar w:fldCharType="end"/>
            </w:r>
          </w:hyperlink>
        </w:p>
        <w:p w:rsidR="00D03A8E" w:rsidRPr="00452E2E" w:rsidRDefault="003C2ACD" w:rsidP="00D03A8E">
          <w:pPr>
            <w:spacing w:before="240" w:after="0"/>
          </w:pPr>
          <w:r w:rsidRPr="00452E2E">
            <w:fldChar w:fldCharType="end"/>
          </w:r>
        </w:p>
      </w:sdtContent>
    </w:sdt>
    <w:p w:rsidR="003C2ACD" w:rsidRPr="00452E2E" w:rsidRDefault="003C2ACD" w:rsidP="00D03A8E">
      <w:pPr>
        <w:pStyle w:val="Heading1"/>
        <w:numPr>
          <w:ilvl w:val="0"/>
          <w:numId w:val="0"/>
        </w:numPr>
        <w:sectPr w:rsidR="003C2ACD" w:rsidRPr="00452E2E" w:rsidSect="00B57950">
          <w:pgSz w:w="11906" w:h="16838"/>
          <w:pgMar w:top="1440" w:right="1440" w:bottom="1440" w:left="2268" w:header="708" w:footer="708" w:gutter="0"/>
          <w:pgNumType w:fmt="lowerRoman"/>
          <w:cols w:space="708"/>
          <w:titlePg/>
          <w:docGrid w:linePitch="360"/>
        </w:sectPr>
      </w:pPr>
    </w:p>
    <w:p w:rsidR="00D03A8E" w:rsidRPr="00452E2E" w:rsidRDefault="00D03A8E" w:rsidP="00EF50FA">
      <w:pPr>
        <w:pStyle w:val="Heading1"/>
        <w:numPr>
          <w:ilvl w:val="0"/>
          <w:numId w:val="0"/>
        </w:numPr>
        <w:jc w:val="left"/>
      </w:pPr>
      <w:bookmarkStart w:id="7" w:name="_Toc473808088"/>
      <w:r w:rsidRPr="00452E2E">
        <w:lastRenderedPageBreak/>
        <w:t>LIST OF TABLES</w:t>
      </w:r>
      <w:bookmarkEnd w:id="7"/>
    </w:p>
    <w:p w:rsidR="00B57950" w:rsidRPr="00452E2E" w:rsidRDefault="00B57950" w:rsidP="00B57950"/>
    <w:p w:rsidR="005A1AD8" w:rsidRPr="00452E2E" w:rsidRDefault="00B57950" w:rsidP="005A1AD8">
      <w:pPr>
        <w:pStyle w:val="TableofFigures"/>
        <w:tabs>
          <w:tab w:val="right" w:leader="dot" w:pos="8188"/>
        </w:tabs>
        <w:spacing w:before="240"/>
        <w:rPr>
          <w:noProof/>
        </w:rPr>
      </w:pPr>
      <w:r w:rsidRPr="00452E2E">
        <w:rPr>
          <w:rFonts w:eastAsiaTheme="majorEastAsia" w:cstheme="majorBidi"/>
          <w:sz w:val="32"/>
          <w:szCs w:val="32"/>
          <w:highlight w:val="lightGray"/>
        </w:rPr>
        <w:fldChar w:fldCharType="begin"/>
      </w:r>
      <w:r w:rsidRPr="00452E2E">
        <w:rPr>
          <w:rFonts w:eastAsiaTheme="majorEastAsia" w:cstheme="majorBidi"/>
          <w:sz w:val="32"/>
          <w:szCs w:val="32"/>
          <w:highlight w:val="lightGray"/>
        </w:rPr>
        <w:instrText xml:space="preserve"> TOC \h \z \c "Table" </w:instrText>
      </w:r>
      <w:r w:rsidRPr="00452E2E">
        <w:rPr>
          <w:rFonts w:eastAsiaTheme="majorEastAsia" w:cstheme="majorBidi"/>
          <w:sz w:val="32"/>
          <w:szCs w:val="32"/>
          <w:highlight w:val="lightGray"/>
        </w:rPr>
        <w:fldChar w:fldCharType="separate"/>
      </w:r>
      <w:hyperlink w:anchor="_Toc465419836" w:history="1">
        <w:r w:rsidRPr="00452E2E">
          <w:rPr>
            <w:rStyle w:val="Hyperlink"/>
            <w:noProof/>
            <w:color w:val="auto"/>
          </w:rPr>
          <w:t>Table 2.1: Characteristics of Seven National Business System Archetypes</w:t>
        </w:r>
        <w:r w:rsidRPr="00452E2E">
          <w:rPr>
            <w:noProof/>
            <w:webHidden/>
          </w:rPr>
          <w:tab/>
        </w:r>
        <w:r w:rsidRPr="00452E2E">
          <w:rPr>
            <w:noProof/>
            <w:webHidden/>
          </w:rPr>
          <w:fldChar w:fldCharType="begin"/>
        </w:r>
        <w:r w:rsidRPr="00452E2E">
          <w:rPr>
            <w:noProof/>
            <w:webHidden/>
          </w:rPr>
          <w:instrText xml:space="preserve"> PAGEREF _Toc465419836 \h </w:instrText>
        </w:r>
        <w:r w:rsidRPr="00452E2E">
          <w:rPr>
            <w:noProof/>
            <w:webHidden/>
          </w:rPr>
        </w:r>
        <w:r w:rsidRPr="00452E2E">
          <w:rPr>
            <w:noProof/>
            <w:webHidden/>
          </w:rPr>
          <w:fldChar w:fldCharType="separate"/>
        </w:r>
        <w:r w:rsidR="0062544E">
          <w:rPr>
            <w:noProof/>
            <w:webHidden/>
          </w:rPr>
          <w:t>43</w:t>
        </w:r>
        <w:r w:rsidRPr="00452E2E">
          <w:rPr>
            <w:noProof/>
            <w:webHidden/>
          </w:rPr>
          <w:fldChar w:fldCharType="end"/>
        </w:r>
      </w:hyperlink>
    </w:p>
    <w:p w:rsidR="005A1AD8" w:rsidRPr="00452E2E" w:rsidRDefault="005A1AD8" w:rsidP="005A1AD8">
      <w:pPr>
        <w:spacing w:before="240"/>
        <w:rPr>
          <w:noProof/>
        </w:rPr>
      </w:pPr>
      <w:r w:rsidRPr="00452E2E">
        <w:rPr>
          <w:noProof/>
        </w:rPr>
        <w:t>Table 4.1: Characteristics of Organizations Participating in Managerial Interviews and Employee Surveys………………………………………………………</w:t>
      </w:r>
      <w:r w:rsidR="00EB76B7" w:rsidRPr="00452E2E">
        <w:rPr>
          <w:noProof/>
        </w:rPr>
        <w:t>…</w:t>
      </w:r>
      <w:r w:rsidR="00585BD2" w:rsidRPr="00452E2E">
        <w:rPr>
          <w:noProof/>
        </w:rPr>
        <w:t>119</w:t>
      </w:r>
    </w:p>
    <w:p w:rsidR="005A1AD8" w:rsidRPr="00452E2E" w:rsidRDefault="005A1AD8" w:rsidP="005A1AD8">
      <w:pPr>
        <w:rPr>
          <w:noProof/>
        </w:rPr>
      </w:pPr>
      <w:r w:rsidRPr="00452E2E">
        <w:rPr>
          <w:noProof/>
        </w:rPr>
        <w:t>Table 4.2: Summary of Data Sources………………………………………………………</w:t>
      </w:r>
      <w:r w:rsidR="00585BD2" w:rsidRPr="00452E2E">
        <w:rPr>
          <w:noProof/>
        </w:rPr>
        <w:t>129</w:t>
      </w:r>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37" w:history="1">
        <w:r w:rsidR="00B57950" w:rsidRPr="00452E2E">
          <w:rPr>
            <w:rStyle w:val="Hyperlink"/>
            <w:noProof/>
            <w:color w:val="auto"/>
          </w:rPr>
          <w:t>Table 5.1: Characteristics of the Sample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_Toc465419837 \h </w:instrText>
        </w:r>
        <w:r w:rsidR="00B57950" w:rsidRPr="00452E2E">
          <w:rPr>
            <w:noProof/>
            <w:webHidden/>
          </w:rPr>
        </w:r>
        <w:r w:rsidR="00B57950" w:rsidRPr="00452E2E">
          <w:rPr>
            <w:noProof/>
            <w:webHidden/>
          </w:rPr>
          <w:fldChar w:fldCharType="separate"/>
        </w:r>
        <w:r w:rsidR="0062544E">
          <w:rPr>
            <w:noProof/>
            <w:webHidden/>
          </w:rPr>
          <w:t>135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38" w:history="1">
        <w:r w:rsidR="00B57950" w:rsidRPr="00452E2E">
          <w:rPr>
            <w:rStyle w:val="Hyperlink"/>
            <w:noProof/>
            <w:color w:val="auto"/>
          </w:rPr>
          <w:t>Table 5.2: Mean and Standard Deviation of Institutional Variables</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_Toc465419838 \h </w:instrText>
        </w:r>
        <w:r w:rsidR="00B57950" w:rsidRPr="00452E2E">
          <w:rPr>
            <w:noProof/>
            <w:webHidden/>
          </w:rPr>
        </w:r>
        <w:r w:rsidR="00B57950" w:rsidRPr="00452E2E">
          <w:rPr>
            <w:noProof/>
            <w:webHidden/>
          </w:rPr>
          <w:fldChar w:fldCharType="separate"/>
        </w:r>
        <w:r w:rsidR="0062544E">
          <w:rPr>
            <w:noProof/>
            <w:webHidden/>
          </w:rPr>
          <w:t>136</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39" w:history="1">
        <w:r w:rsidR="00B57950" w:rsidRPr="00452E2E">
          <w:rPr>
            <w:rStyle w:val="Hyperlink"/>
            <w:noProof/>
            <w:color w:val="auto"/>
          </w:rPr>
          <w:t xml:space="preserve">Table 5.3: </w:t>
        </w:r>
        <w:r w:rsidR="00E75B87">
          <w:rPr>
            <w:rStyle w:val="Hyperlink"/>
            <w:noProof/>
            <w:color w:val="auto"/>
          </w:rPr>
          <w:t>ANCOVA</w:t>
        </w:r>
        <w:r w:rsidR="00B57950" w:rsidRPr="00452E2E">
          <w:rPr>
            <w:rStyle w:val="Hyperlink"/>
            <w:noProof/>
            <w:color w:val="auto"/>
          </w:rPr>
          <w:t xml:space="preserve"> predicting the influence of institutions on HRM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_Toc465419839 \h </w:instrText>
        </w:r>
        <w:r w:rsidR="00B57950" w:rsidRPr="00452E2E">
          <w:rPr>
            <w:noProof/>
            <w:webHidden/>
          </w:rPr>
        </w:r>
        <w:r w:rsidR="00B57950" w:rsidRPr="00452E2E">
          <w:rPr>
            <w:noProof/>
            <w:webHidden/>
          </w:rPr>
          <w:fldChar w:fldCharType="separate"/>
        </w:r>
        <w:r w:rsidR="0062544E">
          <w:rPr>
            <w:noProof/>
            <w:webHidden/>
          </w:rPr>
          <w:t>137</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0" w:history="1">
        <w:r w:rsidR="00B57950" w:rsidRPr="00452E2E">
          <w:rPr>
            <w:rStyle w:val="Hyperlink"/>
            <w:noProof/>
            <w:color w:val="auto"/>
          </w:rPr>
          <w:t>Table 5.4: Techniques of recruitment and selection of management staff across whole sample, industry and sector</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_Toc465419840 \h </w:instrText>
        </w:r>
        <w:r w:rsidR="00B57950" w:rsidRPr="00452E2E">
          <w:rPr>
            <w:noProof/>
            <w:webHidden/>
          </w:rPr>
        </w:r>
        <w:r w:rsidR="00B57950" w:rsidRPr="00452E2E">
          <w:rPr>
            <w:noProof/>
            <w:webHidden/>
          </w:rPr>
          <w:fldChar w:fldCharType="separate"/>
        </w:r>
        <w:r w:rsidR="0062544E">
          <w:rPr>
            <w:noProof/>
            <w:webHidden/>
          </w:rPr>
          <w:t>152</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1" w:history="1">
        <w:r w:rsidR="00B57950" w:rsidRPr="00452E2E">
          <w:rPr>
            <w:rStyle w:val="Hyperlink"/>
            <w:noProof/>
            <w:color w:val="auto"/>
          </w:rPr>
          <w:t>Table 5.5: Techniques of recruitment and selection of technical staff across whole sample, industry and sector</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_Toc465419841 \h </w:instrText>
        </w:r>
        <w:r w:rsidR="00B57950" w:rsidRPr="00452E2E">
          <w:rPr>
            <w:noProof/>
            <w:webHidden/>
          </w:rPr>
        </w:r>
        <w:r w:rsidR="00B57950" w:rsidRPr="00452E2E">
          <w:rPr>
            <w:noProof/>
            <w:webHidden/>
          </w:rPr>
          <w:fldChar w:fldCharType="separate"/>
        </w:r>
        <w:r w:rsidR="0062544E">
          <w:rPr>
            <w:noProof/>
            <w:webHidden/>
          </w:rPr>
          <w:t>153</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2" w:history="1">
        <w:r w:rsidR="00B57950" w:rsidRPr="00452E2E">
          <w:rPr>
            <w:rStyle w:val="Hyperlink"/>
            <w:noProof/>
            <w:color w:val="auto"/>
          </w:rPr>
          <w:t>Table 5.6: Techniques of recruitment and selection of clerical staff across whole sample, industry and sector</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_Toc465419842 \h </w:instrText>
        </w:r>
        <w:r w:rsidR="00B57950" w:rsidRPr="00452E2E">
          <w:rPr>
            <w:noProof/>
            <w:webHidden/>
          </w:rPr>
        </w:r>
        <w:r w:rsidR="00B57950" w:rsidRPr="00452E2E">
          <w:rPr>
            <w:noProof/>
            <w:webHidden/>
          </w:rPr>
          <w:fldChar w:fldCharType="separate"/>
        </w:r>
        <w:r w:rsidR="0062544E">
          <w:rPr>
            <w:noProof/>
            <w:webHidden/>
          </w:rPr>
          <w:t>154</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3" w:history="1">
        <w:r w:rsidR="00B57950" w:rsidRPr="00452E2E">
          <w:rPr>
            <w:rStyle w:val="Hyperlink"/>
            <w:noProof/>
            <w:color w:val="auto"/>
          </w:rPr>
          <w:t>Table 5.7: Techniques of recruitment and selection of manual staff across whole sample, industry and sector</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_Toc465419843 \h </w:instrText>
        </w:r>
        <w:r w:rsidR="00B57950" w:rsidRPr="00452E2E">
          <w:rPr>
            <w:noProof/>
            <w:webHidden/>
          </w:rPr>
        </w:r>
        <w:r w:rsidR="00B57950" w:rsidRPr="00452E2E">
          <w:rPr>
            <w:noProof/>
            <w:webHidden/>
          </w:rPr>
          <w:fldChar w:fldCharType="separate"/>
        </w:r>
        <w:r w:rsidR="0062544E">
          <w:rPr>
            <w:noProof/>
            <w:webHidden/>
          </w:rPr>
          <w:t>155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4" w:history="1">
        <w:r w:rsidR="00B57950" w:rsidRPr="00452E2E">
          <w:rPr>
            <w:rStyle w:val="Hyperlink"/>
            <w:noProof/>
            <w:color w:val="auto"/>
          </w:rPr>
          <w:t>Table 5.8: Predicting the extent of use of recruitment techniques for management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_Toc465419844 \h </w:instrText>
        </w:r>
        <w:r w:rsidR="00B57950" w:rsidRPr="00452E2E">
          <w:rPr>
            <w:noProof/>
            <w:webHidden/>
          </w:rPr>
        </w:r>
        <w:r w:rsidR="00B57950" w:rsidRPr="00452E2E">
          <w:rPr>
            <w:noProof/>
            <w:webHidden/>
          </w:rPr>
          <w:fldChar w:fldCharType="separate"/>
        </w:r>
        <w:r w:rsidR="0062544E">
          <w:rPr>
            <w:noProof/>
            <w:webHidden/>
          </w:rPr>
          <w:t>159</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5" w:history="1">
        <w:r w:rsidR="00B57950" w:rsidRPr="00452E2E">
          <w:rPr>
            <w:rStyle w:val="Hyperlink"/>
            <w:noProof/>
            <w:color w:val="auto"/>
          </w:rPr>
          <w:t>Table 5.9: Predicting the extent of use of recruitment techniques for technical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_Toc465419845 \h </w:instrText>
        </w:r>
        <w:r w:rsidR="00B57950" w:rsidRPr="00452E2E">
          <w:rPr>
            <w:noProof/>
            <w:webHidden/>
          </w:rPr>
        </w:r>
        <w:r w:rsidR="00B57950" w:rsidRPr="00452E2E">
          <w:rPr>
            <w:noProof/>
            <w:webHidden/>
          </w:rPr>
          <w:fldChar w:fldCharType="separate"/>
        </w:r>
        <w:r w:rsidR="0062544E">
          <w:rPr>
            <w:noProof/>
            <w:webHidden/>
          </w:rPr>
          <w:t>160</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6" w:history="1">
        <w:r w:rsidR="00B57950" w:rsidRPr="00452E2E">
          <w:rPr>
            <w:rStyle w:val="Hyperlink"/>
            <w:noProof/>
            <w:color w:val="auto"/>
          </w:rPr>
          <w:t>Table 5.10: Predicting the extent of use of recruitment techniques for clerical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_Toc465419846 \h </w:instrText>
        </w:r>
        <w:r w:rsidR="00B57950" w:rsidRPr="00452E2E">
          <w:rPr>
            <w:noProof/>
            <w:webHidden/>
          </w:rPr>
        </w:r>
        <w:r w:rsidR="00B57950" w:rsidRPr="00452E2E">
          <w:rPr>
            <w:noProof/>
            <w:webHidden/>
          </w:rPr>
          <w:fldChar w:fldCharType="separate"/>
        </w:r>
        <w:r w:rsidR="0062544E">
          <w:rPr>
            <w:noProof/>
            <w:webHidden/>
          </w:rPr>
          <w:t>161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7" w:history="1">
        <w:r w:rsidR="00B57950" w:rsidRPr="00452E2E">
          <w:rPr>
            <w:rStyle w:val="Hyperlink"/>
            <w:noProof/>
            <w:color w:val="auto"/>
          </w:rPr>
          <w:t>Table 5.11:  Predicting the extent of use of recruitment techniques for manual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_Toc465419847 \h </w:instrText>
        </w:r>
        <w:r w:rsidR="00B57950" w:rsidRPr="00452E2E">
          <w:rPr>
            <w:noProof/>
            <w:webHidden/>
          </w:rPr>
        </w:r>
        <w:r w:rsidR="00B57950" w:rsidRPr="00452E2E">
          <w:rPr>
            <w:noProof/>
            <w:webHidden/>
          </w:rPr>
          <w:fldChar w:fldCharType="separate"/>
        </w:r>
        <w:r w:rsidR="0062544E">
          <w:rPr>
            <w:noProof/>
            <w:webHidden/>
          </w:rPr>
          <w:t>162</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8" w:history="1">
        <w:r w:rsidR="00B57950" w:rsidRPr="00452E2E">
          <w:rPr>
            <w:rStyle w:val="Hyperlink"/>
            <w:noProof/>
            <w:color w:val="auto"/>
          </w:rPr>
          <w:t>Table 5.12: Predicting the extent of use of selection techniques for management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_Toc465419848 \h </w:instrText>
        </w:r>
        <w:r w:rsidR="00B57950" w:rsidRPr="00452E2E">
          <w:rPr>
            <w:noProof/>
            <w:webHidden/>
          </w:rPr>
        </w:r>
        <w:r w:rsidR="00B57950" w:rsidRPr="00452E2E">
          <w:rPr>
            <w:noProof/>
            <w:webHidden/>
          </w:rPr>
          <w:fldChar w:fldCharType="separate"/>
        </w:r>
        <w:r w:rsidR="0062544E">
          <w:rPr>
            <w:noProof/>
            <w:webHidden/>
          </w:rPr>
          <w:t>165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49" w:history="1">
        <w:r w:rsidR="00B57950" w:rsidRPr="00452E2E">
          <w:rPr>
            <w:rStyle w:val="Hyperlink"/>
            <w:noProof/>
            <w:color w:val="auto"/>
          </w:rPr>
          <w:t>Table 5.13: Predicting the extent of use of selection techniques for technical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_Toc465419849 \h </w:instrText>
        </w:r>
        <w:r w:rsidR="00B57950" w:rsidRPr="00452E2E">
          <w:rPr>
            <w:noProof/>
            <w:webHidden/>
          </w:rPr>
        </w:r>
        <w:r w:rsidR="00B57950" w:rsidRPr="00452E2E">
          <w:rPr>
            <w:noProof/>
            <w:webHidden/>
          </w:rPr>
          <w:fldChar w:fldCharType="separate"/>
        </w:r>
        <w:r w:rsidR="0062544E">
          <w:rPr>
            <w:noProof/>
            <w:webHidden/>
          </w:rPr>
          <w:t>166</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0" w:history="1">
        <w:r w:rsidR="00B57950" w:rsidRPr="00452E2E">
          <w:rPr>
            <w:rStyle w:val="Hyperlink"/>
            <w:noProof/>
            <w:color w:val="auto"/>
          </w:rPr>
          <w:t>Table 5.14: Predicting the extent of use of selection techniques for clerical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_Toc465419850 \h </w:instrText>
        </w:r>
        <w:r w:rsidR="00B57950" w:rsidRPr="00452E2E">
          <w:rPr>
            <w:noProof/>
            <w:webHidden/>
          </w:rPr>
        </w:r>
        <w:r w:rsidR="00B57950" w:rsidRPr="00452E2E">
          <w:rPr>
            <w:noProof/>
            <w:webHidden/>
          </w:rPr>
          <w:fldChar w:fldCharType="separate"/>
        </w:r>
        <w:r w:rsidR="0062544E">
          <w:rPr>
            <w:noProof/>
            <w:webHidden/>
          </w:rPr>
          <w:t>167</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1" w:history="1">
        <w:r w:rsidR="00B57950" w:rsidRPr="00452E2E">
          <w:rPr>
            <w:rStyle w:val="Hyperlink"/>
            <w:noProof/>
            <w:color w:val="auto"/>
          </w:rPr>
          <w:t>Table 5.15:  Predicting the extent of use of selection techniques for manual staff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_Toc465419851 \h </w:instrText>
        </w:r>
        <w:r w:rsidR="00B57950" w:rsidRPr="00452E2E">
          <w:rPr>
            <w:noProof/>
            <w:webHidden/>
          </w:rPr>
        </w:r>
        <w:r w:rsidR="00B57950" w:rsidRPr="00452E2E">
          <w:rPr>
            <w:noProof/>
            <w:webHidden/>
          </w:rPr>
          <w:fldChar w:fldCharType="separate"/>
        </w:r>
        <w:r w:rsidR="0062544E">
          <w:rPr>
            <w:noProof/>
            <w:webHidden/>
          </w:rPr>
          <w:t>168</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2" w:history="1">
        <w:r w:rsidR="00B57950" w:rsidRPr="00452E2E">
          <w:rPr>
            <w:rStyle w:val="Hyperlink"/>
            <w:noProof/>
            <w:color w:val="auto"/>
          </w:rPr>
          <w:t>Table 5.16: Techniques of training across whole sample, industry and sector</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_Toc465419852 \h </w:instrText>
        </w:r>
        <w:r w:rsidR="00B57950" w:rsidRPr="00452E2E">
          <w:rPr>
            <w:noProof/>
            <w:webHidden/>
          </w:rPr>
        </w:r>
        <w:r w:rsidR="00B57950" w:rsidRPr="00452E2E">
          <w:rPr>
            <w:noProof/>
            <w:webHidden/>
          </w:rPr>
          <w:fldChar w:fldCharType="separate"/>
        </w:r>
        <w:r w:rsidR="0062544E">
          <w:rPr>
            <w:noProof/>
            <w:webHidden/>
          </w:rPr>
          <w:t>170</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3" w:history="1">
        <w:r w:rsidR="00B57950" w:rsidRPr="00452E2E">
          <w:rPr>
            <w:rStyle w:val="Hyperlink"/>
            <w:noProof/>
            <w:color w:val="auto"/>
          </w:rPr>
          <w:t>Table 5.17: Predicting the use of training techniques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_Toc465419853 \h </w:instrText>
        </w:r>
        <w:r w:rsidR="00B57950" w:rsidRPr="00452E2E">
          <w:rPr>
            <w:noProof/>
            <w:webHidden/>
          </w:rPr>
        </w:r>
        <w:r w:rsidR="00B57950" w:rsidRPr="00452E2E">
          <w:rPr>
            <w:noProof/>
            <w:webHidden/>
          </w:rPr>
          <w:fldChar w:fldCharType="separate"/>
        </w:r>
        <w:r w:rsidR="0062544E">
          <w:rPr>
            <w:noProof/>
            <w:webHidden/>
          </w:rPr>
          <w:t>171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4" w:history="1">
        <w:r w:rsidR="00B57950" w:rsidRPr="00452E2E">
          <w:rPr>
            <w:rStyle w:val="Hyperlink"/>
            <w:noProof/>
            <w:color w:val="auto"/>
          </w:rPr>
          <w:t>Table 5.18: Predicting the use of training techniques from industry, sector and size (cont’d)</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_Toc465419854 \h </w:instrText>
        </w:r>
        <w:r w:rsidR="00B57950" w:rsidRPr="00452E2E">
          <w:rPr>
            <w:noProof/>
            <w:webHidden/>
          </w:rPr>
        </w:r>
        <w:r w:rsidR="00B57950" w:rsidRPr="00452E2E">
          <w:rPr>
            <w:noProof/>
            <w:webHidden/>
          </w:rPr>
          <w:fldChar w:fldCharType="separate"/>
        </w:r>
        <w:r w:rsidR="0062544E">
          <w:rPr>
            <w:noProof/>
            <w:webHidden/>
          </w:rPr>
          <w:t>172</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5" w:history="1">
        <w:r w:rsidR="00B57950" w:rsidRPr="00452E2E">
          <w:rPr>
            <w:rStyle w:val="Hyperlink"/>
            <w:noProof/>
            <w:color w:val="auto"/>
          </w:rPr>
          <w:t>Table 5.19: Techniques of employee benefits across whole sample, industry and sector</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_Toc465419855 \h </w:instrText>
        </w:r>
        <w:r w:rsidR="00B57950" w:rsidRPr="00452E2E">
          <w:rPr>
            <w:noProof/>
            <w:webHidden/>
          </w:rPr>
        </w:r>
        <w:r w:rsidR="00B57950" w:rsidRPr="00452E2E">
          <w:rPr>
            <w:noProof/>
            <w:webHidden/>
          </w:rPr>
          <w:fldChar w:fldCharType="separate"/>
        </w:r>
        <w:r w:rsidR="0062544E">
          <w:rPr>
            <w:noProof/>
            <w:webHidden/>
          </w:rPr>
          <w:t>175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6" w:history="1">
        <w:r w:rsidR="00B57950" w:rsidRPr="00452E2E">
          <w:rPr>
            <w:rStyle w:val="Hyperlink"/>
            <w:noProof/>
            <w:color w:val="auto"/>
          </w:rPr>
          <w:t>Table 5.20: Predicting the use of employee benefits techniques from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_Toc465419856 \h </w:instrText>
        </w:r>
        <w:r w:rsidR="00B57950" w:rsidRPr="00452E2E">
          <w:rPr>
            <w:noProof/>
            <w:webHidden/>
          </w:rPr>
        </w:r>
        <w:r w:rsidR="00B57950" w:rsidRPr="00452E2E">
          <w:rPr>
            <w:noProof/>
            <w:webHidden/>
          </w:rPr>
          <w:fldChar w:fldCharType="separate"/>
        </w:r>
        <w:r w:rsidR="0062544E">
          <w:rPr>
            <w:noProof/>
            <w:webHidden/>
          </w:rPr>
          <w:t>176</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7" w:history="1">
        <w:r w:rsidR="00B57950" w:rsidRPr="00452E2E">
          <w:rPr>
            <w:rStyle w:val="Hyperlink"/>
            <w:noProof/>
            <w:color w:val="auto"/>
          </w:rPr>
          <w:t>Table 5.21: Techniques of employee participation across whole sample, industry and sector</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_Toc465419857 \h </w:instrText>
        </w:r>
        <w:r w:rsidR="00B57950" w:rsidRPr="00452E2E">
          <w:rPr>
            <w:noProof/>
            <w:webHidden/>
          </w:rPr>
        </w:r>
        <w:r w:rsidR="00B57950" w:rsidRPr="00452E2E">
          <w:rPr>
            <w:noProof/>
            <w:webHidden/>
          </w:rPr>
          <w:fldChar w:fldCharType="separate"/>
        </w:r>
        <w:r w:rsidR="0062544E">
          <w:rPr>
            <w:noProof/>
            <w:webHidden/>
          </w:rPr>
          <w:t>180</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8" w:history="1">
        <w:r w:rsidR="00B57950" w:rsidRPr="00452E2E">
          <w:rPr>
            <w:rStyle w:val="Hyperlink"/>
            <w:noProof/>
            <w:color w:val="auto"/>
          </w:rPr>
          <w:t>Table 5.22: Predicting the use of information sharing techniques on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_Toc465419858 \h </w:instrText>
        </w:r>
        <w:r w:rsidR="00B57950" w:rsidRPr="00452E2E">
          <w:rPr>
            <w:noProof/>
            <w:webHidden/>
          </w:rPr>
        </w:r>
        <w:r w:rsidR="00B57950" w:rsidRPr="00452E2E">
          <w:rPr>
            <w:noProof/>
            <w:webHidden/>
          </w:rPr>
          <w:fldChar w:fldCharType="separate"/>
        </w:r>
        <w:r w:rsidR="0062544E">
          <w:rPr>
            <w:noProof/>
            <w:webHidden/>
          </w:rPr>
          <w:t>181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59" w:history="1">
        <w:r w:rsidR="00B57950" w:rsidRPr="00452E2E">
          <w:rPr>
            <w:rStyle w:val="Hyperlink"/>
            <w:noProof/>
            <w:color w:val="auto"/>
          </w:rPr>
          <w:t>Table 5.23: Predicting the use of employee consultation techniques on industry, sector and size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_Toc465419859 \h </w:instrText>
        </w:r>
        <w:r w:rsidR="00B57950" w:rsidRPr="00452E2E">
          <w:rPr>
            <w:noProof/>
            <w:webHidden/>
          </w:rPr>
        </w:r>
        <w:r w:rsidR="00B57950" w:rsidRPr="00452E2E">
          <w:rPr>
            <w:noProof/>
            <w:webHidden/>
          </w:rPr>
          <w:fldChar w:fldCharType="separate"/>
        </w:r>
        <w:r w:rsidR="0062544E">
          <w:rPr>
            <w:noProof/>
            <w:webHidden/>
          </w:rPr>
          <w:t>182</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0" w:history="1">
        <w:r w:rsidR="00B57950" w:rsidRPr="00452E2E">
          <w:rPr>
            <w:rStyle w:val="Hyperlink"/>
            <w:noProof/>
            <w:color w:val="auto"/>
          </w:rPr>
          <w:t>Table 7.1: Characteristic of the Sample</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_Toc465419860 \h </w:instrText>
        </w:r>
        <w:r w:rsidR="00B57950" w:rsidRPr="00452E2E">
          <w:rPr>
            <w:noProof/>
            <w:webHidden/>
          </w:rPr>
        </w:r>
        <w:r w:rsidR="00B57950" w:rsidRPr="00452E2E">
          <w:rPr>
            <w:noProof/>
            <w:webHidden/>
          </w:rPr>
          <w:fldChar w:fldCharType="separate"/>
        </w:r>
        <w:r w:rsidR="0062544E">
          <w:rPr>
            <w:noProof/>
            <w:webHidden/>
          </w:rPr>
          <w:t>203</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1" w:history="1">
        <w:r w:rsidR="00B57950" w:rsidRPr="00452E2E">
          <w:rPr>
            <w:rStyle w:val="Hyperlink"/>
            <w:noProof/>
            <w:color w:val="auto"/>
          </w:rPr>
          <w:t>Table 7.2: Model Fit Indices</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_Toc465419861 \h </w:instrText>
        </w:r>
        <w:r w:rsidR="00B57950" w:rsidRPr="00452E2E">
          <w:rPr>
            <w:noProof/>
            <w:webHidden/>
          </w:rPr>
        </w:r>
        <w:r w:rsidR="00B57950" w:rsidRPr="00452E2E">
          <w:rPr>
            <w:noProof/>
            <w:webHidden/>
          </w:rPr>
          <w:fldChar w:fldCharType="separate"/>
        </w:r>
        <w:r w:rsidR="0062544E">
          <w:rPr>
            <w:noProof/>
            <w:webHidden/>
          </w:rPr>
          <w:t>205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2" w:history="1">
        <w:r w:rsidR="00B57950" w:rsidRPr="00452E2E">
          <w:rPr>
            <w:rStyle w:val="Hyperlink"/>
            <w:noProof/>
            <w:color w:val="auto"/>
          </w:rPr>
          <w:t>Table 7.3: Descriptive Statistics: Means, Standard Deviations, Reliabilities, Validity and Bivariate Correlations of Variables</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_Toc465419862 \h </w:instrText>
        </w:r>
        <w:r w:rsidR="00B57950" w:rsidRPr="00452E2E">
          <w:rPr>
            <w:noProof/>
            <w:webHidden/>
          </w:rPr>
        </w:r>
        <w:r w:rsidR="00B57950" w:rsidRPr="00452E2E">
          <w:rPr>
            <w:noProof/>
            <w:webHidden/>
          </w:rPr>
          <w:fldChar w:fldCharType="separate"/>
        </w:r>
        <w:r w:rsidR="0062544E">
          <w:rPr>
            <w:noProof/>
            <w:webHidden/>
          </w:rPr>
          <w:t>208</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3" w:history="1">
        <w:r w:rsidR="00B57950" w:rsidRPr="00452E2E">
          <w:rPr>
            <w:rStyle w:val="Hyperlink"/>
            <w:noProof/>
            <w:color w:val="auto"/>
          </w:rPr>
          <w:t>Table 7.4: Multiple Regression Results Showing the Effects of HR Practices on Job Satisfaction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_Toc465419863 \h </w:instrText>
        </w:r>
        <w:r w:rsidR="00B57950" w:rsidRPr="00452E2E">
          <w:rPr>
            <w:noProof/>
            <w:webHidden/>
          </w:rPr>
        </w:r>
        <w:r w:rsidR="00B57950" w:rsidRPr="00452E2E">
          <w:rPr>
            <w:noProof/>
            <w:webHidden/>
          </w:rPr>
          <w:fldChar w:fldCharType="separate"/>
        </w:r>
        <w:r w:rsidR="0062544E">
          <w:rPr>
            <w:noProof/>
            <w:webHidden/>
          </w:rPr>
          <w:t>211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4" w:history="1">
        <w:r w:rsidR="00B57950" w:rsidRPr="00452E2E">
          <w:rPr>
            <w:rStyle w:val="Hyperlink"/>
            <w:noProof/>
            <w:color w:val="auto"/>
          </w:rPr>
          <w:t>Table 7.5: Multiple Regression Results Showing the Effects of HR Practices on Normative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_Toc465419864 \h </w:instrText>
        </w:r>
        <w:r w:rsidR="00B57950" w:rsidRPr="00452E2E">
          <w:rPr>
            <w:noProof/>
            <w:webHidden/>
          </w:rPr>
        </w:r>
        <w:r w:rsidR="00B57950" w:rsidRPr="00452E2E">
          <w:rPr>
            <w:noProof/>
            <w:webHidden/>
          </w:rPr>
          <w:fldChar w:fldCharType="separate"/>
        </w:r>
        <w:r w:rsidR="0062544E">
          <w:rPr>
            <w:noProof/>
            <w:webHidden/>
          </w:rPr>
          <w:t>213</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5" w:history="1">
        <w:r w:rsidR="00B57950" w:rsidRPr="00452E2E">
          <w:rPr>
            <w:rStyle w:val="Hyperlink"/>
            <w:noProof/>
            <w:color w:val="auto"/>
          </w:rPr>
          <w:t>Table 7.6: Regression Results Showing the Effects of Procedural Justice on Job Satisfaction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_Toc465419865 \h </w:instrText>
        </w:r>
        <w:r w:rsidR="00B57950" w:rsidRPr="00452E2E">
          <w:rPr>
            <w:noProof/>
            <w:webHidden/>
          </w:rPr>
        </w:r>
        <w:r w:rsidR="00B57950" w:rsidRPr="00452E2E">
          <w:rPr>
            <w:noProof/>
            <w:webHidden/>
          </w:rPr>
          <w:fldChar w:fldCharType="separate"/>
        </w:r>
        <w:r w:rsidR="0062544E">
          <w:rPr>
            <w:noProof/>
            <w:webHidden/>
          </w:rPr>
          <w:t>214</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6" w:history="1">
        <w:r w:rsidR="00B57950" w:rsidRPr="00452E2E">
          <w:rPr>
            <w:rStyle w:val="Hyperlink"/>
            <w:noProof/>
            <w:color w:val="auto"/>
          </w:rPr>
          <w:t>Table 7.0.7: Regression Results Showing the Effects of Procedural Justice on Normative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_Toc465419866 \h </w:instrText>
        </w:r>
        <w:r w:rsidR="00B57950" w:rsidRPr="00452E2E">
          <w:rPr>
            <w:noProof/>
            <w:webHidden/>
          </w:rPr>
        </w:r>
        <w:r w:rsidR="00B57950" w:rsidRPr="00452E2E">
          <w:rPr>
            <w:noProof/>
            <w:webHidden/>
          </w:rPr>
          <w:fldChar w:fldCharType="separate"/>
        </w:r>
        <w:r w:rsidR="0062544E">
          <w:rPr>
            <w:noProof/>
            <w:webHidden/>
          </w:rPr>
          <w:t>215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7" w:history="1">
        <w:r w:rsidR="00B57950" w:rsidRPr="00452E2E">
          <w:rPr>
            <w:rStyle w:val="Hyperlink"/>
            <w:noProof/>
            <w:color w:val="auto"/>
          </w:rPr>
          <w:t>Table 7.8: Regression Results Showing the Effects of Commitment-focused HR Attribution on Job Satisfaction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_Toc465419867 \h </w:instrText>
        </w:r>
        <w:r w:rsidR="00B57950" w:rsidRPr="00452E2E">
          <w:rPr>
            <w:noProof/>
            <w:webHidden/>
          </w:rPr>
        </w:r>
        <w:r w:rsidR="00B57950" w:rsidRPr="00452E2E">
          <w:rPr>
            <w:noProof/>
            <w:webHidden/>
          </w:rPr>
          <w:fldChar w:fldCharType="separate"/>
        </w:r>
        <w:r w:rsidR="0062544E">
          <w:rPr>
            <w:noProof/>
            <w:webHidden/>
          </w:rPr>
          <w:t>217</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8" w:history="1">
        <w:r w:rsidR="00B57950" w:rsidRPr="00452E2E">
          <w:rPr>
            <w:rStyle w:val="Hyperlink"/>
            <w:noProof/>
            <w:color w:val="auto"/>
          </w:rPr>
          <w:t>Table 7.9: Regression Results Showing the Effects of Commitment-focused HR Attribution on Normative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_Toc465419868 \h </w:instrText>
        </w:r>
        <w:r w:rsidR="00B57950" w:rsidRPr="00452E2E">
          <w:rPr>
            <w:noProof/>
            <w:webHidden/>
          </w:rPr>
        </w:r>
        <w:r w:rsidR="00B57950" w:rsidRPr="00452E2E">
          <w:rPr>
            <w:noProof/>
            <w:webHidden/>
          </w:rPr>
          <w:fldChar w:fldCharType="separate"/>
        </w:r>
        <w:r w:rsidR="0062544E">
          <w:rPr>
            <w:noProof/>
            <w:webHidden/>
          </w:rPr>
          <w:t>218</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69" w:history="1">
        <w:r w:rsidR="00B57950" w:rsidRPr="00452E2E">
          <w:rPr>
            <w:rStyle w:val="Hyperlink"/>
            <w:noProof/>
            <w:color w:val="auto"/>
          </w:rPr>
          <w:t>Table 7.10: Regression Results Showing the Effects of Control-focused HR Attribution on Job Satisfaction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_Toc465419869 \h </w:instrText>
        </w:r>
        <w:r w:rsidR="00B57950" w:rsidRPr="00452E2E">
          <w:rPr>
            <w:noProof/>
            <w:webHidden/>
          </w:rPr>
        </w:r>
        <w:r w:rsidR="00B57950" w:rsidRPr="00452E2E">
          <w:rPr>
            <w:noProof/>
            <w:webHidden/>
          </w:rPr>
          <w:fldChar w:fldCharType="separate"/>
        </w:r>
        <w:r w:rsidR="0062544E">
          <w:rPr>
            <w:noProof/>
            <w:webHidden/>
          </w:rPr>
          <w:t>219</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0" w:history="1">
        <w:r w:rsidR="00B57950" w:rsidRPr="00452E2E">
          <w:rPr>
            <w:rStyle w:val="Hyperlink"/>
            <w:noProof/>
            <w:color w:val="auto"/>
          </w:rPr>
          <w:t>Table 7.11: Regression Results Showing the Effects of Control-focused HR Attribution on Normative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_Toc465419870 \h </w:instrText>
        </w:r>
        <w:r w:rsidR="00B57950" w:rsidRPr="00452E2E">
          <w:rPr>
            <w:noProof/>
            <w:webHidden/>
          </w:rPr>
        </w:r>
        <w:r w:rsidR="00B57950" w:rsidRPr="00452E2E">
          <w:rPr>
            <w:noProof/>
            <w:webHidden/>
          </w:rPr>
          <w:fldChar w:fldCharType="separate"/>
        </w:r>
        <w:r w:rsidR="0062544E">
          <w:rPr>
            <w:noProof/>
            <w:webHidden/>
          </w:rPr>
          <w:t>219</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1" w:history="1">
        <w:r w:rsidR="00B57950" w:rsidRPr="00452E2E">
          <w:rPr>
            <w:rStyle w:val="Hyperlink"/>
            <w:noProof/>
            <w:color w:val="auto"/>
          </w:rPr>
          <w:t>Table 7.12: Regression Results Showing the Effects of Union Compliance HR Attribution on Job Satisfaction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_Toc465419871 \h </w:instrText>
        </w:r>
        <w:r w:rsidR="00B57950" w:rsidRPr="00452E2E">
          <w:rPr>
            <w:noProof/>
            <w:webHidden/>
          </w:rPr>
        </w:r>
        <w:r w:rsidR="00B57950" w:rsidRPr="00452E2E">
          <w:rPr>
            <w:noProof/>
            <w:webHidden/>
          </w:rPr>
          <w:fldChar w:fldCharType="separate"/>
        </w:r>
        <w:r w:rsidR="0062544E">
          <w:rPr>
            <w:noProof/>
            <w:webHidden/>
          </w:rPr>
          <w:t>220</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2" w:history="1">
        <w:r w:rsidR="00B57950" w:rsidRPr="00452E2E">
          <w:rPr>
            <w:rStyle w:val="Hyperlink"/>
            <w:noProof/>
            <w:color w:val="auto"/>
          </w:rPr>
          <w:t>Table 7.13: Regression Results Showing the Effects of Union Compliance HR Attribution on Normative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_Toc465419872 \h </w:instrText>
        </w:r>
        <w:r w:rsidR="00B57950" w:rsidRPr="00452E2E">
          <w:rPr>
            <w:noProof/>
            <w:webHidden/>
          </w:rPr>
        </w:r>
        <w:r w:rsidR="00B57950" w:rsidRPr="00452E2E">
          <w:rPr>
            <w:noProof/>
            <w:webHidden/>
          </w:rPr>
          <w:fldChar w:fldCharType="separate"/>
        </w:r>
        <w:r w:rsidR="0062544E">
          <w:rPr>
            <w:noProof/>
            <w:webHidden/>
          </w:rPr>
          <w:t>221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3" w:history="1">
        <w:r w:rsidR="00B57950" w:rsidRPr="00452E2E">
          <w:rPr>
            <w:rStyle w:val="Hyperlink"/>
            <w:noProof/>
            <w:color w:val="auto"/>
          </w:rPr>
          <w:t>Table 7.14: Mediation Effect of Procedural Justice, Commitment-focused HR Attribution, Control-focused HR Attribution and Union Compliance HR Attribution on the Relationship between HR Practices and Job Satisfaction</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_Toc465419873 \h </w:instrText>
        </w:r>
        <w:r w:rsidR="00B57950" w:rsidRPr="00452E2E">
          <w:rPr>
            <w:noProof/>
            <w:webHidden/>
          </w:rPr>
        </w:r>
        <w:r w:rsidR="00B57950" w:rsidRPr="00452E2E">
          <w:rPr>
            <w:noProof/>
            <w:webHidden/>
          </w:rPr>
          <w:fldChar w:fldCharType="separate"/>
        </w:r>
        <w:r w:rsidR="0062544E">
          <w:rPr>
            <w:noProof/>
            <w:webHidden/>
          </w:rPr>
          <w:t>223</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4" w:history="1">
        <w:r w:rsidR="00B57950" w:rsidRPr="00452E2E">
          <w:rPr>
            <w:rStyle w:val="Hyperlink"/>
            <w:noProof/>
            <w:color w:val="auto"/>
          </w:rPr>
          <w:t>Table 7.15: Mediation Effect of Procedural Justice, Commitment-focused HR Attribution, Control-focused HR Attribution and Union Compliance HR Attribution on the Relationship between HR Practices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_Toc465419874 \h </w:instrText>
        </w:r>
        <w:r w:rsidR="00B57950" w:rsidRPr="00452E2E">
          <w:rPr>
            <w:noProof/>
            <w:webHidden/>
          </w:rPr>
        </w:r>
        <w:r w:rsidR="00B57950" w:rsidRPr="00452E2E">
          <w:rPr>
            <w:noProof/>
            <w:webHidden/>
          </w:rPr>
          <w:fldChar w:fldCharType="separate"/>
        </w:r>
        <w:r w:rsidR="0062544E">
          <w:rPr>
            <w:noProof/>
            <w:webHidden/>
          </w:rPr>
          <w:t>225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5" w:history="1">
        <w:r w:rsidR="00B57950" w:rsidRPr="00452E2E">
          <w:rPr>
            <w:rStyle w:val="Hyperlink"/>
            <w:noProof/>
            <w:color w:val="auto"/>
          </w:rPr>
          <w:t>Table 7.16: Mediation Effect of Procedural Justice, Commitment-focused HR Attribution, Control-focused HR Attribution and Union Compliance HR Attribution on the Relationship between HR Practices and Normative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_Toc465419875 \h </w:instrText>
        </w:r>
        <w:r w:rsidR="00B57950" w:rsidRPr="00452E2E">
          <w:rPr>
            <w:noProof/>
            <w:webHidden/>
          </w:rPr>
        </w:r>
        <w:r w:rsidR="00B57950" w:rsidRPr="00452E2E">
          <w:rPr>
            <w:noProof/>
            <w:webHidden/>
          </w:rPr>
          <w:fldChar w:fldCharType="separate"/>
        </w:r>
        <w:r w:rsidR="0062544E">
          <w:rPr>
            <w:noProof/>
            <w:webHidden/>
          </w:rPr>
          <w:t>227</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6" w:history="1">
        <w:r w:rsidR="00B57950" w:rsidRPr="00452E2E">
          <w:rPr>
            <w:rStyle w:val="Hyperlink"/>
            <w:noProof/>
            <w:color w:val="auto"/>
          </w:rPr>
          <w:t>Table 7.17: Mediation Effect of Procedural Justice, Commitment-focused HR Attribution, Control-focused HR Attribution and Union Compliance HR Attribution on the Relationship between HR Practices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_Toc465419876 \h </w:instrText>
        </w:r>
        <w:r w:rsidR="00B57950" w:rsidRPr="00452E2E">
          <w:rPr>
            <w:noProof/>
            <w:webHidden/>
          </w:rPr>
        </w:r>
        <w:r w:rsidR="00B57950" w:rsidRPr="00452E2E">
          <w:rPr>
            <w:noProof/>
            <w:webHidden/>
          </w:rPr>
          <w:fldChar w:fldCharType="separate"/>
        </w:r>
        <w:r w:rsidR="0062544E">
          <w:rPr>
            <w:noProof/>
            <w:webHidden/>
          </w:rPr>
          <w:t>228</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7" w:history="1">
        <w:r w:rsidR="00B57950" w:rsidRPr="00452E2E">
          <w:rPr>
            <w:rStyle w:val="Hyperlink"/>
            <w:noProof/>
            <w:color w:val="auto"/>
          </w:rPr>
          <w:t>Table 7.18: Moderated Mediation Effect of Procedural Justice and Sector on the Relationship between HR Practices and Job Satisfaction</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_Toc465419877 \h </w:instrText>
        </w:r>
        <w:r w:rsidR="00B57950" w:rsidRPr="00452E2E">
          <w:rPr>
            <w:noProof/>
            <w:webHidden/>
          </w:rPr>
        </w:r>
        <w:r w:rsidR="00B57950" w:rsidRPr="00452E2E">
          <w:rPr>
            <w:noProof/>
            <w:webHidden/>
          </w:rPr>
          <w:fldChar w:fldCharType="separate"/>
        </w:r>
        <w:r w:rsidR="0062544E">
          <w:rPr>
            <w:noProof/>
            <w:webHidden/>
          </w:rPr>
          <w:t>231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8" w:history="1">
        <w:r w:rsidR="00B57950" w:rsidRPr="00452E2E">
          <w:rPr>
            <w:rStyle w:val="Hyperlink"/>
            <w:noProof/>
            <w:color w:val="auto"/>
          </w:rPr>
          <w:t>Table 7.19: Moderated Mediation Effect of Commitment-focused HR Attribution and Sector on the Relationship between HR Practices and Job Satisfaction</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_Toc465419878 \h </w:instrText>
        </w:r>
        <w:r w:rsidR="00B57950" w:rsidRPr="00452E2E">
          <w:rPr>
            <w:noProof/>
            <w:webHidden/>
          </w:rPr>
        </w:r>
        <w:r w:rsidR="00B57950" w:rsidRPr="00452E2E">
          <w:rPr>
            <w:noProof/>
            <w:webHidden/>
          </w:rPr>
          <w:fldChar w:fldCharType="separate"/>
        </w:r>
        <w:r w:rsidR="0062544E">
          <w:rPr>
            <w:noProof/>
            <w:webHidden/>
          </w:rPr>
          <w:t>232</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79" w:history="1">
        <w:r w:rsidR="00B57950" w:rsidRPr="00452E2E">
          <w:rPr>
            <w:rStyle w:val="Hyperlink"/>
            <w:noProof/>
            <w:color w:val="auto"/>
          </w:rPr>
          <w:t>Table 7.20: Moderated Mediation Effect of Control-focused HR Attribution and Sector on the Relationship between HR Practices and Job Satisfaction</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_Toc465419879 \h </w:instrText>
        </w:r>
        <w:r w:rsidR="00B57950" w:rsidRPr="00452E2E">
          <w:rPr>
            <w:noProof/>
            <w:webHidden/>
          </w:rPr>
        </w:r>
        <w:r w:rsidR="00B57950" w:rsidRPr="00452E2E">
          <w:rPr>
            <w:noProof/>
            <w:webHidden/>
          </w:rPr>
          <w:fldChar w:fldCharType="separate"/>
        </w:r>
        <w:r w:rsidR="0062544E">
          <w:rPr>
            <w:noProof/>
            <w:webHidden/>
          </w:rPr>
          <w:t>233</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0" w:history="1">
        <w:r w:rsidR="00B57950" w:rsidRPr="00452E2E">
          <w:rPr>
            <w:rStyle w:val="Hyperlink"/>
            <w:noProof/>
            <w:color w:val="auto"/>
          </w:rPr>
          <w:t>Table 7.21: Moderated Mediation Effect of Union Compliance HR Attribution and Sector on the Relationship between HR Practices and Job Satisfaction</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_Toc465419880 \h </w:instrText>
        </w:r>
        <w:r w:rsidR="00B57950" w:rsidRPr="00452E2E">
          <w:rPr>
            <w:noProof/>
            <w:webHidden/>
          </w:rPr>
        </w:r>
        <w:r w:rsidR="00B57950" w:rsidRPr="00452E2E">
          <w:rPr>
            <w:noProof/>
            <w:webHidden/>
          </w:rPr>
          <w:fldChar w:fldCharType="separate"/>
        </w:r>
        <w:r w:rsidR="0062544E">
          <w:rPr>
            <w:noProof/>
            <w:webHidden/>
          </w:rPr>
          <w:t>233</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1" w:history="1">
        <w:r w:rsidR="00B57950" w:rsidRPr="00452E2E">
          <w:rPr>
            <w:rStyle w:val="Hyperlink"/>
            <w:noProof/>
            <w:color w:val="auto"/>
          </w:rPr>
          <w:t>Table 7.22: Moderated Mediation Effect of Procedural Justice and Sector on the Relationship between HR Practices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_Toc465419881 \h </w:instrText>
        </w:r>
        <w:r w:rsidR="00B57950" w:rsidRPr="00452E2E">
          <w:rPr>
            <w:noProof/>
            <w:webHidden/>
          </w:rPr>
        </w:r>
        <w:r w:rsidR="00B57950" w:rsidRPr="00452E2E">
          <w:rPr>
            <w:noProof/>
            <w:webHidden/>
          </w:rPr>
          <w:fldChar w:fldCharType="separate"/>
        </w:r>
        <w:r w:rsidR="0062544E">
          <w:rPr>
            <w:noProof/>
            <w:webHidden/>
          </w:rPr>
          <w:t>234</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2" w:history="1">
        <w:r w:rsidR="00B57950" w:rsidRPr="00452E2E">
          <w:rPr>
            <w:rStyle w:val="Hyperlink"/>
            <w:noProof/>
            <w:color w:val="auto"/>
          </w:rPr>
          <w:t>Table 7.23: Moderated Mediation Effect of Commitment-focused HR Attribution and Sector on the Relationship between HR Practices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_Toc465419882 \h </w:instrText>
        </w:r>
        <w:r w:rsidR="00B57950" w:rsidRPr="00452E2E">
          <w:rPr>
            <w:noProof/>
            <w:webHidden/>
          </w:rPr>
        </w:r>
        <w:r w:rsidR="00B57950" w:rsidRPr="00452E2E">
          <w:rPr>
            <w:noProof/>
            <w:webHidden/>
          </w:rPr>
          <w:fldChar w:fldCharType="separate"/>
        </w:r>
        <w:r w:rsidR="0062544E">
          <w:rPr>
            <w:noProof/>
            <w:webHidden/>
          </w:rPr>
          <w:t>235</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3" w:history="1">
        <w:r w:rsidR="00B57950" w:rsidRPr="00452E2E">
          <w:rPr>
            <w:rStyle w:val="Hyperlink"/>
            <w:noProof/>
            <w:color w:val="auto"/>
          </w:rPr>
          <w:t>Table 7.24: Moderated Mediation Effect of Control-focused HR Attribution and Sector on the Relationship between HR Practices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_Toc465419883 \h </w:instrText>
        </w:r>
        <w:r w:rsidR="00B57950" w:rsidRPr="00452E2E">
          <w:rPr>
            <w:noProof/>
            <w:webHidden/>
          </w:rPr>
        </w:r>
        <w:r w:rsidR="00B57950" w:rsidRPr="00452E2E">
          <w:rPr>
            <w:noProof/>
            <w:webHidden/>
          </w:rPr>
          <w:fldChar w:fldCharType="separate"/>
        </w:r>
        <w:r w:rsidR="0062544E">
          <w:rPr>
            <w:noProof/>
            <w:webHidden/>
          </w:rPr>
          <w:t>236</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4" w:history="1">
        <w:r w:rsidR="00B57950" w:rsidRPr="00452E2E">
          <w:rPr>
            <w:rStyle w:val="Hyperlink"/>
            <w:noProof/>
            <w:color w:val="auto"/>
          </w:rPr>
          <w:t>Table 7.25: Moderated Mediation Effect of Union Compliance HR Attribution and Sector on the Relationship between HR Practices and Affective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_Toc465419884 \h </w:instrText>
        </w:r>
        <w:r w:rsidR="00B57950" w:rsidRPr="00452E2E">
          <w:rPr>
            <w:noProof/>
            <w:webHidden/>
          </w:rPr>
        </w:r>
        <w:r w:rsidR="00B57950" w:rsidRPr="00452E2E">
          <w:rPr>
            <w:noProof/>
            <w:webHidden/>
          </w:rPr>
          <w:fldChar w:fldCharType="separate"/>
        </w:r>
        <w:r w:rsidR="0062544E">
          <w:rPr>
            <w:noProof/>
            <w:webHidden/>
          </w:rPr>
          <w:t>236</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5" w:history="1">
        <w:r w:rsidR="00B57950" w:rsidRPr="00452E2E">
          <w:rPr>
            <w:rStyle w:val="Hyperlink"/>
            <w:noProof/>
            <w:color w:val="auto"/>
          </w:rPr>
          <w:t>Table 7.26: Moderated Mediation Effect of Procedural Justice and Sector on the Relationship between HR Practices and Normative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_Toc465419885 \h </w:instrText>
        </w:r>
        <w:r w:rsidR="00B57950" w:rsidRPr="00452E2E">
          <w:rPr>
            <w:noProof/>
            <w:webHidden/>
          </w:rPr>
        </w:r>
        <w:r w:rsidR="00B57950" w:rsidRPr="00452E2E">
          <w:rPr>
            <w:noProof/>
            <w:webHidden/>
          </w:rPr>
          <w:fldChar w:fldCharType="separate"/>
        </w:r>
        <w:r w:rsidR="0062544E">
          <w:rPr>
            <w:noProof/>
            <w:webHidden/>
          </w:rPr>
          <w:t>237</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6" w:history="1">
        <w:r w:rsidR="00B57950" w:rsidRPr="00452E2E">
          <w:rPr>
            <w:rStyle w:val="Hyperlink"/>
            <w:noProof/>
            <w:color w:val="auto"/>
          </w:rPr>
          <w:t>Table 7.27: Moderated Mediation Effect of Commitment-focused HR Attribution and Sector on the Relationship between HR Practices and Normative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_Toc465419886 \h </w:instrText>
        </w:r>
        <w:r w:rsidR="00B57950" w:rsidRPr="00452E2E">
          <w:rPr>
            <w:noProof/>
            <w:webHidden/>
          </w:rPr>
        </w:r>
        <w:r w:rsidR="00B57950" w:rsidRPr="00452E2E">
          <w:rPr>
            <w:noProof/>
            <w:webHidden/>
          </w:rPr>
          <w:fldChar w:fldCharType="separate"/>
        </w:r>
        <w:r w:rsidR="0062544E">
          <w:rPr>
            <w:noProof/>
            <w:webHidden/>
          </w:rPr>
          <w:t>237</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7" w:history="1">
        <w:r w:rsidR="00B57950" w:rsidRPr="00452E2E">
          <w:rPr>
            <w:rStyle w:val="Hyperlink"/>
            <w:noProof/>
            <w:color w:val="auto"/>
          </w:rPr>
          <w:t>Table 7.28: Moderated Mediation Effect of Control-focused HR Attribution and Sector on the Relationship between HR Practices and Normative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_Toc465419887 \h </w:instrText>
        </w:r>
        <w:r w:rsidR="00B57950" w:rsidRPr="00452E2E">
          <w:rPr>
            <w:noProof/>
            <w:webHidden/>
          </w:rPr>
        </w:r>
        <w:r w:rsidR="00B57950" w:rsidRPr="00452E2E">
          <w:rPr>
            <w:noProof/>
            <w:webHidden/>
          </w:rPr>
          <w:fldChar w:fldCharType="separate"/>
        </w:r>
        <w:r w:rsidR="0062544E">
          <w:rPr>
            <w:noProof/>
            <w:webHidden/>
          </w:rPr>
          <w:t>239</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8" w:history="1">
        <w:r w:rsidR="00B57950" w:rsidRPr="00452E2E">
          <w:rPr>
            <w:rStyle w:val="Hyperlink"/>
            <w:noProof/>
            <w:color w:val="auto"/>
          </w:rPr>
          <w:t>Table 7.29: Moderated Mediation Effect of Union Compliance HR Attribution and Sector on the Relationship between HR Practices and Normative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_Toc465419888 \h </w:instrText>
        </w:r>
        <w:r w:rsidR="00B57950" w:rsidRPr="00452E2E">
          <w:rPr>
            <w:noProof/>
            <w:webHidden/>
          </w:rPr>
        </w:r>
        <w:r w:rsidR="00B57950" w:rsidRPr="00452E2E">
          <w:rPr>
            <w:noProof/>
            <w:webHidden/>
          </w:rPr>
          <w:fldChar w:fldCharType="separate"/>
        </w:r>
        <w:r w:rsidR="0062544E">
          <w:rPr>
            <w:noProof/>
            <w:webHidden/>
          </w:rPr>
          <w:t>239</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89" w:history="1">
        <w:r w:rsidR="00B57950" w:rsidRPr="00452E2E">
          <w:rPr>
            <w:rStyle w:val="Hyperlink"/>
            <w:noProof/>
            <w:color w:val="auto"/>
          </w:rPr>
          <w:t>Table 7.30: Moderated Mediation Effect of Procedural Justice and Sector on the Relationship between HR Practices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_Toc465419889 \h </w:instrText>
        </w:r>
        <w:r w:rsidR="00B57950" w:rsidRPr="00452E2E">
          <w:rPr>
            <w:noProof/>
            <w:webHidden/>
          </w:rPr>
        </w:r>
        <w:r w:rsidR="00B57950" w:rsidRPr="00452E2E">
          <w:rPr>
            <w:noProof/>
            <w:webHidden/>
          </w:rPr>
          <w:fldChar w:fldCharType="separate"/>
        </w:r>
        <w:r w:rsidR="0062544E">
          <w:rPr>
            <w:noProof/>
            <w:webHidden/>
          </w:rPr>
          <w:t>240</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90" w:history="1">
        <w:r w:rsidR="00B57950" w:rsidRPr="00452E2E">
          <w:rPr>
            <w:rStyle w:val="Hyperlink"/>
            <w:noProof/>
            <w:color w:val="auto"/>
          </w:rPr>
          <w:t>Table 7.31: Moderated Mediation Effect of Commitment-focused HR Attribution and Sector on the Relationship between HR Practices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_Toc465419890 \h </w:instrText>
        </w:r>
        <w:r w:rsidR="00B57950" w:rsidRPr="00452E2E">
          <w:rPr>
            <w:noProof/>
            <w:webHidden/>
          </w:rPr>
        </w:r>
        <w:r w:rsidR="00B57950" w:rsidRPr="00452E2E">
          <w:rPr>
            <w:noProof/>
            <w:webHidden/>
          </w:rPr>
          <w:fldChar w:fldCharType="separate"/>
        </w:r>
        <w:r w:rsidR="0062544E">
          <w:rPr>
            <w:noProof/>
            <w:webHidden/>
          </w:rPr>
          <w:t>241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91" w:history="1">
        <w:r w:rsidR="00B57950" w:rsidRPr="00452E2E">
          <w:rPr>
            <w:rStyle w:val="Hyperlink"/>
            <w:noProof/>
            <w:color w:val="auto"/>
          </w:rPr>
          <w:t>Table 7.32: Moderated Mediation Effect of Control-focused HR Attribution and Sector on the Relationship between HR Practices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_Toc465419891 \h </w:instrText>
        </w:r>
        <w:r w:rsidR="00B57950" w:rsidRPr="00452E2E">
          <w:rPr>
            <w:noProof/>
            <w:webHidden/>
          </w:rPr>
        </w:r>
        <w:r w:rsidR="00B57950" w:rsidRPr="00452E2E">
          <w:rPr>
            <w:noProof/>
            <w:webHidden/>
          </w:rPr>
          <w:fldChar w:fldCharType="separate"/>
        </w:r>
        <w:r w:rsidR="0062544E">
          <w:rPr>
            <w:noProof/>
            <w:webHidden/>
          </w:rPr>
          <w:t>241</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92" w:history="1">
        <w:r w:rsidR="00B57950" w:rsidRPr="00452E2E">
          <w:rPr>
            <w:rStyle w:val="Hyperlink"/>
            <w:noProof/>
            <w:color w:val="auto"/>
          </w:rPr>
          <w:t>Table 7.33: Moderated Mediation Effect of Union Compliance HR Attribution and Sector on the Relationship between HR Practices and Continuance Commitment</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_Toc465419892 \h </w:instrText>
        </w:r>
        <w:r w:rsidR="00B57950" w:rsidRPr="00452E2E">
          <w:rPr>
            <w:noProof/>
            <w:webHidden/>
          </w:rPr>
        </w:r>
        <w:r w:rsidR="00B57950" w:rsidRPr="00452E2E">
          <w:rPr>
            <w:noProof/>
            <w:webHidden/>
          </w:rPr>
          <w:fldChar w:fldCharType="separate"/>
        </w:r>
        <w:r w:rsidR="0062544E">
          <w:rPr>
            <w:noProof/>
            <w:webHidden/>
          </w:rPr>
          <w:t>242</w:t>
        </w:r>
        <w:r w:rsidR="00B57950" w:rsidRPr="00452E2E">
          <w:rPr>
            <w:noProof/>
            <w:webHidden/>
          </w:rPr>
          <w:fldChar w:fldCharType="end"/>
        </w:r>
      </w:hyperlink>
    </w:p>
    <w:p w:rsidR="00B57950" w:rsidRPr="00452E2E" w:rsidRDefault="00B26571" w:rsidP="00B57950">
      <w:pPr>
        <w:pStyle w:val="TableofFigures"/>
        <w:tabs>
          <w:tab w:val="right" w:leader="dot" w:pos="8188"/>
        </w:tabs>
        <w:spacing w:before="240"/>
        <w:rPr>
          <w:rFonts w:asciiTheme="minorHAnsi" w:eastAsiaTheme="minorEastAsia" w:hAnsiTheme="minorHAnsi"/>
          <w:noProof/>
          <w:sz w:val="22"/>
          <w:lang w:eastAsia="en-GB"/>
        </w:rPr>
      </w:pPr>
      <w:hyperlink w:anchor="_Toc465419893" w:history="1">
        <w:r w:rsidR="00B57950" w:rsidRPr="00452E2E">
          <w:rPr>
            <w:rStyle w:val="Hyperlink"/>
            <w:noProof/>
            <w:color w:val="auto"/>
          </w:rPr>
          <w:t>Table 7.34: Summary of Hypotheses Results</w:t>
        </w:r>
        <w:r w:rsidR="00B57950" w:rsidRPr="00452E2E">
          <w:rPr>
            <w:noProof/>
            <w:webHidden/>
          </w:rPr>
          <w:tab/>
        </w:r>
        <w:r w:rsidR="00B57950" w:rsidRPr="00452E2E">
          <w:rPr>
            <w:noProof/>
            <w:webHidden/>
          </w:rPr>
          <w:fldChar w:fldCharType="begin"/>
        </w:r>
        <w:r w:rsidR="00B57950" w:rsidRPr="00452E2E">
          <w:rPr>
            <w:noProof/>
            <w:webHidden/>
          </w:rPr>
          <w:instrText xml:space="preserve"> PAGEREF _Toc465419893 \h </w:instrText>
        </w:r>
        <w:r w:rsidR="00B57950" w:rsidRPr="00452E2E">
          <w:rPr>
            <w:noProof/>
            <w:webHidden/>
          </w:rPr>
        </w:r>
        <w:r w:rsidR="00B57950" w:rsidRPr="00452E2E">
          <w:rPr>
            <w:noProof/>
            <w:webHidden/>
          </w:rPr>
          <w:fldChar w:fldCharType="separate"/>
        </w:r>
        <w:r w:rsidR="0062544E">
          <w:rPr>
            <w:noProof/>
            <w:webHidden/>
          </w:rPr>
          <w:t>244</w:t>
        </w:r>
        <w:r w:rsidR="00B57950" w:rsidRPr="00452E2E">
          <w:rPr>
            <w:noProof/>
            <w:webHidden/>
          </w:rPr>
          <w:fldChar w:fldCharType="end"/>
        </w:r>
      </w:hyperlink>
    </w:p>
    <w:p w:rsidR="00D03A8E" w:rsidRPr="00452E2E" w:rsidRDefault="00B57950" w:rsidP="00D03A8E">
      <w:pPr>
        <w:rPr>
          <w:rFonts w:eastAsiaTheme="majorEastAsia" w:cstheme="majorBidi"/>
          <w:sz w:val="32"/>
          <w:szCs w:val="32"/>
          <w:highlight w:val="lightGray"/>
        </w:rPr>
      </w:pPr>
      <w:r w:rsidRPr="00452E2E">
        <w:rPr>
          <w:rFonts w:eastAsiaTheme="majorEastAsia" w:cstheme="majorBidi"/>
          <w:sz w:val="32"/>
          <w:szCs w:val="32"/>
          <w:highlight w:val="lightGray"/>
        </w:rPr>
        <w:fldChar w:fldCharType="end"/>
      </w:r>
    </w:p>
    <w:p w:rsidR="00D03A8E" w:rsidRPr="00452E2E" w:rsidRDefault="00D03A8E" w:rsidP="00D03A8E">
      <w:pPr>
        <w:rPr>
          <w:highlight w:val="lightGray"/>
        </w:rPr>
      </w:pPr>
      <w:r w:rsidRPr="00452E2E">
        <w:rPr>
          <w:highlight w:val="lightGray"/>
        </w:rPr>
        <w:br w:type="page"/>
      </w:r>
    </w:p>
    <w:p w:rsidR="00D03A8E" w:rsidRPr="00452E2E" w:rsidRDefault="00C15893" w:rsidP="00D03A8E">
      <w:pPr>
        <w:pStyle w:val="Heading1"/>
        <w:numPr>
          <w:ilvl w:val="0"/>
          <w:numId w:val="0"/>
        </w:numPr>
      </w:pPr>
      <w:bookmarkStart w:id="8" w:name="_Toc473808089"/>
      <w:r>
        <w:lastRenderedPageBreak/>
        <w:t>LIST</w:t>
      </w:r>
      <w:r w:rsidR="00D03A8E" w:rsidRPr="00452E2E">
        <w:t xml:space="preserve"> OF FIGURES</w:t>
      </w:r>
      <w:bookmarkEnd w:id="8"/>
    </w:p>
    <w:p w:rsidR="00D03A8E" w:rsidRPr="00452E2E" w:rsidRDefault="00D03A8E" w:rsidP="00D03A8E">
      <w:pPr>
        <w:pStyle w:val="TableofFigures"/>
        <w:tabs>
          <w:tab w:val="right" w:leader="dot" w:pos="8188"/>
        </w:tabs>
        <w:spacing w:before="240"/>
        <w:rPr>
          <w:rFonts w:asciiTheme="minorHAnsi" w:eastAsiaTheme="minorEastAsia" w:hAnsiTheme="minorHAnsi"/>
          <w:noProof/>
          <w:sz w:val="22"/>
          <w:lang w:eastAsia="en-GB"/>
        </w:rPr>
      </w:pPr>
      <w:r w:rsidRPr="00452E2E">
        <w:rPr>
          <w:rFonts w:eastAsiaTheme="majorEastAsia" w:cstheme="majorBidi"/>
          <w:sz w:val="32"/>
          <w:szCs w:val="32"/>
          <w:highlight w:val="lightGray"/>
        </w:rPr>
        <w:fldChar w:fldCharType="begin"/>
      </w:r>
      <w:r w:rsidRPr="00452E2E">
        <w:rPr>
          <w:rFonts w:eastAsiaTheme="majorEastAsia" w:cstheme="majorBidi"/>
          <w:sz w:val="32"/>
          <w:szCs w:val="32"/>
          <w:highlight w:val="lightGray"/>
        </w:rPr>
        <w:instrText xml:space="preserve"> TOC \h \z \c "Figure" </w:instrText>
      </w:r>
      <w:r w:rsidRPr="00452E2E">
        <w:rPr>
          <w:rFonts w:eastAsiaTheme="majorEastAsia" w:cstheme="majorBidi"/>
          <w:sz w:val="32"/>
          <w:szCs w:val="32"/>
          <w:highlight w:val="lightGray"/>
        </w:rPr>
        <w:fldChar w:fldCharType="separate"/>
      </w:r>
      <w:hyperlink w:anchor="_Toc465382297" w:history="1">
        <w:r w:rsidRPr="00452E2E">
          <w:rPr>
            <w:rStyle w:val="Hyperlink"/>
            <w:noProof/>
            <w:color w:val="auto"/>
          </w:rPr>
          <w:t>Figure 1</w:t>
        </w:r>
        <w:r w:rsidRPr="00452E2E">
          <w:rPr>
            <w:rStyle w:val="Hyperlink"/>
            <w:noProof/>
            <w:color w:val="auto"/>
          </w:rPr>
          <w:noBreakHyphen/>
          <w:t>1: The Research Model</w:t>
        </w:r>
        <w:r w:rsidRPr="00452E2E">
          <w:rPr>
            <w:noProof/>
            <w:webHidden/>
          </w:rPr>
          <w:tab/>
        </w:r>
        <w:r w:rsidRPr="00452E2E">
          <w:rPr>
            <w:noProof/>
            <w:webHidden/>
          </w:rPr>
          <w:fldChar w:fldCharType="begin"/>
        </w:r>
        <w:r w:rsidRPr="00452E2E">
          <w:rPr>
            <w:noProof/>
            <w:webHidden/>
          </w:rPr>
          <w:instrText xml:space="preserve"> PAGEREF _Toc465382297 \h </w:instrText>
        </w:r>
        <w:r w:rsidRPr="00452E2E">
          <w:rPr>
            <w:noProof/>
            <w:webHidden/>
          </w:rPr>
        </w:r>
        <w:r w:rsidRPr="00452E2E">
          <w:rPr>
            <w:noProof/>
            <w:webHidden/>
          </w:rPr>
          <w:fldChar w:fldCharType="separate"/>
        </w:r>
        <w:r w:rsidR="0032018C">
          <w:rPr>
            <w:noProof/>
            <w:webHidden/>
          </w:rPr>
          <w:t>21</w:t>
        </w:r>
        <w:r w:rsidRPr="00452E2E">
          <w:rPr>
            <w:noProof/>
            <w:webHidden/>
          </w:rPr>
          <w:fldChar w:fldCharType="end"/>
        </w:r>
      </w:hyperlink>
    </w:p>
    <w:p w:rsidR="00D03A8E" w:rsidRPr="00452E2E" w:rsidRDefault="00B26571" w:rsidP="00D03A8E">
      <w:pPr>
        <w:pStyle w:val="TableofFigures"/>
        <w:tabs>
          <w:tab w:val="right" w:leader="dot" w:pos="8188"/>
        </w:tabs>
        <w:spacing w:before="240"/>
        <w:rPr>
          <w:rFonts w:asciiTheme="minorHAnsi" w:eastAsiaTheme="minorEastAsia" w:hAnsiTheme="minorHAnsi"/>
          <w:noProof/>
          <w:sz w:val="22"/>
          <w:lang w:eastAsia="en-GB"/>
        </w:rPr>
      </w:pPr>
      <w:hyperlink w:anchor="_Toc465382298" w:history="1">
        <w:r w:rsidR="00D03A8E" w:rsidRPr="00452E2E">
          <w:rPr>
            <w:rStyle w:val="Hyperlink"/>
            <w:noProof/>
            <w:color w:val="auto"/>
          </w:rPr>
          <w:t>Figure 4</w:t>
        </w:r>
        <w:r w:rsidR="00D03A8E" w:rsidRPr="00452E2E">
          <w:rPr>
            <w:rStyle w:val="Hyperlink"/>
            <w:noProof/>
            <w:color w:val="auto"/>
          </w:rPr>
          <w:noBreakHyphen/>
          <w:t>1: Research Methodology Outline</w:t>
        </w:r>
        <w:r w:rsidR="00D03A8E" w:rsidRPr="00452E2E">
          <w:rPr>
            <w:noProof/>
            <w:webHidden/>
          </w:rPr>
          <w:tab/>
        </w:r>
        <w:r w:rsidR="00D03A8E" w:rsidRPr="00452E2E">
          <w:rPr>
            <w:noProof/>
            <w:webHidden/>
          </w:rPr>
          <w:fldChar w:fldCharType="begin"/>
        </w:r>
        <w:r w:rsidR="00D03A8E" w:rsidRPr="00452E2E">
          <w:rPr>
            <w:noProof/>
            <w:webHidden/>
          </w:rPr>
          <w:instrText xml:space="preserve"> PAGEREF _Toc465382298 \h </w:instrText>
        </w:r>
        <w:r w:rsidR="00D03A8E" w:rsidRPr="00452E2E">
          <w:rPr>
            <w:noProof/>
            <w:webHidden/>
          </w:rPr>
        </w:r>
        <w:r w:rsidR="00D03A8E" w:rsidRPr="00452E2E">
          <w:rPr>
            <w:noProof/>
            <w:webHidden/>
          </w:rPr>
          <w:fldChar w:fldCharType="separate"/>
        </w:r>
        <w:r w:rsidR="0032018C">
          <w:rPr>
            <w:noProof/>
            <w:webHidden/>
          </w:rPr>
          <w:t>95</w:t>
        </w:r>
        <w:r w:rsidR="00D03A8E" w:rsidRPr="00452E2E">
          <w:rPr>
            <w:noProof/>
            <w:webHidden/>
          </w:rPr>
          <w:fldChar w:fldCharType="end"/>
        </w:r>
      </w:hyperlink>
    </w:p>
    <w:p w:rsidR="00D03A8E" w:rsidRPr="00452E2E" w:rsidRDefault="00B26571" w:rsidP="00D03A8E">
      <w:pPr>
        <w:pStyle w:val="TableofFigures"/>
        <w:tabs>
          <w:tab w:val="right" w:leader="dot" w:pos="8188"/>
        </w:tabs>
        <w:spacing w:before="240"/>
        <w:rPr>
          <w:rFonts w:asciiTheme="minorHAnsi" w:eastAsiaTheme="minorEastAsia" w:hAnsiTheme="minorHAnsi"/>
          <w:noProof/>
          <w:sz w:val="22"/>
          <w:lang w:eastAsia="en-GB"/>
        </w:rPr>
      </w:pPr>
      <w:hyperlink w:anchor="_Toc465382299" w:history="1">
        <w:r w:rsidR="00D03A8E" w:rsidRPr="00452E2E">
          <w:rPr>
            <w:rStyle w:val="Hyperlink"/>
            <w:noProof/>
            <w:color w:val="auto"/>
          </w:rPr>
          <w:t>Figure 7</w:t>
        </w:r>
        <w:r w:rsidR="00D03A8E" w:rsidRPr="00452E2E">
          <w:rPr>
            <w:rStyle w:val="Hyperlink"/>
            <w:noProof/>
            <w:color w:val="auto"/>
          </w:rPr>
          <w:noBreakHyphen/>
          <w:t>1: CFA Pattern Matrix</w:t>
        </w:r>
        <w:r w:rsidR="00D03A8E" w:rsidRPr="00452E2E">
          <w:rPr>
            <w:noProof/>
            <w:webHidden/>
          </w:rPr>
          <w:tab/>
        </w:r>
        <w:r w:rsidR="00D03A8E" w:rsidRPr="00452E2E">
          <w:rPr>
            <w:noProof/>
            <w:webHidden/>
          </w:rPr>
          <w:fldChar w:fldCharType="begin"/>
        </w:r>
        <w:r w:rsidR="00D03A8E" w:rsidRPr="00452E2E">
          <w:rPr>
            <w:noProof/>
            <w:webHidden/>
          </w:rPr>
          <w:instrText xml:space="preserve"> PAGEREF _Toc465382299 \h </w:instrText>
        </w:r>
        <w:r w:rsidR="00D03A8E" w:rsidRPr="00452E2E">
          <w:rPr>
            <w:noProof/>
            <w:webHidden/>
          </w:rPr>
        </w:r>
        <w:r w:rsidR="00D03A8E" w:rsidRPr="00452E2E">
          <w:rPr>
            <w:noProof/>
            <w:webHidden/>
          </w:rPr>
          <w:fldChar w:fldCharType="separate"/>
        </w:r>
        <w:r w:rsidR="0032018C">
          <w:rPr>
            <w:noProof/>
            <w:webHidden/>
          </w:rPr>
          <w:t>206</w:t>
        </w:r>
        <w:r w:rsidR="00D03A8E" w:rsidRPr="00452E2E">
          <w:rPr>
            <w:noProof/>
            <w:webHidden/>
          </w:rPr>
          <w:fldChar w:fldCharType="end"/>
        </w:r>
      </w:hyperlink>
    </w:p>
    <w:p w:rsidR="00D03A8E" w:rsidRPr="00452E2E" w:rsidRDefault="00B26571" w:rsidP="00D03A8E">
      <w:pPr>
        <w:pStyle w:val="TableofFigures"/>
        <w:tabs>
          <w:tab w:val="right" w:leader="dot" w:pos="8188"/>
        </w:tabs>
        <w:spacing w:before="240"/>
        <w:rPr>
          <w:rFonts w:asciiTheme="minorHAnsi" w:eastAsiaTheme="minorEastAsia" w:hAnsiTheme="minorHAnsi"/>
          <w:noProof/>
          <w:sz w:val="22"/>
          <w:lang w:eastAsia="en-GB"/>
        </w:rPr>
      </w:pPr>
      <w:hyperlink w:anchor="_Toc465382300" w:history="1">
        <w:r w:rsidR="00D03A8E" w:rsidRPr="00452E2E">
          <w:rPr>
            <w:rStyle w:val="Hyperlink"/>
            <w:noProof/>
            <w:color w:val="auto"/>
          </w:rPr>
          <w:t>Figure 7</w:t>
        </w:r>
        <w:r w:rsidR="00D03A8E" w:rsidRPr="00452E2E">
          <w:rPr>
            <w:rStyle w:val="Hyperlink"/>
            <w:noProof/>
            <w:color w:val="auto"/>
          </w:rPr>
          <w:noBreakHyphen/>
          <w:t>2: Mediation Model</w:t>
        </w:r>
        <w:r w:rsidR="00D03A8E" w:rsidRPr="00452E2E">
          <w:rPr>
            <w:noProof/>
            <w:webHidden/>
          </w:rPr>
          <w:tab/>
        </w:r>
        <w:r w:rsidR="00D03A8E" w:rsidRPr="00452E2E">
          <w:rPr>
            <w:noProof/>
            <w:webHidden/>
          </w:rPr>
          <w:fldChar w:fldCharType="begin"/>
        </w:r>
        <w:r w:rsidR="00D03A8E" w:rsidRPr="00452E2E">
          <w:rPr>
            <w:noProof/>
            <w:webHidden/>
          </w:rPr>
          <w:instrText xml:space="preserve"> PAGEREF _Toc465382300 \h </w:instrText>
        </w:r>
        <w:r w:rsidR="00D03A8E" w:rsidRPr="00452E2E">
          <w:rPr>
            <w:noProof/>
            <w:webHidden/>
          </w:rPr>
        </w:r>
        <w:r w:rsidR="00D03A8E" w:rsidRPr="00452E2E">
          <w:rPr>
            <w:noProof/>
            <w:webHidden/>
          </w:rPr>
          <w:fldChar w:fldCharType="separate"/>
        </w:r>
        <w:r w:rsidR="0032018C">
          <w:rPr>
            <w:noProof/>
            <w:webHidden/>
          </w:rPr>
          <w:t>222</w:t>
        </w:r>
        <w:r w:rsidR="00D03A8E" w:rsidRPr="00452E2E">
          <w:rPr>
            <w:noProof/>
            <w:webHidden/>
          </w:rPr>
          <w:fldChar w:fldCharType="end"/>
        </w:r>
      </w:hyperlink>
    </w:p>
    <w:p w:rsidR="00D03A8E" w:rsidRPr="00452E2E" w:rsidRDefault="00B26571" w:rsidP="00D03A8E">
      <w:pPr>
        <w:pStyle w:val="TableofFigures"/>
        <w:tabs>
          <w:tab w:val="right" w:leader="dot" w:pos="8188"/>
        </w:tabs>
        <w:spacing w:before="240"/>
        <w:rPr>
          <w:rFonts w:asciiTheme="minorHAnsi" w:eastAsiaTheme="minorEastAsia" w:hAnsiTheme="minorHAnsi"/>
          <w:noProof/>
          <w:sz w:val="22"/>
          <w:lang w:eastAsia="en-GB"/>
        </w:rPr>
      </w:pPr>
      <w:hyperlink w:anchor="_Toc465382301" w:history="1">
        <w:r w:rsidR="00D03A8E" w:rsidRPr="00452E2E">
          <w:rPr>
            <w:rStyle w:val="Hyperlink"/>
            <w:noProof/>
            <w:color w:val="auto"/>
          </w:rPr>
          <w:t>Figure 7</w:t>
        </w:r>
        <w:r w:rsidR="00D03A8E" w:rsidRPr="00452E2E">
          <w:rPr>
            <w:rStyle w:val="Hyperlink"/>
            <w:noProof/>
            <w:color w:val="auto"/>
          </w:rPr>
          <w:noBreakHyphen/>
          <w:t>3: Moderated Mediation Model</w:t>
        </w:r>
        <w:r w:rsidR="00D03A8E" w:rsidRPr="00452E2E">
          <w:rPr>
            <w:noProof/>
            <w:webHidden/>
          </w:rPr>
          <w:tab/>
        </w:r>
        <w:r w:rsidR="00D03A8E" w:rsidRPr="00452E2E">
          <w:rPr>
            <w:noProof/>
            <w:webHidden/>
          </w:rPr>
          <w:fldChar w:fldCharType="begin"/>
        </w:r>
        <w:r w:rsidR="00D03A8E" w:rsidRPr="00452E2E">
          <w:rPr>
            <w:noProof/>
            <w:webHidden/>
          </w:rPr>
          <w:instrText xml:space="preserve"> PAGEREF _Toc465382301 \h </w:instrText>
        </w:r>
        <w:r w:rsidR="00D03A8E" w:rsidRPr="00452E2E">
          <w:rPr>
            <w:noProof/>
            <w:webHidden/>
          </w:rPr>
        </w:r>
        <w:r w:rsidR="00D03A8E" w:rsidRPr="00452E2E">
          <w:rPr>
            <w:noProof/>
            <w:webHidden/>
          </w:rPr>
          <w:fldChar w:fldCharType="separate"/>
        </w:r>
        <w:r w:rsidR="0032018C">
          <w:rPr>
            <w:noProof/>
            <w:webHidden/>
          </w:rPr>
          <w:t>230</w:t>
        </w:r>
        <w:r w:rsidR="00D03A8E" w:rsidRPr="00452E2E">
          <w:rPr>
            <w:noProof/>
            <w:webHidden/>
          </w:rPr>
          <w:fldChar w:fldCharType="end"/>
        </w:r>
      </w:hyperlink>
    </w:p>
    <w:p w:rsidR="00D03A8E" w:rsidRPr="00452E2E" w:rsidRDefault="00D03A8E" w:rsidP="00D03A8E">
      <w:pPr>
        <w:spacing w:before="240"/>
        <w:rPr>
          <w:rFonts w:eastAsiaTheme="majorEastAsia" w:cstheme="majorBidi"/>
          <w:sz w:val="32"/>
          <w:szCs w:val="32"/>
          <w:highlight w:val="lightGray"/>
        </w:rPr>
        <w:sectPr w:rsidR="00D03A8E" w:rsidRPr="00452E2E" w:rsidSect="00B57950">
          <w:pgSz w:w="11906" w:h="16838"/>
          <w:pgMar w:top="1440" w:right="1440" w:bottom="1440" w:left="2268" w:header="708" w:footer="708" w:gutter="0"/>
          <w:pgNumType w:fmt="lowerRoman"/>
          <w:cols w:space="708"/>
          <w:titlePg/>
          <w:docGrid w:linePitch="360"/>
        </w:sectPr>
      </w:pPr>
      <w:r w:rsidRPr="00452E2E">
        <w:rPr>
          <w:rFonts w:eastAsiaTheme="majorEastAsia" w:cstheme="majorBidi"/>
          <w:sz w:val="32"/>
          <w:szCs w:val="32"/>
          <w:highlight w:val="lightGray"/>
        </w:rPr>
        <w:fldChar w:fldCharType="end"/>
      </w:r>
    </w:p>
    <w:p w:rsidR="00D03A8E" w:rsidRPr="00452E2E" w:rsidRDefault="00D03A8E" w:rsidP="00D03A8E">
      <w:pPr>
        <w:pStyle w:val="Heading1"/>
        <w:numPr>
          <w:ilvl w:val="0"/>
          <w:numId w:val="0"/>
        </w:numPr>
      </w:pPr>
      <w:bookmarkStart w:id="9" w:name="_Toc473808090"/>
      <w:r w:rsidRPr="00452E2E">
        <w:lastRenderedPageBreak/>
        <w:t>CHAPTER ONE</w:t>
      </w:r>
      <w:bookmarkEnd w:id="9"/>
    </w:p>
    <w:p w:rsidR="00D03A8E" w:rsidRPr="00452E2E" w:rsidRDefault="00E87303" w:rsidP="00D03A8E">
      <w:pPr>
        <w:pStyle w:val="Heading2"/>
      </w:pPr>
      <w:bookmarkStart w:id="10" w:name="_Toc473808091"/>
      <w:r w:rsidRPr="00452E2E">
        <w:t>INTRODUCTION</w:t>
      </w:r>
      <w:bookmarkEnd w:id="10"/>
    </w:p>
    <w:p w:rsidR="00D03A8E" w:rsidRPr="00452E2E" w:rsidRDefault="00D03A8E" w:rsidP="00D03A8E"/>
    <w:p w:rsidR="00D03A8E" w:rsidRPr="00452E2E" w:rsidRDefault="00D03A8E" w:rsidP="00170224">
      <w:pPr>
        <w:pStyle w:val="Heading3"/>
      </w:pPr>
      <w:bookmarkStart w:id="11" w:name="_Toc465271158"/>
      <w:bookmarkStart w:id="12" w:name="_Toc473808092"/>
      <w:r w:rsidRPr="00452E2E">
        <w:t>1.1 Research Background</w:t>
      </w:r>
      <w:bookmarkEnd w:id="11"/>
      <w:bookmarkEnd w:id="12"/>
      <w:r w:rsidRPr="00452E2E">
        <w:t xml:space="preserve"> </w:t>
      </w:r>
    </w:p>
    <w:p w:rsidR="00D03A8E" w:rsidRPr="00452E2E" w:rsidRDefault="00D03A8E" w:rsidP="00D03A8E">
      <w:pPr>
        <w:spacing w:line="360" w:lineRule="auto"/>
        <w:jc w:val="both"/>
      </w:pPr>
      <w:r w:rsidRPr="00452E2E">
        <w:t xml:space="preserve">There is a large body of research that has examined the effects of human resource (HR) practices on employee attitudes </w:t>
      </w:r>
      <w:r w:rsidRPr="00452E2E">
        <w:fldChar w:fldCharType="begin" w:fldLock="1"/>
      </w:r>
      <w:r w:rsidRPr="00452E2E">
        <w:instrText>ADDIN CSL_CITATION { "citationItems" : [ { "id" : "ITEM-1",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"ITEM-1", "issue" : "5", "issued" : { "date-parts" : [ [ "2005" ] ] }, "page" : "534-549", "title" : "HRM practice and employee attitudes: Different measures \u2013 different results", "type" : "article-journal", "volume" : "34" }, "uris" : [ "http://www.mendeley.com/documents/?uuid=9d6909f5-8480-4f8c-af13-1d14286dcfa0" ] }, { "id" : "ITEM-2", "itemData" : { "abstract" : "Purpose - The purpose of this paper is to examine the impacts of key human resource (HR) practices on permanent employees' organizational commitment and intention to stay. These practices include facilitating of person-organization fit (P-O fit), designing effective remuneration and recognition, creating sufficiently challenging assignments, and implementing training and career development. Design/methodology/approach - The study was carried out in three phases. First, 13 experts (e.g. academics, HR managers and organizational psychologists) were interviewed using the Delphi technique. Second, in-depth interviews with 12 HR managers were conducted. Third, 457 employees from nine Australian organizations responded to a survey. Structural equation modeling was used to test the hypotheses. Findings - Organizational commitment was positively affected by P-O fit, remuneration, recognition, and an opportunity to undertake challenging employment assignments. Intention to stay was significantly related to P-O fit, remuneration, recognition, training and career development. Surprisingly, training and career development was not significantly related to organizational commitment and challenging assignment was not significantly related to intention to stay. Originality/value - This paper contributes to existing knowledge by testing HR practices in large public and private Australian organizations, which are impacted by demographic changes, increasing dependence on outsourcing, and industrial relations reforms. Thus, the results of this study will provide practitioners with better insights into some practices that could elevate organizational commitment and retention of employees. ABSTRACT FROM AUTHOR Copyright of International Journal of Manpower is the property of Emerald Group Publishing Limited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"Chew", "given" : "Janet", "non-dropping-particle" : "", "parse-names" : false, "suffix" : "" }, { "dropping-particle" : "", "family" : "Chan", "given" : "Christopher C A", "non-dropping-particle" : "", "parse-names" : false, "suffix" : "" } ], "container-title" : "International Journal of Manpower", "id" : "ITEM-2", "issue" : "6", "issued" : { "date-parts" : [ [ "2008" ] ] }, "page" : "503-522", "title" : "Human resource practices, organizational commitment and intention to stay", "type" : "article-journal", "volume" : "29" }, "uris" : [ "http://www.mendeley.com/documents/?uuid=e4299377-928f-4ad1-b27d-31dfa978daea" ] }, { "id" : "ITEM-3", "itemData" : { "DOI" : "10.1080/09585190902770794", "ISBN" : "0958-5192 %[ May 01, 2009", "ISSN" : "0958-5192", "abstract" : "In this study, we examined how employee perceptions of development-oriented, stability-oriented, and reward-oriented human resource management (HRM) practices affected the likelihood of affective and continuance commitment profile membership. Our focus on profiles of combined commitment components is a departure from a literature dominated by studies of the separate forms of employee commitment. Drawing from self-determination theory (Deci and Ryan 2000) we described the nature of the psychological states believed to underlie the specific profiles under investigation, then tested a series of theoretical predictions concerning the link between HRM practices and the likelihood of profile membership. Predictor and criterion data for this study were collected from 317 respondents working in a variety of Canadian-based organizations. Our findings suggest ways that organizations can use HRM practices strategically to help shape the nature of overall employee commitment.", "author" : [ { "dropping-particle" : "", "family" : "Gellatly", "given" : "Ian R.", "non-dropping-particle" : "", "parse-names" : false, "suffix" : "" }, { "dropping-particle" : "", "family" : "Hunter", "given" : "Karen H.", "non-dropping-particle" : "", "parse-names" : false, "suffix" : "" }, { "dropping-particle" : "", "family" : "Currie", "given" : "Luanne G.", "non-dropping-particle" : "", "parse-names" : false, "suffix" : "" }, { "dropping-particle" : "", "family" : "Irving", "given" : "P. Gregory", "non-dropping-particle" : "", "parse-names" : false, "suffix" : "" } ], "container-title" : "The International Journal of Human Resource Management", "id" : "ITEM-3", "issue" : "4", "issued" : { "date-parts" : [ [ "2009" ] ] }, "page" : "869-884", "title" : "HRM practices and organizational commitment profiles", "type" : "article-journal", "volume" : "20" }, "uris" : [ "http://www.mendeley.com/documents/?uuid=6f90efd6-b015-404c-8caa-0729f3c8edea" ] }, { "id" : "ITEM-4",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"Herrbach", "given" : "Olivier", "non-dropping-particle" : "", "parse-names" : false, "suffix" : "" }, { "dropping-particle" : "", "family" : "Mignonac", "given" : "Karim", "non-dropping-particle" : "", "parse-names" : false, "suffix" : "" }, { "dropping-particle" : "", "family" : "Vandenbeghe", "given" : "C", "non-dropping-particle" : "", "parse-names" : false, "suffix" : "" }, { "dropping-particle" : "", "family" : "Negrini", "given" : "A", "non-dropping-particle" : "", "parse-names" : false, "suffix" : "" } ], "container-title" : "Human Resource Management", "id" : "ITEM-4", "issue" : "6", "issued" : { "date-parts" : [ [ "2009" ] ] }, "page" : "895-915", "title" : "Perceived HRM practices, organizational commitment, and voluntary early retirement among late career managers", "type" : "article-journal", "volume" : "48" }, "uris" : [ "http://www.mendeley.com/documents/?uuid=1b165dc8-8055-4a8b-bc0e-388885049c28" ] }, { "id" : "ITEM-5", "itemData" : { "author" : [ { "dropping-particle" : "", "family" : "Hashim", "given" : "J", "non-dropping-particle" : "", "parse-names" : false, "suffix" : "" } ], "container-title" : "Personnel Review", "id" : "ITEM-5", "issue" : "6", "issued" : { "date-parts" : [ [ "2010" ] ] }, "page" : "785-799", "title" : "Human resource management practices on organizational commitment: The Islamic perspective", "type" : "article-journal", "volume" : "39" }, "uris" : [ "http://www.mendeley.com/documents/?uuid=a911b3d8-1971-4d3b-8a88-d4fdf0914fe3" ] }, { "id" : "ITEM-6", "itemData" : { "abstract" : "In the context of the changing workforce, this study introduced two perspectives on HRM and distinguished universalistic developmental HRM from contingent accommodative HRM. We predicted two separate pathways for the effects on two employee outcomes: work engagement and affective commitment. We expected that developmental HRM would universally relate to employee outcomes by rebalancing the psychological contract between the employee and organization into a less transactional to a more relational contract. We also predicted that accommodative HRM would relate to outcomes only when fulfilling specific needs of employees, associated with their selecting, optimizing, and compensating strategies. Results of a multilevel study among 1058 employees in 17 healthcare units fully supported our expectations regarding the role of the psychological contract. Additionally, we found support for the expected roles of selection and compensation, but not for optimization strategy. This study contributes to the literature by demonstrating that HRM relates to employee outcomes through multiple pathways, which can be either universal or contingent.", "author" : [ { "dropping-particle" : "", "family" : "Bal", "given" : "P. Matthijs", "non-dropping-particle" : "", "parse-names" : false, "suffix" : "" }, { "dropping-particle" : "", "family" : "Kooij", "given" : "Dorien T A M", "non-dropping-particle" : "", "parse-names" : false, "suffix" : "" }, { "dropping-particle" : "", "family" : "Jong", "given" : "Simon B.", "non-dropping-particle" : "De", "parse-names" : false, "suffix" : "" } ], "container-title" : "Journal of Management Studies", "id" : "ITEM-6", "issue" : "4", "issued" : { "date-parts" : [ [ "2013" ] ] }, "page" : "545-572", "title" : "How do developmental and accommodative HRM enhance employee engagement and commitment? The role of psychological contract and SOC strategies", "type" : "article-journal", "volume" : "50" }, "uris" : [ "http://www.mendeley.com/documents/?uuid=544acd37-1298-4e1e-83c4-072024c298af" ] }, { "id" : "ITEM-7", "itemData" : { "DOI" : "10.1111/1748-8583.12000", "ISBN" : "1748-8583\\n0954-5395", "ISSN" : "09545395", "abstract" : "With changing retirement ages and an aging workforce, interest is growing on the potential contribution of relevant bundles of HR practices in eliciting well-being and performance among aging workers. Drawing on theories on lifespan development and self-regulation, we distinguished two bundles of HR practices: development HR practices that help individual workers reach higher levels of functioning (e.g. training), and maintenance HR practices that help individual workers maintain their current levels of functioning in the face of new challenges (e.g. performance appraisal). Further, based on lifespan theories, we expected and found that the association between development HR practices and well-being (i.e. job satisfaction, organisational commitment and organisational fairness) weakens, and that the associations between maintenance HR practices and well-being, and between development HR practices and employee performance, strengthen with age. In addition, a third bundle of \u2018job enrichment\u2019 HR practices emerged that elicited higher job performance among aging workers.", "author" : [ { "dropping-particle" : "", "family" : "Kooij", "given" : "Dorien T A M", "non-dropping-particle" : "", "parse-names" : false, "suffix" : "" }, { "dropping-particle" : "", "family" : "Guest", "given" : "David E.", "non-dropping-particle" : "", "parse-names" : false, "suffix" : "" }, { "dropping-particle" : "", "family" : "Clinton", "given" : "Mike", "non-dropping-particle" : "", "parse-names" : false, "suffix" : "" }, { "dropping-particle" : "", "family" : "Knight", "given" : "Terry", "non-dropping-particle" : "", "parse-names" : false, "suffix" : "" }, { "dropping-particle" : "", "family" : "Jansen", "given" : "Paul G W", "non-dropping-particle" : "", "parse-names" : false, "suffix" : "" }, { "dropping-particle" : "", "family" : "Dikkers", "given" : "Josje S E", "non-dropping-particle" : "", "parse-names" : false, "suffix" : "" } ], "container-title" : "Human Resource Management Journal", "id" : "ITEM-7", "issue" : "1", "issued" : { "date-parts" : [ [ "2013" ] ] }, "page" : "18-35", "title" : "How the impact of HR practices on employee well-being and performance changes with age", "type" : "article-journal", "volume" : "23" }, "uris" : [ "http://www.mendeley.com/documents/?uuid=0f6e933c-c3a0-452d-aeda-c3544f34e4f7" ] }, { "id" : "ITEM-8", "itemData" : { "DOI" : "10.1111/j.1467-8551.2012.00814.x", "ISBN" : "10453172", "ISSN" : "10453172", "PMID" : "89517151", "abstract" : "This paper considers a large matched employee\u2013employer data set to estimate a model of organizational commitment. In particular, it focuses on the role of firm size and manage- ment formality to explain organizational commitment in British small and medium- sized enterprises(SMEs)with high and low levels of employee satisfaction. It is shown that size \u2018in itself\u2019 can explain differences in organizational commitment, and that organiza- tional commitment tends to be higher in organizations with high employee satisfaction compared with organizations of similar size with low employee satisfaction. Crucially, the results suggest that formal human resource (HR) practices can be used as important tools to increase commitment and thus, potentially, effort and performance within underper- formingSMEswith low employee satisfaction. However, formalHRpractices commonly used by large firms may be unnecessary in SMEs which benefit from high employee satisfaction and positive employment relations within a context of informality.", "author" : [ { "dropping-particle" : "", "family" : "Saridakis", "given" : "George", "non-dropping-particle" : "", "parse-names" : false, "suffix" : "" }, { "dropping-particle" : "", "family" : "Mu\u00f1oz Torres", "given" : "Rebeca", "non-dropping-particle" : "", "parse-names" : false, "suffix" : "" }, { "dropping-particle" : "", "family" : "Johnstone", "given" : "Stewart", "non-dropping-particle" : "", "parse-names" : false, "suffix" : "" } ], "container-title" : "British Journal of Management", "id" : "ITEM-8", "issue" : "3", "issued" : { "date-parts" : [ [ "2013" ] ] }, "page" : "445-458", "title" : "Do human resource practices enhance organizational commitment in SMEs with low employee satisfaction?", "type" : "article-journal", "volume" : "24" }, "uris" : [ "http://www.mendeley.com/documents/?uuid=1550afec-18b0-4627-9edb-1aa5aedd8f5c" ] }, { "id" : "ITEM-9", "itemData" : { "DOI" : "10.1177/0734371X13510853", "ISBN" : "0734-371X", "ISSN" : "0734-371X", "abstract" : "With the rise of New Public Management, public organizations are confronted with a growing need to demonstrate efficiency and cost-effectiveness. In this study, we examine the relationship between public organizational performance and human resource management (HRM). Specifically, we focus on job satisfaction as a possible mediating variable between organizational performance and HRM, and on the influence of a supervisor's leadership style on the implementation of Human Resource (HR) practices. Drawing on a secondary analysis of data from a national survey incorporating the views of 6,253 employees of Dutch municipalities, we tested our hypotheses using structural equation modeling. The findings indicate that (a) job satisfaction acts as a mediating variable in the relationship between HRM and organizational performance and (b) a stimulating leadership style has a positive effect on the amount of HR practices used, whereas (c) a correcting leadership style has no effect on the amount of HR practices used.", "author" : [ { "dropping-particle" : "", "family" : "Vermeeren", "given" : "Brenda", "non-dropping-particle" : "", "parse-names" : false, "suffix" : "" }, { "dropping-particle" : "", "family" : "Kuipers", "given" : "Ben", "non-dropping-particle" : "", "parse-names" : false, "suffix" : "" }, { "dropping-particle" : "", "family" : "Steijn", "given" : "Bram", "non-dropping-particle" : "", "parse-names" : false, "suffix" : "" } ], "container-title" : "Review of Public Personnel Administration", "id" : "ITEM-9", "issue" : "2", "issued" : { "date-parts" : [ [ "2014" ] ] }, "page" : "174-195", "title" : "Does leadership style make a difference? Linking HRM, job satisfaction, and organizational performance", "type" : "article-journal", "volume" : "34" }, "uris" : [ "http://www.mendeley.com/documents/?uuid=d9a55889-deac-4ff9-8d8a-53477bb618dd" ] }, { "id" : "ITEM-10",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"ITEM-10",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"ITEM-11",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"ITEM-11", "issue" : "5", "issued" : { "date-parts" : [ [ "2015" ] ] }, "page" : "747-757", "title" : "High-performance human resource practices and employee outcomes: The mediating role of public service motivation", "type" : "article-journal", "volume" : "75" }, "uris" : [ "http://www.mendeley.com/documents/?uuid=d929d627-475b-4d7b-9d57-7ed8e89a7d6c" ] }, { "id" : "ITEM-12",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"ITEM-12",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"id" : "ITEM-13",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"ITEM-13", "issue" : "4", "issued" : { "date-parts" : [ [ "2016" ] ] }, "page" : "620-642", "title" : "Disentangling the relationship between high-involvement-work-systems and job satisfaction", "type" : "article-journal", "volume" : "38" },</w:instrText>
      </w:r>
      <w:r w:rsidRPr="00452E2E">
        <w:rPr>
          <w:lang w:val="nl-NL"/>
        </w:rPr>
        <w:instrText xml:space="preserve"> "uris" : [ "http://www.mendeley.com/documents/?uuid=6204f3e9-0dd6-4974-b029-46f489e701a3" ] } ], "mendeley" : { "formattedCitation" : "(Edgar &amp; Geare 2005; Chew &amp; Chan 2008; Gellatly et al. 2009; Herrbach et al. 2009; Hashim 2010; Bal et al. 2013; Kooij et al. 2013; Saridakis et al. 2013; Vermeeren et al. 2014; Fabi et al. 2015; Mostafa &amp; Gould-Williams 2015; Heffernan &amp; Dundon 2016; Ollo-L\u00f3pez et al. 2016)", "manualFormatting" : "(Edgar &amp; Geare, 2005; Chew &amp; Chan, 2008; Gellatly et al., 2009; Herrbach et al., 2009; Hashim, 2010; Bal et al., 2013; Kooij et al., 2013; Saridakis et al., 2013; Vermeeren et al., 2014; Fabi et al., 2015; Mostafa &amp; Gould-Williams, 2015; Heffernan &amp; Dundon, 2016; Ollo-L\u00f3pez et al., 2016)", "plainTextFormattedCitation" : "(Edgar &amp; Geare 2005; Chew &amp; Chan 2008; Gellatly et al. 2009; Herrbach et al. 2009; Hashim 2010; Bal et al. 2013; Kooij et al. 2013; Saridakis et al. 2013; Vermeeren et al. 2014; Fabi et al. 2015; Mostafa &amp; Gould-Williams 2015; Heffernan &amp; Dundon 2016; Ollo-L\u00f3pez et al. 2016)", "previouslyFormattedCitation" : "(Edgar &amp; Geare 2005; Chew &amp; Chan 2008; Gellatly et al. 2009; Herrbach et al. 2009; Hashim 2010; Bal et al. 2013; Kooij et al. 2013; Saridakis et al. 2013; Vermeeren et al. 2014; Fabi et al. 2015; Mostafa &amp; Gould-Williams 2015; Heffernan &amp; Dundon 2016; Ollo-L\u00f3pez et al. 2016)" }, "properties" : { "noteIndex" : 0 }, "schema" : "https://github.com/citation-style-language/schema/raw/master/csl-citation.json" }</w:instrText>
      </w:r>
      <w:r w:rsidRPr="00452E2E">
        <w:fldChar w:fldCharType="separate"/>
      </w:r>
      <w:r w:rsidRPr="00452E2E">
        <w:rPr>
          <w:noProof/>
          <w:lang w:val="nl-NL"/>
        </w:rPr>
        <w:t>(</w:t>
      </w:r>
      <w:r w:rsidR="001B4B29" w:rsidRPr="00452E2E">
        <w:rPr>
          <w:noProof/>
          <w:lang w:val="nl-NL"/>
        </w:rPr>
        <w:t xml:space="preserve">e.g. </w:t>
      </w:r>
      <w:r w:rsidRPr="00452E2E">
        <w:rPr>
          <w:noProof/>
          <w:lang w:val="nl-NL"/>
        </w:rPr>
        <w:t xml:space="preserve">Edgar &amp; Geare, 2005; Chew &amp; Chan, 2008; Gellatly </w:t>
      </w:r>
      <w:r w:rsidRPr="00452E2E">
        <w:rPr>
          <w:i/>
          <w:noProof/>
          <w:lang w:val="nl-NL"/>
        </w:rPr>
        <w:t>et al</w:t>
      </w:r>
      <w:r w:rsidRPr="00452E2E">
        <w:rPr>
          <w:noProof/>
          <w:lang w:val="nl-NL"/>
        </w:rPr>
        <w:t xml:space="preserve">., 2009; Herrbach </w:t>
      </w:r>
      <w:r w:rsidRPr="00452E2E">
        <w:rPr>
          <w:i/>
          <w:noProof/>
          <w:lang w:val="nl-NL"/>
        </w:rPr>
        <w:t>et al</w:t>
      </w:r>
      <w:r w:rsidRPr="00452E2E">
        <w:rPr>
          <w:noProof/>
          <w:lang w:val="nl-NL"/>
        </w:rPr>
        <w:t xml:space="preserve">., 2009; Hashim, 2010; Bal </w:t>
      </w:r>
      <w:r w:rsidRPr="00452E2E">
        <w:rPr>
          <w:i/>
          <w:noProof/>
          <w:lang w:val="nl-NL"/>
        </w:rPr>
        <w:t>et al</w:t>
      </w:r>
      <w:r w:rsidRPr="00452E2E">
        <w:rPr>
          <w:noProof/>
          <w:lang w:val="nl-NL"/>
        </w:rPr>
        <w:t xml:space="preserve">., 2013; Kooij </w:t>
      </w:r>
      <w:r w:rsidRPr="00452E2E">
        <w:rPr>
          <w:i/>
          <w:noProof/>
          <w:lang w:val="nl-NL"/>
        </w:rPr>
        <w:t>et al</w:t>
      </w:r>
      <w:r w:rsidRPr="00452E2E">
        <w:rPr>
          <w:noProof/>
          <w:lang w:val="nl-NL"/>
        </w:rPr>
        <w:t xml:space="preserve">., 2013; Saridakis </w:t>
      </w:r>
      <w:r w:rsidRPr="00452E2E">
        <w:rPr>
          <w:i/>
          <w:noProof/>
          <w:lang w:val="nl-NL"/>
        </w:rPr>
        <w:t>et al</w:t>
      </w:r>
      <w:r w:rsidRPr="00452E2E">
        <w:rPr>
          <w:noProof/>
          <w:lang w:val="nl-NL"/>
        </w:rPr>
        <w:t xml:space="preserve">., 2013; Vermeeren </w:t>
      </w:r>
      <w:r w:rsidRPr="00452E2E">
        <w:rPr>
          <w:i/>
          <w:noProof/>
          <w:lang w:val="nl-NL"/>
        </w:rPr>
        <w:t>et al</w:t>
      </w:r>
      <w:r w:rsidRPr="00452E2E">
        <w:rPr>
          <w:noProof/>
          <w:lang w:val="nl-NL"/>
        </w:rPr>
        <w:t xml:space="preserve">., 2014; Fabi </w:t>
      </w:r>
      <w:r w:rsidRPr="00452E2E">
        <w:rPr>
          <w:i/>
          <w:noProof/>
          <w:lang w:val="nl-NL"/>
        </w:rPr>
        <w:t>et al</w:t>
      </w:r>
      <w:r w:rsidRPr="00452E2E">
        <w:rPr>
          <w:noProof/>
          <w:lang w:val="nl-NL"/>
        </w:rPr>
        <w:t xml:space="preserve">., 2015; Mostafa &amp; Gould-Williams, 2015; Heffernan &amp; Dundon, 2016; Ollo-López </w:t>
      </w:r>
      <w:r w:rsidRPr="00452E2E">
        <w:rPr>
          <w:i/>
          <w:noProof/>
          <w:lang w:val="nl-NL"/>
        </w:rPr>
        <w:t>et al</w:t>
      </w:r>
      <w:r w:rsidRPr="00452E2E">
        <w:rPr>
          <w:noProof/>
          <w:lang w:val="nl-NL"/>
        </w:rPr>
        <w:t>., 2016)</w:t>
      </w:r>
      <w:r w:rsidRPr="00452E2E">
        <w:fldChar w:fldCharType="end"/>
      </w:r>
      <w:r w:rsidRPr="00452E2E">
        <w:rPr>
          <w:lang w:val="nl-NL"/>
        </w:rPr>
        <w:t xml:space="preserve">. </w:t>
      </w:r>
      <w:r w:rsidRPr="00452E2E">
        <w:t xml:space="preserve">These studies indicate that HR practices contribute to positive employee attitudes such as job satisfaction and organizational commitment. Nevertheless, the significance of the institutional environment in which organizations operate has been widely discounted in studies examining the effect of HR practices on work outcomes </w:t>
      </w:r>
      <w:r w:rsidRPr="00452E2E">
        <w:fldChar w:fldCharType="begin" w:fldLock="1"/>
      </w:r>
      <w:r w:rsidRPr="00452E2E">
        <w:instrText>ADDIN CSL_CITATION { "citationItems" : [ { "id" : "ITEM-1",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"ITEM-1",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"(Kim &amp; Wright 2011)", "manualFormatting" : "(Kim &amp; Wright, 2011)", "plainTextFormattedCitation" : "(Kim &amp; Wright 2011)", "previouslyFormattedCitation" : "(Kim &amp; Wright 2011)" }, "properties" : { "noteIndex" : 0 }, "schema" : "https://github.com/citation-style-language/schema/raw/master/csl-citation.json" }</w:instrText>
      </w:r>
      <w:r w:rsidRPr="00452E2E">
        <w:fldChar w:fldCharType="separate"/>
      </w:r>
      <w:r w:rsidRPr="00452E2E">
        <w:rPr>
          <w:noProof/>
        </w:rPr>
        <w:t>(Kim &amp; Wright, 2011)</w:t>
      </w:r>
      <w:r w:rsidRPr="00452E2E">
        <w:fldChar w:fldCharType="end"/>
      </w:r>
      <w:r w:rsidRPr="00452E2E">
        <w:t>.</w:t>
      </w:r>
    </w:p>
    <w:p w:rsidR="00D03A8E" w:rsidRPr="00452E2E" w:rsidRDefault="00D03A8E" w:rsidP="00D03A8E">
      <w:pPr>
        <w:spacing w:line="360" w:lineRule="auto"/>
        <w:jc w:val="both"/>
      </w:pPr>
      <w:r w:rsidRPr="00452E2E">
        <w:t xml:space="preserve">Organizations are ingrained in their wider institutional environments which indicates that the nature of human resource management (HRM) is influenced by the institutional environment in which organizations operate </w:t>
      </w:r>
      <w:r w:rsidRPr="00452E2E">
        <w:fldChar w:fldCharType="begin" w:fldLock="1"/>
      </w:r>
      <w:r w:rsidRPr="00452E2E">
        <w:instrText>ADDIN CSL_CITATION { "citationItems" : [ { "id" : "ITEM-1",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"ITEM-1", "issued" : { "date-parts" : [ [ "2007" ] ] }, "page" : "166-184", "publisher" : "Oxford University Press", "publisher-place" : "New York", "title" : "HRM and societal embeddedness", "type" : "chapter" }, "uris" : [ "http://www.mendeley.com/documents/?uuid=bc50bffa-b076-4ece-b963-52ac09293458"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"(Paauwe &amp; Boselie 2007; Wood et al. 2012)", "manualFormatting" : "(Paauwe &amp; Boselie, 2007; Wood et al., 2012)", "plainTextFormattedCitation" : "(Paauwe &amp; Boselie 2007; Wood et al. 2012)", "previouslyFormattedCitation" : "(Paauwe &amp; Boselie 2007; Wood et al. 2012)" }, "properties" : { "noteIndex" : 0 }, "schema" : "https://github.com/citation-style-language/schema/raw/master/csl-citation.json" }</w:instrText>
      </w:r>
      <w:r w:rsidRPr="00452E2E">
        <w:fldChar w:fldCharType="separate"/>
      </w:r>
      <w:r w:rsidRPr="00452E2E">
        <w:rPr>
          <w:noProof/>
        </w:rPr>
        <w:t xml:space="preserve">(Paauwe &amp; Boselie, 2007; Wood </w:t>
      </w:r>
      <w:r w:rsidRPr="00452E2E">
        <w:rPr>
          <w:i/>
          <w:noProof/>
        </w:rPr>
        <w:t>et al</w:t>
      </w:r>
      <w:r w:rsidRPr="00452E2E">
        <w:rPr>
          <w:noProof/>
        </w:rPr>
        <w:t>., 2012)</w:t>
      </w:r>
      <w:r w:rsidRPr="00452E2E">
        <w:fldChar w:fldCharType="end"/>
      </w:r>
      <w:r w:rsidRPr="00452E2E">
        <w:t xml:space="preserve">. Indeed, the institutional environment of organizations comprising of the economic system, regulatory system and employee relations system among others combine to shape the way organizations function, including their relationship with employees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"id" : "ITEM-2",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"1-23", "publisher" : "Edward Elgar", "publisher-place" : "Cheltenham, UK", "title" : "Comparative human resource management: An introduction", "type" : "chapter" }, "uris" : [ "http://www.mendeley.com/documents/?uuid=3c9bc995-b399-4f2b-920d-18cfbc74a1c0" ] } ], "mendeley" : { "formattedCitation" : "(Wood et al. 2011; Brewster &amp; Mayrhofer 2012)", "manualFormatting" : "(Brewster &amp; Mayrhofer, 2012)", "plainTextFormattedCitation" : "(Wood et al. 2011; Brewster &amp; Mayrhofer 2012)", "previouslyFormattedCitation" : "(Wood et al. 2011; Brewster &amp; Mayrhofer 2012)" }, "properties" : { "noteIndex" : 0 }, "schema" : "https://github.com/citation-style-language/schema/raw/master/csl-citation.json" }</w:instrText>
      </w:r>
      <w:r w:rsidRPr="00452E2E">
        <w:fldChar w:fldCharType="separate"/>
      </w:r>
      <w:r w:rsidRPr="00452E2E">
        <w:rPr>
          <w:noProof/>
        </w:rPr>
        <w:t>(Brewster &amp; Mayrhofer, 2012)</w:t>
      </w:r>
      <w:r w:rsidRPr="00452E2E">
        <w:fldChar w:fldCharType="end"/>
      </w:r>
      <w:r w:rsidRPr="00452E2E">
        <w:t xml:space="preserve">. Hence, differences in institutional environments among countries present organizations with different approaches to HRM </w:t>
      </w:r>
      <w:r w:rsidRPr="00452E2E">
        <w:fldChar w:fldCharType="begin" w:fldLock="1"/>
      </w:r>
      <w:r w:rsidRPr="00452E2E">
        <w:instrText>ADDIN CSL_CITATION { "citationItems" : [ { "id" : "ITEM-1", "itemData" : { "DOI" : "10.1146/annurev.ps.46.020195.001321", "ISBN" : "00664308", "ISSN" : "00664308", "PMID" : "19245335", "abstract" : "Attempts to present a contextual analysis of human resource management (HRM).  Definition of HRM; Theoretical perspectives relevant to understanding HRM in context; HRM and internal/external contexts of organizations.", "author" : [ { "dropping-particle" : "", "family" : "Jackson", "given" : "Susan E.", "non-dropping-particle" : "", "parse-names" : false, "suffix" : "" }, { "dropping-particle" : "", "family" : "Schuler", "given" : "Randall S.", "non-dropping-particle" : "", "parse-names" : false, "suffix" : "" } ], "container-title" : "Annual Review of Psychology", "id" : "ITEM-1", "issue" : "1", "issued" : { "date-parts" : [ [ "1995" ] ] }, "page" : "237", "title" : "Understanding human resource management in the context of organizations and their environments.", "type" : "article", "volume" : "46" }, "uris" : [ "http://www.mendeley.com/documents/?uuid=f5704ff5-daeb-4ffe-9d15-e42b6794353a" ] }, { "id" : "ITEM-2", "itemData" : { "abstract" : "There is considerable debate as to the determinants of the human resource policies of human resource management: do they reflect national institutional or cultural realities, emerging common global practices, parent country effects or the dual effects of transnational and national realities? We use an extensive international database to explore these differences, assessing variations in a range of human resource practices. We find new evidence of national differences in the manner in which indigenous firms manage their people, but also evidence of a similarity in practice amongst multinational corporations. In other words, multinational corporations tend to manage their human resources in ways that are distinct from those of their host country; at the same time, country of origin effects seem relatively weak. Whilst there is some evidence of common global practices, sufficient diversity in practice persists to suggest that duality theories may provide the most appropriate explanation. [ABSTRACT FROM AUTHOR]", "author" : [ { "dropping-particle" : "", "family" : "Brewster", "given" : "Chris", "non-dropping-particle" : "", "parse-names" : false, "suffix" : "" }, { "dropping-particle" : "", "family" : "Wood", "given" : "Geoffrey", "non-dropping-particle" : "", "parse-names" : false, "suffix" : "" }, { "dropping-particle" : "", "family" : "Brookes", "given" : "Michael", "non-dropping-particle" : "", "parse-names" : false, "suffix" : "" } ], "container-title" : "British Journal of Management", "id" : "ITEM-2", "issue" : "4", "issued" : { "date-parts" : [ [ "2008" ] ] }, "page" : "320-342", "title" : "Similarity, isomorphism or duality? Recent survey evidence on the human resource management policies of multinational corporations", "type" : "article-journal", "volume" : "19" }, "uris" : [ "http://www.mendeley.com/documents/?uuid=fa4d3562-9a2e-4782-aa4a-ebbd03b1ac30" ] }, { "id" : "ITEM-3",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"ITEM-3", "issued" : { "date-parts" : [ [ "2012" ] ] }, "page" : "1-23", "publisher" : "Edward Elgar", "publisher-place" : "Cheltenham, UK", "title" : "Comparative human resource management: An introduction", "type" : "chapter" }, "uris" : [ "http://www.mendeley.com/documents/?uuid=3c9bc995-b399-4f2b-920d-18cfbc74a1c0" ] } ], "mendeley" : { "formattedCitation" : "(Jackson &amp; Schuler 1995; Brewster et al. 2008; Brewster &amp; Mayrhofer 2012)", "manualFormatting" : "(Jackson &amp; Schuler, 1995; Brewster et al., 2008; Brewster &amp; Mayrhofer, 2012)", "plainTextFormattedCitation" : "(Jackson &amp; Schuler 1995; Brewster et al. 2008; Brewster &amp; Mayrhofer 2012)", "previouslyFormattedCitation" : "(Jackson &amp; Schuler 1995; Brewster et al. 2008; Brewster &amp; Mayrhofer 2012)" }, "properties" : { "noteIndex" : 0 }, "schema" : "https://github.com/citation-style-language/schema/raw/master/csl-citation.json" }</w:instrText>
      </w:r>
      <w:r w:rsidRPr="00452E2E">
        <w:fldChar w:fldCharType="separate"/>
      </w:r>
      <w:r w:rsidRPr="00452E2E">
        <w:rPr>
          <w:noProof/>
        </w:rPr>
        <w:t xml:space="preserve">(Jackson &amp; Schuler, 1995; Brewster </w:t>
      </w:r>
      <w:r w:rsidRPr="00452E2E">
        <w:rPr>
          <w:i/>
          <w:noProof/>
        </w:rPr>
        <w:t>et al</w:t>
      </w:r>
      <w:r w:rsidRPr="00452E2E">
        <w:rPr>
          <w:noProof/>
        </w:rPr>
        <w:t>., 2008; Brewster &amp; Mayrhofer, 2012)</w:t>
      </w:r>
      <w:r w:rsidRPr="00452E2E">
        <w:fldChar w:fldCharType="end"/>
      </w:r>
      <w:r w:rsidRPr="00452E2E">
        <w:t xml:space="preserve">. This implies that HRM </w:t>
      </w:r>
      <w:r w:rsidR="008D4E2E" w:rsidRPr="00452E2E">
        <w:t>practices</w:t>
      </w:r>
      <w:r w:rsidRPr="00452E2E">
        <w:t xml:space="preserve"> differ from context to context and the success of HRM </w:t>
      </w:r>
      <w:r w:rsidR="008D4E2E" w:rsidRPr="00452E2E">
        <w:t>practices</w:t>
      </w:r>
      <w:r w:rsidRPr="00452E2E">
        <w:t xml:space="preserve"> in one country is not a guarantee of success in other countries </w:t>
      </w:r>
      <w:r w:rsidRPr="00452E2E">
        <w:fldChar w:fldCharType="begin" w:fldLock="1"/>
      </w:r>
      <w:r w:rsidRPr="00452E2E">
        <w:instrText>ADDIN CSL_CITATION { "citationItems" : [ { "id" : "ITEM-1",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"1-23", "publisher" : "Edward Elgar", "publisher-place" : "Cheltenham, UK", "title" : "Comparative human resource management: An introduction", "type" : "chapter" }, "uris" : [ "http://www.mendeley.com/documents/?uuid=3c9bc995-b399-4f2b-920d-18cfbc74a1c0" ] } ], "mendeley" : { "formattedCitation" : "(Brewster &amp; Mayrhofer 2012)", "manualFormatting" : "(Brewster &amp; Mayrhofer, 2012)", "plainTextFormattedCitation" : "(Brewster &amp; Mayrhofer 2012)", "previouslyFormattedCitation" : "(Brewster &amp; Mayrhofer 2012)" }, "properties" : { "noteIndex" : 0 }, "schema" : "https://github.com/citation-style-language/schema/raw/master/csl-citation.json" }</w:instrText>
      </w:r>
      <w:r w:rsidRPr="00452E2E">
        <w:fldChar w:fldCharType="separate"/>
      </w:r>
      <w:r w:rsidRPr="00452E2E">
        <w:rPr>
          <w:noProof/>
        </w:rPr>
        <w:t>(Brewster &amp; Mayrhofer, 2012)</w:t>
      </w:r>
      <w:r w:rsidRPr="00452E2E">
        <w:fldChar w:fldCharType="end"/>
      </w:r>
      <w:r w:rsidRPr="00452E2E">
        <w:t>.</w:t>
      </w:r>
    </w:p>
    <w:p w:rsidR="00D03A8E" w:rsidRPr="00452E2E" w:rsidRDefault="00D03A8E" w:rsidP="00D03A8E">
      <w:pPr>
        <w:spacing w:line="360" w:lineRule="auto"/>
        <w:jc w:val="both"/>
      </w:pPr>
      <w:r w:rsidRPr="00452E2E">
        <w:t xml:space="preserve"> Even within particular national contexts, the literature on institutional diversity suggests the existence of heterogeneous practices across industries or sectors due to “the uneven, experimental and contested nature of institutional change; the varying forms of institutional complementarity; and the effects of regional and sectoral dynamics” </w:t>
      </w:r>
      <w:r w:rsidRPr="00452E2E">
        <w:fldChar w:fldCharType="begin" w:fldLock="1"/>
      </w:r>
      <w:r w:rsidRPr="00452E2E">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"(Lane &amp; Wood, 2009 p.533)", "plainTextFormattedCitation" : "(Lane &amp; Wood 2009)", "previouslyFormattedCitation" : "(Lane &amp; Wood 2009)" }, "properties" : { "noteIndex" : 0 }, "schema" : "https://github.com/citation-style-language/schema/raw/master/csl-citation.json" }</w:instrText>
      </w:r>
      <w:r w:rsidRPr="00452E2E">
        <w:fldChar w:fldCharType="separate"/>
      </w:r>
      <w:r w:rsidRPr="00452E2E">
        <w:rPr>
          <w:noProof/>
        </w:rPr>
        <w:t>(Lane &amp; Wood, 2009 p. 533)</w:t>
      </w:r>
      <w:r w:rsidRPr="00452E2E">
        <w:fldChar w:fldCharType="end"/>
      </w:r>
      <w:r w:rsidRPr="00452E2E">
        <w:t xml:space="preserve">. This suggests that within a particular national context, the forces that shape HRM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"(Webster &amp; Wood 2005; Wood et al. 2011)", "manualFormatting" : "(Webster &amp; Wood, 2005; Wood et al., 2011)", "plainTextFormattedCitation" : "(Webster &amp; Wood 2005; Wood et al. 2011)", "previouslyFormattedCitation" : "(Webster &amp; Wood 2005; Wood et al. 2011)" }, "properties" : { "noteIndex" : 0 }, "schema" : "https://github.com/citation-style-language/schema/raw/master/csl-citation.json" }</w:instrText>
      </w:r>
      <w:r w:rsidRPr="00452E2E">
        <w:fldChar w:fldCharType="separate"/>
      </w:r>
      <w:r w:rsidRPr="00452E2E">
        <w:rPr>
          <w:noProof/>
        </w:rPr>
        <w:t xml:space="preserve">(Webster &amp; Wood, 2005; </w:t>
      </w:r>
      <w:r w:rsidRPr="00452E2E">
        <w:rPr>
          <w:noProof/>
        </w:rPr>
        <w:lastRenderedPageBreak/>
        <w:t xml:space="preserve">Wood </w:t>
      </w:r>
      <w:r w:rsidRPr="00452E2E">
        <w:rPr>
          <w:i/>
          <w:noProof/>
        </w:rPr>
        <w:t>et al</w:t>
      </w:r>
      <w:r w:rsidRPr="00452E2E">
        <w:rPr>
          <w:noProof/>
        </w:rPr>
        <w:t>., 2011)</w:t>
      </w:r>
      <w:r w:rsidRPr="00452E2E">
        <w:fldChar w:fldCharType="end"/>
      </w:r>
      <w:r w:rsidRPr="00452E2E">
        <w:t xml:space="preserve">, as well as the effects of HR practices on work outcomes may differ across industries and sectors </w:t>
      </w:r>
      <w:r w:rsidRPr="00452E2E">
        <w:fldChar w:fldCharType="begin" w:fldLock="1"/>
      </w:r>
      <w:r w:rsidRPr="00452E2E">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"ITEM-2",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"ITEM-2",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"(Boselie et al. 2003; Kim &amp; Wright 2011)", "manualFormatting" : "(Boselie et al., 2003; Kim &amp; Wright, 2011)", "plainTextFormattedCitation" : "(Boselie et al. 2003; Kim &amp; Wright 2011)", "previouslyFormattedCitation" : "(Boselie et al. 2003; Kim &amp; Wright 2011)" }, "properties" : { "noteIndex" : 0 }, "schema" : "https://github.com/citation-style-language/schema/raw/master/csl-citation.json" }</w:instrText>
      </w:r>
      <w:r w:rsidRPr="00452E2E">
        <w:fldChar w:fldCharType="separate"/>
      </w:r>
      <w:r w:rsidRPr="00452E2E">
        <w:rPr>
          <w:noProof/>
        </w:rPr>
        <w:t xml:space="preserve">(Boselie </w:t>
      </w:r>
      <w:r w:rsidRPr="00452E2E">
        <w:rPr>
          <w:i/>
          <w:noProof/>
        </w:rPr>
        <w:t>et al</w:t>
      </w:r>
      <w:r w:rsidRPr="00452E2E">
        <w:rPr>
          <w:noProof/>
        </w:rPr>
        <w:t>., 2003; Kim &amp; Wright, 2011)</w:t>
      </w:r>
      <w:r w:rsidRPr="00452E2E">
        <w:fldChar w:fldCharType="end"/>
      </w:r>
      <w:r w:rsidRPr="00452E2E">
        <w:t>.</w:t>
      </w:r>
    </w:p>
    <w:p w:rsidR="00D03A8E" w:rsidRPr="00452E2E" w:rsidRDefault="00D03A8E" w:rsidP="00D03A8E">
      <w:pPr>
        <w:spacing w:line="360" w:lineRule="auto"/>
        <w:jc w:val="both"/>
        <w:rPr>
          <w:lang w:val="fr-FR"/>
        </w:rPr>
      </w:pPr>
      <w:r w:rsidRPr="00452E2E">
        <w:t xml:space="preserve">For most emerging countries of Africa, the influence of institutions on organizational practices is rather complex due to the external influence from supranational institutions such as the World Bank and IMF whose aim is to impose neo-liberal ideologies on emerging countries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"ITEM-2", "issue" : "1", "issued" : { "date-parts" : [ [ "2008" ] ] }, "page" : "57-76", "title" : "Human resource management practices in a transition economy: Challenges and prospects", "type" : "article-journal", "volume" : "31" }, "uris" : [ "http://www.mendeley.com/documents/?uuid=43a2fbd4-6640-46db-bd96-9c0c4ca42d50" ] } ], "mendeley" : { "formattedCitation" : "(Webster &amp; Wood 2005; Okpara &amp; Wynn 2008)", "manualFormatting" : "(Webster &amp; Wood, 2005; Okpara &amp; Wynn, 2008)", "plainTextFormattedCitation" : "(Webster &amp; Wood 2005; Okpara &amp; Wynn 2008)", "previouslyFormattedCitation" : "(Webster &amp; Wood 2005; Okpara &amp; Wynn 2008)" }, "properties" : { "noteIndex" : 0 }, "schema" : "https://github.com/citation-style-language/schema/raw/master/csl-citation.json" }</w:instrText>
      </w:r>
      <w:r w:rsidRPr="00452E2E">
        <w:fldChar w:fldCharType="separate"/>
      </w:r>
      <w:r w:rsidRPr="00452E2E">
        <w:rPr>
          <w:noProof/>
        </w:rPr>
        <w:t>(Webster &amp; Wood, 2005; Okpara &amp; Wynn, 2008)</w:t>
      </w:r>
      <w:r w:rsidRPr="00452E2E">
        <w:fldChar w:fldCharType="end"/>
      </w:r>
      <w:r w:rsidRPr="00452E2E">
        <w:t xml:space="preserve">.  This is further complicated by the weak and incoherent nature of local institutions in most emerging countries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"plainTextFormattedCitation" : "(Wood et al. 2011)", "previouslyFormattedCitation" : "(Wood et al. 2011)"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2011)</w:t>
      </w:r>
      <w:r w:rsidRPr="00452E2E">
        <w:fldChar w:fldCharType="end"/>
      </w:r>
      <w:r w:rsidRPr="00452E2E">
        <w:t xml:space="preserve">. It therefore presents an interesting scenario for researchers to find out if organizations in emerging countries, irrespective of industry or sector, have embraced a particular model of HRM as a result of this external influence from neo-liberal ideologists or whether distinct paradigms of HRM exist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"(cf. Wood et al., 2011)", "plainTextFormattedCitation" : "(Wood et al. 2011)", "previouslyFormattedCitation" : "(Wood et al. 2011)" }, "properties" : { "noteIndex" : 0 }, "schema" : "https://github.com/citation-style-language/schema/raw/master/csl-citation.json" }</w:instrText>
      </w:r>
      <w:r w:rsidRPr="00452E2E">
        <w:fldChar w:fldCharType="separate"/>
      </w:r>
      <w:r w:rsidRPr="00452E2E">
        <w:rPr>
          <w:noProof/>
        </w:rPr>
        <w:t xml:space="preserve">(cf. Wood </w:t>
      </w:r>
      <w:r w:rsidRPr="00452E2E">
        <w:rPr>
          <w:i/>
          <w:noProof/>
        </w:rPr>
        <w:t>et al</w:t>
      </w:r>
      <w:r w:rsidRPr="00452E2E">
        <w:rPr>
          <w:noProof/>
        </w:rPr>
        <w:t>., 2011)</w:t>
      </w:r>
      <w:r w:rsidRPr="00452E2E">
        <w:fldChar w:fldCharType="end"/>
      </w:r>
      <w:r w:rsidRPr="00452E2E">
        <w:t xml:space="preserve">. This further leads to another question of whether the effects of HRM on employee attitudes will be the same or different across industries and sectors since the attitudinal response of employees to HRM will depend on the nature of HR practices they encounter </w:t>
      </w:r>
      <w:r w:rsidRPr="00452E2E">
        <w:fldChar w:fldCharType="begin" w:fldLock="1"/>
      </w:r>
      <w:r w:rsidRPr="00452E2E">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"Par\u00e9", "given" : "Guy", "non-dropping-particle" : "", "parse-names" : false, "suffix" : "" }, { "dropping-particle" : "", "family" : "Tremblay", "given" : "Michel", "non-dropping-particle" : "", "parse-names" : false, "suffix" : "" } ], "container-title" : "Group &amp; Organization Management", "id" : "ITEM-2", "issue" : "3", "issued" : { "date-parts" : [ [ "2007" ] ] }, "page" : "326-357", "title" : "The influence of high-involvement human resource practices, procedural justice, organizational commitment, and citizenship behaviors on information technology professionals \u2019 turnover intentions", "type" : "article-journal", "volume" : "32" }, "uris" : [ "http://www.mendeley.com/documents/?uuid=dd7a2e92-5026-450c-83bb-2292744a7d0b" ] }, { "id" : "ITEM-3",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"Herrbach", "given" : "Olivier", "non-dropping-particle" : "", "parse-names" : false, "suffix" : "" }, { "dropping-particle" : "", "family" : "Mignonac", "given" : "Karim", "non-dropping-particle" : "", "parse-names" : false, "suffix" : "" }, { "dropping-particle" : "", "family" : "Vandenbeghe", "given" : "C", "non-dropping-particle" : "", "parse-names" : false, "suffix" : "" }, { "dropping-particle" : "", "family" : "Negrini", "given" : "A", "non-dropping-particle" : "", "parse-names" : false, "suffix" : "" } ], "container-title" : "Human Resource Management", "id" : "ITEM-3", "issue" : "6", "issued" : { "date-parts" : [ [ "2009" ] ] }, "page" : "895-915", "title" : "Perceived HRM practices, organizational commitment, and voluntary early retirement among late career managers", "type" : "article-journal", "volume" : "48" }, "uris" : [ "http://www.mendeley.com/documents/?uuid=1b165dc8-8055-4a8b-bc0e-388885049c28" ] }, { "id" : "ITEM-4",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"ITEM-4",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"ITEM-5", "itemData" : { "DOI" : "10.1002/hrm", "ISBN" : "0086029826654", "ISSN" : "0090-4848", "PMID" : "31163372", "author" : [ { "dropping-particle" : "", "family" : "Pieni</w:instrText>
      </w:r>
      <w:r w:rsidRPr="00452E2E">
        <w:rPr>
          <w:lang w:val="fr-FR"/>
        </w:rPr>
        <w:instrText>ng", "given" : "Erk P", "non-dropping-particle" : "", "parse-names" : false, "suffix" : "" }, { "dropping-particle" : "", "family" : "Baluch", "given" : "Alina M", "non-dropping-particle" : "", "parse-names" : false, "suffix" : "" }, { "dropping-particle" : "", "family" : "Ridder", "given" : "Hans-Gerad", "non-dropping-particle" : "", "parse-names" : false, "suffix" : "" } ], "container-title" : "Human Resource Management", "id" : "ITEM-5", "issue" : "4", "issued" : { "date-parts" : [ [ "2014" ] ] }, "page" : "545-567", "title" : "Mind the intended-implemented gap: Understanding employees' perceptions of HRM", "type" : "article-journal", "volume" : "53" }, "uris" : [ "http://www.mendeley.com/documents/?uuid=b12451a8-570e-4f77-9952-04a78bb6a918" ] } ], "mendeley" : { "formattedCitation" : "(Appelbaum et al. 2000; Par\u00e9 &amp; Tremblay 2007; Herrbach et al. 2009; Mendelson et al. 2011; Piening et al. 2014)", "manualFormatting" : "(Appelbaum et al., 2000; Par\u00e9 &amp; Tremblay, 2007; Herrbach et al., 2009; Mendelson et al., 2011; Piening et al., 2014)", "plainTextFormattedCitation" : "(Appelbaum et al. 2000; Par\u00e9 &amp; Tremblay 2007; Herrbach et al. 2009; Mendelson et al. 2011; Piening et al. 2014)", "previouslyFormattedCitation" : "(Appelbaum et al. 2000; Par\u00e9 &amp; Tremblay 2007; Herrbach et al. 2009; Mendelson et al. 2011; Piening et al. 2014)" }, "properties" : { "noteIndex" : 0 }, "schema" : "https://github.com/citation-style-language/schema/raw/master/csl-citation.json" }</w:instrText>
      </w:r>
      <w:r w:rsidRPr="00452E2E">
        <w:fldChar w:fldCharType="separate"/>
      </w:r>
      <w:r w:rsidRPr="00452E2E">
        <w:rPr>
          <w:noProof/>
          <w:lang w:val="fr-FR"/>
        </w:rPr>
        <w:t xml:space="preserve">(Appelbaum </w:t>
      </w:r>
      <w:r w:rsidRPr="00452E2E">
        <w:rPr>
          <w:i/>
          <w:noProof/>
          <w:lang w:val="fr-FR"/>
        </w:rPr>
        <w:t>et al</w:t>
      </w:r>
      <w:r w:rsidRPr="00452E2E">
        <w:rPr>
          <w:noProof/>
          <w:lang w:val="fr-FR"/>
        </w:rPr>
        <w:t xml:space="preserve">., 2000; Paré &amp; Tremblay, 2007; Herrbach </w:t>
      </w:r>
      <w:r w:rsidRPr="00452E2E">
        <w:rPr>
          <w:i/>
          <w:noProof/>
          <w:lang w:val="fr-FR"/>
        </w:rPr>
        <w:t>et al</w:t>
      </w:r>
      <w:r w:rsidRPr="00452E2E">
        <w:rPr>
          <w:noProof/>
          <w:lang w:val="fr-FR"/>
        </w:rPr>
        <w:t xml:space="preserve">., 2009; Mendelson </w:t>
      </w:r>
      <w:r w:rsidRPr="00452E2E">
        <w:rPr>
          <w:i/>
          <w:noProof/>
          <w:lang w:val="fr-FR"/>
        </w:rPr>
        <w:t>et al</w:t>
      </w:r>
      <w:r w:rsidRPr="00452E2E">
        <w:rPr>
          <w:noProof/>
          <w:lang w:val="fr-FR"/>
        </w:rPr>
        <w:t xml:space="preserve">., 2011; Piening </w:t>
      </w:r>
      <w:r w:rsidRPr="00452E2E">
        <w:rPr>
          <w:i/>
          <w:noProof/>
          <w:lang w:val="fr-FR"/>
        </w:rPr>
        <w:t>et al</w:t>
      </w:r>
      <w:r w:rsidRPr="00452E2E">
        <w:rPr>
          <w:noProof/>
          <w:lang w:val="fr-FR"/>
        </w:rPr>
        <w:t>., 2014)</w:t>
      </w:r>
      <w:r w:rsidRPr="00452E2E">
        <w:fldChar w:fldCharType="end"/>
      </w:r>
      <w:r w:rsidRPr="00452E2E">
        <w:rPr>
          <w:lang w:val="fr-FR"/>
        </w:rPr>
        <w:t>.</w:t>
      </w:r>
    </w:p>
    <w:p w:rsidR="00D03A8E" w:rsidRPr="00452E2E" w:rsidRDefault="00D03A8E" w:rsidP="00D03A8E">
      <w:pPr>
        <w:spacing w:line="360" w:lineRule="auto"/>
        <w:jc w:val="both"/>
      </w:pPr>
      <w:r w:rsidRPr="00452E2E">
        <w:t xml:space="preserve">Despite the World Bank and IMF-influenced structural adjustment policies that have led to privatization of previous state owned enterprises in many African contexts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"id" : "ITEM-2", "itemData" : { "author" : [ { "dropping-particle" : "", "family" : "Dibben", "given" : "Pauline", "non-dropping-particle" : "", "parse-names" : false, "suffix" : "" }, { "dropping-particle" : "", "family" : "Wood", "given" : "Geoffrey", "non-dropping-particle" : "", "parse-names" : false, "suffix" : "" } ], "container-title" : "Effective people management in Africa", "editor"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"ITEM-2", "issued" : { "date-parts" : [ [ "2013" ] ] }, "page" : "72-94", "publisher" : "Palgrave Macmillan", "publisher-place" : "Basingstoke", "title" : "Privatization and employment relations in Africa", "type" : "chapter" }, "uris" : [ "http://www.mendeley.com/documents/?uuid=ef3ac935-a000-43ed-beef-50e0b2d443f8" ] } ], "mendeley" : { "formattedCitation" : "(Okpara &amp; Wynn 2008; Dibben &amp; Wood 2013)", "manualFormatting" : "(Okpara &amp; Wynn, 2008; Dibben &amp; Wood, 2013)", "plainTextFormattedCitation" : "(Okpara &amp; Wynn 2008; Dibben &amp; Wood 2013)", "previouslyFormattedCitation" : "(Okpara &amp; Wynn 2008; Dibben &amp; Wood 2013)" }, "properties" : { "noteIndex" : 0 }, "schema" : "https://github.com/citation-style-language/schema/raw/master/csl-citation.json" }</w:instrText>
      </w:r>
      <w:r w:rsidRPr="00452E2E">
        <w:fldChar w:fldCharType="separate"/>
      </w:r>
      <w:r w:rsidRPr="00452E2E">
        <w:rPr>
          <w:noProof/>
        </w:rPr>
        <w:t>(Okpara &amp; Wynn, 2008; Dibben &amp; Wood, 2013)</w:t>
      </w:r>
      <w:r w:rsidRPr="00452E2E">
        <w:fldChar w:fldCharType="end"/>
      </w:r>
      <w:r w:rsidRPr="00452E2E">
        <w:t xml:space="preserve">, the public sector remains the largest formal employer of labour in most African countries </w:t>
      </w:r>
      <w:r w:rsidRPr="00452E2E">
        <w:fldChar w:fldCharType="begin" w:fldLock="1"/>
      </w:r>
      <w:r w:rsidRPr="00452E2E">
        <w:instrText>ADDIN CSL_CITATION { "citationItems" : [ { "id" : "ITEM-1", "itemData" : { "author" : [ { "dropping-particle" : "", "family" : "Aryee", "given" : "Samuel", "non-dropping-particle" : "", "parse-names" : false, "suffix" : "" } ], "container-title" : "Managing human resources in Africa", "editor"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"ITEM-1", "issued" : { "date-parts" : [ [ "2004" ] ] }, "page" : "121-134", "publisher" : "Routledge", "publisher-place" : "London", "title" : "HRM in Ghana", "type" : "chapter" }, "uris" : [ "http://www.mendeley.com/documents/?uuid=33c2f00a-0655-400e-9adc-892f7cfa3679" ] }, { "id" : "ITEM-2", "itemData" : { "author" : [ { "dropping-particle" : "", "family" : "Stampini", "given" : "Marco", "non-dropping-particle" : "", "parse-names" : false, "suffix" : "" }, { "dropping-particle" : "", "family" : "Leung", "given" : "R", "non-dropping-particle" : "", "parse-names" : false, "suffix" : "" }, { "dropping-particle" : "", "family" : "Diarra", "given" : "Setou M", "non-dropping-particle" : "", "parse-names" : false, "suffix" : "" }, { "dropping-particle" : "", "family" : "Pla", "given" : "L", "non-dropping-particle" : "", "parse-names" : false, "suffix" : "" } ], "genre" : "Discussion Paper No. 6267", "id" : "ITEM-2", "issued" : { "date-parts" : [ [ "2011" ] ] }, "page" : "1-27", "publisher" : "Institute for the Study of Labor", "publisher-place" : "Bonn", "title" : "How large is the private sector in Africa? Evidence from national accounts and labor markets", "type" : "article" }, "uris" : [ "http://www.mendeley.com/documents/?uuid=aee7fb98-7637-4363-8e63-b714d3ca8b11" ] }, { "id" : "ITEM-3", "itemData" : { "author" : [ { "dropping-particle" : "", "family" : "Adewumi", "given" : "Funmi", "non-dropping-particle" : "", "parse-names" : false, "suffix" : "" }, { "dropping-particle" : "", "family" : "Idowu", "given" : "W", "non-dropping-particle" : "", "parse-names" : false, "suffix" : "" } ], "id" : "ITEM-3", "issued" : { "date-parts" : [ [ "2012" ] ] }, "publisher" : "CODESRIA", "publisher-place" : "Dakar", "title" : "Public sector reforms in Africa: Nigerian perspectives", "type" : "book" }, "uris" : [ "http://www.mendeley.com/documents/?uuid=c7ec6f2e-5174-4074-981d-1562327cb860" ] } ], "mendeley" : { "formattedCitation" : "(Aryee 2004; Stampini et al. 2011; Funmi Adewumi &amp; Idowu 2012)", "manualFormatting" : "(Aryee, 2004; Stampini et al., 2011; Adewumi &amp; Idowu, 2012)", "plainTextFormattedCitation" : "(Aryee 2004; Stampini et al. 2011; Funmi Adewumi &amp; Idowu 2012)", "previouslyFormattedCitation" : "(Aryee 2004; Stampini et al. 2011; Funmi Adewumi &amp; Idowu 2012)" }, "properties" : { "noteIndex" : 0 }, "schema" : "https://github.com/citation-style-language/schema/raw/master/csl-citation.json" }</w:instrText>
      </w:r>
      <w:r w:rsidRPr="00452E2E">
        <w:fldChar w:fldCharType="separate"/>
      </w:r>
      <w:r w:rsidRPr="00452E2E">
        <w:rPr>
          <w:noProof/>
        </w:rPr>
        <w:t xml:space="preserve">(Aryee, 2004; Stampini </w:t>
      </w:r>
      <w:r w:rsidRPr="00452E2E">
        <w:rPr>
          <w:i/>
          <w:noProof/>
        </w:rPr>
        <w:t>et al</w:t>
      </w:r>
      <w:r w:rsidRPr="00452E2E">
        <w:rPr>
          <w:noProof/>
        </w:rPr>
        <w:t>., 2011; Adewumi &amp; Idowu, 2012)</w:t>
      </w:r>
      <w:r w:rsidRPr="00452E2E">
        <w:fldChar w:fldCharType="end"/>
      </w:r>
      <w:r w:rsidRPr="00452E2E">
        <w:t xml:space="preserve"> since not all public services can be privatized. Unfortunately, most writings on HRM in Africa emphasize commercial firms to the neglect of public sector organizations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"http://www.mendeley.com/documents/?uuid=43a2fbd4-6640-46db-bd96-9c0c4ca42d50" ] }, { "id" : "ITEM-2",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"ITEM-2", "issue" : "1", "issued" : { "date-parts" : [ [ "2009" ] ] }, "page" : "62-82", "title" : "Managerial perspectives on HRM in Nigeria: Evolving hybridization?", "type" : "article-journal", "volume" : "16" }, "uris" : [ "http://www.mendeley.com/documents/?uuid=cde70e16-aeda-4832-89c0-f5554c70c93e" ] }, { "id" : "ITEM-3",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"ITEM-3", "issue" : "1", "issued" : { "date-parts" : [ [ "2011" ] ] }, "page" : "31-41", "publisher" : "Elsevier Inc.", "title" : "HRM in Mozambique: Homogenization, path dependence or segmented business system?", "type" : "article-journal", "volume" : "46" }, "uris" : [ "http://www.mendeley.com/documents/?uuid=715488db-b5b1-4ac9-8b33-8be3c1beb0c1" ] }, { "id" : "ITEM-4", "itemData" : { "DOI" : "10.1080/09585192.2012.671509", "ISSN" : "0958-5192", "abstract" : "Despite the increasing number of mergers and acquisitions (M&amp;A) taking place in Africa, research of this phenomenon, particularly in this continent, is extremely scarce. There is also growing awareness amongst researchers of the importance of human resource management (HRM) practices in general throughout the merger process. This makes an enquiry into its role in this context opportune. By analysing the recent M&amp;A wave in the Nigerian banking sector, this paper explores HRM practices throughout the M&amp;A process. Through interviews of key informants in each merging bank, key HRM practices are identified and conclusions drawn about their contribution to overall M&amp;A outcomes. Implications for theory and practice are discussed and future research directions offered.", "author" : [ { "dropping-particle" : "", "family" : "Gomes", "given" : "Emanuel", "non-dropping-particle" : "", "parse-names" : false, "suffix" : "" }, { "dropping-particle" : "", "family" : "Angwin", "given" : "Duncan", "non-dropping-particle" : "", "parse-names" : false, "suffix" : "" }, { "dropping-particle" : "", "family" : "Peter", "given" : "Emmanuel", "non-dropping-particle" : "", "parse-names" : false, "suffix" : "" }, { "dropping-particle" : "", "family" : "Mellahi", "given" : "Kamel", "non-dropping-particle" : "", "parse-names" : false, "suffix" : "" } ], "container-title" : "The International Journal of Human Resource Management", "id" : "ITEM-4", "issue" : "14", "issued" : { "date-parts" : [ [ "2012" ] ] }, "page" : "2874-2900", "title" : "HRM issues and outcomes in African mergers and acquisitions: a study of the Nigerian banking sector", "type" : "article-journal", "volume" : "23" }, "uris" : [ "http://www.mendeley.com/documents/?uuid=918c4f32-201e-4dad-a677-28daa6de6629" ] }, { "id" : "ITEM-5", "itemData" : { "DOI" : "10.1080/09585192.2012.671504", "ISBN" : "09585192", "ISSN" : "0958-5192", "abstract" : "The last decade has witnessed a notable increase in the volume of publications on human resource management (HRM) in Africa, particularly in reputable management journals. Yet, within the broader context of the mainstream HRM debate, advances in research and theoretical sophistication have not quite kept pace with the actual practice of management. This is particularly notable when it comes to the progress that organizations in Africa have made in product innovation and service delivery, the creation and application of advanced technology, as well as in the adoption of progressive/innovative HRM practices. The six papers in this forum were drawn from an international conference on HRM in Africa held at Nottingham Business School in 2010. Taken together, they identify important new developments in theory and practice, and also open up avenues for further debate particularly in the areas of career development, knowledge appropriation, mergers and acquisitions, the role of HR professionals, the informal sector and the most effective ways to engage foreign investors.", "author"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"dropping-particle" : "", "family" : "Newenham-Kahindi", "given" : "Aloysius", "non-dropping-particle" : "", "parse-names" : false, "suffix" : "" } ], "container-title" : "The International Journal of Human Resource Management", "id" : "ITEM-5", "issue" : "14", "issued" : { "date-parts" : [ [ "2012" ] ] }, "page" : "2825-2834", "title" : "New directions in the management of human resources in Africa", "type" : "article-journal", "volume" : "23" }, "uris" : [ "http://www.mendeley.com/documents/?uuid=2ffa1b6f-e2e1-4cfb-9ecb-2a51b6402bad" ] } ], "mendeley" : { "formattedCitation" : "(Okpara &amp; Wynn 2008; Azolukwam &amp; Perkins 2009; Wood et al. 2011; Gomes et al. 2012; Kamoche et al. 2012)", "manualFormatting" : "(e.g Okpara &amp; Wynn, 2008; Azolukwam &amp; Perkins, 2009; Wood et al., 2011; Gomes et al., 2012; Kamoche et al., 2012)", "plainTextFormattedCitation" : "(Okpara &amp; Wynn 2008; Azolukwam &amp; Perkins 2009; Wood et al. 2011; Gomes et al. 2012; Kamoche et al. 2012)", "previouslyFormattedCitation" : "(Okpara &amp; Wynn 2008; Azolukwam &amp; Perkins 2009; Wood et al. 2011; Gomes et al. 2012; Kamoche et al. 2012)" }, "properties" : { "noteIndex" : 0 }, "schema" : "https://github.com/citation-style-language/schema/raw/master/csl-citation.json" }</w:instrText>
      </w:r>
      <w:r w:rsidRPr="00452E2E">
        <w:fldChar w:fldCharType="separate"/>
      </w:r>
      <w:r w:rsidRPr="00452E2E">
        <w:rPr>
          <w:noProof/>
        </w:rPr>
        <w:t xml:space="preserve">(e.g Okpara &amp; Wynn, 2008; Azolukwam &amp; Perkins, 2009; Wood </w:t>
      </w:r>
      <w:r w:rsidRPr="00452E2E">
        <w:rPr>
          <w:i/>
          <w:noProof/>
        </w:rPr>
        <w:t>et al</w:t>
      </w:r>
      <w:r w:rsidRPr="00452E2E">
        <w:rPr>
          <w:noProof/>
        </w:rPr>
        <w:t xml:space="preserve">., 2011; Gomes </w:t>
      </w:r>
      <w:r w:rsidRPr="00452E2E">
        <w:rPr>
          <w:i/>
          <w:noProof/>
        </w:rPr>
        <w:t>et al</w:t>
      </w:r>
      <w:r w:rsidRPr="00452E2E">
        <w:rPr>
          <w:noProof/>
        </w:rPr>
        <w:t xml:space="preserve">., 2012; Kamoche </w:t>
      </w:r>
      <w:r w:rsidRPr="00452E2E">
        <w:rPr>
          <w:i/>
          <w:noProof/>
        </w:rPr>
        <w:t>et al</w:t>
      </w:r>
      <w:r w:rsidRPr="00452E2E">
        <w:rPr>
          <w:noProof/>
        </w:rPr>
        <w:t>., 2012)</w:t>
      </w:r>
      <w:r w:rsidRPr="00452E2E">
        <w:fldChar w:fldCharType="end"/>
      </w:r>
      <w:r w:rsidRPr="00452E2E">
        <w:t xml:space="preserve">. If we are to fully understand the nature of HRM in a particular context, it is </w:t>
      </w:r>
      <w:r w:rsidR="00AD1082" w:rsidRPr="00452E2E">
        <w:t>important</w:t>
      </w:r>
      <w:r w:rsidRPr="00452E2E">
        <w:t xml:space="preserve"> to explore the sector that provides much of the employment. Moreover, the differences between public and private sector organizations in terms of ownership and sources of funding indicate that public and private sector organizations operate under different contexts </w:t>
      </w:r>
      <w:r w:rsidRPr="00452E2E">
        <w:fldChar w:fldCharType="begin" w:fldLock="1"/>
      </w:r>
      <w:r w:rsidRPr="00452E2E">
        <w:instrText>ADDIN CSL_CITATION { "citationItems" : [ { "id" : "ITEM-1", "itemData" : { "author" : [ { "dropping-particle" : "", "family" : "Boyne", "given" : "G.", "non-dropping-particle" : "", "parse-names" : false, "suffix" : "" } ], "container-title" : "Journal of Management Studies", "id" : "ITEM-1", "issue" : "1", "issued" : { "date-parts" : [ [ "2002" ] ] }, "page" : "97-122", "title" : "Public and private management: What\u2019s the difference?", "type" : "article-journal", "volume" : "39" }, "uris" : [ "http://www.mendeley.com/documents/?uuid=2c2742b3-8495-401d-b814-9d4ef860dc0c" ] }, { "id" : "ITEM-2", "itemData" : { "author" : [ { "dropping-particle" : "", "family" : "Rainey", "given" : "Hal G.", "non-dropping-particle" : "", "parse-names" : false, "suffix" : "" } ], "edition" : "5th", "id" : "ITEM-2", "issued" : { "date-parts" : [ [ "2014" ] ] }, "publisher" : "Jossey-Bass", "publisher-place" : "San Francisco CA", "title" : "Understanding and managing public organizations", "type" : "book" }, "uris" : [ "http://www.mendeley.com/documents/?uuid=e4509630-4d2f-4f7b-acc0-ef9c899faaab" ] } ], "mendeley" : { "formattedCitation" : "(Boyne 2002; Rainey 2014)", "manualFormatting" : "(Boyne, 2002; Rainey, 2014)", "plainTextFormattedCitation" : "(Boyne 2002; Rainey 2014)", "previouslyFormattedCitation" : "(Boyne 2002; Rainey 2014)" }, "properties" : { "noteIndex" : 0 }, "schema" : "https://github.com/citation-style-language/schema/raw/master/csl-citation.json" }</w:instrText>
      </w:r>
      <w:r w:rsidRPr="00452E2E">
        <w:fldChar w:fldCharType="separate"/>
      </w:r>
      <w:r w:rsidRPr="00452E2E">
        <w:rPr>
          <w:noProof/>
        </w:rPr>
        <w:t>(Boyne, 2002; Rainey, 2014)</w:t>
      </w:r>
      <w:r w:rsidRPr="00452E2E">
        <w:fldChar w:fldCharType="end"/>
      </w:r>
      <w:r w:rsidRPr="00452E2E">
        <w:t xml:space="preserve">. These differences, and coupled with the importance of HRM in both public and private sector </w:t>
      </w:r>
      <w:r w:rsidRPr="00452E2E">
        <w:fldChar w:fldCharType="begin" w:fldLock="1"/>
      </w:r>
      <w:r w:rsidRPr="00452E2E">
        <w:instrText>ADDIN CSL_CITATION { "citationItems" : [ { "id" : "ITEM-1", "itemData" : { "author" : [ { "dropping-particle" : "", "family" : "Burke", "given" : "Ronald J", "non-dropping-particle" : "", "parse-names" : false, "suffix" : "" }, { "dropping-particle" : "", "family" : "Allisey", "given" : "A.F", "non-dropping-particle" : "", "parse-names" : false, "suffix" : "" }, { "dropping-particle" : "", "family" : "Noblet", "given" : "A.J", "non-dropping-particle" : "", "parse-names" : false, "suffix" : "" } ], "container-title" : "Human resource management in the public sector", "editor" : [ { "dropping-particle" : "", "family" : "Burke", "given" : "R.J", "non-dropping-particle" : "", "parse-names" : false, "suffix" : "" }, { "dropping-particle" : "", "family" : "Noblet", "given" : "A.J", "non-dropping-particle" : "", "parse-names" : false, "suffix" : "" }, { "dropping-particle" : "", "family" : "Cooper", "given" : "C L", "non-dropping-particle" : "", "parse-names" : false, "suffix" : "" } ], "id" : "ITEM-1", "issued" : { "date-parts" : [ [ "2013" ] ] }, "page" : "1-13", "publisher" : "Edward Elgar", "publisher-place" : "Cheltenham, UK", "title" : "The importance of human resource management in the public sector, future challenges and the relevance of the current collection", "type" : "chapter" }, "uris" : [ "http://www.mendeley.com/documents/?uuid=f3292962-3011-4954-b778-d8d1122d0b4a" ] } ], "mendeley" : { "formattedCitation" : "(Burke et al. 2013)", "manualFormatting" : "(Burke et al., 2013)", "plainTextFormattedCitation" : "(Burke et al. 2013)", "previouslyFormattedCitation" : "(Burke et al. 2013)" }, "properties" : { "noteIndex" : 0 }, "schema" : "https://github.com/citation-style-language/schema/raw/master/csl-citation.json" }</w:instrText>
      </w:r>
      <w:r w:rsidRPr="00452E2E">
        <w:fldChar w:fldCharType="separate"/>
      </w:r>
      <w:r w:rsidRPr="00452E2E">
        <w:rPr>
          <w:noProof/>
        </w:rPr>
        <w:t xml:space="preserve">(Burke </w:t>
      </w:r>
      <w:r w:rsidRPr="00452E2E">
        <w:rPr>
          <w:i/>
          <w:noProof/>
        </w:rPr>
        <w:t>et al</w:t>
      </w:r>
      <w:r w:rsidRPr="00452E2E">
        <w:rPr>
          <w:noProof/>
        </w:rPr>
        <w:t>., 2013)</w:t>
      </w:r>
      <w:r w:rsidRPr="00452E2E">
        <w:fldChar w:fldCharType="end"/>
      </w:r>
      <w:r w:rsidRPr="00452E2E">
        <w:t xml:space="preserve"> therefore provide the basis for </w:t>
      </w:r>
      <w:r w:rsidRPr="00452E2E">
        <w:lastRenderedPageBreak/>
        <w:t xml:space="preserve">within-country comparison of HRM in both sectors. Accordingly, this research seeks to examine the nature of HRM vis-à-vis the effects of HR practices on employee attitudes in public and private sector in Nigeria from an institutional perspective. </w:t>
      </w:r>
    </w:p>
    <w:p w:rsidR="00D03A8E" w:rsidRPr="00452E2E" w:rsidRDefault="00D03A8E" w:rsidP="00170224">
      <w:pPr>
        <w:pStyle w:val="Heading3"/>
      </w:pPr>
      <w:bookmarkStart w:id="13" w:name="_Toc465271159"/>
      <w:bookmarkStart w:id="14" w:name="_Toc473808093"/>
      <w:r w:rsidRPr="00452E2E">
        <w:t>1.2 The Research Context: Nigeria</w:t>
      </w:r>
      <w:bookmarkEnd w:id="13"/>
      <w:bookmarkEnd w:id="14"/>
    </w:p>
    <w:p w:rsidR="00D03A8E" w:rsidRPr="00452E2E" w:rsidRDefault="000466F8" w:rsidP="00D03A8E">
      <w:pPr>
        <w:spacing w:line="360" w:lineRule="auto"/>
        <w:jc w:val="both"/>
      </w:pPr>
      <w:r w:rsidRPr="00452E2E">
        <w:t>Since t</w:t>
      </w:r>
      <w:r w:rsidR="00D03A8E" w:rsidRPr="00452E2E">
        <w:t>his research is conducted in Nigeria</w:t>
      </w:r>
      <w:r w:rsidRPr="00452E2E">
        <w:t>, it is</w:t>
      </w:r>
      <w:r w:rsidR="002F5EBB" w:rsidRPr="00452E2E">
        <w:t xml:space="preserve"> important</w:t>
      </w:r>
      <w:r w:rsidR="00D03A8E" w:rsidRPr="00452E2E">
        <w:t xml:space="preserve"> to provide insights about the country</w:t>
      </w:r>
      <w:r w:rsidRPr="00452E2E">
        <w:t>.</w:t>
      </w:r>
      <w:r w:rsidR="00D03A8E" w:rsidRPr="00452E2E">
        <w:t xml:space="preserve"> </w:t>
      </w:r>
      <w:r w:rsidRPr="00452E2E">
        <w:t xml:space="preserve">Moreover, the nature of HRM may be influenced by the national context in which organizations operate </w:t>
      </w:r>
      <w:r w:rsidR="00D03A8E" w:rsidRPr="00452E2E">
        <w:fldChar w:fldCharType="begin" w:fldLock="1"/>
      </w:r>
      <w:r w:rsidR="00D03A8E" w:rsidRPr="00452E2E">
        <w:instrText>ADDIN CSL_CITATION { "citationItems" : [ { "id" : "ITEM-1",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"1-23", "publisher" : "Edward Elgar", "publisher-place" : "Cheltenham, UK", "title" : "Comparative human resource management: An introduction", "type" : "chapter" }, "uris" : [ "http://www.mendeley.com/documents/?uuid=3c9bc995-b399-4f2b-920d-18cfbc74a1c0" ] } ], "mendeley" : { "formattedCitation" : "(Brewster &amp; Mayrhofer 2012)", "manualFormatting" : "(Brewster &amp; Mayrhofer, 2012)", "plainTextFormattedCitation" : "(Brewster &amp; Mayrhofer 2012)", "previouslyFormattedCitation" : "(Brewster &amp; Mayrhofer 2012)" }, "properties" : { "noteIndex" : 0 }, "schema" : "https://github.com/citation-style-language/schema/raw/master/csl-citation.json" }</w:instrText>
      </w:r>
      <w:r w:rsidR="00D03A8E" w:rsidRPr="00452E2E">
        <w:fldChar w:fldCharType="separate"/>
      </w:r>
      <w:r w:rsidR="00D03A8E" w:rsidRPr="00452E2E">
        <w:rPr>
          <w:noProof/>
        </w:rPr>
        <w:t>(Brewster &amp; Mayrhofer, 2012)</w:t>
      </w:r>
      <w:r w:rsidR="00D03A8E" w:rsidRPr="00452E2E">
        <w:fldChar w:fldCharType="end"/>
      </w:r>
      <w:r w:rsidR="00D03A8E" w:rsidRPr="00452E2E">
        <w:t>. Nigeria has the highest population among African countries with</w:t>
      </w:r>
      <w:r w:rsidR="004F3959" w:rsidRPr="00452E2E">
        <w:t xml:space="preserve"> an estimated population of 182.2</w:t>
      </w:r>
      <w:r w:rsidR="00D03A8E" w:rsidRPr="00452E2E">
        <w:t xml:space="preserve"> million people </w:t>
      </w:r>
      <w:r w:rsidR="00D03A8E" w:rsidRPr="00452E2E">
        <w:fldChar w:fldCharType="begin" w:fldLock="1"/>
      </w:r>
      <w:r w:rsidR="004F3959" w:rsidRPr="00452E2E">
        <w:instrText>ADDIN CSL_CITATION { "citationItems" : [ { "id" : "ITEM-1", "itemData" : { "URL" : "http://www.worldbank.org/en/country/nigeria/overview", "accessed" : { "date-parts" : [ [ "2016", "9", "14" ] ] }, "author" : [ { "dropping-particle" : "", "family" : "WorldBank", "given" : "", "non-dropping-particle" : "", "parse-names" : false, "suffix" : "" } ], "id" : "ITEM-1", "issued" : { "date-parts" : [ [ "2015" ] ] }, "title" : "Nigeria", "type" : "webpage" }, "uris" : [ "http://www.mendeley.com/documents/?uuid=f0aecd6a-e3a9-4dbd-9b3f-405c5e4ac237" ] } ], "mendeley" : { "formattedCitation" : "(WorldBank 2015)", "manualFormatting" : "(World Bank, 2016)", "plainTextFormattedCitation" : "(WorldBank 2015)", "previouslyFormattedCitation" : "(WorldBank 2015)" }, "properties" : { "noteIndex" : 0 }, "schema" : "https://github.com/citation-style-language/schema/raw/master/csl-citation.json" }</w:instrText>
      </w:r>
      <w:r w:rsidR="00D03A8E" w:rsidRPr="00452E2E">
        <w:fldChar w:fldCharType="separate"/>
      </w:r>
      <w:r w:rsidR="004F3959" w:rsidRPr="00452E2E">
        <w:rPr>
          <w:noProof/>
        </w:rPr>
        <w:t>(World Bank, 2016</w:t>
      </w:r>
      <w:r w:rsidR="00D03A8E" w:rsidRPr="00452E2E">
        <w:rPr>
          <w:noProof/>
        </w:rPr>
        <w:t>)</w:t>
      </w:r>
      <w:r w:rsidR="00D03A8E" w:rsidRPr="00452E2E">
        <w:fldChar w:fldCharType="end"/>
      </w:r>
      <w:r w:rsidR="00D03A8E" w:rsidRPr="00452E2E">
        <w:t>, which means that one out of five Afri</w:t>
      </w:r>
      <w:r w:rsidR="00755785" w:rsidRPr="00452E2E">
        <w:t>cans is a Nigerian. In addition</w:t>
      </w:r>
      <w:r w:rsidR="00D03A8E" w:rsidRPr="00452E2E">
        <w:t xml:space="preserve"> to the high population, Nigeria is one of the largest economies in Africa </w:t>
      </w:r>
      <w:r w:rsidR="00D03A8E" w:rsidRPr="00452E2E">
        <w:fldChar w:fldCharType="begin" w:fldLock="1"/>
      </w:r>
      <w:r w:rsidR="00D03A8E" w:rsidRPr="00452E2E">
        <w:instrText>ADDIN CSL_CITATION { "citationItems" : [ { "id" : "ITEM-1", "itemData" : { "URL" : "http://www.worldbank.org/en/country/nigeria/overview", "accessed" : { "date-parts" : [ [ "2016", "9", "14" ] ] }, "author" : [ { "dropping-particle" : "", "family" : "WorldBank", "given" : "", "non-dropping-particle" : "", "parse-names" : false, "suffix" : "" } ], "id" : "ITEM-1", "issued" : { "date-parts" : [ [ "2015" ] ] }, "title" : "Nigeria", "type" : "webpage" }, "uris" : [ "http://www.mendeley.com/documents/?uuid=f0aecd6a-e3a9-4dbd-9b3f-405c5e4ac237" ] } ], "mendeley" : { "formattedCitation" : "(WorldBank 2015)", "manualFormatting" : "(World Bank, 2015)", "plainTextFormattedCitation" : "(WorldBank 2015)", "previouslyFormattedCitation" : "(WorldBank 2015)" }, "properties" : { "noteIndex" : 0 }, "schema" : "https://github.com/citation-style-language/schema/raw/master/csl-citation.json" }</w:instrText>
      </w:r>
      <w:r w:rsidR="00D03A8E" w:rsidRPr="00452E2E">
        <w:fldChar w:fldCharType="separate"/>
      </w:r>
      <w:r w:rsidR="00D03A8E" w:rsidRPr="00452E2E">
        <w:rPr>
          <w:noProof/>
        </w:rPr>
        <w:t>(World Bank, 2015)</w:t>
      </w:r>
      <w:r w:rsidR="00D03A8E" w:rsidRPr="00452E2E">
        <w:fldChar w:fldCharType="end"/>
      </w:r>
      <w:r w:rsidR="00D03A8E" w:rsidRPr="00452E2E">
        <w:t xml:space="preserve">, making it essential to understand the nature of HRM in the country. As a result of abundant natural and human resources in the country, Nigeria is one of the most attractive investment destinations in Africa </w:t>
      </w:r>
      <w:r w:rsidR="00D03A8E" w:rsidRPr="00452E2E">
        <w:fldChar w:fldCharType="begin" w:fldLock="1"/>
      </w:r>
      <w:r w:rsidR="00937BF7"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"mendeley" : { "formattedCitation" : "(Anakwe 2002)", "manualFormatting" : "(Okpara &amp; Wynn, 2008; Caldwell, 2014)", "plainTextFormattedCitation" : "(Anakwe 2002)", "previouslyFormattedCitation" : "(Anakwe 2002)" }, "properties" : { "noteIndex" : 0 }, "schema" : "https://github.com/citation-style-language/schema/raw/master/csl-citation.json" }</w:instrText>
      </w:r>
      <w:r w:rsidR="00D03A8E" w:rsidRPr="00452E2E">
        <w:fldChar w:fldCharType="separate"/>
      </w:r>
      <w:r w:rsidR="00D03A8E" w:rsidRPr="00452E2E">
        <w:rPr>
          <w:noProof/>
        </w:rPr>
        <w:t>(</w:t>
      </w:r>
      <w:r w:rsidR="00203B9E" w:rsidRPr="00452E2E">
        <w:rPr>
          <w:noProof/>
        </w:rPr>
        <w:t>Okpara &amp; Wynn, 2008</w:t>
      </w:r>
      <w:r w:rsidR="005A650F" w:rsidRPr="00452E2E">
        <w:rPr>
          <w:noProof/>
        </w:rPr>
        <w:t>; Caldwell, 2014</w:t>
      </w:r>
      <w:r w:rsidR="00D03A8E" w:rsidRPr="00452E2E">
        <w:rPr>
          <w:noProof/>
        </w:rPr>
        <w:t>)</w:t>
      </w:r>
      <w:r w:rsidR="00D03A8E" w:rsidRPr="00452E2E">
        <w:fldChar w:fldCharType="end"/>
      </w:r>
      <w:r w:rsidR="00D03A8E" w:rsidRPr="00452E2E">
        <w:t xml:space="preserve">. </w:t>
      </w:r>
    </w:p>
    <w:p w:rsidR="00D03A8E" w:rsidRPr="00452E2E" w:rsidRDefault="00D03A8E" w:rsidP="00D03A8E">
      <w:pPr>
        <w:spacing w:line="360" w:lineRule="auto"/>
        <w:jc w:val="both"/>
      </w:pPr>
      <w:r w:rsidRPr="00452E2E">
        <w:t xml:space="preserve">As a former British colony, most institutions in Nigeria were either modelled against British institutions or designed to serve the interests of colonial masters </w:t>
      </w:r>
      <w:r w:rsidRPr="00452E2E">
        <w:fldChar w:fldCharType="begin" w:fldLock="1"/>
      </w:r>
      <w:r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"mendeley" : { "formattedCitation" : "(Anakwe 2002)", "manualFormatting" : "(Anakwe, 2002)", "plainTextFormattedCitation" : "(Anakwe 2002)", "previouslyFormattedCitation" : "(Anakwe 2002)" }, "properties" : { "noteIndex" : 0 }, "schema" : "https://github.com/citation-style-language/schema/raw/master/csl-citation.json" }</w:instrText>
      </w:r>
      <w:r w:rsidRPr="00452E2E">
        <w:fldChar w:fldCharType="separate"/>
      </w:r>
      <w:r w:rsidRPr="00452E2E">
        <w:rPr>
          <w:noProof/>
        </w:rPr>
        <w:t>(Anakwe, 2002)</w:t>
      </w:r>
      <w:r w:rsidRPr="00452E2E">
        <w:fldChar w:fldCharType="end"/>
      </w:r>
      <w:r w:rsidRPr="00452E2E">
        <w:t xml:space="preserve">. Since gaining independence from Britain in 1960, Nigeria has undergone structural changes </w:t>
      </w:r>
      <w:r w:rsidRPr="00452E2E">
        <w:fldChar w:fldCharType="begin" w:fldLock="1"/>
      </w:r>
      <w:r w:rsidRPr="00452E2E">
        <w:instrText>ADDIN CSL_CITATION { "citationItems" : [ { "id" : "ITEM-1",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"ITEM-1", "issue" : "1", "issued" : { "date-parts" : [ [ "2009" ] ] }, "page" : "62-82", "title" : "Managerial perspectives on HRM in Nigeria: Evolving hybridization?", "type" : "article-journal", "volume" : "16" }, "uris" : [ "http://www.mendeley.com/documents/?uuid=cde70e16-aeda-4832-89c0-f5554c70c93e" ] } ], "mendeley" : { "formattedCitation" : "(Azolukwam &amp; Perkins 2009)", "manualFormatting" : "(Azolukwam &amp; Perkins, 2009)", "plainTextFormattedCitation" : "(Azolukwam &amp; Perkins 2009)", "previouslyFormattedCitation" : "(Azolukwam &amp; Perkins 2009)" }, "properties" : { "noteIndex" : 0 }, "schema" : "https://github.com/citation-style-language/schema/raw/master/csl-citation.json" }</w:instrText>
      </w:r>
      <w:r w:rsidRPr="00452E2E">
        <w:fldChar w:fldCharType="separate"/>
      </w:r>
      <w:r w:rsidRPr="00452E2E">
        <w:rPr>
          <w:noProof/>
        </w:rPr>
        <w:t>(Azolukwam &amp; Perkins, 2009)</w:t>
      </w:r>
      <w:r w:rsidRPr="00452E2E">
        <w:fldChar w:fldCharType="end"/>
      </w:r>
      <w:r w:rsidRPr="00452E2E">
        <w:t xml:space="preserve">. After experiencing many years of military dictatorship and a civil war, Nigeria has witnessed political stability since the return to democratic rule in 1999. Considering the volatile nature of democracies in Africa </w:t>
      </w:r>
      <w:r w:rsidRPr="00452E2E">
        <w:fldChar w:fldCharType="begin" w:fldLock="1"/>
      </w:r>
      <w:r w:rsidRPr="00452E2E">
        <w:instrText>ADDIN CSL_CITATION { "citationItems" : [ { "id" : "ITEM-1", "itemData" : { "DOI" : "10.1177/1354068807083825", "ISBN" : "1354068807", "ISSN" : "1354-0688", "abstract" : "In a recent publication in this journal, Mozaffar and Scarritt claim to have found a puzzling combination of low fragmentation and high volatility in African party systems. However, if we look at national party systems rather than Africa-wide averages, include regime type as a variable and specify dominance, we find three different constellations: dominant party systems with relatively low volatility, non-dominant and pulverized party systems with high volatility and dominant authoritarian party systems with high volatility. The real surprise is that dominant parties in authoritarian regimes have higher electoral instability than dominant parties in democracies. The analyis is based on data from 78 elections in 20 African countries with at least three consecutive multiparty elections.", "author" : [ { "dropping-particle" : "", "family" : "Bogaards", "given" : "M.", "non-dropping-particle" : "", "parse-names" : false, "suffix" : "" } ], "container-title" : "Party Politics", "id" : "ITEM-1", "issue" : "1", "issued" : { "date-parts" : [ [ "2008" ] ] }, "page" : "113-130", "title" : "Dominant party systems and electoral volatility in Africa: A comment on Mozaffar and Scarritt", "type" : "article-journal", "volume" : "14" }, "uris" : [ "http://www.mendeley.com/documents/?uuid=5baf4138-41dd-4b26-88e3-0ce7be47d8d2" ] } ], "mendeley" : { "formattedCitation" : "(Bogaards 2008)", "manualFormatting" : "(Bogaards, 2008)", "plainTextFormattedCitation" : "(Bogaards 2008)", "previouslyFormattedCitation" : "(Bogaards 2008)" }, "properties" : { "noteIndex" : 0 }, "schema" : "https://github.com/citation-style-language/schema/raw/master/csl-citation.json" }</w:instrText>
      </w:r>
      <w:r w:rsidRPr="00452E2E">
        <w:fldChar w:fldCharType="separate"/>
      </w:r>
      <w:r w:rsidRPr="00452E2E">
        <w:rPr>
          <w:noProof/>
        </w:rPr>
        <w:t>(Bogaards, 2008)</w:t>
      </w:r>
      <w:r w:rsidRPr="00452E2E">
        <w:fldChar w:fldCharType="end"/>
      </w:r>
      <w:r w:rsidRPr="00452E2E">
        <w:t xml:space="preserve">, </w:t>
      </w:r>
      <w:r w:rsidR="00C303D9" w:rsidRPr="00452E2E">
        <w:t>seventeen</w:t>
      </w:r>
      <w:r w:rsidRPr="00452E2E">
        <w:t xml:space="preserve"> years of uninterrupted democratic rule can be viewed as a milestone in the history of the country. Recent general elections in the country saw for the first time, an opposition party defeat an incumbent President in elections that were generally acclaimed as free and fair, thus further indicating the growth of Nigerian democracy </w:t>
      </w:r>
      <w:r w:rsidRPr="00452E2E">
        <w:fldChar w:fldCharType="begin" w:fldLock="1"/>
      </w:r>
      <w:r w:rsidRPr="00452E2E">
        <w:instrText>ADDIN CSL_CITATION { "citationItems" : [ { "id" : "ITEM-1", "itemData" : { "URL" : "http://www.worldbank.org/en/country/nigeria/overview", "accessed" : { "date-parts" : [ [ "2016", "9", "14" ] ] }, "author" : [ { "dropping-particle" : "", "family" : "WorldBank", "given" : "", "non-dropping-particle" : "", "parse-names" : false, "suffix" : "" } ], "id" : "ITEM-1", "issued" : { "date-parts" : [ [ "2015" ] ] }, "title" : "Nigeria", "type" : "webpage" }, "uris" : [ "http://www.mendeley.com/documents/?uuid=f0aecd6a-e3a9-4dbd-9b3f-405c5e4ac237" ] } ], "mendeley" : { "formattedCitation" : "(WorldBank 2015)", "manualFormatting" : "(World Bank, 2015)", "plainTextFormattedCitation" : "(WorldBank 2015)", "previouslyFormattedCitation" : "(WorldBank 2015)" }, "properties" : { "noteIndex" : 0 }, "schema" : "https://github.com/citation-style-language/schema/raw/master/csl-citation.json" }</w:instrText>
      </w:r>
      <w:r w:rsidRPr="00452E2E">
        <w:fldChar w:fldCharType="separate"/>
      </w:r>
      <w:r w:rsidRPr="00452E2E">
        <w:rPr>
          <w:noProof/>
        </w:rPr>
        <w:t>(World Bank, 2015)</w:t>
      </w:r>
      <w:r w:rsidRPr="00452E2E">
        <w:fldChar w:fldCharType="end"/>
      </w:r>
      <w:r w:rsidRPr="00452E2E">
        <w:t xml:space="preserve">. </w:t>
      </w:r>
    </w:p>
    <w:p w:rsidR="0078506B" w:rsidRPr="00452E2E" w:rsidRDefault="00D03A8E" w:rsidP="00D03A8E">
      <w:pPr>
        <w:spacing w:line="360" w:lineRule="auto"/>
        <w:jc w:val="both"/>
      </w:pPr>
      <w:r w:rsidRPr="00452E2E">
        <w:t xml:space="preserve">The country has 36 states with Abuja being the federal capital territory. Politically, Nigeria is divided into six geo-political zones namely, North-East, North-West, North-Central, South-South, South-East and South-West. The country has more than 250 ethnic groupings with each having a unique culture and language </w:t>
      </w:r>
      <w:r w:rsidRPr="00452E2E">
        <w:fldChar w:fldCharType="begin" w:fldLock="1"/>
      </w:r>
      <w:r w:rsidRPr="00452E2E">
        <w:instrText>ADDIN CSL_CITATION { "citationItems" : [ { "id" : "ITEM-1", "itemData" : { "abstract" : "This article critically examines the elusive search for a true national identity in Nigeria amid persistent ethno-religious conflicts and violent attacks in Nigeria today. The central thesis of this article is that political mobilization drawn along politicized ethno-religious lines has precluded the emergence of a true national identity in Nigeria. The analysis is historically anchored and foregrounds colonial policies that blocked the processes of nation building in postindependence Nigeria. This article recommends creative and refreshing ways through which the rising tide of ethno-religious conflicts in Nigeria can be stemmed in order to allow for the emergence of a true national identity.", "author" : [ { "dropping-particle" : "", "family" : "Agbiboa", "given" : "Daniel Egiegba", "non-dropping-particle" : "", "parse-names" : false, "suffix" : "" } ], "container-title" : "Journal of Black Studies", "id" : "ITEM-1", "issue" : "1", "issued" : { "date-parts" : [ [ "2013" ] ] }, "page" : "3-30", "title" : "Ethno-religious conflicts and the elusive quest for national identity in Nigeria", "type" : "article-journal", "volume" : "44" }, "uris" : [ "http://www.mendeley.com/documents/?uuid=19004710-9a98-4496-9ce3-b3c6493ecd83" ] } ], "mendeley" : { "formattedCitation" : "(Agbiboa 2013)", "manualFormatting" : "(Agbiboa, 2013)", "plainTextFormattedCitation" : "(Agbiboa 2013)", "previouslyFormattedCitation" : "(Agbiboa 2013)" }, "properties" : { "noteIndex" : 0 }, "schema" : "https://github.com/citation-style-language/schema/raw/master/csl-citation.json" }</w:instrText>
      </w:r>
      <w:r w:rsidRPr="00452E2E">
        <w:fldChar w:fldCharType="separate"/>
      </w:r>
      <w:r w:rsidRPr="00452E2E">
        <w:rPr>
          <w:noProof/>
        </w:rPr>
        <w:t>(Agbiboa, 2013)</w:t>
      </w:r>
      <w:r w:rsidRPr="00452E2E">
        <w:fldChar w:fldCharType="end"/>
      </w:r>
      <w:r w:rsidRPr="00452E2E">
        <w:t xml:space="preserve">. The main ethnic groups in the country are Hausa, </w:t>
      </w:r>
      <w:r w:rsidRPr="00452E2E">
        <w:lastRenderedPageBreak/>
        <w:t xml:space="preserve">Yoruba and Igbo whilst English is the official language spoken in Nigeria </w:t>
      </w:r>
      <w:r w:rsidRPr="00452E2E">
        <w:fldChar w:fldCharType="begin" w:fldLock="1"/>
      </w:r>
      <w:r w:rsidRPr="00452E2E">
        <w:instrText>ADDIN CSL_CITATION { "citationItems" : [ { "id" : "ITEM-1", "itemData" : { "abstract" : "This article critically examines the elusive search for a true national identity in Nigeria amid persistent ethno-religious conflicts and violent attacks in Nigeria today. The central thesis of this article is that political mobilization drawn along politicized ethno-religious lines has precluded the emergence of a true national identity in Nigeria. The analysis is historically anchored and foregrounds colonial policies that blocked the processes of nation building in postindependence Nigeria. This article recommends creative and refreshing ways through which the rising tide of ethno-religious conflicts in Nigeria can be stemmed in order to allow for the emergence of a true national identity.", "author" : [ { "dropping-particle" : "", "family" : "Agbiboa", "given" : "Daniel Egiegba", "non-dropping-particle" : "", "parse-names" : false, "suffix" : "" } ], "container-title" : "Journal of Black Studies", "id" : "ITEM-1", "issue" : "1", "issued" : { "date-parts" : [ [ "2013" ] ] }, "page" : "3-30", "title" : "Ethno-religious conflicts and the elusive quest for national identity in Nigeria", "type" : "article-journal", "volume" : "44" }, "uris" : [ "http://www.mendeley.com/documents/?uuid=19004710-9a98-4496-9ce3-b3c6493ecd83" ] } ], "mendeley" : { "formattedCitation" : "(Agbiboa 2013)", "manualFormatting" : "(Agbiboa, 2013)", "plainTextFormattedCitation" : "(Agbiboa 2013)", "previouslyFormattedCitation" : "(Agbiboa 2013)" }, "properties" : { "noteIndex" : 0 }, "schema" : "https://github.com/citation-style-language/schema/raw/master/csl-citation.json" }</w:instrText>
      </w:r>
      <w:r w:rsidRPr="00452E2E">
        <w:fldChar w:fldCharType="separate"/>
      </w:r>
      <w:r w:rsidRPr="00452E2E">
        <w:rPr>
          <w:noProof/>
        </w:rPr>
        <w:t>(Agbiboa, 2013)</w:t>
      </w:r>
      <w:r w:rsidRPr="00452E2E">
        <w:fldChar w:fldCharType="end"/>
      </w:r>
      <w:r w:rsidRPr="00452E2E">
        <w:t xml:space="preserve">. </w:t>
      </w:r>
      <w:r w:rsidR="00F536D8" w:rsidRPr="00452E2E">
        <w:t>In terms of religion</w:t>
      </w:r>
      <w:r w:rsidR="00805927" w:rsidRPr="00452E2E">
        <w:t>, the country is split along two major religions of Christianity and Islam which dominate the southern and northern parts of the country respectively.</w:t>
      </w:r>
      <w:r w:rsidR="009C17FA" w:rsidRPr="00452E2E">
        <w:t xml:space="preserve"> Although Nigeria’s ethnic and religious diversity could be </w:t>
      </w:r>
      <w:r w:rsidR="00E62C86" w:rsidRPr="00452E2E">
        <w:t>a source of</w:t>
      </w:r>
      <w:r w:rsidR="005374AA" w:rsidRPr="00452E2E">
        <w:t xml:space="preserve"> strength for the country, ethnic and religious tensions have impeded the development of the country and its quest for </w:t>
      </w:r>
      <w:r w:rsidR="00EA79F5" w:rsidRPr="00452E2E">
        <w:t xml:space="preserve">true </w:t>
      </w:r>
      <w:r w:rsidR="005374AA" w:rsidRPr="00452E2E">
        <w:t>nationho</w:t>
      </w:r>
      <w:r w:rsidR="00D65A2F" w:rsidRPr="00452E2E">
        <w:t>od</w:t>
      </w:r>
      <w:r w:rsidR="00F32DF3" w:rsidRPr="00452E2E">
        <w:t xml:space="preserve"> (Agbiboa, 2013)</w:t>
      </w:r>
      <w:r w:rsidR="00D65A2F" w:rsidRPr="00452E2E">
        <w:t xml:space="preserve">. </w:t>
      </w:r>
      <w:r w:rsidR="00805927" w:rsidRPr="00452E2E">
        <w:t xml:space="preserve"> </w:t>
      </w:r>
      <w:r w:rsidR="00010D11" w:rsidRPr="00452E2E">
        <w:t xml:space="preserve">Whereas suspicions </w:t>
      </w:r>
      <w:r w:rsidR="002177EB" w:rsidRPr="00452E2E">
        <w:t xml:space="preserve">exist among the main ethnic groups, the fear of marginalization persists among </w:t>
      </w:r>
      <w:r w:rsidR="00575580" w:rsidRPr="00452E2E">
        <w:t xml:space="preserve">minority ethnic groups. </w:t>
      </w:r>
      <w:r w:rsidR="005D2172" w:rsidRPr="00452E2E">
        <w:t>Indeed,</w:t>
      </w:r>
      <w:r w:rsidR="006356EC" w:rsidRPr="00452E2E">
        <w:t xml:space="preserve"> </w:t>
      </w:r>
      <w:r w:rsidR="00D02860" w:rsidRPr="00452E2E">
        <w:t>Adewale (2011 p.3)</w:t>
      </w:r>
      <w:r w:rsidR="007D3FF0" w:rsidRPr="00452E2E">
        <w:t>,</w:t>
      </w:r>
      <w:r w:rsidR="00D02860" w:rsidRPr="00452E2E">
        <w:t xml:space="preserve"> </w:t>
      </w:r>
      <w:r w:rsidR="005D2172" w:rsidRPr="00452E2E">
        <w:t xml:space="preserve">suggests that </w:t>
      </w:r>
      <w:r w:rsidR="001E3B90" w:rsidRPr="00452E2E">
        <w:t xml:space="preserve">the </w:t>
      </w:r>
      <w:r w:rsidR="00D02860" w:rsidRPr="00452E2E">
        <w:t xml:space="preserve">British colonial system of indirect rule </w:t>
      </w:r>
      <w:r w:rsidR="00B25875" w:rsidRPr="00452E2E">
        <w:t>is responsible</w:t>
      </w:r>
      <w:r w:rsidR="007D3FF0" w:rsidRPr="00452E2E">
        <w:t xml:space="preserve"> </w:t>
      </w:r>
      <w:r w:rsidR="00D02860" w:rsidRPr="00452E2E">
        <w:t xml:space="preserve">for “magnifying and nurturing the country’s ethnic differences rather than its similarities’’. </w:t>
      </w:r>
      <w:r w:rsidR="001B09E0" w:rsidRPr="00452E2E">
        <w:t xml:space="preserve">Thus, for many Nigerians, the interest of their ethnic group may supersede the national interest. </w:t>
      </w:r>
    </w:p>
    <w:p w:rsidR="009F597D" w:rsidRPr="00452E2E" w:rsidRDefault="00D03A8E" w:rsidP="00D03A8E">
      <w:pPr>
        <w:spacing w:line="360" w:lineRule="auto"/>
        <w:jc w:val="both"/>
      </w:pPr>
      <w:r w:rsidRPr="00452E2E">
        <w:t xml:space="preserve">Economically, Nigeria depends on crude oil as the main source of government revenue </w:t>
      </w:r>
      <w:r w:rsidRPr="00452E2E">
        <w:fldChar w:fldCharType="begin" w:fldLock="1"/>
      </w:r>
      <w:r w:rsidRPr="00452E2E">
        <w:instrText>ADDIN CSL_CITATION { "citationItems" : [ { "id" : "ITEM-1", "itemData" : { "URL" : "http://www.worldbank.org/en/country/nigeria/overview", "accessed" : { "date-parts" : [ [ "2016", "9", "14" ] ] }, "author" : [ { "dropping-particle" : "", "family" : "WorldBank", "given" : "", "non-dropping-particle" : "", "parse-names" : false, "suffix" : "" } ], "id" : "ITEM-1", "issued" : { "date-parts" : [ [ "2015" ] ] }, "title" : "Nigeria", "type" : "webpage" }, "uris" : [ "http://www.mendeley.com/documents/?uuid=f0aecd6a-e3a9-4dbd-9b3f-405c5e4ac237" ] } ], "mendeley" : { "formattedCitation" : "(WorldBank 2015)", "manualFormatting" : "(World Bank, 2015)", "plainTextFormattedCitation" : "(WorldBank 2015)", "previouslyFormattedCitation" : "(WorldBank 2015)" }, "properties" : { "noteIndex" : 0 }, "schema" : "https://github.com/citation-style-language/schema/raw/master/csl-citation.json" }</w:instrText>
      </w:r>
      <w:r w:rsidRPr="00452E2E">
        <w:fldChar w:fldCharType="separate"/>
      </w:r>
      <w:r w:rsidRPr="00452E2E">
        <w:rPr>
          <w:noProof/>
        </w:rPr>
        <w:t>(World Bank, 2015)</w:t>
      </w:r>
      <w:r w:rsidRPr="00452E2E">
        <w:fldChar w:fldCharType="end"/>
      </w:r>
      <w:r w:rsidRPr="00452E2E">
        <w:t xml:space="preserve">. Nevertheless, oil revenues </w:t>
      </w:r>
      <w:r w:rsidR="00521F6A" w:rsidRPr="00452E2E">
        <w:t>have been historically lost to endemic</w:t>
      </w:r>
      <w:r w:rsidRPr="00452E2E">
        <w:t xml:space="preserve"> </w:t>
      </w:r>
      <w:r w:rsidR="00521F6A" w:rsidRPr="00452E2E">
        <w:t xml:space="preserve">corruption in the oil and gas sector </w:t>
      </w:r>
      <w:r w:rsidRPr="00452E2E">
        <w:fldChar w:fldCharType="begin" w:fldLock="1"/>
      </w:r>
      <w:r w:rsidR="00541908" w:rsidRPr="00452E2E">
        <w:instrText>ADDIN CSL_CITATION { "citationItems" : [ { "id" : "ITEM-1", "itemData" : { "DOI" : "10.1007/s12132-010-9091-8", "ISBN" : "9789292302801", "ISSN" : "10153802", "abstract" : "The paper investigates the impact of infrastructural development on poverty reduction in Nigeria. Specifically, the relative effects of physical and social infrastructure on living standards or poverty indicators are examined, with a view to providing empirical evidence on the implications of increased urban infrastructure for the urban poor. The paper employs secondary data for the period 1970:1 to 2005:4 and the Structural Vector Autoregressive technique is adopted in the analysis. The study unequivocally finds that infrastructural development leads to poverty reduction. Results also show that though infrastructure in general reduces poverty, social infrastructure explains a higher proportion of the forecast error in poverty indicators relative to physical infrastructure. This suggests that massive investment in social infrastructure in cities would drastically reduce poverty in the urban areas.", "author" : [ { "dropping-particle" : "", "family" : "Ogun", "given" : "T. P.", "non-dropping-particle" : "", "parse-names" : false, "suffix" : "" } ], "container-title" : "Urban Forum", "id" : "ITEM-1", "issue" : "3", "issued" : { "date-parts" : [ [ "2010" ] ] }, "page" : "249-266", "title" : "Infrastructure and poverty reduction: implications for urban development in Nigeria", "type" : "article-journal", "volume" : "21" }, "uris" : [ "http://www.mendeley.com/documents/?uuid=2e2b9cd8-e234-4fc1-b272-6258fc174a5b" ] }, { "id" : "ITEM-2", "itemData" : { "author" : [ { "dropping-particle" : "", "family" : "Akanle", "given" : "O.", "non-dropping-particle" : "", "parse-names" : false, "suffix" : "" }, { "dropping-particle" : "", "family" : "Adesina", "given" : "J. O.", "non-dropping-particle" : "", "parse-names" : false, "suffix" : "" } ], "container-title" : "Journal of Developing Societies", "id" : "ITEM-2", "issue" : "4", "issued" : { "date-parts" : [ [ "2015" ] ] }, "page" : "421-446", "title" : "Corruption and the Nigerian development quagmire: Popular narratives and current interrogations", "type" : "article-journal", "volume" : "31" }, "uris" : [ "http://www.mendeley.com/documents/?uuid=55be4474-7f74-4fbe-969f-e1361a51316a" ] } ], "mendeley" : { "formattedCitation" : "(Ogun 2010; Akanle &amp; Adesina 2015)", "manualFormatting" : "(Idemudia, 2010; Akanle &amp; Adesina, 2015)", "plainTextFormattedCitation" : "(Ogun 2010; Akanle &amp; Adesina 2015)", "previouslyFormattedCitation" : "(Ogun 2010; Akanle &amp; Adesina 2015)" }, "properties" : { "noteIndex" : 0 }, "schema" : "https://github.com/citation-style-language/schema/raw/master/csl-citation.json" }</w:instrText>
      </w:r>
      <w:r w:rsidRPr="00452E2E">
        <w:fldChar w:fldCharType="separate"/>
      </w:r>
      <w:r w:rsidRPr="00452E2E">
        <w:rPr>
          <w:noProof/>
        </w:rPr>
        <w:t>(</w:t>
      </w:r>
      <w:r w:rsidR="00D81E9F" w:rsidRPr="00452E2E">
        <w:rPr>
          <w:noProof/>
        </w:rPr>
        <w:t>Idemudia, 2010</w:t>
      </w:r>
      <w:r w:rsidR="00070B09" w:rsidRPr="00452E2E">
        <w:rPr>
          <w:noProof/>
        </w:rPr>
        <w:t>; Akanle &amp; Adesina, 2015</w:t>
      </w:r>
      <w:r w:rsidRPr="00452E2E">
        <w:rPr>
          <w:noProof/>
        </w:rPr>
        <w:t>)</w:t>
      </w:r>
      <w:r w:rsidRPr="00452E2E">
        <w:fldChar w:fldCharType="end"/>
      </w:r>
      <w:r w:rsidR="00521F6A" w:rsidRPr="00452E2E">
        <w:t>. Meanwhile, the armed struggle by youths from the Niger Delta region - which is home to Nigeria’s oil infrastructure</w:t>
      </w:r>
      <w:r w:rsidR="00435E8E" w:rsidRPr="00452E2E">
        <w:t xml:space="preserve"> </w:t>
      </w:r>
      <w:r w:rsidR="00521F6A" w:rsidRPr="00452E2E">
        <w:t xml:space="preserve">- due to the neglect </w:t>
      </w:r>
      <w:r w:rsidR="00435E8E" w:rsidRPr="00452E2E">
        <w:t>by</w:t>
      </w:r>
      <w:r w:rsidR="00521F6A" w:rsidRPr="00452E2E">
        <w:t xml:space="preserve"> successive go</w:t>
      </w:r>
      <w:r w:rsidR="00435E8E" w:rsidRPr="00452E2E">
        <w:t>vernments to provide development infrastructure and social amenities</w:t>
      </w:r>
      <w:r w:rsidR="00521F6A" w:rsidRPr="00452E2E">
        <w:t xml:space="preserve"> </w:t>
      </w:r>
      <w:r w:rsidR="00435E8E" w:rsidRPr="00452E2E">
        <w:t xml:space="preserve">in the region </w:t>
      </w:r>
      <w:r w:rsidR="00521F6A" w:rsidRPr="00452E2E">
        <w:t>has often resulted in cuts in production output</w:t>
      </w:r>
      <w:r w:rsidR="008E7E8A" w:rsidRPr="00452E2E">
        <w:t xml:space="preserve"> (Idemudia, 2010; Nwajiaku-Dahou, 2012)</w:t>
      </w:r>
      <w:r w:rsidR="00E510B0" w:rsidRPr="00452E2E">
        <w:t xml:space="preserve">. </w:t>
      </w:r>
      <w:r w:rsidR="00721C78" w:rsidRPr="00452E2E">
        <w:t xml:space="preserve">Indeed, the problem of infrastructure is not limited </w:t>
      </w:r>
      <w:r w:rsidR="00757C97" w:rsidRPr="00452E2E">
        <w:t xml:space="preserve">to the Niger Delta region as the entire country </w:t>
      </w:r>
      <w:r w:rsidR="00F51068" w:rsidRPr="00452E2E">
        <w:t>has</w:t>
      </w:r>
      <w:r w:rsidR="00757C97" w:rsidRPr="00452E2E">
        <w:t xml:space="preserve"> a huge infrastructure deficit</w:t>
      </w:r>
      <w:r w:rsidR="00ED5001" w:rsidRPr="00452E2E">
        <w:t xml:space="preserve"> due to </w:t>
      </w:r>
      <w:r w:rsidR="006F01EE" w:rsidRPr="00452E2E">
        <w:t xml:space="preserve">many </w:t>
      </w:r>
      <w:r w:rsidR="00ED5001" w:rsidRPr="00452E2E">
        <w:t>years of neglect</w:t>
      </w:r>
      <w:r w:rsidR="005A4B4F" w:rsidRPr="00452E2E">
        <w:t xml:space="preserve"> (Ogun, 2010)</w:t>
      </w:r>
      <w:r w:rsidR="00757C97" w:rsidRPr="00452E2E">
        <w:t xml:space="preserve">. </w:t>
      </w:r>
      <w:r w:rsidR="00F51068" w:rsidRPr="00452E2E">
        <w:t>Thus</w:t>
      </w:r>
      <w:r w:rsidR="00757C97" w:rsidRPr="00452E2E">
        <w:t xml:space="preserve">, </w:t>
      </w:r>
      <w:r w:rsidR="003064F3" w:rsidRPr="00452E2E">
        <w:t xml:space="preserve">Nigeria, </w:t>
      </w:r>
      <w:r w:rsidR="00757C97" w:rsidRPr="00452E2E">
        <w:t xml:space="preserve">like many oil producing countries, </w:t>
      </w:r>
      <w:r w:rsidRPr="00452E2E">
        <w:t xml:space="preserve">has suffered what is known as the resource curse </w:t>
      </w:r>
      <w:r w:rsidRPr="00452E2E">
        <w:fldChar w:fldCharType="begin" w:fldLock="1"/>
      </w:r>
      <w:r w:rsidRPr="00452E2E">
        <w:instrText>ADDIN CSL_CITATION { "citationItems" : [ { "id" : "ITEM-1", "itemData" : { "author" : [ { "dropping-particle" : "", "family" : "M\u00e4hler", "given" : "A", "non-dropping-particle" : "", "parse-names" : false, "suffix" : "" } ], "id" : "ITEM-1", "issued" : { "date-parts" : [ [ "2010" ] ] }, "number" : "120", "number-of-pages" : "1-37", "publisher-place" : "Hamburg", "title" : "Nigeria : a prime example of the resource curse ? revisiting the oil-violence link in the Niger Delta", "type" : "report" }, "uris" : [ "http://www.mendeley.com/documents/?uuid=e089edcf-f76f-496a-972f-e788799bd106" ] } ], "mendeley" : { "formattedCitation" : "(M\u00e4hler 2010)", "manualFormatting" : "(M\u00e4hler, 2010)", "plainTextFormattedCitation" : "(M\u00e4hler 2010)", "previouslyFormattedCitation" : "(M\u00e4hler 2010)" }, "properties" : { "noteIndex" : 0 }, "schema" : "https://github.com/citation-style-language/schema/raw/master/csl-citation.json" }</w:instrText>
      </w:r>
      <w:r w:rsidRPr="00452E2E">
        <w:fldChar w:fldCharType="separate"/>
      </w:r>
      <w:r w:rsidRPr="00452E2E">
        <w:rPr>
          <w:noProof/>
        </w:rPr>
        <w:t>(Mähler, 2010)</w:t>
      </w:r>
      <w:r w:rsidRPr="00452E2E">
        <w:fldChar w:fldCharType="end"/>
      </w:r>
      <w:r w:rsidR="004E2270" w:rsidRPr="00452E2E">
        <w:t xml:space="preserve">. </w:t>
      </w:r>
      <w:r w:rsidR="00181DA4" w:rsidRPr="00452E2E">
        <w:t>However</w:t>
      </w:r>
      <w:r w:rsidR="004E2270" w:rsidRPr="00452E2E">
        <w:t>, t</w:t>
      </w:r>
      <w:r w:rsidRPr="00452E2E">
        <w:t>he current global drop in oil prices is seen by analysts as</w:t>
      </w:r>
      <w:r w:rsidR="00260F49" w:rsidRPr="00452E2E">
        <w:t xml:space="preserve"> an opportunity for the country to explore other revenue sources such as commercial agriculture and mining </w:t>
      </w:r>
      <w:r w:rsidRPr="00452E2E">
        <w:fldChar w:fldCharType="begin" w:fldLock="1"/>
      </w:r>
      <w:r w:rsidRPr="00452E2E">
        <w:instrText>ADDIN CSL_CITATION { "citationItems" : [ { "id" : "ITEM-1", "itemData" : { "author" : [ { "dropping-particle" : "", "family" : "Ugwu", "given" : "Ochiaka", "non-dropping-particle" : "", "parse-names" : false, "suffix" : "" } ], "container-title" : "Peoples Daily", "id" : "ITEM-1", "issued" : { "date-parts" : [ [ "2015", "10", "7" ] ] }, "title" : "Towards diversifying Nigeria's economy", "type" : "article-newspaper" }, "uris" : [ "http://www.mendeley.com/documents/?uuid=ec546afc-c988-4843-8204-0f4181101f2d" ] } ], "mendeley" : { "formattedCitation" : "(Ugwu 2015)", "manualFormatting" : "(Ugwu, 2015)", "plainTextFormattedCitation" : "(Ugwu 2015)", "previouslyFormattedCitation" : "(Ugwu 2015)" }, "properties" : { "noteIndex" : 0 }, "schema" : "https://github.com/citation-style-language/schema/raw/master/csl-citation.json" }</w:instrText>
      </w:r>
      <w:r w:rsidRPr="00452E2E">
        <w:fldChar w:fldCharType="separate"/>
      </w:r>
      <w:r w:rsidRPr="00452E2E">
        <w:rPr>
          <w:noProof/>
        </w:rPr>
        <w:t>(Ugwu, 2015)</w:t>
      </w:r>
      <w:r w:rsidRPr="00452E2E">
        <w:fldChar w:fldCharType="end"/>
      </w:r>
      <w:r w:rsidR="004640DA" w:rsidRPr="00452E2E">
        <w:t>.</w:t>
      </w:r>
    </w:p>
    <w:p w:rsidR="00E41B10" w:rsidRPr="00452E2E" w:rsidRDefault="00615B93" w:rsidP="00D03A8E">
      <w:pPr>
        <w:spacing w:line="360" w:lineRule="auto"/>
        <w:jc w:val="both"/>
      </w:pPr>
      <w:r w:rsidRPr="00452E2E">
        <w:t>At the insistence</w:t>
      </w:r>
      <w:r w:rsidR="00D03A8E" w:rsidRPr="00452E2E">
        <w:t xml:space="preserve"> of the World Bank and IMF, Nigeria has adopted neo-liberal policies such as privatization and liberalization which are aimed at embracing a free market economy </w:t>
      </w:r>
      <w:r w:rsidR="00D03A8E" w:rsidRPr="00452E2E">
        <w:fldChar w:fldCharType="begin" w:fldLock="1"/>
      </w:r>
      <w:r w:rsidR="00D03A8E"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"mendeley" : { "formattedCitation" : "(Anakwe 2002)", "manualFormatting" : "(Anakwe, 2002)", "plainTextFormattedCitation" : "(Anakwe 2002)", "previouslyFormattedCitation" : "(Anakwe 2002)" }, "properties" : { "noteIndex" : 0 }, "schema" : "https://github.com/citation-style-language/schema/raw/master/csl-citation.json" }</w:instrText>
      </w:r>
      <w:r w:rsidR="00D03A8E" w:rsidRPr="00452E2E">
        <w:fldChar w:fldCharType="separate"/>
      </w:r>
      <w:r w:rsidR="00D03A8E" w:rsidRPr="00452E2E">
        <w:rPr>
          <w:noProof/>
        </w:rPr>
        <w:t>(Anakwe, 2002)</w:t>
      </w:r>
      <w:r w:rsidR="00D03A8E" w:rsidRPr="00452E2E">
        <w:fldChar w:fldCharType="end"/>
      </w:r>
      <w:r w:rsidR="00D03A8E" w:rsidRPr="00452E2E">
        <w:t xml:space="preserve">. </w:t>
      </w:r>
      <w:r w:rsidR="00252945" w:rsidRPr="00452E2E">
        <w:t>However, t</w:t>
      </w:r>
      <w:r w:rsidR="00D03A8E" w:rsidRPr="00452E2E">
        <w:t xml:space="preserve">he success of these policies has been widely questioned </w:t>
      </w:r>
      <w:r w:rsidR="00D03A8E" w:rsidRPr="00452E2E">
        <w:fldChar w:fldCharType="begin" w:fldLock="1"/>
      </w:r>
      <w:r w:rsidR="00D03A8E"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"id" : "ITEM-2", "itemData" : { "author" : [ { "dropping-particle" : "", "family" : "Idowu", "given" : "W",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"ITEM-2", "issued" : { "date-parts" : [ [ "2012" ] ] }, "page" : "49-70", "publisher" : "CODESRIA", "publisher-place" : "Dakar", "title" : "Privatisation and public sector reforms in Nigeria: implications for social democratic conception of citizenship", "type" : "chapter" }, "uris" : [ "http://www.mendeley.com/documents/?uuid=4c092dcf-26b2-4d4b-89ad-d7535a2c86ad" ] }, { "id" : "ITEM-3", "itemData" : { "author" : [ { "dropping-particle" : "", "family" : "Omar", "given" : "M",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"ITEM-3", "issued" : { "date-parts" : [ [ "2012" ] ] }, "page" : "29-48", "publisher" : "CODESRIA", "publisher-place" : "Dakar", "title" : "Rethinking public service reforms in Nigeria", "type" : "chapter" }, "uris" : [ "http://www.mendeley.com/documents/?uuid=adfa7bf8-4631-471e-a5a9-66496ce38ac9" ] } ], "mendeley" : { "formattedCitation" : "(Okpara &amp; Wynn 2008; Idowu 2012; Omar 2012)", "manualFormatting" : "(Okpara &amp; Wynn, 2008; Idowu, 2012; Omar, 2012)", "plainTextFormattedCitation" : "(Okpara &amp; Wynn 2008; Idowu 2012; Omar 2012)", "previouslyFormattedCitation" : "(Okpara &amp; Wynn 2008; Idowu 2012; Omar 2012)" }, "properties" : { "noteIndex" : 0 }, "schema" : "https://github.com/citation-style-language/schema/raw/master/csl-citation.json" }</w:instrText>
      </w:r>
      <w:r w:rsidR="00D03A8E" w:rsidRPr="00452E2E">
        <w:fldChar w:fldCharType="separate"/>
      </w:r>
      <w:r w:rsidR="00D03A8E" w:rsidRPr="00452E2E">
        <w:rPr>
          <w:noProof/>
        </w:rPr>
        <w:t>(Okpara &amp; Wynn, 2008; Idowu, 2012; Omar, 2012)</w:t>
      </w:r>
      <w:r w:rsidR="00D03A8E" w:rsidRPr="00452E2E">
        <w:fldChar w:fldCharType="end"/>
      </w:r>
      <w:r w:rsidR="001D2210" w:rsidRPr="00452E2E">
        <w:t xml:space="preserve">. </w:t>
      </w:r>
      <w:r w:rsidR="00F90FA3" w:rsidRPr="00452E2E">
        <w:t xml:space="preserve">For instance, </w:t>
      </w:r>
      <w:r w:rsidR="0025426E" w:rsidRPr="00452E2E">
        <w:t>Amuwo (2009)</w:t>
      </w:r>
      <w:r w:rsidR="00F90FA3" w:rsidRPr="00452E2E">
        <w:t xml:space="preserve"> argues that neoliberal policies have rather em</w:t>
      </w:r>
      <w:r w:rsidR="00953CD8" w:rsidRPr="00452E2E">
        <w:t>powered</w:t>
      </w:r>
      <w:r w:rsidR="00F90FA3" w:rsidRPr="00452E2E">
        <w:t xml:space="preserve"> political elites in </w:t>
      </w:r>
      <w:r w:rsidR="00996032" w:rsidRPr="00452E2E">
        <w:t>Nigeria</w:t>
      </w:r>
      <w:r w:rsidR="00F90FA3" w:rsidRPr="00452E2E">
        <w:t xml:space="preserve"> who wield both pol</w:t>
      </w:r>
      <w:r w:rsidR="00996032" w:rsidRPr="00452E2E">
        <w:t xml:space="preserve">itical and economic power at the </w:t>
      </w:r>
      <w:r w:rsidR="00996032" w:rsidRPr="00452E2E">
        <w:lastRenderedPageBreak/>
        <w:t xml:space="preserve">expense of the </w:t>
      </w:r>
      <w:r w:rsidR="00BA37C1" w:rsidRPr="00452E2E">
        <w:t xml:space="preserve">poor majority who are the receiving end of these harsh policies. </w:t>
      </w:r>
      <w:r w:rsidR="00AD562A" w:rsidRPr="00452E2E">
        <w:t>Following the adoption of neoliberal policies,</w:t>
      </w:r>
      <w:r w:rsidR="00AF5562" w:rsidRPr="00452E2E">
        <w:t xml:space="preserve"> </w:t>
      </w:r>
      <w:r w:rsidR="00D159EE" w:rsidRPr="00452E2E">
        <w:t xml:space="preserve">the government of President Obasanjo </w:t>
      </w:r>
      <w:r w:rsidR="00AF5562" w:rsidRPr="00452E2E">
        <w:t xml:space="preserve">enacted </w:t>
      </w:r>
      <w:r w:rsidR="00D159EE" w:rsidRPr="00452E2E">
        <w:t>an economic policy</w:t>
      </w:r>
      <w:r w:rsidR="00AF5562" w:rsidRPr="00452E2E">
        <w:t xml:space="preserve"> </w:t>
      </w:r>
      <w:r w:rsidR="00D159EE" w:rsidRPr="00452E2E">
        <w:t>known</w:t>
      </w:r>
      <w:r w:rsidR="00AF5562" w:rsidRPr="00452E2E">
        <w:t xml:space="preserve"> as the National Economic Empowerment and Development Strategies (NEEDS) </w:t>
      </w:r>
      <w:r w:rsidR="00D159EE" w:rsidRPr="00452E2E">
        <w:t>which was aimed at stimulating</w:t>
      </w:r>
      <w:r w:rsidR="00E25AFC" w:rsidRPr="00452E2E">
        <w:t xml:space="preserve"> private sector investment </w:t>
      </w:r>
      <w:r w:rsidR="009C5E93" w:rsidRPr="00452E2E">
        <w:t>thereby generating employment</w:t>
      </w:r>
      <w:r w:rsidR="001B3EC0" w:rsidRPr="00452E2E">
        <w:t xml:space="preserve"> (Amuwo, 2009; Adewale, 2011)</w:t>
      </w:r>
      <w:r w:rsidR="009C5E93" w:rsidRPr="00452E2E">
        <w:t xml:space="preserve">. </w:t>
      </w:r>
      <w:r w:rsidR="00F90D6D" w:rsidRPr="00452E2E">
        <w:t xml:space="preserve">Similar policies, along with the Millennium Development Goals (MDGs) have been pursued by successive democratic governments. </w:t>
      </w:r>
      <w:r w:rsidR="007E2444" w:rsidRPr="00452E2E">
        <w:t xml:space="preserve">Nevertheless, </w:t>
      </w:r>
      <w:r w:rsidR="00105608" w:rsidRPr="00452E2E">
        <w:t xml:space="preserve">policy inconsistencies, lack of access to finance, and poor infrastructure, especially </w:t>
      </w:r>
      <w:r w:rsidR="00A8297C" w:rsidRPr="00452E2E">
        <w:t>poor energy supply constitute impediments to business operations in Nigeria</w:t>
      </w:r>
      <w:r w:rsidR="00023574" w:rsidRPr="00452E2E">
        <w:t xml:space="preserve"> (World Bank, 2016)</w:t>
      </w:r>
      <w:r w:rsidR="00A8297C" w:rsidRPr="00452E2E">
        <w:t xml:space="preserve">. </w:t>
      </w:r>
    </w:p>
    <w:p w:rsidR="00252945" w:rsidRPr="00452E2E" w:rsidRDefault="00A8297C" w:rsidP="00D03A8E">
      <w:pPr>
        <w:spacing w:line="360" w:lineRule="auto"/>
        <w:jc w:val="both"/>
      </w:pPr>
      <w:r w:rsidRPr="00452E2E">
        <w:t xml:space="preserve">In the case of the latter, </w:t>
      </w:r>
      <w:r w:rsidR="00A1798E" w:rsidRPr="00452E2E">
        <w:t xml:space="preserve">whilst the debt forgiveness granted Nigeria by the Paris Club of creditors in 2005 </w:t>
      </w:r>
      <w:r w:rsidR="00C52727" w:rsidRPr="00452E2E">
        <w:t xml:space="preserve">to the tune of $12 Billion </w:t>
      </w:r>
      <w:r w:rsidR="00A1798E" w:rsidRPr="00452E2E">
        <w:t xml:space="preserve">was </w:t>
      </w:r>
      <w:r w:rsidR="007E2444" w:rsidRPr="00452E2E">
        <w:t xml:space="preserve">seen as an opportunity to free up funds for investment in development infrastructure, this </w:t>
      </w:r>
      <w:r w:rsidR="00FA2972" w:rsidRPr="00452E2E">
        <w:t>goal has not been</w:t>
      </w:r>
      <w:r w:rsidR="007E2444" w:rsidRPr="00452E2E">
        <w:t xml:space="preserve"> achieved</w:t>
      </w:r>
      <w:r w:rsidR="00D84F2B" w:rsidRPr="00452E2E">
        <w:t xml:space="preserve"> (Nwozor, 2009</w:t>
      </w:r>
      <w:r w:rsidR="00304CFD" w:rsidRPr="00452E2E">
        <w:t>; Anaeto, 2015</w:t>
      </w:r>
      <w:r w:rsidR="00D84F2B" w:rsidRPr="00452E2E">
        <w:t>)</w:t>
      </w:r>
      <w:r w:rsidR="007E2444" w:rsidRPr="00452E2E">
        <w:t xml:space="preserve">. </w:t>
      </w:r>
      <w:r w:rsidR="00295C88" w:rsidRPr="00452E2E">
        <w:t>Thus,</w:t>
      </w:r>
      <w:r w:rsidR="00EE2222" w:rsidRPr="00452E2E">
        <w:t xml:space="preserve"> Nigeria has not reaped the much heralded bene</w:t>
      </w:r>
      <w:r w:rsidR="004A37AC" w:rsidRPr="00452E2E">
        <w:t xml:space="preserve">fits of neoliberalism. Although China is investing in development infrastructure in Nigeria, the country </w:t>
      </w:r>
      <w:r w:rsidR="009E721F" w:rsidRPr="00452E2E">
        <w:t xml:space="preserve">has </w:t>
      </w:r>
      <w:r w:rsidR="002C3534" w:rsidRPr="00452E2E">
        <w:t xml:space="preserve">in turn </w:t>
      </w:r>
      <w:r w:rsidR="009E721F" w:rsidRPr="00452E2E">
        <w:t>become a readily available market for dumping Chinese pro</w:t>
      </w:r>
      <w:r w:rsidR="00FF4E10" w:rsidRPr="00452E2E">
        <w:t>ducts, to the detriment of local manufacturing industries</w:t>
      </w:r>
      <w:r w:rsidR="004A400E" w:rsidRPr="00452E2E">
        <w:t xml:space="preserve"> (Akinrinade &amp; Ogen, 2008</w:t>
      </w:r>
      <w:r w:rsidR="00556DA2" w:rsidRPr="00452E2E">
        <w:t xml:space="preserve">; Oyeranti </w:t>
      </w:r>
      <w:r w:rsidR="00556DA2" w:rsidRPr="00452E2E">
        <w:rPr>
          <w:i/>
        </w:rPr>
        <w:t>et al.</w:t>
      </w:r>
      <w:r w:rsidR="00556DA2" w:rsidRPr="00452E2E">
        <w:t>, 2011</w:t>
      </w:r>
      <w:r w:rsidR="004A400E" w:rsidRPr="00452E2E">
        <w:t>)</w:t>
      </w:r>
      <w:r w:rsidR="00FF4E10" w:rsidRPr="00452E2E">
        <w:t xml:space="preserve">. </w:t>
      </w:r>
      <w:r w:rsidR="000E6C36" w:rsidRPr="00452E2E">
        <w:t>The implic</w:t>
      </w:r>
      <w:r w:rsidR="00386C29" w:rsidRPr="00452E2E">
        <w:t>ation on human resources</w:t>
      </w:r>
      <w:r w:rsidR="00346741" w:rsidRPr="00452E2E">
        <w:t xml:space="preserve"> is that </w:t>
      </w:r>
      <w:r w:rsidR="00C90ACE" w:rsidRPr="00452E2E">
        <w:t>factory closures due to stiff foreign competit</w:t>
      </w:r>
      <w:r w:rsidR="00E1221A" w:rsidRPr="00452E2E">
        <w:t xml:space="preserve">ion </w:t>
      </w:r>
      <w:r w:rsidR="004F654B" w:rsidRPr="00452E2E">
        <w:t xml:space="preserve">and the inability of the government to protect local firms </w:t>
      </w:r>
      <w:r w:rsidR="00E1221A" w:rsidRPr="00452E2E">
        <w:t>have</w:t>
      </w:r>
      <w:r w:rsidR="000E6C36" w:rsidRPr="00452E2E">
        <w:t xml:space="preserve"> resulted in </w:t>
      </w:r>
      <w:r w:rsidR="00386C29" w:rsidRPr="00452E2E">
        <w:t xml:space="preserve">massive </w:t>
      </w:r>
      <w:r w:rsidR="00DC2F35" w:rsidRPr="00452E2E">
        <w:t>layoffs</w:t>
      </w:r>
      <w:r w:rsidR="00386C29" w:rsidRPr="00452E2E">
        <w:t xml:space="preserve"> </w:t>
      </w:r>
      <w:r w:rsidR="000C39D7" w:rsidRPr="00452E2E">
        <w:t>thereby worsening the unemployment situation in the country.</w:t>
      </w:r>
    </w:p>
    <w:p w:rsidR="00D03A8E" w:rsidRPr="00452E2E" w:rsidRDefault="00D101CA" w:rsidP="00D03A8E">
      <w:pPr>
        <w:spacing w:line="360" w:lineRule="auto"/>
        <w:jc w:val="both"/>
      </w:pPr>
      <w:r w:rsidRPr="00452E2E">
        <w:t xml:space="preserve">Nevertheless, </w:t>
      </w:r>
      <w:r w:rsidR="00992B73" w:rsidRPr="00452E2E">
        <w:t>the adoption of market-driven economic policies</w:t>
      </w:r>
      <w:r w:rsidR="00D03A8E" w:rsidRPr="00452E2E">
        <w:t xml:space="preserve"> has generated foreign interest in the country </w:t>
      </w:r>
      <w:r w:rsidR="00D03A8E" w:rsidRPr="00452E2E">
        <w:fldChar w:fldCharType="begin" w:fldLock="1"/>
      </w:r>
      <w:r w:rsidR="00D03A8E"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"ITEM-2", "issue" : "1", "issued" : { "date-parts" : [ [ "2009" ] ] }, "page" : "62-82", "title" : "Managerial perspectives on HRM in Nigeria: Evolving hybridization?", "type" : "article-journal", "volume" : "16" }, "uris" : [ "http://www.mendeley.com/documents/?uuid=cde70e16-aeda-4832-89c0-f5554c70c93e" ] } ], "mendeley" : { "formattedCitation" : "(Anakwe 2002; Azolukwam &amp; Perkins 2009)", "manualFormatting" : "(Anakwe, 2002; Azolukwam &amp; Perkins, 2009)", "plainTextFormattedCitation" : "(Anakwe 2002; Azolukwam &amp; Perkins 2009)", "previouslyFormattedCitation" : "(Anakwe 2002; Azolukwam &amp; Perkins 2009)" }, "properties" : { "noteIndex" : 0 }, "schema" : "https://github.com/citation-style-language/schema/raw/master/csl-citation.json" }</w:instrText>
      </w:r>
      <w:r w:rsidR="00D03A8E" w:rsidRPr="00452E2E">
        <w:fldChar w:fldCharType="separate"/>
      </w:r>
      <w:r w:rsidR="00D03A8E" w:rsidRPr="00452E2E">
        <w:rPr>
          <w:noProof/>
        </w:rPr>
        <w:t>(Anakwe, 2002; Azolukwam &amp; Perkins, 2009)</w:t>
      </w:r>
      <w:r w:rsidR="00D03A8E" w:rsidRPr="00452E2E">
        <w:fldChar w:fldCharType="end"/>
      </w:r>
      <w:r w:rsidR="00D03A8E" w:rsidRPr="00452E2E">
        <w:t xml:space="preserve">. Thus, Nigeria was identified in 1999 by the International Finance Corporation (IFC) among 54 countries that were considered as emerging economies </w:t>
      </w:r>
      <w:r w:rsidR="00D03A8E" w:rsidRPr="00452E2E">
        <w:fldChar w:fldCharType="begin" w:fldLock="1"/>
      </w:r>
      <w:r w:rsidR="00D03A8E" w:rsidRPr="00452E2E">
        <w:instrText>ADDIN CSL_CITATION { "citationItems" : [ { "id" : "ITEM-1", "itemData" : { "author" : [ { "dropping-particle" : "", "family" : "Hoskisson", "given" : "R.E", "non-dropping-particle" : "", "parse-names" : false, "suffix" : "" }, { "dropping-particle" : "", "family" : "Lau", "given" : "C.M", "non-dropping-particle" : "", "parse-names" : false, "suffix" : "" }, { "dropping-particle" : "", "family" : "Wright", "given" : "M", "non-dropping-particle" : "", "parse-names" : false, "suffix" : "" } ], "container-title" : "Academy of Management Journal", "id" : "ITEM-1", "issue" : "3", "issued" : { "date-parts" : [ [ "2000" ] ] }, "page" : "249-267", "title" : "Strategy in emerging economies", "type" : "article-journal", "volume" : "43" }, "uris" : [ "http://www.mendeley.com/documents/?uuid=6097751e-4d52-4da0-abf9-f673f5dd453e" ] } ], "mendeley" : { "formattedCitation" : "(Hoskisson et al. 2000)", "manualFormatting" : "(Hoskisson et al., 2000)", "plainTextFormattedCitation" : "(Hoskisson et al. 2000)", "previouslyFormattedCitation" : "(Hoskisson et al. 2000)" }, "properties" : { "noteIndex" : 0 }, "schema" : "https://github.com/citation-style-language/schema/raw/master/csl-citation.json" }</w:instrText>
      </w:r>
      <w:r w:rsidR="00D03A8E" w:rsidRPr="00452E2E">
        <w:fldChar w:fldCharType="separate"/>
      </w:r>
      <w:r w:rsidR="00D03A8E" w:rsidRPr="00452E2E">
        <w:rPr>
          <w:noProof/>
        </w:rPr>
        <w:t xml:space="preserve">(Hoskisson </w:t>
      </w:r>
      <w:r w:rsidR="00D03A8E" w:rsidRPr="00452E2E">
        <w:rPr>
          <w:i/>
          <w:noProof/>
        </w:rPr>
        <w:t>et al</w:t>
      </w:r>
      <w:r w:rsidR="00D03A8E" w:rsidRPr="00452E2E">
        <w:rPr>
          <w:noProof/>
        </w:rPr>
        <w:t>., 2000)</w:t>
      </w:r>
      <w:r w:rsidR="00D03A8E" w:rsidRPr="00452E2E">
        <w:fldChar w:fldCharType="end"/>
      </w:r>
      <w:r w:rsidR="00D03A8E" w:rsidRPr="00452E2E">
        <w:t xml:space="preserve">. Recently, the country has been classified among N-11 emerging economies </w:t>
      </w:r>
      <w:r w:rsidR="00D03A8E" w:rsidRPr="00452E2E">
        <w:fldChar w:fldCharType="begin" w:fldLock="1"/>
      </w:r>
      <w:r w:rsidR="00D03A8E" w:rsidRPr="00452E2E">
        <w:instrText>ADDIN CSL_CITATION { "citationItems" : [ { "id" : "ITEM-1",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"ITEM-1",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"(Wood &amp; Horwitz 2015)", "manualFormatting" : "(Wood &amp; Horwitz, 2015)", "plainTextFormattedCitation" : "(Wood &amp; Horwitz 2015)", "previouslyFormattedCitation" : "(Wood &amp; Horwitz 2015)" }, "properties" : { "noteIndex" : 0 }, "schema" : "https://github.com/citation-style-language/schema/raw/master/csl-citation.json" }</w:instrText>
      </w:r>
      <w:r w:rsidR="00D03A8E" w:rsidRPr="00452E2E">
        <w:fldChar w:fldCharType="separate"/>
      </w:r>
      <w:r w:rsidR="00D03A8E" w:rsidRPr="00452E2E">
        <w:rPr>
          <w:noProof/>
        </w:rPr>
        <w:t>(Wood &amp; Horwitz, 2015)</w:t>
      </w:r>
      <w:r w:rsidR="00D03A8E" w:rsidRPr="00452E2E">
        <w:fldChar w:fldCharType="end"/>
      </w:r>
      <w:r w:rsidR="00D03A8E" w:rsidRPr="00452E2E">
        <w:t xml:space="preserve"> whilst other accounts have classified Nigeria among ‘MINT</w:t>
      </w:r>
      <w:r w:rsidR="008D29D1" w:rsidRPr="00BE5AF1">
        <w:rPr>
          <w:rStyle w:val="FootnoteReference"/>
        </w:rPr>
        <w:footnoteReference w:id="1"/>
      </w:r>
      <w:r w:rsidR="00D03A8E" w:rsidRPr="00452E2E">
        <w:t xml:space="preserve">’ emerging countries offering a conducive environment for investment </w:t>
      </w:r>
      <w:r w:rsidR="00D03A8E" w:rsidRPr="00452E2E">
        <w:fldChar w:fldCharType="begin" w:fldLock="1"/>
      </w:r>
      <w:r w:rsidR="00D03A8E" w:rsidRPr="00452E2E">
        <w:instrText>ADDIN CSL_CITATION { "citationItems" : [ { "id" : "ITEM-1", "itemData" : { "URL" : "http://www.telegraph.co.uk/finance/personalfinance/investing/10580108/How-to-invest-in-the-Mint-emerging-markets.html", "accessed" : { "date-parts" : [ [ "2014", "8", "4" ] ] }, "author" : [ { "dropping-particle" : "", "family" : "Caldwell", "given" : "K", "non-dropping-particle" : "", "parse-names" : false, "suffix" : "" } ], "container-title" : "Telegraph", "id" : "ITEM-1", "issued" : { "date-parts" : [ [ "2014" ] ] }, "title" : "How to invest in the 'Mint' emerging markets", "type" : "webpage" }, "uris" : [ "http://www.mendeley.com/documents/?uuid=f40e2aa9-3555-4a5f-bfb0-27e338a347c2" ] } ], "mendeley" : { "formattedCitation" : "(Caldwell 2014)", "manualFormatting" : "(Caldwell, 2014)", "plainTextFormattedCitation" : "(Caldwell 2014)", "previouslyFormattedCitation" : "(Caldwell 2014)" }, "properties" : { "noteIndex" : 0 }, "schema" : "https://github.com/citation-style-language/schema/raw/master/csl-citation.json" }</w:instrText>
      </w:r>
      <w:r w:rsidR="00D03A8E" w:rsidRPr="00452E2E">
        <w:fldChar w:fldCharType="separate"/>
      </w:r>
      <w:r w:rsidR="00D03A8E" w:rsidRPr="00452E2E">
        <w:rPr>
          <w:noProof/>
        </w:rPr>
        <w:t>(Caldwell, 2014)</w:t>
      </w:r>
      <w:r w:rsidR="00D03A8E" w:rsidRPr="00452E2E">
        <w:fldChar w:fldCharType="end"/>
      </w:r>
      <w:r w:rsidR="00D03A8E" w:rsidRPr="00452E2E">
        <w:t xml:space="preserve">. This further creates the need to </w:t>
      </w:r>
      <w:r w:rsidR="00D03A8E" w:rsidRPr="00452E2E">
        <w:lastRenderedPageBreak/>
        <w:t>understand the nature of HRM in Nigeria as foreign firms seek to operate in the country</w:t>
      </w:r>
      <w:r w:rsidR="0053561C" w:rsidRPr="00452E2E">
        <w:t>.</w:t>
      </w:r>
      <w:r w:rsidR="00D03A8E" w:rsidRPr="00452E2E">
        <w:t xml:space="preserve"> </w:t>
      </w:r>
    </w:p>
    <w:p w:rsidR="00030F1F" w:rsidRPr="00452E2E" w:rsidRDefault="00030F1F" w:rsidP="00D03A8E">
      <w:pPr>
        <w:spacing w:line="360" w:lineRule="auto"/>
        <w:jc w:val="both"/>
      </w:pPr>
      <w:r w:rsidRPr="00452E2E">
        <w:t xml:space="preserve">The Nigerian economy can be broadly divided into formal and informal economy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The focus of this study however is on the formal economy since organizations in the informal economy often do not have organized practices for managing human resources </w:t>
      </w:r>
      <w:r w:rsidRPr="00452E2E">
        <w:fldChar w:fldCharType="begin" w:fldLock="1"/>
      </w:r>
      <w:r w:rsidRPr="00452E2E">
        <w:instrText>ADDIN CSL_CITATION { "citationItems" : [ { "id" : "ITEM-1", "itemData" : { "DOI" : "10.1108/01425450810879358", "ISBN" : "0143772961015", "ISSN" : "0142-5455", "author" : [ { "dropping-particle" : "", "family" : "Fajana", "given" : "Sola", "non-dropping-particle" : "", "parse-names" : false, "suffix" : "" } ], "container-title" : "Employee Relations", "id" : "ITEM-1", "issue" : "4", "issued" : { "date-parts" : [ [ "2008" ] ] }, "page" : "372-390", "title" : "The Nigerian informal economy: instigating decent work and pay, and national development through unionisation", "type" : "article-journal", "volume" : "30" }, "uris" : [ "http://www.mendeley.com/documents/?uuid=3cbe9b25-91d8-4abc-a710-25f1a8f27130" ] } ], "mendeley" : { "formattedCitation" : "(Fajana 2008)", "manualFormatting" : "(Fajana, 2008)", "plainTextFormattedCitation" : "(Fajana 2008)", "previouslyFormattedCitation" : "(Fajana 2008)" }, "properties" : { "noteIndex" : 0 }, "schema" : "https://github.com/citation-style-language/schema/raw/master/csl-citation.json" }</w:instrText>
      </w:r>
      <w:r w:rsidRPr="00452E2E">
        <w:fldChar w:fldCharType="separate"/>
      </w:r>
      <w:r w:rsidRPr="00452E2E">
        <w:rPr>
          <w:noProof/>
        </w:rPr>
        <w:t>(Fajana, 2008)</w:t>
      </w:r>
      <w:r w:rsidRPr="00452E2E">
        <w:fldChar w:fldCharType="end"/>
      </w:r>
      <w:r w:rsidRPr="00452E2E">
        <w:t xml:space="preserve">. Within the formal economy, there is a distinction between public and private sector organizations in Nigeria </w:t>
      </w:r>
      <w:r w:rsidRPr="00452E2E">
        <w:fldChar w:fldCharType="begin" w:fldLock="1"/>
      </w:r>
      <w:r w:rsidRPr="00452E2E">
        <w:instrText>ADDIN CSL_CITATION { "citationItems" : [ { "id" : "ITEM-1", "itemData" : { "DOI" : "10.1016/S0166-4972(00)00086-9", "ISSN" : "01664972", "author" : [ { "dropping-particle" : "", "family" : "Nwoye", "given" : "MI", "non-dropping-particle" : "", "parse-names" : false, "suffix" : "" } ], "container-title" : "Technovation", "id" : "ITEM-1", "issued" : { "date-parts" : [ [ "2002" ] ] }, "page" : "525-534", "title" : "A focus group discussion approach to the comparative analysis of private and public sector enterprises in Nigeria", "type" : "article-journal", "volume" : "22" }, "uris" : [ "http://www.mendeley.com/documents/?uuid=9d692100-bd69-4f3d-9b69-58d5d5588ae6" ] } ], "mendeley" : { "formattedCitation" : "(Nwoye 2002)", "manualFormatting" : "(Nwoye, 2002)", "plainTextFormattedCitation" : "(Nwoye 2002)", "previouslyFormattedCitation" : "(Nwoye 2002)" }, "properties" : { "noteIndex" : 0 }, "schema" : "https://github.com/citation-style-language/schema/raw/master/csl-citation.json" }</w:instrText>
      </w:r>
      <w:r w:rsidRPr="00452E2E">
        <w:fldChar w:fldCharType="separate"/>
      </w:r>
      <w:r w:rsidRPr="00452E2E">
        <w:rPr>
          <w:noProof/>
        </w:rPr>
        <w:t>(Nwoye, 2002)</w:t>
      </w:r>
      <w:r w:rsidRPr="00452E2E">
        <w:fldChar w:fldCharType="end"/>
      </w:r>
      <w:r w:rsidRPr="00452E2E">
        <w:t xml:space="preserve">. Whilst the public sector is comprised of organizations owned by the federal, state and local governments which exist primarily to promote the welfare of citizens,  the private sector in Nigeria is comprised of indigenous private firms and subsidiaries of multinational companies whose aim is to maximize profit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"DOI" : "10.1016/S0166-4972(00)00086-9", "ISSN" : "01664972", "author" : [ { "dropping-particle" : "", "family" : "Nwoye", "given" : "MI", "non-dropping-particle" : "", "parse-names" : false, "suffix" : "" } ], "container-title" : "Technovation", "id" : "ITEM-2", "issued" : { "date-parts" : [ [ "2002" ] ] }, "page" : "525-534", "title" : "A focus group discussion approach to the comparative analysis of private and public sector enterprises in Nigeria", "type" : "article-journal", "volume" : "22" }, "uris" : [ "http://www.mendeley.com/documents/?uuid=9d692100-bd69-4f3d-9b69-58d5d5588ae6" ] } ], "mendeley" : { "formattedCitation" : "(Ovadje &amp; Ankomah 2001; Nwoye 2002)", "manualFormatting" : "(Ovadje &amp; Ankomah, 2001; Nwoye, 2002)", "plainTextFormattedCitation" : "(Ovadje &amp; Ankomah 2001; Nwoye 2002)", "previouslyFormattedCitation" : "(Ovadje &amp; Ankomah 2001; Nwoye 2002)" }, "properties" : { "noteIndex" : 0 }, "schema" : "https://github.com/citation-style-language/schema/raw/master/csl-citation.json" }</w:instrText>
      </w:r>
      <w:r w:rsidRPr="00452E2E">
        <w:fldChar w:fldCharType="separate"/>
      </w:r>
      <w:r w:rsidRPr="00452E2E">
        <w:rPr>
          <w:noProof/>
        </w:rPr>
        <w:t>(Ovadje &amp; Ankomah, 2001; Nwoye, 2002)</w:t>
      </w:r>
      <w:r w:rsidRPr="00452E2E">
        <w:fldChar w:fldCharType="end"/>
      </w:r>
      <w:r w:rsidRPr="00452E2E">
        <w:t xml:space="preserve">. In order to have a uniform level of comparison, the focus of this study is on the indigenous private firms and federal government owned public organizations in Nigeria. </w:t>
      </w:r>
      <w:r w:rsidR="00024F45" w:rsidRPr="00452E2E">
        <w:t>Next is a discussion of HRM in Nigeria.</w:t>
      </w:r>
      <w:r w:rsidR="00D32D96" w:rsidRPr="00452E2E">
        <w:t xml:space="preserve"> </w:t>
      </w:r>
    </w:p>
    <w:p w:rsidR="00744381" w:rsidRPr="00452E2E" w:rsidRDefault="00744381" w:rsidP="007B28B8">
      <w:pPr>
        <w:pStyle w:val="Heading4"/>
        <w:ind w:left="0"/>
      </w:pPr>
      <w:bookmarkStart w:id="15" w:name="_Toc473808094"/>
      <w:r w:rsidRPr="00452E2E">
        <w:t>1.2.1 HRM in Nigeria</w:t>
      </w:r>
      <w:bookmarkEnd w:id="15"/>
    </w:p>
    <w:p w:rsidR="00D03A8E" w:rsidRPr="00452E2E" w:rsidRDefault="00336696" w:rsidP="00D03A8E">
      <w:pPr>
        <w:spacing w:line="360" w:lineRule="auto"/>
        <w:jc w:val="both"/>
      </w:pPr>
      <w:r w:rsidRPr="00452E2E">
        <w:t>The practice of HR</w:t>
      </w:r>
      <w:r w:rsidR="00536BF0" w:rsidRPr="00452E2E">
        <w:t>M</w:t>
      </w:r>
      <w:r w:rsidRPr="00452E2E">
        <w:t xml:space="preserve"> in Nigeria is guided by</w:t>
      </w:r>
      <w:r w:rsidR="00D03A8E" w:rsidRPr="00452E2E">
        <w:t xml:space="preserve"> the Labour Act of 1998 and the Constitution of the Federal Republic of Nigeria </w:t>
      </w:r>
      <w:r w:rsidR="004D3726" w:rsidRPr="00452E2E">
        <w:t xml:space="preserve">which </w:t>
      </w:r>
      <w:r w:rsidR="00D03A8E" w:rsidRPr="00452E2E">
        <w:t xml:space="preserve">provide the framework for employment relations in </w:t>
      </w:r>
      <w:r w:rsidR="004D3726" w:rsidRPr="00452E2E">
        <w:t>the country</w:t>
      </w:r>
      <w:r w:rsidR="00D03A8E" w:rsidRPr="00452E2E">
        <w:t xml:space="preserve"> </w:t>
      </w:r>
      <w:r w:rsidR="00D03A8E" w:rsidRPr="00452E2E">
        <w:fldChar w:fldCharType="begin" w:fldLock="1"/>
      </w:r>
      <w:r w:rsidR="00D03A8E"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00D03A8E" w:rsidRPr="00452E2E">
        <w:fldChar w:fldCharType="separate"/>
      </w:r>
      <w:r w:rsidR="00D03A8E" w:rsidRPr="00452E2E">
        <w:rPr>
          <w:noProof/>
        </w:rPr>
        <w:t>(Ovadje &amp; Ankomah, 2001)</w:t>
      </w:r>
      <w:r w:rsidR="00D03A8E" w:rsidRPr="00452E2E">
        <w:fldChar w:fldCharType="end"/>
      </w:r>
      <w:r w:rsidR="00D03A8E" w:rsidRPr="00452E2E">
        <w:t>. Trade unions which are formed along industry or professional line</w:t>
      </w:r>
      <w:r w:rsidR="008001E7" w:rsidRPr="00452E2E">
        <w:t>s are affiliated to the Nigeria</w:t>
      </w:r>
      <w:r w:rsidR="00D03A8E" w:rsidRPr="00452E2E">
        <w:t xml:space="preserve"> Labour Congress (NLC) or the Trade Union Congress (TUC) which are the umbrella trade unions in Nigeria </w:t>
      </w:r>
      <w:r w:rsidR="00D03A8E" w:rsidRPr="00452E2E">
        <w:fldChar w:fldCharType="begin" w:fldLock="1"/>
      </w:r>
      <w:r w:rsidR="00D03A8E"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"mendeley" : { "formattedCitation" : "(Fajana 2007)", "manualFormatting" : "(Fajana, 2007)", "plainTextFormattedCitation" : "(Fajana 2007)", "previouslyFormattedCitation" : "(Fajana 2007)" }, "properties" : { "noteIndex" : 0 }, "schema" : "https://github.com/citation-style-language/schema/raw/master/csl-citation.json" }</w:instrText>
      </w:r>
      <w:r w:rsidR="00D03A8E" w:rsidRPr="00452E2E">
        <w:fldChar w:fldCharType="separate"/>
      </w:r>
      <w:r w:rsidR="00D03A8E" w:rsidRPr="00452E2E">
        <w:rPr>
          <w:noProof/>
        </w:rPr>
        <w:t>(Fajana, 2007)</w:t>
      </w:r>
      <w:r w:rsidR="00D03A8E" w:rsidRPr="00452E2E">
        <w:fldChar w:fldCharType="end"/>
      </w:r>
      <w:r w:rsidR="00D03A8E" w:rsidRPr="00452E2E">
        <w:t xml:space="preserve">. In addition to the traditional role of seeking to improve the welfare of workers, in Nigeria, trade unions in conjunction with civil society organizations often act as a voice of the masses by mobilising the citizens to resist anti-people neo-liberal policies such the removal of petrol subsidies </w:t>
      </w:r>
      <w:r w:rsidR="00D03A8E" w:rsidRPr="00452E2E">
        <w:fldChar w:fldCharType="begin" w:fldLock="1"/>
      </w:r>
      <w:r w:rsidR="00D03A8E"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"id" : "ITEM-2", "itemData" : { "abstract" : "Since the inception of paid/wage employment, through a combination of sustained struggles and appeals to the conscience of the rest of society, workers, using the platform provided by their organizations (trade unions), have been able to secure for themselves a number of rights. These rights are predicated on, and complemented by, some constitutional provisions which confer certain rights on workers as citizens of their countries. However, in the new world economic order elegantly referred to as globalization workers' rights have been dealt a devastating blow. Under globalization driven by neoliberalism and anchored on less state involvement in the economic sphere, governments, particularly in their obsession to attract foreign direct investments as well as satisfying private corporate interests, have been arm-twisted to relax labor laws that seek to protect workers from extreme abuse within the employment relationship. This unfolds within the context of the increasing autocracy of the capitalist state, not only in Nigeria but worldwide by which basic labor rights, such as the right to freedom of association and collective bargaining, are brazenly violated even in the advanced democracies. Based on a combination of empirical data and secondary materials, this essay establishes that the level of compliance with existing legislation on workers' rights is low in Nigeria. The research also finds that official enforcement is equally low; a situation that is encouraged by weak institutional capacity of the labor administration system. Closely related to weak institutional capacity is the lack of the political will on the part of the subservient Nigerian state to protect its worker-citizens. It is against this backdrop that the paper submits that given the failure of the state to ensure compliance with laws which seek to protect workers, workers, their organisations, and allies within the broader labour movement need to look beyond the state and its agencies to secure rights at work. The reality equally calls for a deeper understanding of the issues involved and a holistic response of the working class, both national and transnational. [ABSTRACT FROM AUTHOR]", "author" : [ { "dropping-particle" : "", "family" : "Adewumi", "given" : "Funmi", "non-dropping-particle" : "", "parse-names" : false, "suffix" : "" } ], "container-title" : "WorkingUSA", "id" : "ITEM-2", "issue" : "December", "issued" : { "date-parts" : [ [ "2012" ] ] }, "page" : "529-547", "title" : "The global economy, trade unions and the protection of workers' rights in Nigeria", "type" : "article-journal", "volume" : "15" }, "uris" : [ "http://www.mendeley.com/documents/?uuid=83e0a08f-76b3-46e8-a1f0-ae8e0126bf34" ] } ], "mendeley" : { "formattedCitation" : "(Fajana 2007; Adewumi 2012a)", "manualFormatting" : "(Fajana, 2007; Adewumi, 2012)", "plainTextFormattedCitation" : "(Fajana 2007; Adewumi 2012a)", "previouslyFormattedCitation" : "(Fajana 2007; Adewumi 2012a)" }, "properties" : { "noteIndex" : 0 }, "schema" : "https://github.com/citation-style-language/schema/raw/master/csl-citation.json" }</w:instrText>
      </w:r>
      <w:r w:rsidR="00D03A8E" w:rsidRPr="00452E2E">
        <w:fldChar w:fldCharType="separate"/>
      </w:r>
      <w:r w:rsidR="00D03A8E" w:rsidRPr="00452E2E">
        <w:rPr>
          <w:noProof/>
        </w:rPr>
        <w:t>(Fajana, 2007; Adewumi, 2012)</w:t>
      </w:r>
      <w:r w:rsidR="00D03A8E" w:rsidRPr="00452E2E">
        <w:fldChar w:fldCharType="end"/>
      </w:r>
      <w:r w:rsidR="00D03A8E" w:rsidRPr="00452E2E">
        <w:t xml:space="preserve">. </w:t>
      </w:r>
    </w:p>
    <w:p w:rsidR="00D03A8E" w:rsidRPr="00452E2E" w:rsidRDefault="00D03A8E" w:rsidP="00D03A8E">
      <w:pPr>
        <w:spacing w:line="360" w:lineRule="auto"/>
        <w:jc w:val="both"/>
      </w:pPr>
      <w:r w:rsidRPr="00452E2E">
        <w:t xml:space="preserve">The tripartite collective bargaining system exists at the national level involving the umbrella trade union bodies, the government and the Nigeria Employers’ Consultative Association (NECA) which usually involves setting the national minimum wage for the country </w:t>
      </w:r>
      <w:r w:rsidRPr="00452E2E">
        <w:fldChar w:fldCharType="begin" w:fldLock="1"/>
      </w:r>
      <w:r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"mendeley" : { "formattedCitation" : "(Fajana 2007)", "manualFormatting" : "(Fajana, 2007)", "plainTextFormattedCitation" : "(Fajana 2007)", "previouslyFormattedCitation" : "(Fajana 2007)" }, "properties" : { "noteIndex" : 0 }, "schema" : "https://github.com/citation-style-language/schema/raw/master/csl-citation.json" }</w:instrText>
      </w:r>
      <w:r w:rsidRPr="00452E2E">
        <w:fldChar w:fldCharType="separate"/>
      </w:r>
      <w:r w:rsidRPr="00452E2E">
        <w:rPr>
          <w:noProof/>
        </w:rPr>
        <w:t>(Fajana, 2007)</w:t>
      </w:r>
      <w:r w:rsidRPr="00452E2E">
        <w:fldChar w:fldCharType="end"/>
      </w:r>
      <w:r w:rsidRPr="00452E2E">
        <w:t xml:space="preserve">. The national tripartite agreements in turn form the basis for affiliate unions to negotiate specific conditions of work with employers at the industry level </w:t>
      </w:r>
      <w:r w:rsidRPr="00452E2E">
        <w:fldChar w:fldCharType="begin" w:fldLock="1"/>
      </w:r>
      <w:r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"mendeley" : { "formattedCitation" : "(Fajana 2007)", "manualFormatting" : "(Fajana, 2007)", "plainTextFormattedCitation" : "(Fajana 2007)", "previouslyFormattedCitation" : "(Fajana 2007)" }, "properties" : { "noteIndex" : 0 }, "schema" : "https://github.com/citation-style-language/schema/raw/master/csl-citation.json" }</w:instrText>
      </w:r>
      <w:r w:rsidRPr="00452E2E">
        <w:fldChar w:fldCharType="separate"/>
      </w:r>
      <w:r w:rsidRPr="00452E2E">
        <w:rPr>
          <w:noProof/>
        </w:rPr>
        <w:t>(Fajana, 2007)</w:t>
      </w:r>
      <w:r w:rsidRPr="00452E2E">
        <w:fldChar w:fldCharType="end"/>
      </w:r>
      <w:r w:rsidRPr="00452E2E">
        <w:t xml:space="preserve">. Of course, </w:t>
      </w:r>
      <w:r w:rsidRPr="00452E2E">
        <w:lastRenderedPageBreak/>
        <w:t xml:space="preserve">the agreements reached at the industry level will depend on the nature of the industry and the strength of the union </w:t>
      </w:r>
      <w:r w:rsidRPr="00452E2E">
        <w:fldChar w:fldCharType="begin" w:fldLock="1"/>
      </w:r>
      <w:r w:rsidRPr="00452E2E">
        <w:instrText>ADDIN CSL_CITATION { "citationItems" : [ { "id" : "ITEM-1", "itemData" : { "author" : [ { "dropping-particle" : "", "family" : "Adewumi", "given" : "Funmi;", "non-dropping-particle" : "", "parse-names" : false, "suffix" : "" }, { "dropping-particle" : "", "family" : "Adenuga", "given" : "Adebimpe", "non-dropping-particle" : "", "parse-names" : false, "suffix" : "" } ], "id" : "ITEM-1", "issued" : { "date-parts" : [ [ "2010" ] ] }, "publisher" : "Friedrich-Ebert-Stiftung", "publisher-place" : "Abuja", "title" : "The state of workers\u2019 rights in Nigeria: an examination of the banking, oil and gas and telecommunication sectors", "type" : "book" }, "uris" : [ "http://www.mendeley.com/documents/?uuid=bca142ac-ccc5-402b-9bf8-6c83b4ca57bf" ] } ], "mendeley" : { "formattedCitation" : "(Adewumi &amp; Adenuga 2010)", "manualFormatting" : "(Adewumi &amp; Adenuga, 2010)", "plainTextFormattedCitation" : "(Adewumi &amp; Adenuga 2010)", "previouslyFormattedCitation" : "(Adewumi &amp; Adenuga 2010)" }, "properties" : { "noteIndex" : 0 }, "schema" : "https://github.com/citation-style-language/schema/raw/master/csl-citation.json" }</w:instrText>
      </w:r>
      <w:r w:rsidRPr="00452E2E">
        <w:fldChar w:fldCharType="separate"/>
      </w:r>
      <w:r w:rsidRPr="00452E2E">
        <w:rPr>
          <w:noProof/>
        </w:rPr>
        <w:t>(Adewumi &amp; Adenuga, 2010)</w:t>
      </w:r>
      <w:r w:rsidRPr="00452E2E">
        <w:fldChar w:fldCharType="end"/>
      </w:r>
      <w:r w:rsidRPr="00452E2E">
        <w:t xml:space="preserve">. However, a high level of unemployment in Nigeria strengthens the hand of employers against employees which weaken the ability of trade unions to demand improved working conditions for workers </w:t>
      </w:r>
      <w:r w:rsidRPr="00452E2E">
        <w:fldChar w:fldCharType="begin" w:fldLock="1"/>
      </w:r>
      <w:r w:rsidRPr="00452E2E">
        <w:instrText>ADDIN CSL_CITATION { "citationItems" : [ { "id" : "ITEM-1", "itemData" : { "abstract" : "Since the inception of paid/wage employment, through a combination of sustained struggles and appeals to the conscience of the rest of society, workers, using the platform provided by their organizations (trade unions), have been able to secure for themselves a number of rights. These rights are predicated on, and complemented by, some constitutional provisions which confer certain rights on workers as citizens of their countries. However, in the new world economic order elegantly referred to as globalization workers' rights have been dealt a devastating blow. Under globalization driven by neoliberalism and anchored on less state involvement in the economic sphere, governments, particularly in their obsession to attract foreign direct investments as well as satisfying private corporate interests, have been arm-twisted to relax labor laws that seek to protect workers from extreme abuse within the employment relationship. This unfolds within the context of the increasing autocracy of the capitalist state, not only in Nigeria but worldwide by which basic labor rights, such as the right to freedom of association and collective bargaining, are brazenly violated even in the advanced democracies. Based on a combination of empirical data and secondary materials, this essay establishes that the level of compliance with existing legislation on workers' rights is low in Nigeria. The research also finds that official enforcement is equally low; a situation that is encouraged by weak institutional capacity of the labor administration system. Closely related to weak institutional capacity is the lack of the political will on the part of the subservient Nigerian state to protect its worker-citizens. It is against this backdrop that the paper submits that given the failure of the state to ensure compliance with laws which seek to protect workers, workers, their organisations, and allies within the broader labour movement need to look beyond the state and its agencies to secure rights at work. The reality equally calls for a deeper understanding of the issues involved and a holistic response of the working class, both national and transnational. [ABSTRACT FROM AUTHOR]", "author" : [ { "dropping-particle" : "", "family" : "Adewumi", "given" : "Funmi", "non-dropping-particle" : "", "parse-names" : false, "suffix" : "" } ], "container-title" : "WorkingUSA", "id" : "ITEM-1", "issue" : "December", "issued" : { "date-parts" : [ [ "2012" ] ] }, "page" : "529-547", "title" : "The global economy, trade unions and the protection of workers' rights in Nigeria", "type" : "article-journal", "volume" : "15" }, "uris" : [ "http://www.mendeley.com/documents/?uuid=83e0a08f-76b3-46e8-a1f0-ae8e0126bf34" ] } ], "mendeley" : { "formattedCitation" : "(Adewumi 2012a)", "manualFormatting" : "(Adewumi, 2012)", "plainTextFormattedCitation" : "(Adewumi 2012a)", "previouslyFormattedCitation" : "(Adewumi 2012a)" }, "properties" : { "noteIndex" : 0 }, "schema" : "https://github.com/citation-style-language/schema/raw/master/csl-citation.json" }</w:instrText>
      </w:r>
      <w:r w:rsidRPr="00452E2E">
        <w:fldChar w:fldCharType="separate"/>
      </w:r>
      <w:r w:rsidRPr="00452E2E">
        <w:rPr>
          <w:noProof/>
        </w:rPr>
        <w:t>(Adewumi, 2012)</w:t>
      </w:r>
      <w:r w:rsidRPr="00452E2E">
        <w:fldChar w:fldCharType="end"/>
      </w:r>
      <w:r w:rsidR="00923988" w:rsidRPr="00452E2E">
        <w:t>.</w:t>
      </w:r>
    </w:p>
    <w:p w:rsidR="00041331" w:rsidRPr="00452E2E" w:rsidRDefault="00041331" w:rsidP="00041331">
      <w:pPr>
        <w:spacing w:line="360" w:lineRule="auto"/>
        <w:jc w:val="both"/>
      </w:pPr>
      <w:r w:rsidRPr="00452E2E">
        <w:t xml:space="preserve">As observed by Ovadje &amp; Ankomah (2001), HRM practices adopted by organizations in Nigeria may also be influenced by cultural values such as deference for authority, community and kinship ties, paternalism, patriarchal relationships and a sense of mutual obligations. The influence of these cultural values on HRM in Nigeria resonates with the evidence found on the wider African continent (Ellis </w:t>
      </w:r>
      <w:r w:rsidRPr="00452E2E">
        <w:rPr>
          <w:i/>
        </w:rPr>
        <w:t>et al</w:t>
      </w:r>
      <w:r w:rsidRPr="00452E2E">
        <w:t xml:space="preserve">., 2015). Nevertheless, due to the cultural diversity in Nigeria, researchers have often questioned the utility of cultural frameworks, especially the popular Hofstede’s cultural dimensions </w:t>
      </w:r>
      <w:r w:rsidRPr="00452E2E">
        <w:fldChar w:fldCharType="begin" w:fldLock="1"/>
      </w:r>
      <w:r w:rsidRPr="00452E2E">
        <w:instrText>ADDIN CSL_CITATION { "citationItems" : [ { "id" : "ITEM-1", "itemData" : { "author" : [ { "dropping-particle" : "", "family" : "Hofstede", "given" : "G", "non-dropping-particle" : "", "parse-names" : false, "suffix" : "" } ], "id" : "ITEM-1", "issued" : { "date-parts" : [ [ "1980" ] ] }, "publisher" : "SAGE", "publisher-place" : "Beverley Hills, CA", "title" : "Culture's consequences: international differences in work related values", "type" : "book" }, "uris" : [ "http://www.mendeley.com/documents/?uuid=f7ce3cbc-a085-423c-a5e6-4c0c576611a3" ] } ], "mendeley" : { "formattedCitation" : "(Hofstede 1980)", "manualFormatting" : "(Hofstede, 1980)", "plainTextFormattedCitation" : "(Hofstede 1980)", "previouslyFormattedCitation" : "(Hofstede 1980)" }, "properties" : { "noteIndex" : 0 }, "schema" : "https://github.com/citation-style-language/schema/raw/master/csl-citation.json" }</w:instrText>
      </w:r>
      <w:r w:rsidRPr="00452E2E">
        <w:fldChar w:fldCharType="separate"/>
      </w:r>
      <w:r w:rsidRPr="00452E2E">
        <w:rPr>
          <w:noProof/>
        </w:rPr>
        <w:t>(Hofstede, 1980)</w:t>
      </w:r>
      <w:r w:rsidRPr="00452E2E">
        <w:fldChar w:fldCharType="end"/>
      </w:r>
      <w:r w:rsidRPr="00452E2E">
        <w:t xml:space="preserve"> for understanding organizational practices in Nigeria since such frameworks tend to treat countries as homogenous cultural entities </w:t>
      </w:r>
      <w:r w:rsidRPr="00452E2E">
        <w:fldChar w:fldCharType="begin" w:fldLock="1"/>
      </w:r>
      <w:r w:rsidRPr="00452E2E">
        <w:instrText>ADDIN CSL_CITATION { "citationItems" : [ { "id" : "ITEM-1", "itemData" : { "author" : [ { "dropping-particle" : "", "family" : "Adeleye", "given" : "I.", "non-dropping-particle" : "", "parse-names" : false, "suffix" : "" } ], "container-title" : "African Journal of Business Management", "id" : "ITEM-1", "issue" : "6", "issued" : { "date-parts" : [ [ "2011" ] ] }, "page" : "2028\u20132039", "title" : "Theorising human resource management in Africa: Beyond cultural relativism", "type" : "article-journal", "volume" : "5" }, "uris" : [ "http://www.mendeley.com/documents/?uuid=b6058017-794b-4523-80e3-eae4db7ca9ff" ] } ], "mendeley" : { "formattedCitation" : "(Adeleye 2011)", "manualFormatting" : "(Adeleye, 2011)", "plainTextFormattedCitation" : "(Adeleye 2011)", "previouslyFormattedCitation" : "(Adeleye 2011)" }, "properties" : { "noteIndex" : 0 }, "schema" : "https://github.com/citation-style-language/schema/raw/master/csl-citation.json" }</w:instrText>
      </w:r>
      <w:r w:rsidRPr="00452E2E">
        <w:fldChar w:fldCharType="separate"/>
      </w:r>
      <w:r w:rsidRPr="00452E2E">
        <w:rPr>
          <w:noProof/>
        </w:rPr>
        <w:t>(Adeleye, 2011)</w:t>
      </w:r>
      <w:r w:rsidRPr="00452E2E">
        <w:fldChar w:fldCharType="end"/>
      </w:r>
      <w:r w:rsidRPr="00452E2E">
        <w:t xml:space="preserve">. </w:t>
      </w:r>
    </w:p>
    <w:p w:rsidR="00041331" w:rsidRPr="00452E2E" w:rsidRDefault="00041331" w:rsidP="00D03A8E">
      <w:pPr>
        <w:spacing w:line="360" w:lineRule="auto"/>
        <w:jc w:val="both"/>
      </w:pPr>
      <w:r w:rsidRPr="00452E2E">
        <w:t xml:space="preserve">Moreover, other accounts on HRM in Nigeria (e.g. Anakwe, 2002; Okpara &amp; Wynn, 2008; Azolukwam &amp; Perkins, 2009) suggest that standardized HRM practices such as recruitment and selection, training and development, compensation and benefits, performance appraisals among others are implemented in Nigerian organizations. However, whilst these practices may have some semblance with HRM practices in advanced countries such as USA and the UK, the practice of HRM in Nigeria is affected by contextual challenges such as corruption, government regulation, HIV/AIDS, tribalism, favouritism, poverty and low manpower development arising from a reduction in public expenditure in critical areas of the economy such as education and health in line with the dictates of neoliberalism (Okpara &amp; Wynn, 2008; Azolukwam &amp; Perkins, 2009).  The present study therefore seeks to extend the body of knowledge on HRM in Nigeria by comparing the practice of HRM in the public and private sector in Nigeria. In addition, the study seeks to examine the effects of HRM practices on employee attitudes in the public and private sector in Nigeria. Accordingly, the discussion of public and private sector organizations will be the focus of the next section. </w:t>
      </w:r>
    </w:p>
    <w:p w:rsidR="00923988" w:rsidRPr="00452E2E" w:rsidRDefault="00923988" w:rsidP="00D03A8E">
      <w:pPr>
        <w:spacing w:line="360" w:lineRule="auto"/>
        <w:jc w:val="both"/>
      </w:pPr>
    </w:p>
    <w:p w:rsidR="008E5B86" w:rsidRPr="00452E2E" w:rsidRDefault="00C05DE2" w:rsidP="00170224">
      <w:pPr>
        <w:pStyle w:val="Heading3"/>
      </w:pPr>
      <w:bookmarkStart w:id="16" w:name="_Toc465271177"/>
      <w:bookmarkStart w:id="17" w:name="_Toc473808095"/>
      <w:r w:rsidRPr="00452E2E">
        <w:lastRenderedPageBreak/>
        <w:t>1.3</w:t>
      </w:r>
      <w:r w:rsidR="008E5B86" w:rsidRPr="00452E2E">
        <w:t xml:space="preserve"> Public and Private Sector Organizations</w:t>
      </w:r>
      <w:bookmarkEnd w:id="16"/>
      <w:bookmarkEnd w:id="17"/>
    </w:p>
    <w:p w:rsidR="008E5B86" w:rsidRPr="00452E2E" w:rsidRDefault="008E5B86" w:rsidP="008E5B86">
      <w:pPr>
        <w:spacing w:line="360" w:lineRule="auto"/>
        <w:jc w:val="both"/>
        <w:rPr>
          <w:szCs w:val="24"/>
        </w:rPr>
      </w:pPr>
      <w:r w:rsidRPr="00452E2E">
        <w:rPr>
          <w:szCs w:val="24"/>
        </w:rPr>
        <w:t xml:space="preserve">A key question in the study of public and private organizations is whether they are similar or different </w:t>
      </w:r>
      <w:r w:rsidRPr="00452E2E">
        <w:rPr>
          <w:szCs w:val="24"/>
        </w:rPr>
        <w:fldChar w:fldCharType="begin" w:fldLock="1"/>
      </w:r>
      <w:r w:rsidRPr="00452E2E">
        <w:rPr>
          <w:szCs w:val="24"/>
        </w:rPr>
        <w:instrText>ADDIN CSL_CITATION { "citationItems" : [ { "id" : "ITEM-1", "itemData" : { "author" : [ { "dropping-particle" : "", "family" : "Bullock", "given" : "Justin Bennett", "non-dropping-particle" : "", "parse-names" : false, "suffix" : "" }, { "dropping-particle" : "", "family" : "Stritch", "given" : "Justin Michael", "non-dropping-particle" : "", "parse-names" : false, "suffix" : "" }, { "dropping-particle" : "", "family" : "Rainey", "given" : "Hal G", "non-dropping-particle" : "", "parse-names" : false, "suffix" : "" } ], "container-title" : "Paper presented at 11th PMRC Conference, Madison, Wisconsin, June 20-22", "id" : "ITEM-1", "issued" : { "date-parts" : [ [ "2013" ] ] }, "title" : "Do sector differences hold across countries? An international comprison of public and private sector employees' work orientation", "type" : "article" }, "uris" : [ "http://www.mendeley.com/documents/?uuid=92e1e001-b74c-4a8c-a983-74d184206a22" ] }, { "id" : "ITEM-2", "itemData" : { "author" : [ { "dropping-particle" : "", "family" : "Rainey", "given" : "Hal G.", "non-dropping-particle" : "", "parse-names" : false, "suffix" : "" } ], "edition" : "5th", "id" : "ITEM-2", "issued" : { "date-parts" : [ [ "2014" ] ] }, "publisher" : "Jossey-Bass", "publisher-place" : "San Francisco CA", "title" : "Understanding and managing public organizations", "type" : "book" }, "uris" : [ "http://www.mendeley.com/documents/?uuid=e4509630-4d2f-4f7b-acc0-ef9c899faaab" ] }, { "id" : "ITEM-3", "itemData" : { "author" : [ { "dropping-particle" : "", "family" : "Wang", "given" : "Y.", "non-dropping-particle" : "", "parse-names" : false, "suffix" : "" }, { "dropping-particle" : "", "family" : "Yang", "given" : "C.", "non-dropping-particle" : "", "parse-names" : false, "suffix" : "" }, { "dropping-particle" : "", "family" : "Wang", "given" : "K.", "non-dropping-particle" : "", "parse-names" : false, "suffix" : "" } ], "container-title" : "Public Personnel Management", "id" : "ITEM-3", "issue" : "3", "issued" : { "date-parts" : [ [ "2012" ] ] }, "page" : "557-574", "title" : "Public and private employees' job satisfaction and turnover", "type" : "article-journal", "volume" : "41" }, "uris" : [ "http://www.mendeley.com/documents/?uuid=ce6a7fef-abf9-4217-933c-3f221eb1d6e2" ] } ], "mendeley" : { "formattedCitation" : "(Bullock et al. 2013; Rainey 2014; Wang et al. 2012)", "manualFormatting" : "(Wang et al., 2012; Bullock et al., 2013; Rainey, 2014)", "plainTextFormattedCitation" : "(Bullock et al. 2013; Rainey 2014; Wang et al. 2012)", "previouslyFormattedCitation" : "(Bullock et al. 2013; Rainey 2014; Wang et al. 2012)" }, "properties" : { "noteIndex" : 0 }, "schema" : "https://github.com/citation-style-language/schema/raw/master/csl-citation.json" }</w:instrText>
      </w:r>
      <w:r w:rsidRPr="00452E2E">
        <w:rPr>
          <w:szCs w:val="24"/>
        </w:rPr>
        <w:fldChar w:fldCharType="separate"/>
      </w:r>
      <w:r w:rsidRPr="00452E2E">
        <w:rPr>
          <w:noProof/>
          <w:szCs w:val="24"/>
        </w:rPr>
        <w:t xml:space="preserve">(Wang </w:t>
      </w:r>
      <w:r w:rsidRPr="00452E2E">
        <w:rPr>
          <w:i/>
          <w:noProof/>
          <w:szCs w:val="24"/>
        </w:rPr>
        <w:t>et al</w:t>
      </w:r>
      <w:r w:rsidRPr="00452E2E">
        <w:rPr>
          <w:noProof/>
          <w:szCs w:val="24"/>
        </w:rPr>
        <w:t xml:space="preserve">., 2012; Bullock </w:t>
      </w:r>
      <w:r w:rsidRPr="00452E2E">
        <w:rPr>
          <w:i/>
          <w:noProof/>
          <w:szCs w:val="24"/>
        </w:rPr>
        <w:t>et al</w:t>
      </w:r>
      <w:r w:rsidRPr="00452E2E">
        <w:rPr>
          <w:noProof/>
          <w:szCs w:val="24"/>
        </w:rPr>
        <w:t>., 2013; Rainey, 2014)</w:t>
      </w:r>
      <w:r w:rsidRPr="00452E2E">
        <w:rPr>
          <w:szCs w:val="24"/>
        </w:rPr>
        <w:fldChar w:fldCharType="end"/>
      </w:r>
      <w:r w:rsidRPr="00452E2E">
        <w:rPr>
          <w:szCs w:val="24"/>
        </w:rPr>
        <w:t xml:space="preserve">. This debate has been a fundamental issue to organizational theorists over the years and is perhaps as old as the field of public administration </w:t>
      </w:r>
      <w:r w:rsidRPr="00452E2E">
        <w:rPr>
          <w:szCs w:val="24"/>
        </w:rPr>
        <w:fldChar w:fldCharType="begin" w:fldLock="1"/>
      </w:r>
      <w:r w:rsidRPr="00452E2E">
        <w:rPr>
          <w:szCs w:val="24"/>
        </w:rPr>
        <w:instrText>ADDIN CSL_CITATION { "citationItems" : [ { "id" : "ITEM-1", "itemData" : { "author" : [ { "dropping-particle" : "", "family" : "Dahl", "given" : "R.A.", "non-dropping-particle" : "", "parse-names" : false, "suffix" : "" }, { "dropping-particle" : "", "family" : "Lindblom", "given" : "C.E.", "non-dropping-particle" : "", "parse-names" : false, "suffix" : "" } ], "id" : "ITEM-1", "issued" : { "date-parts" : [ [ "1953" ] ] }, "publisher" : "Harper and Row", "publisher-place" : "New York", "title" : "Politics, economics and welfare", "type" : "book" }, "uris" : [ "http://www.mendeley.com/documents/?uuid=7b60cabd-7d31-4a6f-8184-fed6c590a4d9" ] }, { "id" : "ITEM-2", "itemData" : { "author" : [ { "dropping-particle" : "", "family" : "Wamsley", "given" : "G.L.", "non-dropping-particle" : "", "parse-names" : false, "suffix" : "" }, { "dropping-particle" : "", "family" : "Zald", "given" : "M.N.", "non-dropping-particle" : "", "parse-names" : false, "suffix" : "" } ], "id" : "ITEM-2", "issued" : { "date-parts" : [ [ "1973" ] ] }, "publisher" : "D.C. Heath", "publisher-place" : "Lexington, MA", "title" : "The political economy of public organizations", "type" : "book" }, "uris" : [ "http://www.mendeley.com/documents/?uuid=ab8d937c-69d5-4a0c-91a2-a59385a0faf0" ] }, { "id" : "ITEM-3",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"ITEM-3", "issue" : "2", "issued" : { "date-parts" : [ [ "1988" ] ] }, "page" : "182-201", "title" : "The public-private distinction in organization theory: A critique and research strategy", "type" : "article-journal", "volume" : "13" }, "uris" : [ "http://www.mendeley.com/documents/?uuid=c5c63920-dd03-4505-ab8c-01d1dd4daaae" ] }, { "id" : "ITEM-4", "itemData" : { "author" : [ { "dropping-particle" : "", "family" : "Rainey", "given" : "Hal G", "non-dropping-particle" : "", "parse-names" : false, "suffix" : "" }, { "dropping-particle" : "", "family" : "Backoff", "given" : "Robert W", "non-dropping-particle" : "", "parse-names" : false, "suffix" : "" }, { "dropping-particle" : "", "family" : "Levine", "given" : "Charles H", "non-dropping-particle" : "", "parse-names" : false, "suffix" : "" } ], "container-title" : "Public Administration Review", "id" : "ITEM-4", "issue" : "2", "issued" : { "date-parts" : [ [ "1976" ] ] }, "page" : "233-244", "title" : "Comparing public and private organizations", "type" : "article-journal", "volume" : "36" }, "uris" : [ "http://www.mendeley.com/documents/?uuid=284ad86e-0960-41df-99ae-258983f905c9" ] } ], "mendeley" : { "formattedCitation" : "(Dahl &amp; Lindblom 1953; Wamsley &amp; Zald 1973; Perry &amp; Rainey 1988; Rainey et al. 1976)", "manualFormatting" : "(Hvidman &amp; Andersen, 2014)", "plainTextFormattedCitation" : "(Dahl &amp; Lindblom 1953; Wamsley &amp; Zald 1973; Perry &amp; Rainey 1988; Rainey et al. 1976)", "previouslyFormattedCitation" : "(Dahl &amp; Lindblom 1953; Wamsley &amp; Zald 1973; Perry &amp; Rainey 1988; Rainey et al. 1976)" }, "properties" : { "noteIndex" : 0 }, "schema" : "https://github.com/citation-style-language/schema/raw/master/csl-citation.json" }</w:instrText>
      </w:r>
      <w:r w:rsidRPr="00452E2E">
        <w:rPr>
          <w:szCs w:val="24"/>
        </w:rPr>
        <w:fldChar w:fldCharType="separate"/>
      </w:r>
      <w:r w:rsidRPr="00452E2E">
        <w:rPr>
          <w:noProof/>
          <w:szCs w:val="24"/>
        </w:rPr>
        <w:t>(Hvidman &amp; Andersen, 2014)</w:t>
      </w:r>
      <w:r w:rsidRPr="00452E2E">
        <w:rPr>
          <w:szCs w:val="24"/>
        </w:rPr>
        <w:fldChar w:fldCharType="end"/>
      </w:r>
      <w:r w:rsidRPr="00452E2E">
        <w:rPr>
          <w:szCs w:val="24"/>
        </w:rPr>
        <w:t xml:space="preserve">. Consequently, despite numerous studies comparing public and private organizations, there is no consensus on what the definition should be, or how public and private organizations should be classified </w:t>
      </w:r>
      <w:r w:rsidRPr="00452E2E">
        <w:rPr>
          <w:szCs w:val="24"/>
        </w:rPr>
        <w:fldChar w:fldCharType="begin" w:fldLock="1"/>
      </w:r>
      <w:r w:rsidRPr="00452E2E">
        <w:rPr>
          <w:szCs w:val="24"/>
        </w:rPr>
        <w:instrText>ADDIN CSL_CITATION { "citationItems" : [ { "id" : "ITEM-1", "itemData" : { "author" : [ { "dropping-particle" : "", "family" : "Baarspul", "given" : "H.C.", "non-dropping-particle" : "", "parse-names" : false, "suffix" : "" }, { "dropping-particle" : "", "family" : "Wilderom", "given" : "C.", "non-dropping-particle" : "", "parse-names" : false, "suffix" : "" } ], "container-title" : "Public Management Review", "id" : "ITEM-1", "issue" : "7", "issued" : { "date-parts" : [ [ "2011" ] ] }, "page" : "967-1002", "title" : "Do employees behave differently in public-vs-private organizations? A state of the art review", "type" : "article-journal", "volume" : "13" }, "uris" : [ "http://www.mendeley.com/documents/?uuid=a21fa938-9db6-4d1d-8acb-597c691c916a" ] } ], "mendeley" : { "formattedCitation" : "(Baarspul &amp; Wilderom 2011)", "manualFormatting" : "(Baarspul &amp; Wilderom, 2011; Hvidman &amp; Andersen, 2014)", "plainTextFormattedCitation" : "(Baarspul &amp; Wilderom 2011)", "previouslyFormattedCitation" : "(Baarspul &amp; Wilderom 2011)" }, "properties" : { "noteIndex" : 0 }, "schema" : "https://github.com/citation-style-language/schema/raw/master/csl-citation.json" }</w:instrText>
      </w:r>
      <w:r w:rsidRPr="00452E2E">
        <w:rPr>
          <w:szCs w:val="24"/>
        </w:rPr>
        <w:fldChar w:fldCharType="separate"/>
      </w:r>
      <w:r w:rsidRPr="00452E2E">
        <w:rPr>
          <w:noProof/>
          <w:szCs w:val="24"/>
        </w:rPr>
        <w:t>(Baarspul &amp; Wilderom, 2011; Hvidman &amp; Andersen, 2014)</w:t>
      </w:r>
      <w:r w:rsidRPr="00452E2E">
        <w:rPr>
          <w:szCs w:val="24"/>
        </w:rPr>
        <w:fldChar w:fldCharType="end"/>
      </w:r>
      <w:r w:rsidR="003E3429" w:rsidRPr="00452E2E">
        <w:rPr>
          <w:szCs w:val="24"/>
        </w:rPr>
        <w:t>. Moreover</w:t>
      </w:r>
      <w:r w:rsidRPr="00452E2E">
        <w:rPr>
          <w:szCs w:val="24"/>
        </w:rPr>
        <w:t xml:space="preserve">, the fact that what constitutes public and private sectors differ from one context to the other, further compounds the difficulty in defining both sectors </w:t>
      </w:r>
      <w:r w:rsidRPr="00452E2E">
        <w:rPr>
          <w:szCs w:val="24"/>
        </w:rPr>
        <w:fldChar w:fldCharType="begin" w:fldLock="1"/>
      </w:r>
      <w:r w:rsidRPr="00452E2E">
        <w:rPr>
          <w:szCs w:val="24"/>
        </w:rPr>
        <w:instrText>ADDIN CSL_CITATION { "citationItems" : [ { "id" : "ITEM-1", "itemData" : { "author" : [ { "dropping-particle" : "", "family" : "Bullock", "given" : "Justin Bennett", "non-dropping-particle" : "", "parse-names" : false, "suffix" : "" }, { "dropping-particle" : "", "family" : "Stritch", "given" : "Justin Michael", "non-dropping-particle" : "", "parse-names" : false, "suffix" : "" }, { "dropping-particle" : "", "family" : "Rainey", "given" : "Hal G", "non-dropping-particle" : "", "parse-names" : false, "suffix" : "" } ], "container-title" : "Paper presented at 11th PMRC Conference, Madison, Wisconsin, June 20-22", "id" : "ITEM-1", "issued" : { "date-parts" : [ [ "2013" ] ] }, "title" : "Do sector differences hold across countries? An international comprison of public and private sector employees' work orientation", "type" : "article" }, "uris" : [ "http://www.mendeley.com/documents/?uuid=92e1e001-b74c-4a8c-a983-74d184206a22" ] } ], "mendeley" : { "formattedCitation" : "(Bullock et al. 2013)", "manualFormatting" : "(Bullock et al., 2013)", "plainTextFormattedCitation" : "(Bullock et al. 2013)", "previouslyFormattedCitation" : "(Bullock et al. 2013)" }, "properties" : { "noteIndex" : 0 }, "schema" : "https://github.com/citation-style-language/schema/raw/master/csl-citation.json" }</w:instrText>
      </w:r>
      <w:r w:rsidRPr="00452E2E">
        <w:rPr>
          <w:szCs w:val="24"/>
        </w:rPr>
        <w:fldChar w:fldCharType="separate"/>
      </w:r>
      <w:r w:rsidRPr="00452E2E">
        <w:rPr>
          <w:noProof/>
          <w:szCs w:val="24"/>
        </w:rPr>
        <w:t xml:space="preserve">(Bullock </w:t>
      </w:r>
      <w:r w:rsidRPr="00452E2E">
        <w:rPr>
          <w:i/>
          <w:noProof/>
          <w:szCs w:val="24"/>
        </w:rPr>
        <w:t>et al</w:t>
      </w:r>
      <w:r w:rsidRPr="00452E2E">
        <w:rPr>
          <w:noProof/>
          <w:szCs w:val="24"/>
        </w:rPr>
        <w:t>., 2013)</w:t>
      </w:r>
      <w:r w:rsidRPr="00452E2E">
        <w:rPr>
          <w:szCs w:val="24"/>
        </w:rPr>
        <w:fldChar w:fldCharType="end"/>
      </w:r>
      <w:r w:rsidRPr="00452E2E">
        <w:rPr>
          <w:szCs w:val="24"/>
        </w:rPr>
        <w:t xml:space="preserve">. </w:t>
      </w:r>
    </w:p>
    <w:p w:rsidR="008E5B86" w:rsidRPr="00452E2E" w:rsidRDefault="008E5B86" w:rsidP="008E5B86">
      <w:pPr>
        <w:spacing w:line="360" w:lineRule="auto"/>
        <w:jc w:val="both"/>
        <w:rPr>
          <w:szCs w:val="24"/>
        </w:rPr>
      </w:pPr>
      <w:r w:rsidRPr="00452E2E">
        <w:rPr>
          <w:szCs w:val="24"/>
        </w:rPr>
        <w:t xml:space="preserve">Traditionally, the public sector was associated with the activities of the government or state whilst the private sector comprised of economic activities of individuals </w:t>
      </w:r>
      <w:r w:rsidRPr="00452E2E">
        <w:rPr>
          <w:szCs w:val="24"/>
        </w:rPr>
        <w:fldChar w:fldCharType="begin" w:fldLock="1"/>
      </w:r>
      <w:r w:rsidRPr="00452E2E">
        <w:rPr>
          <w:szCs w:val="24"/>
        </w:rPr>
        <w:instrText>ADDIN CSL_CITATION { "citationItems" : [ { "id" : "ITEM-1",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"ITEM-1", "issue" : "2", "issued" : { "date-parts" : [ [ "1988" ] ] }, "page" : "182-201", "title" : "The public-private distinction in organization theory: A critique and research strategy", "type" : "article-journal", "volume" : "13" }, "uris" : [ "http://www.mendeley.com/documents/?uuid=c5c63920-dd03-4505-ab8c-01d1dd4daaae" ] }, { "id" : "ITEM-2", "itemData" : { "author" : [ { "dropping-particle" : "", "family" : "Rainey", "given" : "Hal G", "non-dropping-particle" : "", "parse-names" : false, "suffix" : "" }, { "dropping-particle" : "", "family" : "Backoff", "given" : "Robert W", "non-dropping-particle" : "", "parse-names" : false, "suffix" : "" }, { "dropping-particle" : "", "family" : "Levine", "given" : "Charles H", "non-dropping-particle" : "", "parse-names" : false, "suffix" : "" } ], "container-title" : "Public Administration Review", "id" : "ITEM-2", "issue" : "2", "issued" : { "date-parts" : [ [ "1976" ] ] }, "page" : "233-244", "title" : "Comparing public and private organizations", "type" : "article-journal", "volume" : "36" }, "uris" : [ "http://www.mendeley.com/documents/?uuid=284ad86e-0960-41df-99ae-258983f905c9" ] } ], "mendeley" : { "formattedCitation" : "(Perry &amp; Rainey 1988; Rainey et al. 1976)", "manualFormatting" : "( Rainey et al., 1976; Perry &amp; Rainey, 1988)", "plainTextFormattedCitation" : "(Perry &amp; Rainey 1988; Rainey et al. 1976)", "previouslyFormattedCitation" : "(Perry &amp; Rainey 1988; Rainey et al. 1976)" }, "properties" : { "noteIndex" : 0 }, "schema" : "https://github.com/citation-style-language/schema/raw/master/csl-citation.json" }</w:instrText>
      </w:r>
      <w:r w:rsidRPr="00452E2E">
        <w:rPr>
          <w:szCs w:val="24"/>
        </w:rPr>
        <w:fldChar w:fldCharType="separate"/>
      </w:r>
      <w:r w:rsidRPr="00452E2E">
        <w:rPr>
          <w:noProof/>
          <w:szCs w:val="24"/>
        </w:rPr>
        <w:t>(Perry &amp; Rainey, 1988)</w:t>
      </w:r>
      <w:r w:rsidRPr="00452E2E">
        <w:rPr>
          <w:szCs w:val="24"/>
        </w:rPr>
        <w:fldChar w:fldCharType="end"/>
      </w:r>
      <w:r w:rsidRPr="00452E2E">
        <w:rPr>
          <w:szCs w:val="24"/>
        </w:rPr>
        <w:t xml:space="preserve">. However, the adoption of neo-liberal policies such as privatization and commercialization in both developed and developing countries has altered what was hitherto known as public organizations </w:t>
      </w:r>
      <w:r w:rsidRPr="00452E2E">
        <w:rPr>
          <w:szCs w:val="24"/>
        </w:rPr>
        <w:fldChar w:fldCharType="begin" w:fldLock="1"/>
      </w:r>
      <w:r w:rsidRPr="00452E2E">
        <w:rPr>
          <w:szCs w:val="24"/>
        </w:rPr>
        <w:instrText>ADDIN CSL_CITATION { "citationItems" : [ { "id" : "ITEM-1", "itemData" : { "DOI" : "10.5465/amp.2013.0006", "ISSN" : "15589080", "abstract" : "Conventional wisdom holds that there is a global trend toward liberalization of markets, yet the role of the state has expanded or shifted in certain areas rather than being gen-erally pushed back. We explore common forms in which this \u201cnew statism\u201d has man-ifested itself, specifically focusing on sovereign wealth funds, the military\u2013industrial and penal complexes, public\u2013private partnerships, and private finance initiatives. In each case,we systematically reviewkey strands of the existing literature, highlighting defining features and challenges associated with each phenomenon. We outline the nature of markets in which such organizations occur, the relationship between new statist players and the polity, and the ethical and corporate social responsibility implications.We con-clude with implications for theory, management, and public policy and propose an agenda for further research.", "author" : [ { "dropping-particle" : "", "family" : "Wood", "given" : "Geoffrey", "non-dropping-particle" : "", "parse-names" : false, "suffix" : "" }, { "dropping-particle" : "", "family" : "Wright", "given" : "Mike", "non-dropping-particle" : "", "parse-names" : false, "suffix" : "" } ], "container-title" : "Academy of Management Persepctives", "id" : "ITEM-1", "issue" : "2", "issued" : { "date-parts" : [ [ "2015" ] ] }, "page" : "271-286", "title" : "Corporations and the new statism: Trends and research priorites", "type" : "article-journal", "volume" : "29" }, "uris" : [ "http://www.mendeley.com/documents/?uuid=1b12619d-6658-4544-94aa-053fcc54c885" ] } ], "mendeley" : { "formattedCitation" : "(Wood &amp; Wright 2015)", "manualFormatting" : "(Wood &amp; Wright, 2015)", "plainTextFormattedCitation" : "(Wood &amp; Wright 2015)", "previouslyFormattedCitation" : "(Wood &amp; Wright 2015)" }, "properties" : { "noteIndex" : 0 }, "schema" : "https://github.com/citation-style-language/schema/raw/master/csl-citation.json" }</w:instrText>
      </w:r>
      <w:r w:rsidRPr="00452E2E">
        <w:rPr>
          <w:szCs w:val="24"/>
        </w:rPr>
        <w:fldChar w:fldCharType="separate"/>
      </w:r>
      <w:r w:rsidRPr="00452E2E">
        <w:rPr>
          <w:noProof/>
          <w:szCs w:val="24"/>
        </w:rPr>
        <w:t>(Wood &amp; Wright, 2015)</w:t>
      </w:r>
      <w:r w:rsidRPr="00452E2E">
        <w:rPr>
          <w:szCs w:val="24"/>
        </w:rPr>
        <w:fldChar w:fldCharType="end"/>
      </w:r>
      <w:r w:rsidRPr="00452E2E">
        <w:rPr>
          <w:szCs w:val="24"/>
        </w:rPr>
        <w:t xml:space="preserve">.  In fact, Wood &amp; Wright (2015) note that although neo-liberal approaches such as privatization were ostensibly meant to relieve the public sector of some functions by transferring ownership of erstwhile public enterprises to private hands for more ‘efficient’ management, neo-liberal approaches have rather made the public sector less active in some areas and more active in others.  As a result, in extreme cases, the role of the public sector has changed from catering for the common interest of citizens to being a conduit for furthering private interests </w:t>
      </w:r>
      <w:r w:rsidRPr="00452E2E">
        <w:rPr>
          <w:szCs w:val="24"/>
        </w:rPr>
        <w:fldChar w:fldCharType="begin" w:fldLock="1"/>
      </w:r>
      <w:r w:rsidRPr="00452E2E">
        <w:rPr>
          <w:szCs w:val="24"/>
        </w:rPr>
        <w:instrText>ADDIN CSL_CITATION { "citationItems" : [ { "id" : "ITEM-1", "itemData" : { "DOI" : "10.5465/amp.2013.0006", "ISSN" : "15589080", "abstract" : "Conventional wisdom holds that there is a global trend toward liberalization of markets, yet the role of the state has expanded or shifted in certain areas rather than being gen-erally pushed back. We explore common forms in which this \u201cnew statism\u201d has man-ifested itself, specifically focusing on sovereign wealth funds, the military\u2013industrial and penal complexes, public\u2013private partnerships, and private finance initiatives. In each case,we systematically reviewkey strands of the existing literature, highlighting defining features and challenges associated with each phenomenon. We outline the nature of markets in which such organizations occur, the relationship between new statist players and the polity, and the ethical and corporate social responsibility implications.We con-clude with implications for theory, management, and public policy and propose an agenda for further research.", "author" : [ { "dropping-particle" : "", "family" : "Wood", "given" : "Geoffrey", "non-dropping-particle" : "", "parse-names" : false, "suffix" : "" }, { "dropping-particle" : "", "family" : "Wright", "given" : "Mike", "non-dropping-particle" : "", "parse-names" : false, "suffix" : "" } ], "container-title" : "Academy of Management Persepctives", "id" : "ITEM-1", "issue" : "2", "issued" : { "date-parts" : [ [ "2015" ] ] }, "page" : "271-286", "title" : "Corporations and the new statism: Trends and research priorites", "type" : "article-journal", "volume" : "29" }, "uris" : [ "http://www.mendeley.com/documents/?uuid=1b12619d-6658-4544-94aa-053fcc54c885" ] } ], "mendeley" : { "formattedCitation" : "(Wood &amp; Wright 2015)", "manualFormatting" : "(Wood &amp; Wright, 2015)", "plainTextFormattedCitation" : "(Wood &amp; Wright 2015)", "previouslyFormattedCitation" : "(Wood &amp; Wright 2015)" }, "properties" : { "noteIndex" : 0 }, "schema" : "https://github.com/citation-style-language/schema/raw/master/csl-citation.json" }</w:instrText>
      </w:r>
      <w:r w:rsidRPr="00452E2E">
        <w:rPr>
          <w:szCs w:val="24"/>
        </w:rPr>
        <w:fldChar w:fldCharType="separate"/>
      </w:r>
      <w:r w:rsidRPr="00452E2E">
        <w:rPr>
          <w:noProof/>
          <w:szCs w:val="24"/>
        </w:rPr>
        <w:t>(cf. Wood &amp; Wright, 2015)</w:t>
      </w:r>
      <w:r w:rsidRPr="00452E2E">
        <w:rPr>
          <w:szCs w:val="24"/>
        </w:rPr>
        <w:fldChar w:fldCharType="end"/>
      </w:r>
      <w:r w:rsidRPr="00452E2E">
        <w:rPr>
          <w:szCs w:val="24"/>
        </w:rPr>
        <w:t xml:space="preserve">. Such systemic changes means that there is an increasing intermingling of public and private sectors, with each sector performing functions that were traditionally performed by the other </w:t>
      </w:r>
      <w:r w:rsidRPr="00452E2E">
        <w:rPr>
          <w:szCs w:val="24"/>
        </w:rPr>
        <w:fldChar w:fldCharType="begin" w:fldLock="1"/>
      </w:r>
      <w:r w:rsidRPr="00452E2E">
        <w:rPr>
          <w:szCs w:val="24"/>
        </w:rPr>
        <w:instrText>ADDIN CSL_CITATION { "citationItems" : [ { "id" : "ITEM-1", "itemData" : { "author" : [ { "dropping-particle" : "", "family" : "Rainey", "given" : "Hal G.", "non-dropping-particle" : "", "parse-names" : false, "suffix" : "" } ], "edition" : "5th", "id" : "ITEM-1", "issued" : { "date-parts" : [ [ "2014" ] ] }, "publisher" : "Jossey-Bass", "publisher-place" : "San Francisco CA", "title" : "Understanding and managing public organizations", "type" : "book" }, "uris" : [ "http://www.mendeley.com/documents/?uuid=e4509630-4d2f-4f7b-acc0-ef9c899faaab" ] }, { "id" : "ITEM-2",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"ITEM-2", "issued" : { "date-parts" : [ [ "1998" ] ] }, "page" : "126-145", "title" : "Comparing public and private organizations: An exploratory analysis of three frameworks", "type" : "article-journal", "volume" : "28" }, "uris" : [ "http://www.mendeley.com/documents/?uuid=39b25d00-6ae7-4473-9102-4102e645dc05" ] } ], "mendeley" : { "formattedCitation" : "(Rainey 2014; Scott &amp; Falcone 1998)", "manualFormatting" : "(Scott &amp; Falcone, 1998; Rainey, 2014; Wood &amp; Wright, 2015)", "plainTextFormattedCitation" : "(Rainey 2014; Scott &amp; Falcone 1998)", "previouslyFormattedCitation" : "(Rainey 2014; Scott &amp; Falcone 1998)" }, "properties" : { "noteIndex" : 0 }, "schema" : "https://github.com/citation-style-language/schema/raw/master/csl-citation.json" }</w:instrText>
      </w:r>
      <w:r w:rsidRPr="00452E2E">
        <w:rPr>
          <w:szCs w:val="24"/>
        </w:rPr>
        <w:fldChar w:fldCharType="separate"/>
      </w:r>
      <w:r w:rsidRPr="00452E2E">
        <w:rPr>
          <w:noProof/>
          <w:szCs w:val="24"/>
        </w:rPr>
        <w:t>(Scott &amp; Falcone, 1998; Rainey, 2014; Wood &amp; Wright, 2015)</w:t>
      </w:r>
      <w:r w:rsidRPr="00452E2E">
        <w:rPr>
          <w:szCs w:val="24"/>
        </w:rPr>
        <w:fldChar w:fldCharType="end"/>
      </w:r>
      <w:r w:rsidRPr="00452E2E">
        <w:rPr>
          <w:szCs w:val="24"/>
        </w:rPr>
        <w:t xml:space="preserve">. This has further blurred the distinction between public and private sectors since some organizations operate in spheres that are neither public nor private </w:t>
      </w:r>
      <w:r w:rsidRPr="00452E2E">
        <w:rPr>
          <w:szCs w:val="24"/>
        </w:rPr>
        <w:fldChar w:fldCharType="begin" w:fldLock="1"/>
      </w:r>
      <w:r w:rsidRPr="00452E2E">
        <w:rPr>
          <w:szCs w:val="24"/>
        </w:rPr>
        <w:instrText>ADDIN CSL_CITATION { "citationItems" : [ { "id" : "ITEM-1", "itemData" : { "author" : [ { "dropping-particle" : "", "family" : "Baarspul", "given" : "H.C.", "non-dropping-particle" : "", "parse-names" : false, "suffix" : "" }, { "dropping-particle" : "", "family" : "Wilderom", "given" : "C.", "non-dropping-particle" : "", "parse-names" : false, "suffix" : "" } ], "container-title" : "Public Management Review", "id" : "ITEM-1", "issue" : "7", "issued" : { "date-parts" : [ [ "2011" ] ] }, "page" : "967-1002", "title" : "Do employees behave differently in public-vs-private organizations? A state of the art review", "type" : "article-journal", "volume" : "13" }, "uris" : [ "http://www.mendeley.com/documents/?uuid=a21fa938-9db6-4d1d-8acb-597c691c916a" ] }, { "id" : "ITEM-2", "itemData" : { "author" : [ { "dropping-particle" : "", "family" : "Rainey", "given" : "Hal G.", "non-dropping-particle" : "", "parse-names" : false, "suffix" : "" } ], "edition" : "5th", "id" : "ITEM-2", "issued" : { "date-parts" : [ [ "2014" ] ] }, "publisher" : "Jossey-Bass", "publisher-place" : "San Francisco CA", "title" : "Understanding and managing public organizations", "type" : "book" }, "uris" : [ "http://www.mendeley.com/documents/?uuid=e4509630-4d2f-4f7b-acc0-ef9c899faaab" ] }, { "id" : "ITEM-3", "itemData" : { "DOI" : "10.5465/amp.2013.0006", "ISSN" : "15589080", "abstract" : "Conventional wisdom holds that there is a global trend toward liberalization of markets, yet the role of the state has expanded or shifted in certain areas rather than being gen-erally pushed back. We explore common forms in which this \u201cnew statism\u201d has man-ifested itself, specifically focusing on sovereign wealth funds, the military\u2013industrial and penal complexes, public\u2013private partnerships, and private finance initiatives. In each case,we systematically reviewkey strands of the existing literature, highlighting defining features and challenges associated with each phenomenon. We outline the nature of markets in which such organizations occur, the relationship between new statist players and the polity, and the ethical and corporate social responsibility implications.We con-clude with implications for theory, management, and public policy and propose an agenda for further research.", "author" : [ { "dropping-particle" : "", "family" : "Wood", "given" : "Geoffrey", "non-dropping-particle" : "", "parse-names" : false, "suffix" : "" }, { "dropping-particle" : "", "family" : "Wright", "given" : "Mike", "non-dropping-particle" : "", "parse-names" : false, "suffix" : "" } ], "container-title" : "Academy of Management Persepctives", "id" : "ITEM-3", "issue" : "2", "issued" : { "date-parts" : [ [ "2015" ] ] }, "page" : "271-286", "title" : "Corporations and the new statism: Trends and research priorites", "type" : "article-journal", "volume" : "29" }, "uris" : [ "http://www.mendeley.com/documents/?uuid=1b12619d-6658-4544-94aa-053fcc54c885" ] } ], "mendeley" : { "formattedCitation" : "(Baarspul &amp; Wilderom 2011; Rainey 2014; Wood &amp; Wright 2015)", "manualFormatting" : "(Baarspul &amp; Wilderom, 2011; Rainey, 2014; cf. Wood &amp; Wright, 2015)", "plainTextFormattedCitation" : "(Baarspul &amp; Wilderom 2011; Rainey 2014; Wood &amp; Wright 2015)", "previouslyFormattedCitation" : "(Baarspul &amp; Wilderom 2011; Rainey 2014; Wood &amp; Wright 2015)" }, "properties" : { "noteIndex" : 0 }, "schema" : "https://github.com/citation-style-language/schema/raw/master/csl-citation.json" }</w:instrText>
      </w:r>
      <w:r w:rsidRPr="00452E2E">
        <w:rPr>
          <w:szCs w:val="24"/>
        </w:rPr>
        <w:fldChar w:fldCharType="separate"/>
      </w:r>
      <w:r w:rsidRPr="00452E2E">
        <w:rPr>
          <w:noProof/>
          <w:szCs w:val="24"/>
        </w:rPr>
        <w:t>(Baarspul &amp; Wilderom, 2011; Rainey, 2014; cf. Wood &amp; Wright, 2015)</w:t>
      </w:r>
      <w:r w:rsidRPr="00452E2E">
        <w:rPr>
          <w:szCs w:val="24"/>
        </w:rPr>
        <w:fldChar w:fldCharType="end"/>
      </w:r>
      <w:r w:rsidRPr="00452E2E">
        <w:rPr>
          <w:szCs w:val="24"/>
        </w:rPr>
        <w:t xml:space="preserve">. </w:t>
      </w:r>
    </w:p>
    <w:p w:rsidR="008E5B86" w:rsidRPr="00452E2E" w:rsidRDefault="008E5B86" w:rsidP="008E5B86">
      <w:pPr>
        <w:spacing w:line="360" w:lineRule="auto"/>
        <w:jc w:val="both"/>
        <w:rPr>
          <w:szCs w:val="24"/>
        </w:rPr>
      </w:pPr>
      <w:r w:rsidRPr="00452E2E">
        <w:rPr>
          <w:szCs w:val="24"/>
        </w:rPr>
        <w:t xml:space="preserve">Therefore, in reality, it is challenging to clearly distinguish between public and private sector organizations </w:t>
      </w:r>
      <w:r w:rsidRPr="00452E2E">
        <w:rPr>
          <w:szCs w:val="24"/>
        </w:rPr>
        <w:fldChar w:fldCharType="begin" w:fldLock="1"/>
      </w:r>
      <w:r w:rsidRPr="00452E2E">
        <w:rPr>
          <w:szCs w:val="24"/>
        </w:rPr>
        <w:instrText>ADDIN CSL_CITATION { "citationItems" : [ { "id" : "ITEM-1", "itemData" : { "author" : [ { "dropping-particle" : "", "family" : "Hvidman", "given" : "U.", "non-dropping-particle" : "", "parse-names" : false, "suffix" : "" }, { "dropping-particle" : "", "family" : "Andersen", "given" : "S.C.", "non-dropping-particle" : "", "parse-names" : false, "suffix" : "" } ], "container-title" : "Journal of Public Administration Research and Theory", "id" : "ITEM-1", "issue" : "1", "issued" : { "date-parts" : [ [ "2014" ] ] }, "page" : "35-58", "title" : "Impact of performance management in public and private organizations", "type" : "article-journal", "volume" : "24" }, "uris" : [ "http://www.mendeley.com/documents/?uuid=2a9b7fa0-a0e4-4449-96d6-8524e1ee55ca" ] } ], "mendeley" : { "formattedCitation" : "(Hvidman &amp; Andersen 2014)", "manualFormatting" : "(Hvidman &amp; Andersen, 2014)", "plainTextFormattedCitation" : "(Hvidman &amp; Andersen 2014)", "previouslyFormattedCitation" : "(Hvidman &amp; Andersen 2014)" }, "properties" : { "noteIndex" : 0 }, "schema" : "https://github.com/citation-style-language/schema/raw/master/csl-citation.json" }</w:instrText>
      </w:r>
      <w:r w:rsidRPr="00452E2E">
        <w:rPr>
          <w:szCs w:val="24"/>
        </w:rPr>
        <w:fldChar w:fldCharType="separate"/>
      </w:r>
      <w:r w:rsidRPr="00452E2E">
        <w:rPr>
          <w:noProof/>
          <w:szCs w:val="24"/>
        </w:rPr>
        <w:t>(Hvidman &amp; Andersen, 2014)</w:t>
      </w:r>
      <w:r w:rsidRPr="00452E2E">
        <w:rPr>
          <w:szCs w:val="24"/>
        </w:rPr>
        <w:fldChar w:fldCharType="end"/>
      </w:r>
      <w:r w:rsidRPr="00452E2E">
        <w:rPr>
          <w:szCs w:val="24"/>
        </w:rPr>
        <w:t xml:space="preserve">. Despite these </w:t>
      </w:r>
      <w:r w:rsidRPr="00452E2E">
        <w:rPr>
          <w:szCs w:val="24"/>
        </w:rPr>
        <w:lastRenderedPageBreak/>
        <w:t xml:space="preserve">complexities, academics have historically devised ways of defining public and private sector organizations for research purposes </w:t>
      </w:r>
      <w:r w:rsidRPr="00452E2E">
        <w:rPr>
          <w:szCs w:val="24"/>
        </w:rPr>
        <w:fldChar w:fldCharType="begin" w:fldLock="1"/>
      </w:r>
      <w:r w:rsidRPr="00452E2E">
        <w:rPr>
          <w:szCs w:val="24"/>
        </w:rPr>
        <w:instrText>ADDIN CSL_CITATION { "citationItems" : [ { "id" : "ITEM-1", "itemData" : { "author" : [ { "dropping-particle" : "", "family" : "Bozeman", "given" : "Barry", "non-dropping-particle" : "", "parse-names" : false, "suffix" : "" } ], "id" : "ITEM-1", "issued" : { "date-parts" : [ [ "1987" ] ] }, "publisher" : "Jossey-Bass", "publisher-place" : "San Francisco CA", "title" : "All organizations are public: Bridging public and private organizational theories", "type" : "book" }, "uris" : [ "http://www.mendeley.com/documents/?uuid=04c8e509-159b-4ee2-bbec-677e9d6e3592" ] }, { "id" : "ITEM-2",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"ITEM-2", "issue" : "2", "issued" : { "date-parts" : [ [ "1988" ] ] }, "page" : "182-201", "title" : "The public-private distinction in organization theory: A critique and research strategy", "type" : "article-journal", "volume" : "13" }, "uris" : [ "http://www.mendeley.com/documents/?uuid=c5c63920-dd03-4505-ab8c-01d1dd4daaae" ] }, { "id" : "ITEM-3", "itemData" : { "DOI" : "Article", "ISBN" : "10531858", "ISSN" : "10531858", "abstract" : "Research comparing public and private organizations and examining the publicness of organizations represents a substantial and growing body of empirical evidence, relevant to many international issues in political economy and organization theory such as the privatization of public services. This article assesses several major streams in this research over the last two decades, which in some ways refute widely held a priori assumptions about similarities and differences between public and private organizations but which in some ways support such assumptions. The review covers research on goal complexity and ambiguity, organizational structure, personnel and purchasing processes, and work-related attitudes and values. The research results converge in important ways, but they also present anomalies. For example, in spite of virtually universal agreement among scholars that public organizations have more goal complexity and ambiguity, public managers do not differ from business managers in response to survey questions about such matters. Public managers do not differ from business managers on perceptions about organizational formalization, in spite of a chorus of assertions that government agencies have more red tape and rules than private firms have. Public managers do, however, show very sharp differences in response to questions about constraints under personnel and purchasing rules. The article concludes with an assessment of the credibility of these streams of research through consideration of alternative plausible hypotheses.", "author" : [ { "dropping-particle" : "", "family" : "Rainey", "given" : "Hal G", "non-dropping-particle" : "", "parse-names" : false, "suffix" : "" }, { "dropping-particle" : "", "family" : "Bozeman", "given" : "Barry", "non-dropping-particle" : "", "parse-names" : false, "suffix" : "" } ], "container-title" : "Journal of Public Administration Research and Theory", "id" : "ITEM-3", "issue" : "2", "issued" : { "date-parts" : [ [ "2000" ] ] }, "page" : "447-470", "title" : "Comparing public and private organizations: Empirical research and the power of the a priori", "type" : "article-journal", "volume" : "10" }, "uris" : [ "http://www.mendeley.com/documents/?uuid=cc324bf9-1649-4f55-9fd2-2ea856c15a76" ] }, { "id" : "ITEM-4", "itemData" : { "author" : [ { "dropping-particle" : "", "family" : "Rainey", "given" : "Hal G.", "non-dropping-particle" : "", "parse-names" : false, "suffix" : "" } ], "edition" : "5th", "id" : "ITEM-4", "issued" : { "date-parts" : [ [ "2014" ] ] }, "publisher" : "Jossey-Bass", "publisher-place" : "San Francisco CA", "title" : "Understanding and managing public organizations", "type" : "book" }, "uris" : [ "http://www.mendeley.com/documents/?uuid=e4509630-4d2f-4f7b-acc0-ef9c899faaab" ] } ], "mendeley" : { "formattedCitation" : "(Bozeman 1987; Perry &amp; Rainey 1988; Rainey &amp; Bozeman 2000; Rainey 2014)", "manualFormatting" : "(Bozeman, 1987; Perry &amp; Rainey, 1988; Rainey &amp; Bozeman, 2000; Hvidman &amp; Andersen, 2014; Rainey, 2014)", "plainTextFormattedCitation" : "(Bozeman 1987; Perry &amp; Rainey 1988; Rainey &amp; Bozeman 2000; Rainey 2014)", "previouslyFormattedCitation" : "(Bozeman 1987; Perry &amp; Rainey 1988; Rainey &amp; Bozeman 2000; Rainey 2014)" }, "properties" : { "noteIndex" : 0 }, "schema" : "https://github.com/citation-style-language/schema/raw/master/csl-citation.json" }</w:instrText>
      </w:r>
      <w:r w:rsidRPr="00452E2E">
        <w:rPr>
          <w:szCs w:val="24"/>
        </w:rPr>
        <w:fldChar w:fldCharType="separate"/>
      </w:r>
      <w:r w:rsidRPr="00452E2E">
        <w:rPr>
          <w:noProof/>
          <w:szCs w:val="24"/>
        </w:rPr>
        <w:t>(Bozeman, 1987; Perry &amp; Rainey, 1988; Rainey &amp; Bozeman, 2000; Hvidman &amp; Andersen, 2014; Rainey, 2014)</w:t>
      </w:r>
      <w:r w:rsidRPr="00452E2E">
        <w:rPr>
          <w:szCs w:val="24"/>
        </w:rPr>
        <w:fldChar w:fldCharType="end"/>
      </w:r>
      <w:r w:rsidRPr="00452E2E">
        <w:rPr>
          <w:szCs w:val="24"/>
        </w:rPr>
        <w:t xml:space="preserve">. Three frameworks have currently emerged in the literature for delineating public and private sector organizations: the generic, core, and dimensional approaches </w:t>
      </w:r>
      <w:r w:rsidRPr="00452E2E">
        <w:rPr>
          <w:szCs w:val="24"/>
        </w:rPr>
        <w:fldChar w:fldCharType="begin" w:fldLock="1"/>
      </w:r>
      <w:r w:rsidRPr="00452E2E">
        <w:rPr>
          <w:szCs w:val="24"/>
        </w:rPr>
        <w:instrText>ADDIN CSL_CITATION { "citationItems" : [ { "id" : "ITEM-1",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"ITEM-1", "issued" : { "date-parts" : [ [ "1998" ] ] }, "page" : "126-145", "title" : "Comparing public and private organizations: An exploratory analysis of three frameworks", "type" : "article-journal", "volume" : "28" }, "uris" : [ "http://www.mendeley.com/documents/?uuid=39b25d00-6ae7-4473-9102-4102e645dc05" ] }, { "id" : "ITEM-2",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"ITEM-2", "issued" : { "date-parts" : [ [ "2013" ] ] }, "title" : "In search of the public: an analysis of the derivation and application of publicness theories", "type" : "article" }, "uris" : [ "http://www.mendeley.com/documents/?uuid=a0872ca4-d25b-4c12-a49c-86741deb6b6b" ] } ], "mendeley" : { "formattedCitation" : "(Scott &amp; Falcone 1998; Williams &amp; Powell 2013)", "manualFormatting" : "(Scott &amp; Falcone, 1998; Williams &amp; Powell, 2013)", "plainTextFormattedCitation" : "(Scott &amp; Falcone 1998; Williams &amp; Powell 2013)", "previouslyFormattedCitation" : "(Scott &amp; Falcone 1998; Williams &amp; Powell 2013)" }, "properties" : { "noteIndex" : 0 }, "schema" : "https://github.com/citation-style-language/schema/raw/master/csl-citation.json" }</w:instrText>
      </w:r>
      <w:r w:rsidRPr="00452E2E">
        <w:rPr>
          <w:szCs w:val="24"/>
        </w:rPr>
        <w:fldChar w:fldCharType="separate"/>
      </w:r>
      <w:r w:rsidRPr="00452E2E">
        <w:rPr>
          <w:noProof/>
          <w:szCs w:val="24"/>
        </w:rPr>
        <w:t>(Scott &amp; Falcone, 1998; Williams &amp; Powell, 2013)</w:t>
      </w:r>
      <w:r w:rsidRPr="00452E2E">
        <w:rPr>
          <w:szCs w:val="24"/>
        </w:rPr>
        <w:fldChar w:fldCharType="end"/>
      </w:r>
      <w:r w:rsidRPr="00452E2E">
        <w:rPr>
          <w:szCs w:val="24"/>
        </w:rPr>
        <w:t>. These frameworks are discussed below.</w:t>
      </w:r>
    </w:p>
    <w:p w:rsidR="008E5B86" w:rsidRPr="00452E2E" w:rsidRDefault="00580451" w:rsidP="008E5B86">
      <w:pPr>
        <w:pStyle w:val="Heading4"/>
      </w:pPr>
      <w:bookmarkStart w:id="18" w:name="_Toc473808096"/>
      <w:r w:rsidRPr="00452E2E">
        <w:t>1.3</w:t>
      </w:r>
      <w:r w:rsidR="008E5B86" w:rsidRPr="00452E2E">
        <w:t>.1 Generic Approach</w:t>
      </w:r>
      <w:bookmarkEnd w:id="18"/>
    </w:p>
    <w:p w:rsidR="008E5B86" w:rsidRPr="00452E2E" w:rsidRDefault="008E5B86" w:rsidP="008E5B86">
      <w:pPr>
        <w:spacing w:line="360" w:lineRule="auto"/>
        <w:jc w:val="both"/>
        <w:rPr>
          <w:szCs w:val="24"/>
        </w:rPr>
      </w:pPr>
      <w:r w:rsidRPr="00452E2E">
        <w:rPr>
          <w:szCs w:val="24"/>
        </w:rPr>
        <w:t xml:space="preserve">Proponents of the generic approach argue against the classification of organizations on the basis of their formal, legal status </w:t>
      </w:r>
      <w:r w:rsidRPr="00452E2E">
        <w:rPr>
          <w:szCs w:val="24"/>
        </w:rPr>
        <w:fldChar w:fldCharType="begin" w:fldLock="1"/>
      </w:r>
      <w:r w:rsidRPr="00452E2E">
        <w:rPr>
          <w:szCs w:val="24"/>
        </w:rPr>
        <w:instrText>ADDIN CSL_CITATION { "citationItems" : [ { "id" : "ITEM-1", "itemData" : { "author" : [ { "dropping-particle" : "", "family" : "Murray", "given" : "Michael A", "non-dropping-particle" : "", "parse-names" : false, "suffix" : "" } ], "container-title" : "Public Administration Review", "id" : "ITEM-1", "issue" : "4", "issued" : { "date-parts" : [ [ "1975" ] ] }, "page" : "364-371", "title" : "Comparing public and private management :An exploratory essay", "type" : "article-journal", "volume" : "35" }, "uris" : [ "http://www.mendeley.com/documents/?uuid=dbefd10b-d26e-4408-ad6f-abc073ad9ef2" ] }, { "id" : "ITEM-2",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"ITEM-2", "issued" : { "date-parts" : [ [ "1998" ] ] }, "page" : "126-145", "title" : "Comparing public and private organizations: An exploratory analysis of three frameworks", "type" : "article-journal", "volume" : "28" }, "uris" : [ "http://www.mendeley.com/documents/?uuid=39b25d00-6ae7-4473-9102-4102e645dc05" ] }, { "id" : "ITEM-3", "itemData" : { "ISSN" : "10531858", "abstract" : "Simon's Donald C.  Stone Lecture is presented.  A proper balance between the private and public foci of power and an adequate degree of independence between them must be a major consideration in the design of social institutions.", "author" : [ { "dropping-particle" : "", "family" : "Simon", "given" : "Herbert a", "non-dropping-particle" : "", "parse-names" : false, "suffix" : "" } ], "container-title" : "Journal of Public Administration Research and Theory", "id" : "ITEM-3", "issue" : "1", "issued" : { "date-parts" : [ [ "1998" ] ] }, "page" : "1-11", "title" : "Why public administration?", "type" : "article-journal", "volume" : "8" }, "uris" : [ "http://www.mendeley.com/documents/?uuid=481ca58f-70c7-41bf-bffa-9dab1200a365" ] }, { "id" : "ITEM-4",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"ITEM-4", "issued" : { "date-parts" : [ [ "2013" ] ] }, "title" : "In search of the public: an analysis of the derivation and application of publicness theories", "type" : "article" }, "uris" : [ "http://www.mendeley.com/documents/?uuid=a0872ca4-d25b-4c12-a49c-86741deb6b6b" ] } ], "mendeley" : { "formattedCitation" : "(Murray 1975; Scott &amp; Falcone 1998; Simon 1998; Williams &amp; Powell 2013)", "manualFormatting" : "(Murray, 1975; Scott &amp; Falcone, 1998; Simon, 1998; Williams &amp; Powell, 2013)", "plainTextFormattedCitation" : "(Murray 1975; Scott &amp; Falcone 1998; Simon 1998; Williams &amp; Powell 2013)", "previouslyFormattedCitation" : "(Murray 1975; Scott &amp; Falcone 1998; Simon 1998; Williams &amp; Powell 2013)" }, "properties" : { "noteIndex" : 0 }, "schema" : "https://github.com/citation-style-language/schema/raw/master/csl-citation.json" }</w:instrText>
      </w:r>
      <w:r w:rsidRPr="00452E2E">
        <w:rPr>
          <w:szCs w:val="24"/>
        </w:rPr>
        <w:fldChar w:fldCharType="separate"/>
      </w:r>
      <w:r w:rsidRPr="00452E2E">
        <w:rPr>
          <w:noProof/>
          <w:szCs w:val="24"/>
        </w:rPr>
        <w:t>(Murray, 1975; Scott &amp; Falcone, 1998; Simon, 1998; Williams &amp; Powell, 2013)</w:t>
      </w:r>
      <w:r w:rsidRPr="00452E2E">
        <w:rPr>
          <w:szCs w:val="24"/>
        </w:rPr>
        <w:fldChar w:fldCharType="end"/>
      </w:r>
      <w:r w:rsidRPr="00452E2E">
        <w:rPr>
          <w:szCs w:val="24"/>
        </w:rPr>
        <w:t xml:space="preserve">. They suggest that irrespective of whether an organization is a public or private one, the functions and techniques of management such as defining objectives, planning, directing, organizing, motivating employees and control, among others are the same </w:t>
      </w:r>
      <w:r w:rsidRPr="00452E2E">
        <w:rPr>
          <w:szCs w:val="24"/>
        </w:rPr>
        <w:fldChar w:fldCharType="begin" w:fldLock="1"/>
      </w:r>
      <w:r w:rsidRPr="00452E2E">
        <w:rPr>
          <w:szCs w:val="24"/>
        </w:rPr>
        <w:instrText>ADDIN CSL_CITATION { "citationItems" : [ { "id" : "ITEM-1", "itemData" : { "author" : [ { "dropping-particle" : "", "family" : "Murray", "given" : "Michael A", "non-dropping-particle" : "", "parse-names" : false, "suffix" : "" } ], "container-title" : "Public Administration Review", "id" : "ITEM-1", "issue" : "4", "issued" : { "date-parts" : [ [ "1975" ] ] }, "page" : "364-371", "title" : "Comparing public and private management :An exploratory essay", "type" : "article-journal", "volume" : "35" }, "uris" : [ "http://www.mendeley.com/documents/?uuid=dbefd10b-d26e-4408-ad6f-abc073ad9ef2" ] }, { "id" : "ITEM-2", "itemData" : { "ISSN" : "10531858", "abstract" : "Simon's Donald C.  Stone Lecture is presented.  A proper balance between the private and public foci of power and an adequate degree of independence between them must be a major consideration in the design of social institutions.", "author" : [ { "dropping-particle" : "", "family" : "Simon", "given" : "Herbert a", "non-dropping-particle" : "", "parse-names" : false, "suffix" : "" } ], "container-title" : "Journal of Public Administration Research and Theory", "id" : "ITEM-2", "issue" : "1", "issued" : { "date-parts" : [ [ "1998" ] ] }, "page" : "1-11", "title" : "Why public administration?", "type" : "article-journal", "volume" : "8" }, "uris" : [ "http://www.mendeley.com/documents/?uuid=481ca58f-70c7-41bf-bffa-9dab1200a365" ] } ], "mendeley" : { "formattedCitation" : "(Murray 1975; Simon 1998)", "manualFormatting" : "(Murray, 1975; Simon, 1998)", "plainTextFormattedCitation" : "(Murray 1975; Simon 1998)", "previouslyFormattedCitation" : "(Murray 1975; Simon 1998)" }, "properties" : { "noteIndex" : 0 }, "schema" : "https://github.com/citation-style-language/schema/raw/master/csl-citation.json" }</w:instrText>
      </w:r>
      <w:r w:rsidRPr="00452E2E">
        <w:rPr>
          <w:szCs w:val="24"/>
        </w:rPr>
        <w:fldChar w:fldCharType="separate"/>
      </w:r>
      <w:r w:rsidRPr="00452E2E">
        <w:rPr>
          <w:noProof/>
          <w:szCs w:val="24"/>
        </w:rPr>
        <w:t>(Murray, 1975; Simon, 1998)</w:t>
      </w:r>
      <w:r w:rsidRPr="00452E2E">
        <w:rPr>
          <w:szCs w:val="24"/>
        </w:rPr>
        <w:fldChar w:fldCharType="end"/>
      </w:r>
      <w:r w:rsidRPr="00452E2E">
        <w:rPr>
          <w:szCs w:val="24"/>
        </w:rPr>
        <w:t xml:space="preserve">. Proponents of this approach also argue that whilst private organizations’ decision making is driven by economic efficiency and profit making, public organizations’ decision making is guided by equity </w:t>
      </w:r>
      <w:r w:rsidRPr="00452E2E">
        <w:rPr>
          <w:szCs w:val="24"/>
        </w:rPr>
        <w:fldChar w:fldCharType="begin" w:fldLock="1"/>
      </w:r>
      <w:r w:rsidRPr="00452E2E">
        <w:rPr>
          <w:szCs w:val="24"/>
        </w:rPr>
        <w:instrText>ADDIN CSL_CITATION { "citationItems" : [ { "id" : "ITEM-1", "itemData" : { "author" : [ { "dropping-particle" : "", "family" : "Murray", "given" : "Michael A", "non-dropping-particle" : "", "parse-names" : false, "suffix" : "" } ], "container-title" : "Public Administration Review", "id" : "ITEM-1", "issue" : "4", "issued" : { "date-parts" : [ [ "1975" ] ] }, "page" : "364-371", "title" : "Comparing public and private management :An exploratory essay", "type" : "article-journal", "volume" : "35" }, "uris" : [ "http://www.mendeley.com/documents/?uuid=dbefd10b-d26e-4408-ad6f-abc073ad9ef2" ] }, { "id" : "ITEM-2", "itemData" : { "DOI" : "10.1257/jep.5.2.25", "ISBN" : "08953309", "ISSN" : "0895-3309", "PMID" : "9703240436", "abstract" : "Theory of organizations: argues that the boundary between organisations and markets is very vague and that the equilibrium can tip very easily. organisations are created by the need for coordination combined with motivational mechanisms, which enhance productivity and efficiency through the division of labor and specialization. simon adds concepts like authority, identification and coordination to the theory of new institutional economics", "author" : [ { "dropping-particle" : "", "family" : "Simon", "given" : "Herbert a", "non-dropping-particle" : "", "parse-names" : false, "suffix" : "" } ], "container-title" : "Journal of Public Administration Research and Theory", "id" : "ITEM-2", "issue" : "3", "issued" : { "date-parts" : [ [ "1995" ] ] }, "page" : "273-294", "title" : "Organizations and Markets", "type" : "article-journal", "volume" : "5" }, "uris" : [ "http://www.mendeley.com/documents/?uuid=ee6d819e-9a59-488a-9808-a6daac471ecf" ] }, { "id" : "ITEM-3",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"ITEM-3", "issued" : { "date-parts" : [ [ "1998" ] ] }, "page" : "126-145", "title" : "Comparing public and private organizations: An exploratory analysis of three frameworks", "type" : "article-journal", "volume" : "28" }, "uris" : [ "http://www.mendeley.com/documents/?uuid=39b25d00-6ae7-4473-9102-4102e645dc05" ] } ], "mendeley" : { "formattedCitation" : "(Murray 1975; Simon 1995; Scott &amp; Falcone 1998)", "manualFormatting" : "(Murray, 1975; Simon, 1995; Scott &amp; Falcone, 1998)", "plainTextFormattedCitation" : "(Murray 1975; Simon 1995; Scott &amp; Falcone 1998)", "previouslyFormattedCitation" : "(Murray 1975; Simon 1995; Scott &amp; Falcone 1998)" }, "properties" : { "noteIndex" : 0 }, "schema" : "https://github.com/citation-style-language/schema/raw/master/csl-citation.json" }</w:instrText>
      </w:r>
      <w:r w:rsidRPr="00452E2E">
        <w:rPr>
          <w:szCs w:val="24"/>
        </w:rPr>
        <w:fldChar w:fldCharType="separate"/>
      </w:r>
      <w:r w:rsidRPr="00452E2E">
        <w:rPr>
          <w:noProof/>
          <w:szCs w:val="24"/>
        </w:rPr>
        <w:t>(Murray, 1975; Simon, 1995; Scott &amp; Falcone, 1998)</w:t>
      </w:r>
      <w:r w:rsidRPr="00452E2E">
        <w:rPr>
          <w:szCs w:val="24"/>
        </w:rPr>
        <w:fldChar w:fldCharType="end"/>
      </w:r>
      <w:r w:rsidRPr="00452E2E">
        <w:rPr>
          <w:szCs w:val="24"/>
        </w:rPr>
        <w:t>. H</w:t>
      </w:r>
      <w:r w:rsidR="00AF3C00" w:rsidRPr="00452E2E">
        <w:rPr>
          <w:szCs w:val="24"/>
        </w:rPr>
        <w:t>owever, they argue further that</w:t>
      </w:r>
      <w:r w:rsidRPr="00452E2E">
        <w:rPr>
          <w:szCs w:val="24"/>
        </w:rPr>
        <w:t xml:space="preserve"> both organizational forms subject their decisions to cost-benefit analysis of some sort and to diverse competing inputs </w:t>
      </w:r>
      <w:r w:rsidRPr="00452E2E">
        <w:rPr>
          <w:szCs w:val="24"/>
        </w:rPr>
        <w:fldChar w:fldCharType="begin" w:fldLock="1"/>
      </w:r>
      <w:r w:rsidRPr="00452E2E">
        <w:rPr>
          <w:szCs w:val="24"/>
        </w:rPr>
        <w:instrText>ADDIN CSL_CITATION { "citationItems" : [ { "id" : "ITEM-1",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"ITEM-1", "issued" : { "date-parts" : [ [ "1998" ] ] }, "page" : "126-145", "title" : "Comparing public and private organizations: An exploratory analysis of three frameworks", "type" : "article-journal", "volume" : "28" }, "uris" : [ "http://www.mendeley.com/documents/?uuid=39b25d00-6ae7-4473-9102-4102e645dc05" ] } ], "mendeley" : { "formattedCitation" : "(Scott &amp; Falcone 1998)", "manualFormatting" : "(Scott &amp; Falcone, 1998)", "plainTextFormattedCitation" : "(Scott &amp; Falcone 1998)", "previouslyFormattedCitation" : "(Scott &amp; Falcone 1998)" }, "properties" : { "noteIndex" : 0 }, "schema" : "https://github.com/citation-style-language/schema/raw/master/csl-citation.json" }</w:instrText>
      </w:r>
      <w:r w:rsidRPr="00452E2E">
        <w:rPr>
          <w:szCs w:val="24"/>
        </w:rPr>
        <w:fldChar w:fldCharType="separate"/>
      </w:r>
      <w:r w:rsidRPr="00452E2E">
        <w:rPr>
          <w:noProof/>
          <w:szCs w:val="24"/>
        </w:rPr>
        <w:t>(Scott &amp; Falcone, 1998)</w:t>
      </w:r>
      <w:r w:rsidRPr="00452E2E">
        <w:rPr>
          <w:szCs w:val="24"/>
        </w:rPr>
        <w:fldChar w:fldCharType="end"/>
      </w:r>
      <w:r w:rsidRPr="00452E2E">
        <w:rPr>
          <w:szCs w:val="24"/>
        </w:rPr>
        <w:t xml:space="preserve">. Based on this, they assert that public and private organizations achieve different ends but with the same means </w:t>
      </w:r>
      <w:r w:rsidRPr="00452E2E">
        <w:rPr>
          <w:szCs w:val="24"/>
        </w:rPr>
        <w:fldChar w:fldCharType="begin" w:fldLock="1"/>
      </w:r>
      <w:r w:rsidRPr="00452E2E">
        <w:rPr>
          <w:szCs w:val="24"/>
        </w:rPr>
        <w:instrText>ADDIN CSL_CITATION { "citationItems" : [ { "id" : "ITEM-1",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"ITEM-1", "issued" : { "date-parts" : [ [ "1998" ] ] }, "page" : "126-145", "title" : "Comparing public and private organizations: An exploratory analysis of three frameworks", "type" : "article-journal", "volume" : "28" }, "uris" : [ "http://www.mendeley.com/documents/?uuid=39b25d00-6ae7-4473-9102-4102e645dc05" ] }, { "id" : "ITEM-2",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"ITEM-2", "issued" : { "date-parts" : [ [ "2013" ] ] }, "title" : "In search of the public: an analysis of the derivation and application of publicness theories", "type" : "article" }, "uris" : [ "http://www.mendeley.com/documents/?uuid=a0872ca4-d25b-4c12-a49c-86741deb6b6b" ] } ], "mendeley" : { "formattedCitation" : "(Scott &amp; Falcone 1998; Williams &amp; Powell 2013)", "manualFormatting" : "(Scott &amp; Falcone, 1998; Williams &amp; Powell, 2013)", "plainTextFormattedCitation" : "(Scott &amp; Falcone 1998; Williams &amp; Powell 2013)", "previouslyFormattedCitation" : "(Scott &amp; Falcone 1998; Williams &amp; Powell 2013)" }, "properties" : { "noteIndex" : 0 }, "schema" : "https://github.com/citation-style-language/schema/raw/master/csl-citation.json" }</w:instrText>
      </w:r>
      <w:r w:rsidRPr="00452E2E">
        <w:rPr>
          <w:szCs w:val="24"/>
        </w:rPr>
        <w:fldChar w:fldCharType="separate"/>
      </w:r>
      <w:r w:rsidRPr="00452E2E">
        <w:rPr>
          <w:noProof/>
          <w:szCs w:val="24"/>
        </w:rPr>
        <w:t>(Scott &amp; Falcone, 1998; Williams &amp; Powell, 2013)</w:t>
      </w:r>
      <w:r w:rsidRPr="00452E2E">
        <w:rPr>
          <w:szCs w:val="24"/>
        </w:rPr>
        <w:fldChar w:fldCharType="end"/>
      </w:r>
      <w:r w:rsidRPr="00452E2E">
        <w:rPr>
          <w:szCs w:val="24"/>
        </w:rPr>
        <w:t xml:space="preserve">. </w:t>
      </w:r>
    </w:p>
    <w:p w:rsidR="008E5B86" w:rsidRPr="00452E2E" w:rsidRDefault="008E5B86" w:rsidP="008E5B86">
      <w:pPr>
        <w:spacing w:line="360" w:lineRule="auto"/>
        <w:jc w:val="both"/>
        <w:rPr>
          <w:szCs w:val="24"/>
        </w:rPr>
      </w:pPr>
      <w:r w:rsidRPr="00452E2E">
        <w:rPr>
          <w:szCs w:val="24"/>
        </w:rPr>
        <w:t xml:space="preserve">Interestingly, scholars who subscribe to the generic approach contend that although profit is necessary for the survival of private organizations, profit making is not the only objective of private organizations, therefore it is simplistic to assume that private organizations differ from public ones based on </w:t>
      </w:r>
      <w:r w:rsidR="002C3C04" w:rsidRPr="00452E2E">
        <w:rPr>
          <w:szCs w:val="24"/>
        </w:rPr>
        <w:t xml:space="preserve">the </w:t>
      </w:r>
      <w:r w:rsidRPr="00452E2E">
        <w:rPr>
          <w:szCs w:val="24"/>
        </w:rPr>
        <w:t xml:space="preserve">profit making motive of the former </w:t>
      </w:r>
      <w:r w:rsidRPr="00452E2E">
        <w:rPr>
          <w:szCs w:val="24"/>
        </w:rPr>
        <w:fldChar w:fldCharType="begin" w:fldLock="1"/>
      </w:r>
      <w:r w:rsidRPr="00452E2E">
        <w:rPr>
          <w:szCs w:val="24"/>
        </w:rPr>
        <w:instrText>ADDIN CSL_CITATION { "citationItems" : [ { "id" : "ITEM-1", "itemData" : { "DOI" : "10.5465/AMR.1981.&lt;strong&gt;4287972&lt;/strong&gt;", "ISSN" : "03637425", "author" : [ { "dropping-particle" : "", "family" : "Fottler", "given" : "M.D.", "non-dropping-particle" : "", "parse-names" : false, "suffix" : "" } ], "container-title" : "Academy of Management Review", "id" : "ITEM-1", "issue" : "1", "issued" : { "date-parts" : [ [ "1981" ] ] }, "page" : "1-12", "title" : "Is management really generic?", "type" : "article-journal", "volume" : "6" }, "uris" : [ "http://www.mendeley.com/documents/?uuid=49855eef-87e3-4f16-95fb-48afb5b95072" ] }, { "id" : "ITEM-2", "itemData" : { "author" : [ { "dropping-particle" : "", "family" : "Murray", "given" : "Michael A", "non-dropping-particle" : "", "parse-names" : false, "suffix" : "" } ], "container-title" : "Public Administration Review", "id" : "ITEM-2", "issue" : "4", "issued" : { "date-parts" : [ [ "1975" ] ] }, "page" : "364-371", "title" : "Comparing public and private management :An exploratory essay", "type" : "article-journal", "volume" : "35" }, "uris" : [ "http://www.mendeley.com/documents/?uuid=dbefd10b-d26e-4408-ad6f-abc073ad9ef2" ] } ], "mendeley" : { "formattedCitation" : "(Fottler 1981; Murray 1975)", "manualFormatting" : "(Murray, 1975; Fottler, 1981)", "plainTextFormattedCitation" : "(Fottler 1981; Murray 1975)", "previouslyFormattedCitation" : "(Fottler 1981; Murray 1975)" }, "properties" : { "noteIndex" : 0 }, "schema" : "https://github.com/citation-style-language/schema/raw/master/csl-citation.json" }</w:instrText>
      </w:r>
      <w:r w:rsidRPr="00452E2E">
        <w:rPr>
          <w:szCs w:val="24"/>
        </w:rPr>
        <w:fldChar w:fldCharType="separate"/>
      </w:r>
      <w:r w:rsidRPr="00452E2E">
        <w:rPr>
          <w:noProof/>
          <w:szCs w:val="24"/>
        </w:rPr>
        <w:t>(Murray, 1975; Fottler, 1981)</w:t>
      </w:r>
      <w:r w:rsidRPr="00452E2E">
        <w:rPr>
          <w:szCs w:val="24"/>
        </w:rPr>
        <w:fldChar w:fldCharType="end"/>
      </w:r>
      <w:r w:rsidRPr="00452E2E">
        <w:rPr>
          <w:szCs w:val="24"/>
        </w:rPr>
        <w:t xml:space="preserve">. They point </w:t>
      </w:r>
      <w:r w:rsidR="00051857" w:rsidRPr="00452E2E">
        <w:rPr>
          <w:szCs w:val="24"/>
        </w:rPr>
        <w:t xml:space="preserve">out </w:t>
      </w:r>
      <w:r w:rsidRPr="00452E2E">
        <w:rPr>
          <w:szCs w:val="24"/>
        </w:rPr>
        <w:t>that there exist other objectives such as employment generation, provision of products and services, customer satisfaction, among others, which private organizations pursue. Consequently, Murray (1975</w:t>
      </w:r>
      <w:r w:rsidR="00051857" w:rsidRPr="00452E2E">
        <w:rPr>
          <w:szCs w:val="24"/>
        </w:rPr>
        <w:t>, p.</w:t>
      </w:r>
      <w:r w:rsidR="00690781" w:rsidRPr="00452E2E">
        <w:rPr>
          <w:szCs w:val="24"/>
        </w:rPr>
        <w:t xml:space="preserve"> </w:t>
      </w:r>
      <w:r w:rsidR="00051857" w:rsidRPr="00452E2E">
        <w:rPr>
          <w:szCs w:val="24"/>
        </w:rPr>
        <w:t>365</w:t>
      </w:r>
      <w:r w:rsidRPr="00452E2E">
        <w:rPr>
          <w:szCs w:val="24"/>
        </w:rPr>
        <w:t xml:space="preserve">) note that the idea that private organizations are different from public ones is stereotypical and </w:t>
      </w:r>
      <w:r w:rsidRPr="00452E2E">
        <w:rPr>
          <w:szCs w:val="24"/>
        </w:rPr>
        <w:lastRenderedPageBreak/>
        <w:t xml:space="preserve">“once [these] stereotypes are discarded, similarities [between public and public </w:t>
      </w:r>
      <w:r w:rsidR="00051857" w:rsidRPr="00452E2E">
        <w:rPr>
          <w:szCs w:val="24"/>
        </w:rPr>
        <w:t>organizations will] emerge”</w:t>
      </w:r>
      <w:r w:rsidRPr="00452E2E">
        <w:rPr>
          <w:szCs w:val="24"/>
        </w:rPr>
        <w:t>.</w:t>
      </w:r>
    </w:p>
    <w:p w:rsidR="008E5B86" w:rsidRPr="00452E2E" w:rsidRDefault="008E5B86" w:rsidP="008E5B86">
      <w:pPr>
        <w:spacing w:line="360" w:lineRule="auto"/>
        <w:jc w:val="both"/>
        <w:rPr>
          <w:szCs w:val="24"/>
        </w:rPr>
      </w:pPr>
      <w:r w:rsidRPr="00452E2E">
        <w:rPr>
          <w:szCs w:val="24"/>
        </w:rPr>
        <w:t xml:space="preserve">Advocates of generic approach also argue that the similarity in constraints faced by public and private organizations has led to the diffusion of similar management practices in both sectors, thereby eroding whatever differences that would have existed between the two sectors </w:t>
      </w:r>
      <w:r w:rsidRPr="00452E2E">
        <w:rPr>
          <w:szCs w:val="24"/>
        </w:rPr>
        <w:fldChar w:fldCharType="begin" w:fldLock="1"/>
      </w:r>
      <w:r w:rsidRPr="00452E2E">
        <w:rPr>
          <w:szCs w:val="24"/>
        </w:rPr>
        <w:instrText>ADDIN CSL_CITATION { "citationItems" : [ { "id" : "ITEM-1", "itemData" : { "DOI" : "10.5465/AMR.1981.&lt;strong&gt;4287972&lt;/strong&gt;", "ISSN" : "03637425", "author" : [ { "dropping-particle" : "", "family" : "Fottler", "given" : "M.D.", "non-dropping-particle" : "", "parse-names" : false, "suffix" : "" } ], "container-title" : "Academy of Management Review", "id" : "ITEM-1", "issue" : "1", "issued" : { "date-parts" : [ [ "1981" ] ] }, "page" : "1-12", "title" : "Is management really generic?", "type" : "article-journal", "volume" : "6" }, "uris" : [ "http://www.mendeley.com/documents/?uuid=49855eef-87e3-4f16-95fb-48afb5b95072" ] }, { "id" : "ITEM-2", "itemData" : { "author" : [ { "dropping-particle" : "", "family" : "Murray", "given" : "Michael A", "non-dropping-particle" : "", "parse-names" : false, "suffix" : "" } ], "container-title" : "Public Administration Review", "id" : "ITEM-2", "issue" : "4", "issued" : { "date-parts" : [ [ "1975" ] ] }, "page" : "364-371", "title" : "Comparing public and private management :An exploratory essay", "type" : "article-journal", "volume" : "35" }, "uris" : [ "http://www.mendeley.com/documents/?uuid=dbefd10b-d26e-4408-ad6f-abc073ad9ef2" ] }, { "id" : "ITEM-3", "itemData" : { "author" : [ { "dropping-particle" : "", "family" : "Rainey", "given" : "Hal G", "non-dropping-particle" : "", "parse-names" : false, "suffix" : "" }, { "dropping-particle" : "", "family" : "Backoff", "given" : "Robert W", "non-dropping-particle" : "", "parse-names" : false, "suffix" : "" }, { "dropping-particle" : "", "family" : "Levine", "given" : "Charles H", "non-dropping-particle" : "", "parse-names" : false, "suffix" : "" } ], "container-title" : "Public Administration Review", "id" : "ITEM-3", "issue" : "2", "issued" : { "date-parts" : [ [ "1976" ] ] }, "page" : "233-244", "title" : "Comparing public and private organizations", "type" : "article-journal", "volume" : "36" }, "uris" : [ "http://www.mendeley.com/documents/?uuid=284ad86e-0960-41df-99ae-258983f905c9" ] } ], "mendeley" : { "formattedCitation" : "(Fottler 1981; Murray 1975; Rainey et al. 1976)", "manualFormatting" : "(Murray, 1975; Rainey et al., 1976; Fottler, 1981)", "plainTextFormattedCitation" : "(Fottler 1981; Murray 1975; Rainey et al. 1976)", "previouslyFormattedCitation" : "(Fottler 1981; Murray 1975; Rainey et al. 1976)" }, "properties" : { "noteIndex" : 0 }, "schema" : "https://github.com/citation-style-language/schema/raw/master/csl-citation.json" }</w:instrText>
      </w:r>
      <w:r w:rsidRPr="00452E2E">
        <w:rPr>
          <w:szCs w:val="24"/>
        </w:rPr>
        <w:fldChar w:fldCharType="separate"/>
      </w:r>
      <w:r w:rsidRPr="00452E2E">
        <w:rPr>
          <w:noProof/>
          <w:szCs w:val="24"/>
        </w:rPr>
        <w:t>(Murray, 1975; Fottler, 1981)</w:t>
      </w:r>
      <w:r w:rsidRPr="00452E2E">
        <w:rPr>
          <w:szCs w:val="24"/>
        </w:rPr>
        <w:fldChar w:fldCharType="end"/>
      </w:r>
      <w:r w:rsidRPr="00452E2E">
        <w:rPr>
          <w:szCs w:val="24"/>
        </w:rPr>
        <w:t xml:space="preserve">. For instance, they argue that private organizations are subject to government or political authority through legislation </w:t>
      </w:r>
      <w:r w:rsidRPr="00452E2E">
        <w:rPr>
          <w:szCs w:val="24"/>
        </w:rPr>
        <w:fldChar w:fldCharType="begin" w:fldLock="1"/>
      </w:r>
      <w:r w:rsidRPr="00452E2E">
        <w:rPr>
          <w:szCs w:val="24"/>
        </w:rPr>
        <w:instrText>ADDIN CSL_CITATION { "citationItems" : [ { "id" : "ITEM-1",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"ITEM-1", "issue" : "2", "issued" : { "date-parts" : [ [ "1988" ] ] }, "page" : "182-201", "title" : "The public-private distinction in organization theory: A critique and research strategy", "type" : "article-journal", "volume" : "13" }, "uris" : [ "http://www.mendeley.com/documents/?uuid=c5c63920-dd03-4505-ab8c-01d1dd4daaae" ] } ], "mendeley" : { "formattedCitation" : "(Perry &amp; Rainey 1988)", "manualFormatting" : "(Perry &amp; Rainey, 1988)", "plainTextFormattedCitation" : "(Perry &amp; Rainey 1988)", "previouslyFormattedCitation" : "(Perry &amp; Rainey 1988)" }, "properties" : { "noteIndex" : 0 }, "schema" : "https://github.com/citation-style-language/schema/raw/master/csl-citation.json" }</w:instrText>
      </w:r>
      <w:r w:rsidRPr="00452E2E">
        <w:rPr>
          <w:szCs w:val="24"/>
        </w:rPr>
        <w:fldChar w:fldCharType="separate"/>
      </w:r>
      <w:r w:rsidRPr="00452E2E">
        <w:rPr>
          <w:noProof/>
          <w:szCs w:val="24"/>
        </w:rPr>
        <w:t>(Perry &amp; Rainey, 1988)</w:t>
      </w:r>
      <w:r w:rsidRPr="00452E2E">
        <w:rPr>
          <w:szCs w:val="24"/>
        </w:rPr>
        <w:fldChar w:fldCharType="end"/>
      </w:r>
      <w:r w:rsidRPr="00452E2E">
        <w:rPr>
          <w:szCs w:val="24"/>
        </w:rPr>
        <w:t xml:space="preserve">. In addition, they state that the idea that private organizations should be accountable to the public and engage in corporate social responsibility is an indication that public and private organizations have converged </w:t>
      </w:r>
      <w:r w:rsidRPr="00452E2E">
        <w:rPr>
          <w:szCs w:val="24"/>
        </w:rPr>
        <w:fldChar w:fldCharType="begin" w:fldLock="1"/>
      </w:r>
      <w:r w:rsidRPr="00452E2E">
        <w:rPr>
          <w:szCs w:val="24"/>
        </w:rPr>
        <w:instrText>ADDIN CSL_CITATION { "citationItems" : [ { "id" : "ITEM-1", "itemData" : { "author" : [ { "dropping-particle" : "", "family" : "Murray", "given" : "Michael A", "non-dropping-particle" : "", "parse-names" : false, "suffix" : "" } ], "container-title" : "Public Administration Review", "id" : "ITEM-1", "issue" : "4", "issued" : { "date-parts" : [ [ "1975" ] ] }, "page" : "364-371", "title" : "Comparing public and private management :An exploratory essay", "type" : "article-journal", "volume" : "35" }, "uris" : [ "http://www.mendeley.com/documents/?uuid=dbefd10b-d26e-4408-ad6f-abc073ad9ef2" ] }, { "id" : "ITEM-2", "itemData" : { "DOI" : "10.5465/AMR.1981.&lt;strong&gt;4287972&lt;/strong&gt;", "ISSN" : "03637425", "author" : [ { "dropping-particle" : "", "family" : "Fottler", "given" : "M.D.", "non-dropping-particle" : "", "parse-names" : false, "suffix" : "" } ], "container-title" : "Academy of Management Review", "id" : "ITEM-2", "issue" : "1", "issued" : { "date-parts" : [ [ "1981" ] ] }, "page" : "1-12", "title" : "Is management really generic?", "type" : "article-journal", "volume" : "6" }, "uris" : [ "http://www.mendeley.com/documents/?uuid=49855eef-87e3-4f16-95fb-48afb5b95072" ] }, { "id" : "ITEM-3",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"ITEM-3", "issue" : "2", "issued" : { "date-parts" : [ [ "1988" ] ] }, "page" : "182-201", "title" : "The public-private distinction in organization theory: A critique and research strategy", "type" : "article-journal", "volume" : "13" }, "uris" : [ "http://www.mendeley.com/documents/?uuid=c5c63920-dd03-4505-ab8c-01d1dd4daaae" ] } ], "mendeley" : { "formattedCitation" : "(Murray 1975; Fottler 1981; Perry &amp; Rainey 1988)", "manualFormatting" : "(Murray, 1975; Fottler, 1981; Perry &amp; Rainey, 1988)", "plainTextFormattedCitation" : "(Murray 1975; Fottler 1981; Perry &amp; Rainey 1988)", "previouslyFormattedCitation" : "(Murray 1975; Fottler 1981; Perry &amp; Rainey 1988)" }, "properties" : { "noteIndex" : 0 }, "schema" : "https://github.com/citation-style-language/schema/raw/master/csl-citation.json" }</w:instrText>
      </w:r>
      <w:r w:rsidRPr="00452E2E">
        <w:rPr>
          <w:szCs w:val="24"/>
        </w:rPr>
        <w:fldChar w:fldCharType="separate"/>
      </w:r>
      <w:r w:rsidRPr="00452E2E">
        <w:rPr>
          <w:noProof/>
          <w:szCs w:val="24"/>
        </w:rPr>
        <w:t>(Murray, 1975; Fottler, 1981; Perry &amp; Rainey, 1988)</w:t>
      </w:r>
      <w:r w:rsidRPr="00452E2E">
        <w:rPr>
          <w:szCs w:val="24"/>
        </w:rPr>
        <w:fldChar w:fldCharType="end"/>
      </w:r>
      <w:r w:rsidRPr="00452E2E">
        <w:rPr>
          <w:szCs w:val="24"/>
        </w:rPr>
        <w:t>.</w:t>
      </w:r>
      <w:r w:rsidR="00D54210" w:rsidRPr="00452E2E">
        <w:rPr>
          <w:szCs w:val="24"/>
        </w:rPr>
        <w:t xml:space="preserve"> Moreover</w:t>
      </w:r>
      <w:r w:rsidRPr="00452E2E">
        <w:rPr>
          <w:szCs w:val="24"/>
        </w:rPr>
        <w:t xml:space="preserve">, Murray (1975) argued that some private organizations depend heavily on the government for funding through government contracts such that they possess the characteristics of public organizations. Even at that, it is argued that the provision of public services through private contracts is in itself a point of convergence between these two organizational forms </w:t>
      </w:r>
      <w:r w:rsidRPr="00452E2E">
        <w:rPr>
          <w:szCs w:val="24"/>
        </w:rPr>
        <w:fldChar w:fldCharType="begin" w:fldLock="1"/>
      </w:r>
      <w:r w:rsidRPr="00452E2E">
        <w:rPr>
          <w:szCs w:val="24"/>
        </w:rPr>
        <w:instrText>ADDIN CSL_CITATION { "citationItems" : [ { "id" : "ITEM-1",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"ITEM-1", "issued" : { "date-parts" : [ [ "1998" ] ] }, "page" : "126-145", "title" : "Comparing public and private organizations: An exploratory analysis of three frameworks", "type" : "article-journal", "volume" : "28" }, "uris" : [ "http://www.mendeley.com/documents/?uuid=39b25d00-6ae7-4473-9102-4102e645dc05" ] }, { "id" : "ITEM-2",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"ITEM-2", "issued" : { "date-parts" : [ [ "2013" ] ] }, "title" : "In search of the public: an analysis of the derivation and application of publicness theories", "type" : "article" }, "uris" : [ "http://www.mendeley.com/documents/?uuid=a0872ca4-d25b-4c12-a49c-86741deb6b6b" ] } ], "mendeley" : { "formattedCitation" : "(Scott &amp; Falcone 1998; Williams &amp; Powell 2013)", "manualFormatting" : "(Scott &amp; Falcone, 1998; Williams &amp; Powell, 2013)", "plainTextFormattedCitation" : "(Scott &amp; Falcone 1998; Williams &amp; Powell 2013)", "previouslyFormattedCitation" : "(Scott &amp; Falcone 1998; Williams &amp; Powell 2013)" }, "properties" : { "noteIndex" : 0 }, "schema" : "https://github.com/citation-style-language/schema/raw/master/csl-citation.json" }</w:instrText>
      </w:r>
      <w:r w:rsidRPr="00452E2E">
        <w:rPr>
          <w:szCs w:val="24"/>
        </w:rPr>
        <w:fldChar w:fldCharType="separate"/>
      </w:r>
      <w:r w:rsidRPr="00452E2E">
        <w:rPr>
          <w:noProof/>
          <w:szCs w:val="24"/>
        </w:rPr>
        <w:t>(Scott &amp; Falcone, 1998; Williams &amp; Powell, 2013)</w:t>
      </w:r>
      <w:r w:rsidRPr="00452E2E">
        <w:rPr>
          <w:szCs w:val="24"/>
        </w:rPr>
        <w:fldChar w:fldCharType="end"/>
      </w:r>
      <w:r w:rsidRPr="00452E2E">
        <w:rPr>
          <w:szCs w:val="24"/>
        </w:rPr>
        <w:t xml:space="preserve">. </w:t>
      </w:r>
    </w:p>
    <w:p w:rsidR="008E5B86" w:rsidRPr="00452E2E" w:rsidRDefault="008E5B86" w:rsidP="008E5B86">
      <w:pPr>
        <w:spacing w:line="360" w:lineRule="auto"/>
        <w:jc w:val="both"/>
        <w:rPr>
          <w:szCs w:val="24"/>
        </w:rPr>
      </w:pPr>
      <w:r w:rsidRPr="00452E2E">
        <w:rPr>
          <w:szCs w:val="24"/>
        </w:rPr>
        <w:t xml:space="preserve">Concomitant to the generic approach are new public management (NPM) approaches </w:t>
      </w:r>
      <w:r w:rsidRPr="00452E2E">
        <w:rPr>
          <w:szCs w:val="24"/>
        </w:rPr>
        <w:fldChar w:fldCharType="begin" w:fldLock="1"/>
      </w:r>
      <w:r w:rsidRPr="00452E2E">
        <w:rPr>
          <w:szCs w:val="24"/>
        </w:rPr>
        <w:instrText>ADDIN CSL_CITATION { "citationItems" : [ { "id" : "ITEM-1", "itemData" : { "author" : [ { "dropping-particle" : "", "family" : "Hood", "given" : "C.", "non-dropping-particle" : "", "parse-names" : false, "suffix" : "" } ], "container-title" : "Public Administration", "id" : "ITEM-1", "issue" : "1", "issued" : { "date-parts" : [ [ "1991" ] ] }, "page" : "3-19", "title" : "A public management for all seasons?", "type" : "article-journal", "volume" : "69" }, "uris" : [ "http://www.mendeley.com/documents/?uuid=516e7b7e-d906-44f8-8c9a-7ac9e3caa02f" ] }, { "id" : "ITEM-2", "itemData" : { "author" : [ { "dropping-particle" : "", "family" : "Pollitt", "given" : "C.", "non-dropping-particle" : "", "parse-names" : false, "suffix" : "" }, { "dropping-particle" : "", "family" : "Bouckaert", "given" : "G.", "non-dropping-particle" : "", "parse-names" : false, "suffix" : "" } ], "id" : "ITEM-2", "issued" : { "date-parts" : [ [ "2004" ] ] }, "publisher" : "Oxford University Press", "publisher-place" : "Oxford", "title" : "Public management reform: A comparative perspective", "type" : "book" }, "uris" : [ "http://www.mendeley.com/documents/?uuid=e0d4a1c0-3a07-4947-b4c5-a293c20dea35" ] } ], "mendeley" : { "formattedCitation" : "(Hood 1991; Pollitt &amp; Bouckaert 2004)", "manualFormatting" : "(Hood, 1991; Pollitt &amp; Bouckaert, 2004)", "plainTextFormattedCitation" : "(Hood 1991; Pollitt &amp; Bouckaert 2004)", "previouslyFormattedCitation" : "(Hood 1991; Pollitt &amp; Bouckaert 2004)" }, "properties" : { "noteIndex" : 0 }, "schema" : "https://github.com/citation-style-language/schema/raw/master/csl-citation.json" }</w:instrText>
      </w:r>
      <w:r w:rsidRPr="00452E2E">
        <w:rPr>
          <w:szCs w:val="24"/>
        </w:rPr>
        <w:fldChar w:fldCharType="separate"/>
      </w:r>
      <w:r w:rsidRPr="00452E2E">
        <w:rPr>
          <w:noProof/>
          <w:szCs w:val="24"/>
        </w:rPr>
        <w:t>(Hood, 1991; Pollitt &amp; Bouckaert, 2004)</w:t>
      </w:r>
      <w:r w:rsidRPr="00452E2E">
        <w:rPr>
          <w:szCs w:val="24"/>
        </w:rPr>
        <w:fldChar w:fldCharType="end"/>
      </w:r>
      <w:r w:rsidRPr="00452E2E">
        <w:rPr>
          <w:szCs w:val="24"/>
        </w:rPr>
        <w:t xml:space="preserve">. Advocates of new public management tend to emphasize the convergence of public and private organizations (Boyne, 2002). The nucleus, and one of the earliest and most enduring aspects of new public management is that management practices that have purportedly proven successful in private organizations should be implemented in public organizations </w:t>
      </w:r>
      <w:r w:rsidRPr="00452E2E">
        <w:rPr>
          <w:szCs w:val="24"/>
        </w:rPr>
        <w:fldChar w:fldCharType="begin" w:fldLock="1"/>
      </w:r>
      <w:r w:rsidRPr="00452E2E">
        <w:rPr>
          <w:szCs w:val="24"/>
        </w:rPr>
        <w:instrText>ADDIN CSL_CITATION { "citationItems" : [ { "id" : "ITEM-1", "itemData" : { "author" : [ { "dropping-particle" : "", "family" : "Boyne", "given" : "G.", "non-dropping-particle" : "", "parse-names" : false, "suffix" : "" } ], "container-title" : "Journal of Management Studies", "id" : "ITEM-1", "issue" : "1", "issued" : { "date-parts" : [ [ "2002" ] ] }, "page" : "97-122", "title" : "Public and private management: What\u2019s the difference?", "type" : "article-journal", "volume" : "39" }, "uris" : [ "http://www.mendeley.com/documents/?uuid=2c2742b3-8495-401d-b814-9d4ef860dc0c" ] }, { "id" : "ITEM-2", "itemData" : { "author" : [ { "dropping-particle" : "", "family" : "Boyne", "given" : "G.", "non-dropping-particle" : "", "parse-names" : false, "suffix" : "" }, { "dropping-particle" : "", "family" : "Walker", "given" : "R.M.", "non-dropping-particle" : "", "parse-names" : false, "suffix" : "" } ], "container-title" : "Public Administration Review", "id" : "ITEM-2", "issued" : { "date-parts" : [ [ "2010" ] ] }, "page" : "185-192", "title" : "Strategic management and public service performance: The way ahead", "type" : "article-journal", "volume" : "70" }, "uris" : [ "http://www.mendeley.com/documents/?uuid=771ed3cf-330d-4f1a-b655-9d28a0fbfcd8" ] }, { "id" : "ITEM-3", "itemData" : { "author" : [ { "dropping-particle" : "", "family" : "Pollitt", "given" : "C.", "non-dropping-particle" : "", "parse-names" : false, "suffix" : "" }, { "dropping-particle" : "", "family" : "Bouckaert", "given" : "G.", "non-dropping-particle" : "", "parse-names" : false, "suffix" : "" } ], "id" : "ITEM-3", "issued" : { "date-parts" : [ [ "2004" ] ] }, "publisher" : "Oxford University Press", "publisher-place" : "Oxford", "title" : "Public management reform: A comparative perspective", "type" : "book" }, "uris" : [ "http://www.mendeley.com/documents/?uuid=e0d4a1c0-3a07-4947-b4c5-a293c20dea35" ] } ], "mendeley" : { "formattedCitation" : "(Boyne 2002; Boyne &amp; Walker 2010; Pollitt &amp; Bouckaert 2004)", "manualFormatting" : "(Hood, 1991; Boyne, 2002; Pollitt &amp; Bouckaert, 2004; Boyne &amp; Walker, 2010)", "plainTextFormattedCitation" : "(Boyne 2002; Boyne &amp; Walker 2010; Pollitt &amp; Bouckaert 2004)", "previouslyFormattedCitation" : "(Boyne 2002; Boyne &amp; Walker 2010; Pollitt &amp; Bouckaert 2004)" }, "properties" : { "noteIndex" : 0 }, "schema" : "https://github.com/citation-style-language/schema/raw/master/csl-citation.json" }</w:instrText>
      </w:r>
      <w:r w:rsidRPr="00452E2E">
        <w:rPr>
          <w:szCs w:val="24"/>
        </w:rPr>
        <w:fldChar w:fldCharType="separate"/>
      </w:r>
      <w:r w:rsidRPr="00452E2E">
        <w:rPr>
          <w:noProof/>
          <w:szCs w:val="24"/>
        </w:rPr>
        <w:t>(Hood, 1991; Boyne, 2002; Pollitt &amp; Bouckaert, 2004; Boyne &amp; Walker, 2010)</w:t>
      </w:r>
      <w:r w:rsidRPr="00452E2E">
        <w:rPr>
          <w:szCs w:val="24"/>
        </w:rPr>
        <w:fldChar w:fldCharType="end"/>
      </w:r>
      <w:r w:rsidRPr="00452E2E">
        <w:rPr>
          <w:szCs w:val="24"/>
        </w:rPr>
        <w:t xml:space="preserve">. However, the idea that public sector organizations should be run in a business-like manner has received criticisms </w:t>
      </w:r>
      <w:r w:rsidRPr="00452E2E">
        <w:rPr>
          <w:szCs w:val="24"/>
        </w:rPr>
        <w:fldChar w:fldCharType="begin" w:fldLock="1"/>
      </w:r>
      <w:r w:rsidRPr="00452E2E">
        <w:rPr>
          <w:szCs w:val="24"/>
        </w:rPr>
        <w:instrText>ADDIN CSL_CITATION { "citationItems" : [ { "id" : "ITEM-1", "itemData" : { "abstract" : "A wide variety of initiatives characterized under the umbrella term of new public management have been introduced over the past two decades to improve efficiency and cost-effectiveness in the public sector. The implications of these initiatives for public sector employment relationships have been the subject of on-going debate. This article contributes to this debate through examining how employees within local authorities are managed in a time of personal crisis with a particular focus on long-term sickness absence in the context of increased management drives for efficiency under the NPM agenda. The findings reveal that for managers in two local authorities that form the focus of this study there is a tension in struggling to achieve a workable balance between the needs of employees and wider operational requirements, resulting in role ambiguity for line managers and detrimental effects for vulnerable public service workers.", "author" : [ { "dropping-particle" : "", "family" : "Cunningham", "given" : "I.", "non-dropping-particle" : "", "parse-names" : false, "suffix" : "" }, { "dropping-particle" : "", "family" : "James", "given" : "P.", "non-dropping-particle" : "", "parse-names" : false, "suffix" : "" }, { "dropping-particle" : "", "family" : "Dibben", "given" : "P.", "non-dropping-particle" : "", "parse-names" : false, "suffix" : "" } ], "container-title" : "Public Management Review", "id" : "ITEM-1", "issue" : "2", "issued" : { "date-parts" : [ [ "2006" ] ] }, "page" : "207-225", "title" : "Tensions in local government employment relationships: The case of long-term sickness absence", "type" : "article-journal", "volume" : "8" }, "uris" : [ "http://www.mendeley.com/documents/?uuid=8531f75b-46f6-4024-8093-82baa323f4e4" ] }, { "id" : "ITEM-2", "itemData" : { "author" : [ { "dropping-particle" : "", "family" : "Dunleavy", "given" : "P", "non-dropping-particle" : "", "parse-names" : false, "suffix" : "" }, { "dropping-particle" : "", "family" : "Margetts", "given" : "H", "non-dropping-particle" : "", "parse-names" : false, "suffix" : "" }, { "dropping-particle" : "", "family" : "Bastow", "given" : "S", "non-dropping-particle" : "", "parse-names" : false, "suffix" : "" }, { "dropping-particle" : "", "family" : "Tinkler", "given" : "J", "non-dropping-particle" : "", "parse-names" : false, "suffix" : "" } ], "container-title" : "Journal of Public Administration Research and Theory", "id" : "ITEM-2", "issue" : "3", "issued" : { "date-parts" : [ [ "2006" ] ] }, "page" : "467-494", "title" : "New public management is dead- long live digital-era governance", "type" : "article-journal", "volume" : "16" }, "uris" : [ "http://www.mendeley.com/documents/?uuid=78e61fce-7fb5-45fe-b82a-45b83bcd24b9" ] } ], "mendeley" : { "formattedCitation" : "(Cunningham et al. 2006; Dunleavy et al. 2006)", "manualFormatting" : "(Cunningham et al., 2006; Dunleavy et al., 2006)", "plainTextFormattedCitation" : "(Cunningham et al. 2006; Dunleavy et al. 2006)", "previouslyFormattedCitation" : "(Cunningham et al. 2006; Dunleavy et al. 2006)" }, "properties" : { "noteIndex" : 0 }, "schema" : "https://github.com/citation-style-language/schema/raw/master/csl-citation.json" }</w:instrText>
      </w:r>
      <w:r w:rsidRPr="00452E2E">
        <w:rPr>
          <w:szCs w:val="24"/>
        </w:rPr>
        <w:fldChar w:fldCharType="separate"/>
      </w:r>
      <w:r w:rsidRPr="00452E2E">
        <w:rPr>
          <w:noProof/>
          <w:szCs w:val="24"/>
        </w:rPr>
        <w:t xml:space="preserve">(Cunningham </w:t>
      </w:r>
      <w:r w:rsidRPr="00452E2E">
        <w:rPr>
          <w:i/>
          <w:noProof/>
          <w:szCs w:val="24"/>
        </w:rPr>
        <w:t>et al</w:t>
      </w:r>
      <w:r w:rsidRPr="00452E2E">
        <w:rPr>
          <w:noProof/>
          <w:szCs w:val="24"/>
        </w:rPr>
        <w:t xml:space="preserve">., 2006; Dunleavy </w:t>
      </w:r>
      <w:r w:rsidRPr="00452E2E">
        <w:rPr>
          <w:i/>
          <w:noProof/>
          <w:szCs w:val="24"/>
        </w:rPr>
        <w:t>et al</w:t>
      </w:r>
      <w:r w:rsidRPr="00452E2E">
        <w:rPr>
          <w:noProof/>
          <w:szCs w:val="24"/>
        </w:rPr>
        <w:t>., 2006)</w:t>
      </w:r>
      <w:r w:rsidRPr="00452E2E">
        <w:rPr>
          <w:szCs w:val="24"/>
        </w:rPr>
        <w:fldChar w:fldCharType="end"/>
      </w:r>
      <w:r w:rsidRPr="00452E2E">
        <w:rPr>
          <w:szCs w:val="24"/>
        </w:rPr>
        <w:t xml:space="preserve">. Noteworthy is that the adoption of NPM approaches in the area of employment relationship has created ‘tension’ for public sector managers in their quest to meet the needs of employees on one hand, and cost-effectiveness requirements on the other </w:t>
      </w:r>
      <w:r w:rsidRPr="00452E2E">
        <w:rPr>
          <w:szCs w:val="24"/>
        </w:rPr>
        <w:fldChar w:fldCharType="begin" w:fldLock="1"/>
      </w:r>
      <w:r w:rsidRPr="00452E2E">
        <w:rPr>
          <w:szCs w:val="24"/>
        </w:rPr>
        <w:instrText>ADDIN CSL_CITATION { "citationItems" : [ { "id" : "ITEM-1", "itemData" : { "abstract" : "A wide variety of initiatives characterized under the umbrella term of new public management have been introduced over the past two decades to improve efficiency and cost-effectiveness in the public sector. The implications of these initiatives for public sector employment relationships have been the subject of on-going debate. This article contributes to this debate through examining how employees within local authorities are managed in a time of personal crisis with a particular focus on long-term sickness absence in the context of increased management drives for efficiency under the NPM agenda. The findings reveal that for managers in two local authorities that form the focus of this study there is a tension in struggling to achieve a workable balance between the needs of employees and wider operational requirements, resulting in role ambiguity for line managers and detrimental effects for vulnerable public service workers.", "author" : [ { "dropping-particle" : "", "family" : "Cunningham", "given" : "I.", "non-dropping-particle" : "", "parse-names" : false, "suffix" : "" }, { "dropping-particle" : "", "family" : "James", "given" : "P.", "non-dropping-particle" : "", "parse-names" : false, "suffix" : "" }, { "dropping-particle" : "", "family" : "Dibben", "given" : "P.", "non-dropping-particle" : "", "parse-names" : false, "suffix" : "" } ], "container-title" : "Public Management Review", "id" : "ITEM-1", "issue" : "2", "issued" : { "date-parts" : [ [ "2006" ] ] }, "page" : "207-225", "title" : "Tensions in local government employment relationships: The case of long-term sickness absence", "type" : "article-journal", "volume" : "8" }, "uris" : [ "http://www.mendeley.com/documents/?uuid=8531f75b-46f6-4024-8093-82baa323f4e4" ] } ], "mendeley" : { "formattedCitation" : "(Cunningham et al. 2006)", "manualFormatting" : "(Cunningham et al., 2006)", "plainTextFormattedCitation" : "(Cunningham et al. 2006)", "previouslyFormattedCitation" : "(Cunningham et al. 2006)" }, "properties" : { "noteIndex" : 0 }, "schema" : "https://github.com/citation-style-language/schema/raw/master/csl-citation.json" }</w:instrText>
      </w:r>
      <w:r w:rsidRPr="00452E2E">
        <w:rPr>
          <w:szCs w:val="24"/>
        </w:rPr>
        <w:fldChar w:fldCharType="separate"/>
      </w:r>
      <w:r w:rsidRPr="00452E2E">
        <w:rPr>
          <w:noProof/>
          <w:szCs w:val="24"/>
        </w:rPr>
        <w:t xml:space="preserve">(Cunningham </w:t>
      </w:r>
      <w:r w:rsidRPr="00452E2E">
        <w:rPr>
          <w:i/>
          <w:noProof/>
          <w:szCs w:val="24"/>
        </w:rPr>
        <w:t>et al</w:t>
      </w:r>
      <w:r w:rsidRPr="00452E2E">
        <w:rPr>
          <w:noProof/>
          <w:szCs w:val="24"/>
        </w:rPr>
        <w:t>., 2006)</w:t>
      </w:r>
      <w:r w:rsidRPr="00452E2E">
        <w:rPr>
          <w:szCs w:val="24"/>
        </w:rPr>
        <w:fldChar w:fldCharType="end"/>
      </w:r>
      <w:r w:rsidRPr="00452E2E">
        <w:rPr>
          <w:szCs w:val="24"/>
        </w:rPr>
        <w:t xml:space="preserve">. Nevertheless, Boyne (2002) earlier suggested that the transfer of private sector practices to the public sector is an issue that merits serious consideration, </w:t>
      </w:r>
      <w:r w:rsidRPr="00452E2E">
        <w:rPr>
          <w:szCs w:val="24"/>
        </w:rPr>
        <w:lastRenderedPageBreak/>
        <w:t>albeit with caution. It could be argued that the fact that public managers are encouraged to import practices from private sector organizations is an indication that both sectors may be different.</w:t>
      </w:r>
    </w:p>
    <w:p w:rsidR="008E5B86" w:rsidRPr="00452E2E" w:rsidRDefault="00C81DE4" w:rsidP="008E5B86">
      <w:pPr>
        <w:pStyle w:val="Heading4"/>
      </w:pPr>
      <w:bookmarkStart w:id="19" w:name="_Toc473808097"/>
      <w:r w:rsidRPr="00452E2E">
        <w:t>1.3</w:t>
      </w:r>
      <w:r w:rsidR="008E5B86" w:rsidRPr="00452E2E">
        <w:t>.2 Core Approach</w:t>
      </w:r>
      <w:bookmarkEnd w:id="19"/>
    </w:p>
    <w:p w:rsidR="008E5B86" w:rsidRPr="00452E2E" w:rsidRDefault="008E5B86" w:rsidP="008E5B86">
      <w:pPr>
        <w:spacing w:line="360" w:lineRule="auto"/>
        <w:jc w:val="both"/>
        <w:rPr>
          <w:szCs w:val="24"/>
        </w:rPr>
      </w:pPr>
      <w:r w:rsidRPr="00452E2E">
        <w:rPr>
          <w:szCs w:val="24"/>
        </w:rPr>
        <w:t xml:space="preserve">In sharp contrast to the generic approach, the core approach emphasizes the differences between organizations based on their formal legal status </w:t>
      </w:r>
      <w:r w:rsidRPr="00452E2E">
        <w:rPr>
          <w:szCs w:val="24"/>
        </w:rPr>
        <w:fldChar w:fldCharType="begin" w:fldLock="1"/>
      </w:r>
      <w:r w:rsidRPr="00452E2E">
        <w:rPr>
          <w:szCs w:val="24"/>
        </w:rPr>
        <w:instrText>ADDIN CSL_CITATION { "citationItems" : [ { "id" : "ITEM-1", "itemData" : { "author" : [ { "dropping-particle" : "", "family" : "Rainey", "given" : "Hal G.", "non-dropping-particle" : "", "parse-names" : false, "suffix" : "" } ], "edition" : "5th", "id" : "ITEM-1", "issued" : { "date-parts" : [ [ "2014" ] ] }, "publisher" : "Jossey-Bass", "publisher-place" : "San Francisco CA", "title" : "Understanding and managing public organizations", "type" : "book" }, "uris" : [ "http://www.mendeley.com/documents/?uuid=e4509630-4d2f-4f7b-acc0-ef9c899faaab" ] }, { "id" : "ITEM-2",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"ITEM-2", "issued" : { "date-parts" : [ [ "1998" ] ] }, "page" : "126-145", "title" : "Comparing public and private organizations: An exploratory analysis of three frameworks", "type" : "article-journal", "volume" : "28" }, "uris" : [ "http://www.mendeley.com/documents/?uuid=39b25d00-6ae7-4473-9102-4102e645dc05" ] }, { "id" : "ITEM-3",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"ITEM-3", "issued" : { "date-parts" : [ [ "2013" ] ] }, "title" : "In search of the public: an analysis of the derivation and application of publicness theories", "type" : "article" }, "uris" : [ "http://www.mendeley.com/documents/?uuid=a0872ca4-d25b-4c12-a49c-86741deb6b6b" ] } ], "mendeley" : { "formattedCitation" : "(Rainey 2014; Scott &amp; Falcone 1998; Williams &amp; Powell 2013)", "manualFormatting" : "(Scott &amp; Falcone, 1998; Williams &amp; Powell, 2013; Rainey, 2014)", "plainTextFormattedCitation" : "(Rainey 2014; Scott &amp; Falcone 1998; Williams &amp; Powell 2013)", "previouslyFormattedCitation" : "(Rainey 2014; Scott &amp; Falcone 1998; Williams &amp; Powell 2013)" }, "properties" : { "noteIndex" : 0 }, "schema" : "https://github.com/citation-style-language/schema/raw/master/csl-citation.json" }</w:instrText>
      </w:r>
      <w:r w:rsidRPr="00452E2E">
        <w:rPr>
          <w:szCs w:val="24"/>
        </w:rPr>
        <w:fldChar w:fldCharType="separate"/>
      </w:r>
      <w:r w:rsidRPr="00452E2E">
        <w:rPr>
          <w:noProof/>
          <w:szCs w:val="24"/>
        </w:rPr>
        <w:t>(Scott &amp; Falcone, 1998; Williams &amp; Powell, 2013; Rainey, 2014)</w:t>
      </w:r>
      <w:r w:rsidRPr="00452E2E">
        <w:rPr>
          <w:szCs w:val="24"/>
        </w:rPr>
        <w:fldChar w:fldCharType="end"/>
      </w:r>
      <w:r w:rsidRPr="00452E2E">
        <w:rPr>
          <w:szCs w:val="24"/>
        </w:rPr>
        <w:t xml:space="preserve">. Researchers supporting this stream of argument have acknowledged severally that government and non-governmental activities are intermingled </w:t>
      </w:r>
      <w:r w:rsidRPr="00452E2E">
        <w:rPr>
          <w:szCs w:val="24"/>
        </w:rPr>
        <w:fldChar w:fldCharType="begin" w:fldLock="1"/>
      </w:r>
      <w:r w:rsidRPr="00452E2E">
        <w:rPr>
          <w:szCs w:val="24"/>
        </w:rPr>
        <w:instrText>ADDIN CSL_CITATION { "citationItems" : [ { "id" : "ITEM-1", "itemData" : { "author" : [ { "dropping-particle" : "", "family" : "Hvidman", "given" : "U.", "non-dropping-particle" : "", "parse-names" : false, "suffix" : "" }, { "dropping-particle" : "", "family" : "Andersen", "given" : "S.C.", "non-dropping-particle" : "", "parse-names" : false, "suffix" : "" } ], "container-title" : "Journal of Public Administration Research and Theory", "id" : "ITEM-1", "issue" : "1", "issued" : { "date-parts" : [ [ "2014" ] ] }, "page" : "35-58", "title" : "Impact of performance management in public and private organizations", "type" : "article-journal", "volume" : "24" }, "uris" : [ "http://www.mendeley.com/documents/?uuid=2a9b7fa0-a0e4-4449-96d6-8524e1ee55ca" ] }, { "id" : "ITEM-2",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"ITEM-2", "issue" : "2", "issued" : { "date-parts" : [ [ "1988" ] ] }, "page" : "182-201", "title" : "The public-private distinction in organization theory: A critique and research strategy", "type" : "article-journal", "volume" : "13" }, "uris" : [ "http://www.mendeley.com/documents/?uuid=c5c63920-dd03-4505-ab8c-01d1dd4daaae" ] }, { "id" : "ITEM-3", "itemData" : { "author" : [ { "dropping-particle" : "", "family" : "Rainey", "given" : "Hal G.", "non-dropping-particle" : "", "parse-names" : false, "suffix" : "" } ], "edition" : "5th", "id" : "ITEM-3", "issued" : { "date-parts" : [ [ "2014" ] ] }, "publisher" : "Jossey-Bass", "publisher-place" : "San Francisco CA", "title" : "Understanding and managing public organizations", "type" : "book" }, "uris" : [ "http://www.mendeley.com/documents/?uuid=e4509630-4d2f-4f7b-acc0-ef9c899faaab" ] } ], "mendeley" : { "formattedCitation" : "(Hvidman &amp; Andersen 2014; Perry &amp; Rainey 1988; Rainey 2014)", "manualFormatting" : "(Hvidman &amp; Andersen, 2014; Rainey, 2014)", "plainTextFormattedCitation" : "(Hvidman &amp; Andersen 2014; Perry &amp; Rainey 1988; Rainey 2014)", "previouslyFormattedCitation" : "(Hvidman &amp; Andersen 2014; Perry &amp; Rainey 1988; Rainey 2014)" }, "properties" : { "noteIndex" : 0 }, "schema" : "https://github.com/citation-style-language/schema/raw/master/csl-citation.json" }</w:instrText>
      </w:r>
      <w:r w:rsidRPr="00452E2E">
        <w:rPr>
          <w:szCs w:val="24"/>
        </w:rPr>
        <w:fldChar w:fldCharType="separate"/>
      </w:r>
      <w:r w:rsidRPr="00452E2E">
        <w:rPr>
          <w:noProof/>
          <w:szCs w:val="24"/>
        </w:rPr>
        <w:t>(Hvidman &amp; Andersen, 2014; Rainey, 2014)</w:t>
      </w:r>
      <w:r w:rsidRPr="00452E2E">
        <w:rPr>
          <w:szCs w:val="24"/>
        </w:rPr>
        <w:fldChar w:fldCharType="end"/>
      </w:r>
      <w:r w:rsidRPr="00452E2E">
        <w:rPr>
          <w:szCs w:val="24"/>
        </w:rPr>
        <w:t xml:space="preserve">. They note however that this has not resulted </w:t>
      </w:r>
      <w:r w:rsidR="00F86ACE" w:rsidRPr="00452E2E">
        <w:rPr>
          <w:szCs w:val="24"/>
        </w:rPr>
        <w:t>in</w:t>
      </w:r>
      <w:r w:rsidRPr="00452E2E">
        <w:rPr>
          <w:szCs w:val="24"/>
        </w:rPr>
        <w:t xml:space="preserve"> a convergence, but rather, a blurring of sectors </w:t>
      </w:r>
      <w:r w:rsidRPr="00452E2E">
        <w:rPr>
          <w:szCs w:val="24"/>
        </w:rPr>
        <w:fldChar w:fldCharType="begin" w:fldLock="1"/>
      </w:r>
      <w:r w:rsidRPr="00452E2E">
        <w:rPr>
          <w:szCs w:val="24"/>
        </w:rPr>
        <w:instrText>ADDIN CSL_CITATION { "citationItems" : [ { "id" : "ITEM-1", "itemData" : { "author" : [ { "dropping-particle" : "", "family" : "Baarspul", "given" : "H.C.", "non-dropping-particle" : "", "parse-names" : false, "suffix" : "" }, { "dropping-particle" : "", "family" : "Wilderom", "given" : "C.", "non-dropping-particle" : "", "parse-names" : false, "suffix" : "" } ], "container-title" : "Public Management Review", "id" : "ITEM-1", "issue" : "7", "issued" : { "date-parts" : [ [ "2011" ] ] }, "page" : "967-1002", "title" : "Do employees behave differently in public-vs-private organizations? A state of the art review", "type" : "article-journal", "volume" : "13" }, "uris" : [ "http://www.mendeley.com/documents/?uuid=a21fa938-9db6-4d1d-8acb-597c691c916a" ] }, { "id" : "ITEM-2",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"ITEM-2", "issue" : "2", "issued" : { "date-parts" : [ [ "1988" ] ] }, "page" : "182-201", "title" : "The public-private distinction in organization theory: A critique and research strategy", "type" : "article-journal", "volume" : "13" }, "uris" : [ "http://www.mendeley.com/documents/?uuid=c5c63920-dd03-4505-ab8c-01d1dd4daaae" ] }, { "id" : "ITEM-3", "itemData" : { "author" : [ { "dropping-particle" : "", "family" : "Rainey", "given" : "Hal G.", "non-dropping-particle" : "", "parse-names" : false, "suffix" : "" } ], "edition" : "5th", "id" : "ITEM-3", "issued" : { "date-parts" : [ [ "2014" ] ] }, "publisher" : "Jossey-Bass", "publisher-place" : "San Francisco CA", "title" : "Understanding and managing public organizations", "type" : "book" }, "uris" : [ "http://www.mendeley.com/documents/?uuid=e4509630-4d2f-4f7b-acc0-ef9c899faaab" ] } ], "mendeley" : { "formattedCitation" : "(Baarspul &amp; Wilderom 2011; Perry &amp; Rainey 1988; Rainey 2014)", "manualFormatting" : "(Baarspul &amp; Wilderom, 2011; Rainey 2014)", "plainTextFormattedCitation" : "(Baarspul &amp; Wilderom 2011; Perry &amp; Rainey 1988; Rainey 2014)", "previouslyFormattedCitation" : "(Baarspul &amp; Wilderom 2011; Perry &amp; Rainey 1988; Rainey 2014)" }, "properties" : { "noteIndex" : 0 }, "schema" : "https://github.com/citation-style-language/schema/raw/master/csl-citation.json" }</w:instrText>
      </w:r>
      <w:r w:rsidRPr="00452E2E">
        <w:rPr>
          <w:szCs w:val="24"/>
        </w:rPr>
        <w:fldChar w:fldCharType="separate"/>
      </w:r>
      <w:r w:rsidRPr="00452E2E">
        <w:rPr>
          <w:noProof/>
          <w:szCs w:val="24"/>
        </w:rPr>
        <w:t>(Baarspul &amp; Wilderom, 2011; Rainey 2014)</w:t>
      </w:r>
      <w:r w:rsidRPr="00452E2E">
        <w:rPr>
          <w:szCs w:val="24"/>
        </w:rPr>
        <w:fldChar w:fldCharType="end"/>
      </w:r>
      <w:r w:rsidRPr="00452E2E">
        <w:rPr>
          <w:szCs w:val="24"/>
        </w:rPr>
        <w:t>. Consequently, they acknowledge that though some management processes and tasks may be similar in public and private sectors, fundamental differences</w:t>
      </w:r>
      <w:r w:rsidR="00F86ACE" w:rsidRPr="00452E2E">
        <w:rPr>
          <w:szCs w:val="24"/>
        </w:rPr>
        <w:t xml:space="preserve"> still exist</w:t>
      </w:r>
      <w:r w:rsidRPr="00452E2E">
        <w:rPr>
          <w:szCs w:val="24"/>
        </w:rPr>
        <w:t xml:space="preserve"> between both sectors that should not be ignored </w:t>
      </w:r>
      <w:r w:rsidRPr="00452E2E">
        <w:rPr>
          <w:szCs w:val="24"/>
        </w:rPr>
        <w:fldChar w:fldCharType="begin" w:fldLock="1"/>
      </w:r>
      <w:r w:rsidRPr="00452E2E">
        <w:rPr>
          <w:szCs w:val="24"/>
        </w:rPr>
        <w:instrText>ADDIN CSL_CITATION { "citationItems" : [ { "id" : "ITEM-1", "itemData" : { "author" : [ { "dropping-particle" : "", "family" : "Baarspul", "given" : "H.C.", "non-dropping-particle" : "", "parse-names" : false, "suffix" : "" }, { "dropping-particle" : "", "family" : "Wilderom", "given" : "C.", "non-dropping-particle" : "", "parse-names" : false, "suffix" : "" } ], "container-title" : "Public Management Review", "id" : "ITEM-1", "issue" : "7", "issued" : { "date-parts" : [ [ "2011" ] ] }, "page" : "967-1002", "title" : "Do employees behave differently in public-vs-private organizations? A state of the art review", "type" : "article-journal", "volume" : "13" }, "uris" : [ "http://www.mendeley.com/documents/?uuid=a21fa938-9db6-4d1d-8acb-597c691c916a" ] }, { "id" : "ITEM-2", "itemData" : { "author" : [ { "dropping-particle" : "", "family" : "Bullock", "given" : "Justin Bennett", "non-dropping-particle" : "", "parse-names" : false, "suffix" : "" }, { "dropping-particle" : "", "family" : "Stritch", "given" : "Justin Michael", "non-dropping-particle" : "", "parse-names" : false, "suffix" : "" }, { "dropping-particle" : "", "family" : "Rainey", "given" : "Hal G", "non-dropping-particle" : "", "parse-names" : false, "suffix" : "" } ], "container-title" : "Paper presented at 11th PMRC Conference, Madison, Wisconsin, June 20-22", "id" : "ITEM-2", "issued" : { "date-parts" : [ [ "2013" ] ] }, "title" : "Do sector differences hold across countries? An international comprison of public and private sector employees' work orientation", "type" : "article" }, "uris" : [ "http://www.mendeley.com/documents/?uuid=92e1e001-b74c-4a8c-a983-74d184206a22" ] }, { "id" : "ITEM-3", "itemData" : { "DOI" : "10.5465/AMR.1981.&lt;strong&gt;4287972&lt;/strong&gt;", "ISSN" : "03637425", "author" : [ { "dropping-particle" : "", "family" : "Fottler", "given" : "M.D.", "non-dropping-particle" : "", "parse-names" : false, "suffix" : "" } ], "container-title" : "Academy of Management Review", "id" : "ITEM-3", "issue" : "1", "issued" : { "date-parts" : [ [ "1981" ] ] }, "page" : "1-12", "title" : "Is management really generic?", "type" : "article-journal", "volume" : "6" }, "uris" : [ "http://www.mendeley.com/documents/?uuid=49855eef-87e3-4f16-95fb-48afb5b95072" ] }, { "id" : "ITEM-4", "itemData" : { "author" : [ { "dropping-particle" : "", "family" : "Hvidman", "given" : "U.", "non-dropping-particle" : "", "parse-names" : false, "suffix" : "" }, { "dropping-particle" : "", "family" : "Andersen", "given" : "S.C.", "non-dropping-particle" : "", "parse-names" : false, "suffix" : "" } ], "container-title" : "Journal of Public Administration Research and Theory", "id" : "ITEM-4", "issue" : "1", "issued" : { "date-parts" : [ [ "2014" ] ] }, "page" : "35-58", "title" : "Impact of performance management in public and private organizations", "type" : "article-journal", "volume" : "24" }, "uris" : [ "http://www.mendeley.com/documents/?uuid=2a9b7fa0-a0e4-4449-96d6-8524e1ee55ca" ] }, { "id" : "ITEM-5", "itemData" : { "DOI" : "10.1093/jopart/mui041", "ISBN" : "10531858", "ISSN" : "10531858", "abstract" : "Public and private sector decision making is studied with an experiment. The study compares decision making in a tax-supported general purpose governmental agency with that done by a business firm selling to a market, using a simulation to capture differences in the preferences and practices of mid-level managers working in the two sectors. The simulation calls for participating managers to assess the risk and prospect of adopting budgets tailored to match each sector. A cognitive culture that stresses analysis, speculation, bargaining, or networking is employed to fashion a budget appropriate for a public and a private sector organization, each with a controversial and a noncontroversial budget amount. The literature on public/private differences was consulted to make predictions, suggesting that public sector managers would favor bargaining and networking and private sector managers would favor analysis and speculation. The cognitive style literature suggests that managers favor budgets constructed with an approach that is consistent with their preferred cognitive style and see less risk in the choice, except in a public setting where risk would be unaffected. The study finds that private sector managers are more apt to support budget decisions made with analysis and less likely to support them when bargaining is applied. Public sector managers are less likely to support budget decisions backed by analysis and more likely to support those that are derived from bargaining with agency people.", "author" : [ { "dropping-particle" : "", "family" : "Nutt", "given" : "Paul C.", "non-dropping-particle" : "", "parse-names" : false, "suffix" : "" } ], "container-title" : "Journal of Public Administration Research and Theory", "id" : "ITEM-5", "issue" : "2", "issued" : { "date-parts" : [ [ "2006" ] ] }, "page" : "289-318", "title" : "Comparing public and private sector decision-making practices", "type" : "article-journal", "volume" : "16" }, "uris" : [ "http://www.mendeley.com/documents/?uuid=89a7e07c-8b35-4aa9-a632-185d9a87beab" ] }, { "id" : "ITEM-6",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"ITEM-6", "issue" : "2", "issued" : { "date-parts" : [ [ "1988" ] ] }, "page" : "182-201", "title" : "The public-private distinction in organization theory: A critique and research strategy", "type" : "article-journal", "volume" : "13" }, "uris" : [ "http://www.mendeley.com/documents/?uuid=c5c63920-dd03-4505-ab8c-01d1dd4daaae" ] }, { "id" : "ITEM-7", "itemData" : { "author" : [ { "dropping-particle" : "", "family" : "Rainey", "given" : "Hal G.", "non-dropping-particle" : "", "parse-names" : false, "suffix" : "" } ], "edition" : "5th", "id" : "ITEM-7", "issued" : { "date-parts" : [ [ "2014" ] ] }, "publisher" : "Jossey-Bass", "publisher-place" : "San Francisco CA", "title" : "Understanding and managing public organizations", "type" : "book" }, "uris" : [ "http://www.mendeley.com/documents/?uuid=e4509630-4d2f-4f7b-acc0-ef9c899faaab" ] }, { "id" : "ITEM-8", "itemData" : { "DOI" : "Article", "ISBN" : "10531858", "ISSN" : "10531858", "abstract" : "Research comparing public and private organizations and examining the publicness of organizations represents a substantial and growing body of empirical evidence, relevant to many international issues in political economy and organization theory such as the privatization of public services. This article assesses several major streams in this research over the last two decades, which in some ways refute widely held a priori assumptions about similarities and differences between public and private organizations but which in some ways support such assumptions. The review covers research on goal complexity and ambiguity, organizational structure, personnel and purchasing processes, and work-related attitudes and values. The research results converge in important ways, but they also present anomalies. For example, in spite of virtually universal agreement among scholars that public organizations have more goal complexity and ambiguity, public managers do not differ from business managers in response to survey questions about such matters. Public managers do not differ from business managers on perceptions about organizational formalization, in spite of a chorus of assertions that government agencies have more red tape and rules than private firms have. Public managers do, however, show very sharp differences in response to questions about constraints under personnel and purchasing rules. The article concludes with an assessment of the credibility of these streams of research through consideration of alternative plausible hypotheses.", "author" : [ { "dropping-particle" : "", "family" : "Rainey", "given" : "Hal G", "non-dropping-particle" : "", "parse-names" : false, "suffix" : "" }, { "dropping-particle" : "", "family" : "Bozeman", "given" : "Barry", "non-dropping-particle" : "", "parse-names" : false, "suffix" : "" } ], "container-title" : "Journal of Public Administration Research and Theory", "id" : "ITEM-8", "issue" : "2", "issued" : { "date-parts" : [ [ "2000" ] ] }, "page" : "447-470", "title" : "Comparing public and private organizations: Empirical research and the power of the a priori", "type" : "article-journal", "volume" : "10" }, "uris" : [ "http://www.mendeley.com/documents/?uuid=cc324bf9-1649-4f55-9fd2-2ea856c15a76" ] }, { "id" : "ITEM-9", "itemData" : { "DOI" : "10.1177/0275074002250254", "ISSN" : "0275-0740", "abstract" : "This study examines the influence of the work environment on public employee feelings of job satisfaction, linking characteristics of the work context perceived to be more prevalent in public organizations with specific job characteristics that serve as important antecedents of job satisfaction. In particular, this study analyzes the effects of three components of the work context\u2014organizational goal conflict, organizational goal specificity, and procedural constraints\u2014and four job characteristics\u2014job specificity, routineness, feedback, and human resource development\u2014faced by public employees. Building on previous research, a causal model of job satisfaction was tested in a covariance analysis (LISREL) using data from a survey of state government employees. The model explained two thirds of the variation in employee job satisfaction and suggests that the work context may not only be important in distinguishing between public and private sector employment but also may be at the root of any sector differences in job satisfaction.", "author" : [ { "dropping-particle" : "", "family" : "Wright", "given" : "B. E.", "non-dropping-particle" : "", "parse-names" : false, "suffix" : "" }, { "dropping-particle" : "", "family" : "Davis", "given" : "B. S.", "non-dropping-particle" : "", "parse-names" : false, "suffix" : "" } ], "container-title" : "The American Review of Public Administration", "id" : "ITEM-9", "issue" : "1", "issued" : { "date-parts" : [ [ "2003" ] ] }, "page" : "70-90", "title" : "Job satisfaction in the public sector: The role of the work environment", "type" : "article-journal", "volume" : "33" }, "uris" : [ "http://www.mendeley.com/documents/?uuid=f479083b-c13d-4cf2-8a78-1d5f27cf11d3" ] } ], "mendeley" : { "formattedCitation" : "(Baarspul &amp; Wilderom 2011; Bullock et al. 2013; Fottler 1981; Hvidman &amp; Andersen 2014; Nutt 2006; Perry &amp; Rainey 1988; Rainey 2014; Rainey &amp; Bozeman 2000; Wright &amp; Davis 2003)", "manualFormatting" : "(Wright &amp; Davis, 2003; Nutt, 2006; Baarspul &amp; Wilderom, 2011; Bullock et al., 2013; Hvidman &amp; Andersen, 2014; Rainey, 2014)", "plainTextFormattedCitation" : "(Baarspul &amp; Wilderom 2011; Bullock et al. 2013; Fottler 1981; Hvidman &amp; Andersen 2014; Nutt 2006; Perry &amp; Rainey 1988; Rainey 2014; Rainey &amp; Bozeman 2000; Wright &amp; Davis 2003)", "previouslyFormattedCitation" : "(Baarspul &amp; Wilderom 2011; Bullock et al. 2013; Fottler 1981; Hvidman &amp; Andersen 2014; Nutt 2006; Perry &amp; Rainey 1988; Rainey 2014; Rainey &amp; Bozeman 2000; Wright &amp; Davis 2003)" }, "properties" : { "noteIndex" : 0 }, "schema" : "https://github.com/citation-style-language/schema/raw/master/csl-citation.json" }</w:instrText>
      </w:r>
      <w:r w:rsidRPr="00452E2E">
        <w:rPr>
          <w:szCs w:val="24"/>
        </w:rPr>
        <w:fldChar w:fldCharType="separate"/>
      </w:r>
      <w:r w:rsidRPr="00452E2E">
        <w:rPr>
          <w:noProof/>
          <w:szCs w:val="24"/>
        </w:rPr>
        <w:t xml:space="preserve">(Wright &amp; Davis, 2003; Baarspul &amp; Wilderom, 2011; Bullock </w:t>
      </w:r>
      <w:r w:rsidRPr="00452E2E">
        <w:rPr>
          <w:i/>
          <w:noProof/>
          <w:szCs w:val="24"/>
        </w:rPr>
        <w:t>et al</w:t>
      </w:r>
      <w:r w:rsidRPr="00452E2E">
        <w:rPr>
          <w:noProof/>
          <w:szCs w:val="24"/>
        </w:rPr>
        <w:t>., 2013; Hvidman &amp; Andersen, 2014; Rainey, 2014)</w:t>
      </w:r>
      <w:r w:rsidRPr="00452E2E">
        <w:rPr>
          <w:szCs w:val="24"/>
        </w:rPr>
        <w:fldChar w:fldCharType="end"/>
      </w:r>
      <w:r w:rsidRPr="00452E2E">
        <w:rPr>
          <w:szCs w:val="24"/>
        </w:rPr>
        <w:t>. Of course, Rainey (2014) note</w:t>
      </w:r>
      <w:r w:rsidR="00F86ACE" w:rsidRPr="00452E2E">
        <w:rPr>
          <w:szCs w:val="24"/>
        </w:rPr>
        <w:t>s</w:t>
      </w:r>
      <w:r w:rsidRPr="00452E2E">
        <w:rPr>
          <w:szCs w:val="24"/>
        </w:rPr>
        <w:t xml:space="preserve"> that the fact </w:t>
      </w:r>
      <w:r w:rsidR="00F86ACE" w:rsidRPr="00452E2E">
        <w:rPr>
          <w:szCs w:val="24"/>
        </w:rPr>
        <w:t xml:space="preserve">that </w:t>
      </w:r>
      <w:r w:rsidRPr="00452E2E">
        <w:rPr>
          <w:szCs w:val="24"/>
        </w:rPr>
        <w:t>public organizations are still in existence does not only underscor</w:t>
      </w:r>
      <w:r w:rsidR="00F86ACE" w:rsidRPr="00452E2E">
        <w:rPr>
          <w:szCs w:val="24"/>
        </w:rPr>
        <w:t>e their importance but also the</w:t>
      </w:r>
      <w:r w:rsidRPr="00452E2E">
        <w:rPr>
          <w:szCs w:val="24"/>
        </w:rPr>
        <w:t xml:space="preserve"> difference </w:t>
      </w:r>
      <w:r w:rsidR="00F86ACE" w:rsidRPr="00452E2E">
        <w:rPr>
          <w:szCs w:val="24"/>
        </w:rPr>
        <w:t>between them and</w:t>
      </w:r>
      <w:r w:rsidRPr="00452E2E">
        <w:rPr>
          <w:szCs w:val="24"/>
        </w:rPr>
        <w:t xml:space="preserve"> private sector organizations. </w:t>
      </w:r>
    </w:p>
    <w:p w:rsidR="008E5B86" w:rsidRPr="00452E2E" w:rsidRDefault="008E5B86" w:rsidP="008E5B86">
      <w:pPr>
        <w:spacing w:line="360" w:lineRule="auto"/>
        <w:jc w:val="both"/>
        <w:rPr>
          <w:szCs w:val="24"/>
        </w:rPr>
      </w:pPr>
      <w:r w:rsidRPr="00452E2E">
        <w:rPr>
          <w:szCs w:val="24"/>
        </w:rPr>
        <w:t xml:space="preserve">Hence, the core approach maintains that organizations should be grouped as distinct public or distinct private ones </w:t>
      </w:r>
      <w:r w:rsidRPr="00452E2E">
        <w:rPr>
          <w:szCs w:val="24"/>
        </w:rPr>
        <w:fldChar w:fldCharType="begin" w:fldLock="1"/>
      </w:r>
      <w:r w:rsidRPr="00452E2E">
        <w:rPr>
          <w:szCs w:val="24"/>
        </w:rPr>
        <w:instrText>ADDIN CSL_CITATION { "citationItems" : [ { "id" : "ITEM-1",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"ITEM-1", "issued" : { "date-parts" : [ [ "1998" ] ] }, "page" : "126-145", "title" : "Comparing public and private organizations: An exploratory analysis of three frameworks", "type" : "article-journal", "volume" : "28" }, "uris" : [ "http://www.mendeley.com/documents/?uuid=39b25d00-6ae7-4473-9102-4102e645dc05" ] }, { "id" : "ITEM-2",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"ITEM-2", "issued" : { "date-parts" : [ [ "2013" ] ] }, "title" : "In search of the public: an analysis of the derivation and application of publicness theories", "type" : "article" }, "uris" : [ "http://www.mendeley.com/documents/?uuid=a0872ca4-d25b-4c12-a49c-86741deb6b6b" ] } ], "mendeley" : { "formattedCitation" : "(Scott &amp; Falcone 1998; Williams &amp; Powell 2013)", "manualFormatting" : "(Scott &amp; Falcone, 1998; Williams &amp; Powell, 2013)", "plainTextFormattedCitation" : "(Scott &amp; Falcone 1998; Williams &amp; Powell 2013)", "previouslyFormattedCitation" : "(Scott &amp; Falcone 1998; Williams &amp; Powell 2013)" }, "properties" : { "noteIndex" : 0 }, "schema" : "https://github.com/citation-style-language/schema/raw/master/csl-citation.json" }</w:instrText>
      </w:r>
      <w:r w:rsidRPr="00452E2E">
        <w:rPr>
          <w:szCs w:val="24"/>
        </w:rPr>
        <w:fldChar w:fldCharType="separate"/>
      </w:r>
      <w:r w:rsidRPr="00452E2E">
        <w:rPr>
          <w:noProof/>
          <w:szCs w:val="24"/>
        </w:rPr>
        <w:t>(Scott &amp; Falcone, 1998; Williams &amp; Powell, 2013)</w:t>
      </w:r>
      <w:r w:rsidRPr="00452E2E">
        <w:rPr>
          <w:szCs w:val="24"/>
        </w:rPr>
        <w:fldChar w:fldCharType="end"/>
      </w:r>
      <w:r w:rsidRPr="00452E2E">
        <w:rPr>
          <w:szCs w:val="24"/>
        </w:rPr>
        <w:t xml:space="preserve">. Based on this approach, public and private organizations are defined on the basis of their ownership and source of funding </w:t>
      </w:r>
      <w:r w:rsidRPr="00452E2E">
        <w:rPr>
          <w:szCs w:val="24"/>
        </w:rPr>
        <w:fldChar w:fldCharType="begin" w:fldLock="1"/>
      </w:r>
      <w:r w:rsidRPr="00452E2E">
        <w:rPr>
          <w:szCs w:val="24"/>
        </w:rPr>
        <w:instrText>ADDIN CSL_CITATION { "citationItems" : [ { "id" : "ITEM-1", "itemData" : { "author" : [ { "dropping-particle" : "", "family" : "Baarspul", "given" : "H.C.", "non-dropping-particle" : "", "parse-names" : false, "suffix" : "" }, { "dropping-particle" : "", "family" : "Wilderom", "given" : "C.", "non-dropping-particle" : "", "parse-names" : false, "suffix" : "" } ], "container-title" : "Public Management Review", "id" : "ITEM-1", "issue" : "7", "issued" : { "date-parts" : [ [ "2011" ] ] }, "page" : "967-1002", "title" : "Do employees behave differently in public-vs-private organizations? A state of the art review", "type" : "article-journal", "volume" : "13" }, "uris" : [ "http://www.mendeley.com/documents/?uuid=a21fa938-9db6-4d1d-8acb-597c691c916a" ] }, { "id" : "ITEM-2", "itemData" : { "author" : [ { "dropping-particle" : "", "family" : "Boyne", "given" : "G.", "non-dropping-particle" : "", "parse-names" : false, "suffix" : "" } ], "container-title" : "Journal of Management Studies", "id" : "ITEM-2", "issue" : "1", "issued" : { "date-parts" : [ [ "2002" ] ] }, "page" : "97-122", "title" : "Public and private management: What\u2019s the difference?", "type" : "article-journal", "volume" : "39" }, "uris" : [ "http://www.mendeley.com/documents/?uuid=2c2742b3-8495-401d-b814-9d4ef860dc0c" ] }, { "id" : "ITEM-3", "itemData" : { "author" : [ { "dropping-particle" : "", "family" : "Hvidman", "given" : "U.", "non-dropping-particle" : "", "parse-names" : false, "suffix" : "" }, { "dropping-particle" : "", "family" : "Andersen", "given" : "S.C.", "non-dropping-particle" : "", "parse-names" : false, "suffix" : "" } ], "container-title" : "Journal of Public Administration Research and Theory", "id" : "ITEM-3", "issue" : "1", "issued" : { "date-parts" : [ [ "2014" ] ] }, "page" : "35-58", "title" : "Impact of performance management in public and private organizations", "type" : "article-journal", "volume" : "24" }, "uris" : [ "http://www.mendeley.com/documents/?uuid=2a9b7fa0-a0e4-4449-96d6-8524e1ee55ca" ] }, { "id" : "ITEM-4", "itemData" : { "DOI" : "10.5465/AMR.1988.4306858", "ISBN" : "03637425", "ISSN" : "0363-7425", "abstract" : "Scholars have devoted increasing attention to similarities and differ- ences between public and private organizations. This paper critiques the comparative literature on these organizations in order to assess the usefulness of the public-private distinction in organization theory and concludes that further analysis of this distinction is valuable. Several avenues for improving research are suggested, including clarification of the categories through an extension of previous conceptions, and assessment of a proposed typology of subcategories across the public-private continuum.", "author" : [ { "dropping-particle" : "", "family" : "Perry", "given" : "James L", "non-dropping-particle" : "", "parse-names" : false, "suffix" : "" }, { "dropping-particle" : "", "family" : "Rainey", "given" : "Hal G", "non-dropping-particle" : "", "parse-names" : false, "suffix" : "" } ], "container-title" : "Academy of management review", "id" : "ITEM-4", "issue" : "2", "issued" : { "date-parts" : [ [ "1988" ] ] }, "page" : "182-201", "title" : "The public-private distinction in organization theory: A critique and research strategy", "type" : "article-journal", "volume" : "13" }, "uris" : [ "http://www.mendeley.com/documents/?uuid=c5c63920-dd03-4505-ab8c-01d1dd4daaae" ] } ], "mendeley" : { "formattedCitation" : "(Baarspul &amp; Wilderom 2011; Boyne 2002; Hvidman &amp; Andersen 2014; Perry &amp; Rainey 1988)", "manualFormatting" : "(Boyne, 2002; Baarspul &amp; Wilderom, 2011; Hvidman &amp; Andersen, 2014)", "plainTextFormattedCitation" : "(Baarspul &amp; Wilderom 2011; Boyne 2002; Hvidman &amp; Andersen 2014; Perry &amp; Rainey 1988)", "previouslyFormattedCitation" : "(Baarspul &amp; Wilderom 2011; Boyne 2002; Hvidman &amp; Andersen 2014; Perry &amp; Rainey 1988)" }, "properties" : { "noteIndex" : 0 }, "schema" : "https://github.com/citation-style-language/schema/raw/master/csl-citation.json" }</w:instrText>
      </w:r>
      <w:r w:rsidRPr="00452E2E">
        <w:rPr>
          <w:szCs w:val="24"/>
        </w:rPr>
        <w:fldChar w:fldCharType="separate"/>
      </w:r>
      <w:r w:rsidRPr="00452E2E">
        <w:rPr>
          <w:noProof/>
          <w:szCs w:val="24"/>
        </w:rPr>
        <w:t>(Boyne, 2002; Baarspul &amp; Wilderom, 2011; Hvidman &amp; Andersen, 2014)</w:t>
      </w:r>
      <w:r w:rsidRPr="00452E2E">
        <w:rPr>
          <w:szCs w:val="24"/>
        </w:rPr>
        <w:fldChar w:fldCharType="end"/>
      </w:r>
      <w:r w:rsidRPr="00452E2E">
        <w:rPr>
          <w:szCs w:val="24"/>
        </w:rPr>
        <w:t xml:space="preserve">. Whilst public organizations are owned by the government and funded through legislative appropriations, their private sector counterparts are owned by individuals or shareholders and receive funding from owners and revenues from customers </w:t>
      </w:r>
      <w:r w:rsidRPr="00452E2E">
        <w:rPr>
          <w:szCs w:val="24"/>
        </w:rPr>
        <w:fldChar w:fldCharType="begin" w:fldLock="1"/>
      </w:r>
      <w:r w:rsidRPr="00452E2E">
        <w:rPr>
          <w:szCs w:val="24"/>
        </w:rPr>
        <w:instrText>ADDIN CSL_CITATION { "citationItems" : [ { "id" : "ITEM-1", "itemData" : { "author" : [ { "dropping-particle" : "", "family" : "Boyne", "given" : "G.", "non-dropping-particle" : "", "parse-names" : false, "suffix" : "" } ], "container-title" : "Journal of Management Studies", "id" : "ITEM-1", "issue" : "1", "issued" : { "date-parts" : [ [ "2002" ] ] }, "page" : "97-122", "title" : "Public and private management: What\u2019s the difference?", "type" : "article-journal", "volume" : "39" }, "uris" : [ "http://www.mendeley.com/documents/?uuid=2c2742b3-8495-401d-b814-9d4ef860dc0c" ] } ], "mendeley" : { "formattedCitation" : "(Boyne 2002)", "manualFormatting" : "(Boyne, 2002)", "plainTextFormattedCitation" : "(Boyne 2002)", "previouslyFormattedCitation" : "(Boyne 2002)" }, "properties" : { "noteIndex" : 0 }, "schema" : "https://github.com/citation-style-language/schema/raw/master/csl-citation.json" }</w:instrText>
      </w:r>
      <w:r w:rsidRPr="00452E2E">
        <w:rPr>
          <w:szCs w:val="24"/>
        </w:rPr>
        <w:fldChar w:fldCharType="separate"/>
      </w:r>
      <w:r w:rsidRPr="00452E2E">
        <w:rPr>
          <w:noProof/>
          <w:szCs w:val="24"/>
        </w:rPr>
        <w:t>(Boyne, 2002)</w:t>
      </w:r>
      <w:r w:rsidRPr="00452E2E">
        <w:rPr>
          <w:szCs w:val="24"/>
        </w:rPr>
        <w:fldChar w:fldCharType="end"/>
      </w:r>
      <w:r w:rsidRPr="00452E2E">
        <w:rPr>
          <w:szCs w:val="24"/>
        </w:rPr>
        <w:t xml:space="preserve">. Nonetheless, this simple classification of organizations as distinct public or private ones may exclude many new forms of organizations such as the NHS in the UK or the Nigerian National Petroleum Corporation (NNPC) which is a joint venture between the Nigerian government and foreign multinational companies. It is this shortcoming of the core approach that has given birth to the dimensional </w:t>
      </w:r>
      <w:r w:rsidRPr="00452E2E">
        <w:rPr>
          <w:szCs w:val="24"/>
        </w:rPr>
        <w:lastRenderedPageBreak/>
        <w:t xml:space="preserve">approach to defining public and private organizations (Williams &amp; Powell, 2013) which is discussed in the next section. </w:t>
      </w:r>
    </w:p>
    <w:p w:rsidR="008E5B86" w:rsidRPr="00452E2E" w:rsidRDefault="00C81DE4" w:rsidP="008E5B86">
      <w:pPr>
        <w:pStyle w:val="Heading4"/>
      </w:pPr>
      <w:bookmarkStart w:id="20" w:name="_Toc473808098"/>
      <w:r w:rsidRPr="00452E2E">
        <w:t>1.3</w:t>
      </w:r>
      <w:r w:rsidR="008E5B86" w:rsidRPr="00452E2E">
        <w:t>.3 Dimensional Approach</w:t>
      </w:r>
      <w:bookmarkEnd w:id="20"/>
    </w:p>
    <w:p w:rsidR="008E5B86" w:rsidRPr="00452E2E" w:rsidRDefault="008E5B86" w:rsidP="008E5B86">
      <w:pPr>
        <w:spacing w:line="360" w:lineRule="auto"/>
        <w:jc w:val="both"/>
        <w:rPr>
          <w:szCs w:val="24"/>
        </w:rPr>
      </w:pPr>
      <w:r w:rsidRPr="00452E2E">
        <w:rPr>
          <w:szCs w:val="24"/>
        </w:rPr>
        <w:t xml:space="preserve">The dimensional approach provides a way of classifying organizations that incorporate diverse organizational forms </w:t>
      </w:r>
      <w:r w:rsidRPr="00452E2E">
        <w:rPr>
          <w:szCs w:val="24"/>
        </w:rPr>
        <w:fldChar w:fldCharType="begin" w:fldLock="1"/>
      </w:r>
      <w:r w:rsidRPr="00452E2E">
        <w:rPr>
          <w:szCs w:val="24"/>
        </w:rPr>
        <w:instrText>ADDIN CSL_CITATION { "citationItems" : [ { "id" : "ITEM-1",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"ITEM-1", "issued" : { "date-parts" : [ [ "1998" ] ] }, "page" : "126-145", "title" : "Comparing public and private organizations: An exploratory analysis of three frameworks", "type" : "article-journal", "volume" : "28" }, "uris" : [ "http://www.mendeley.com/documents/?uuid=39b25d00-6ae7-4473-9102-4102e645dc05" ] }, { "id" : "ITEM-2",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"ITEM-2", "issued" : { "date-parts" : [ [ "2013" ] ] }, "title" : "In search of the public: an analysis of the derivation and application of publicness theories", "type" : "article" }, "uris" : [ "http://www.mendeley.com/documents/?uuid=a0872ca4-d25b-4c12-a49c-86741deb6b6b" ] } ], "mendeley" : { "formattedCitation" : "(Scott &amp; Falcone 1998; Williams &amp; Powell 2013)", "manualFormatting" : "(Scott &amp; Falcone, 1998; Williams &amp; Powell, 2013)", "plainTextFormattedCitation" : "(Scott &amp; Falcone 1998; Williams &amp; Powell 2013)", "previouslyFormattedCitation" : "(Scott &amp; Falcone 1998; Williams &amp; Powell 2013)" }, "properties" : { "noteIndex" : 0 }, "schema" : "https://github.com/citation-style-language/schema/raw/master/csl-citation.json" }</w:instrText>
      </w:r>
      <w:r w:rsidRPr="00452E2E">
        <w:rPr>
          <w:szCs w:val="24"/>
        </w:rPr>
        <w:fldChar w:fldCharType="separate"/>
      </w:r>
      <w:r w:rsidRPr="00452E2E">
        <w:rPr>
          <w:noProof/>
          <w:szCs w:val="24"/>
        </w:rPr>
        <w:t>(Scott &amp; Falcone, 1998; Williams &amp; Powell, 2013)</w:t>
      </w:r>
      <w:r w:rsidRPr="00452E2E">
        <w:rPr>
          <w:szCs w:val="24"/>
        </w:rPr>
        <w:fldChar w:fldCharType="end"/>
      </w:r>
      <w:r w:rsidRPr="00452E2E">
        <w:rPr>
          <w:szCs w:val="24"/>
        </w:rPr>
        <w:t xml:space="preserve">. It distinguishes organizations based on their exposure to political and economic authority </w:t>
      </w:r>
      <w:r w:rsidRPr="00452E2E">
        <w:rPr>
          <w:szCs w:val="24"/>
        </w:rPr>
        <w:fldChar w:fldCharType="begin" w:fldLock="1"/>
      </w:r>
      <w:r w:rsidRPr="00452E2E">
        <w:rPr>
          <w:szCs w:val="24"/>
        </w:rPr>
        <w:instrText>ADDIN CSL_CITATION { "citationItems" : [ { "id" : "ITEM-1", "itemData" : { "author" : [ { "dropping-particle" : "", "family" : "Bozeman", "given" : "Barry", "non-dropping-particle" : "", "parse-names" : false, "suffix" : "" } ], "id" : "ITEM-1", "issued" : { "date-parts" : [ [ "1987" ] ] }, "publisher" : "Jossey-Bass", "publisher-place" : "San Francisco CA", "title" : "All organizations are public: Bridging public and private organizational theories", "type" : "book" }, "uris" : [ "http://www.mendeley.com/documents/?uuid=04c8e509-159b-4ee2-bbec-677e9d6e3592" ] } ], "mendeley" : { "formattedCitation" : "(Bozeman 1987)", "manualFormatting" : "(Bozeman, 1987)", "plainTextFormattedCitation" : "(Bozeman 1987)", "previouslyFormattedCitation" : "(Bozeman 1987)" }, "properties" : { "noteIndex" : 0 }, "schema" : "https://github.com/citation-style-language/schema/raw/master/csl-citation.json" }</w:instrText>
      </w:r>
      <w:r w:rsidRPr="00452E2E">
        <w:rPr>
          <w:szCs w:val="24"/>
        </w:rPr>
        <w:fldChar w:fldCharType="separate"/>
      </w:r>
      <w:r w:rsidRPr="00452E2E">
        <w:rPr>
          <w:noProof/>
          <w:szCs w:val="24"/>
        </w:rPr>
        <w:t>(Bozeman, 1987)</w:t>
      </w:r>
      <w:r w:rsidRPr="00452E2E">
        <w:rPr>
          <w:szCs w:val="24"/>
        </w:rPr>
        <w:fldChar w:fldCharType="end"/>
      </w:r>
      <w:r w:rsidRPr="00452E2E">
        <w:rPr>
          <w:szCs w:val="24"/>
        </w:rPr>
        <w:t xml:space="preserve">. The approach suggests that organizations exist on a “publicness” continuum, with pure private organizations on one end and pure public organizations on the other </w:t>
      </w:r>
      <w:r w:rsidRPr="00452E2E">
        <w:rPr>
          <w:szCs w:val="24"/>
        </w:rPr>
        <w:fldChar w:fldCharType="begin" w:fldLock="1"/>
      </w:r>
      <w:r w:rsidRPr="00452E2E">
        <w:rPr>
          <w:szCs w:val="24"/>
        </w:rPr>
        <w:instrText>ADDIN CSL_CITATION { "citationItems" : [ { "id" : "ITEM-1", "itemData" : { "author" : [ { "dropping-particle" : "", "family" : "Bozeman", "given" : "Barry", "non-dropping-particle" : "", "parse-names" : false, "suffix" : "" } ], "id" : "ITEM-1", "issued" : { "date-parts" : [ [ "1987" ] ] }, "publisher" : "Jossey-Bass", "publisher-place" : "San Francisco CA", "title" : "All organizations are public: Bridging public and private organizational theories", "type" : "book" }, "uris" : [ "http://www.mendeley.com/documents/?uuid=04c8e509-159b-4ee2-bbec-677e9d6e3592" ] }, { "id" : "ITEM-2", "itemData" : { "DOI" : "10.2307/1181777", "ISBN" : "10531858; 14779803", "ISSN" : "10531858", "abstract" : "'Publicness' is defined as a characteristic of an organization which reflects the extent the organization is influenced by political authority. The concept, operationalized as a series of interval measures, is placed in direct competition with the traditional core definition of publicness as ownership (i. e., formal legal status). Using a sample of research and development laboratories, the two approaches are compared in terms of their ability to explain organizational outputs and process in the context of an explanatory model. The results suggest that both approaches tap unique characteristics of publicness and contribute to a more complete understanding of the role of publicness in the study of organizations.", "author" : [ { "dropping-particle" : "", "family" : "Bozeman", "given" : "Barry", "non-dropping-particle" : "", "parse-names" : false, "suffix" : "" }, { "dropping-particle" : "", "family" : "Bretschneider", "given" : "Stuart", "non-dropping-particle" : "", "parse-names" : false, "suffix" : "" } ], "container-title" : "Journal of Public Administration Research and Theory", "id" : "ITEM-2", "issue" : "2", "issued" : { "date-parts" : [ [ "1994" ] ] }, "page" : "197-223", "title" : "The 'publicness puzzle' in organization theory: A test of alternative explanations of differences between public and private organizations", "type" : "article-journal", "volume" : "4" }, "uris" : [ "http://www.mendeley.com/documents/?uuid=44f942df-b0d3-409b-93b4-cc61a8ee23a9" ] }, { "id" : "ITEM-3", "itemData" : { "author" : [ { "dropping-particle" : "", "family" : "Nutt", "given" : "Paul C", "non-dropping-particle" : "", "parse-names" : false, "suffix" : "" }, { "dropping-particle" : "", "family" : "Backoff", "given" : "Robert W", "non-dropping-particle" : "", "parse-names" : false, "suffix" : "" } ], "container-title" : "Journal of Public Administration Research and Theory", "id" : "ITEM-3", "issue" : "2", "issued" : { "date-parts" : [ [ "1993" ] ] }, "page" : "209-231", "title" : "Organizational publicness and its implications for strategic management", "type" : "article-journal", "volume" : "3" }, "uris" : [ "http://www.mendeley.com/documents/?uuid=f98649e1-83a4-4490-8512-31475a7fbba4" ] } ], "mendeley" : { "formattedCitation" : "(Bozeman 1987; Bozeman &amp; Bretschneider 1994; Nutt &amp; Backoff 1993)", "manualFormatting" : "(Bozeman &amp; Bretschneider, 1994)", "plainTextFormattedCitation" : "(Bozeman 1987; Bozeman &amp; Bretschneider 1994; Nutt &amp; Backoff 1993)", "previouslyFormattedCitation" : "(Bozeman 1987; Bozeman &amp; Bretschneider 1994; Nutt &amp; Backoff 1993)" }, "properties" : { "noteIndex" : 0 }, "schema" : "https://github.com/citation-style-language/schema/raw/master/csl-citation.json" }</w:instrText>
      </w:r>
      <w:r w:rsidRPr="00452E2E">
        <w:rPr>
          <w:szCs w:val="24"/>
        </w:rPr>
        <w:fldChar w:fldCharType="separate"/>
      </w:r>
      <w:r w:rsidRPr="00452E2E">
        <w:rPr>
          <w:noProof/>
          <w:szCs w:val="24"/>
        </w:rPr>
        <w:t>(Bozeman &amp; Bretschneider, 1994)</w:t>
      </w:r>
      <w:r w:rsidRPr="00452E2E">
        <w:rPr>
          <w:szCs w:val="24"/>
        </w:rPr>
        <w:fldChar w:fldCharType="end"/>
      </w:r>
      <w:r w:rsidRPr="00452E2E">
        <w:rPr>
          <w:szCs w:val="24"/>
        </w:rPr>
        <w:t xml:space="preserve">. In the middle of the continuum lie hybrid organizations that combine the features of both public and private organizations </w:t>
      </w:r>
      <w:r w:rsidRPr="00452E2E">
        <w:rPr>
          <w:szCs w:val="24"/>
        </w:rPr>
        <w:fldChar w:fldCharType="begin" w:fldLock="1"/>
      </w:r>
      <w:r w:rsidRPr="00452E2E">
        <w:rPr>
          <w:szCs w:val="24"/>
        </w:rPr>
        <w:instrText>ADDIN CSL_CITATION { "citationItems" : [ { "id" : "ITEM-1", "itemData" : { "author" : [ { "dropping-particle" : "", "family" : "Nutt", "given" : "Paul C", "non-dropping-particle" : "", "parse-names" : false, "suffix" : "" }, { "dropping-particle" : "", "family" : "Backoff", "given" : "Robert W", "non-dropping-particle" : "", "parse-names" : false, "suffix" : "" } ], "container-title" : "Journal of Public Administration Research and Theory", "id" : "ITEM-1", "issue" : "2", "issued" : { "date-parts" : [ [ "1993" ] ] }, "page" : "209-231", "title" : "Organizational publicness and its implications for strategic management", "type" : "article-journal", "volume" : "3" }, "uris" : [ "http://www.mendeley.com/documents/?uuid=f98649e1-83a4-4490-8512-31475a7fbba4" ] } ], "mendeley" : { "formattedCitation" : "(Nutt &amp; Backoff 1993)", "manualFormatting" : "(Nutt &amp; Backoff, 1993)", "plainTextFormattedCitation" : "(Nutt &amp; Backoff 1993)", "previouslyFormattedCitation" : "(Nutt &amp; Backoff 1993)" }, "properties" : { "noteIndex" : 0 }, "schema" : "https://github.com/citation-style-language/schema/raw/master/csl-citation.json" }</w:instrText>
      </w:r>
      <w:r w:rsidRPr="00452E2E">
        <w:rPr>
          <w:szCs w:val="24"/>
        </w:rPr>
        <w:fldChar w:fldCharType="separate"/>
      </w:r>
      <w:r w:rsidRPr="00452E2E">
        <w:rPr>
          <w:noProof/>
          <w:szCs w:val="24"/>
        </w:rPr>
        <w:t>(Nutt &amp; Backoff, 1993)</w:t>
      </w:r>
      <w:r w:rsidRPr="00452E2E">
        <w:rPr>
          <w:szCs w:val="24"/>
        </w:rPr>
        <w:fldChar w:fldCharType="end"/>
      </w:r>
      <w:r w:rsidRPr="00452E2E">
        <w:rPr>
          <w:szCs w:val="24"/>
        </w:rPr>
        <w:t xml:space="preserve">. Whilst the pure private organizations are strictly under the control of economic authority, the pure public ones are strictly subject to political authority </w:t>
      </w:r>
      <w:r w:rsidRPr="00452E2E">
        <w:rPr>
          <w:szCs w:val="24"/>
        </w:rPr>
        <w:fldChar w:fldCharType="begin" w:fldLock="1"/>
      </w:r>
      <w:r w:rsidRPr="00452E2E">
        <w:rPr>
          <w:szCs w:val="24"/>
        </w:rPr>
        <w:instrText>ADDIN CSL_CITATION { "citationItems" : [ { "id" : "ITEM-1", "itemData" : { "author" : [ { "dropping-particle" : "", "family" : "Bozeman", "given" : "Barry", "non-dropping-particle" : "", "parse-names" : false, "suffix" : "" } ], "id" : "ITEM-1", "issued" : { "date-parts" : [ [ "1987" ] ] }, "publisher" : "Jossey-Bass", "publisher-place" : "San Francisco CA", "title" : "All organizations are public: Bridging public and private organizational theories", "type" : "book" }, "uris" : [ "http://www.mendeley.com/documents/?uuid=04c8e509-159b-4ee2-bbec-677e9d6e3592" ] }, { "id" : "ITEM-2", "itemData" : { "DOI" : "10.1177/027507409802800202", "ISBN" : "0275074098028", "ISSN" : "0275-0740", "abstract" : "Over the past several years, a growing body of research has compared public and private organizations, using a variety of approaches to examine which organizational attributes are shared across sectors and which are primarily sector specific. Although the evidence has yet to resolve the debate over differences between public and private organizations, three underlying conceptual frameworks have emerged: the generic approach, the core approach, and more recently, the dimensional approach. This study compares the relative utility of each framework, using a national sample of public private, and hybrid research and development laboratories. The findings provide support primarily for the care and dimensional framework, with personnel functions and external outputs better explained by the core approach, and internal resource acquisition functions better explained by the dimensional approach. This article discusses these findings and their implications for future comparative research.", "author" : [ { "dropping-particle" : "", "family" : "Scott", "given" : "P. G.", "non-dropping-particle" : "", "parse-names" : false, "suffix" : "" }, { "dropping-particle" : "", "family" : "Falcone", "given" : "S.", "non-dropping-particle" : "", "parse-names" : false, "suffix" : "" } ], "container-title" : "The American Review of Public Administration", "id" : "ITEM-2", "issued" : { "date-parts" : [ [ "1998" ] ] }, "page" : "126-145", "title" : "Comparing public and private organizations: An exploratory analysis of three frameworks", "type" : "article-journal", "volume" : "28" }, "uris" : [ "http://www.mendeley.com/documents/?uuid=39b25d00-6ae7-4473-9102-4102e645dc05" ] }, { "id" : "ITEM-3",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"ITEM-3", "issued" : { "date-parts" : [ [ "2013" ] ] }, "title" : "In search of the public: an analysis of the derivation and application of publicness theories", "type" : "article" }, "uris" : [ "http://www.mendeley.com/documents/?uuid=a0872ca4-d25b-4c12-a49c-86741deb6b6b" ] } ], "mendeley" : { "formattedCitation" : "(Bozeman 1987; Scott &amp; Falcone 1998; Williams &amp; Powell 2013)", "manualFormatting" : "(Bozeman, 1987; Scott &amp; Falcone, 1998; Williams &amp; Powell, 2013)", "plainTextFormattedCitation" : "(Bozeman 1987; Scott &amp; Falcone 1998; Williams &amp; Powell 2013)", "previouslyFormattedCitation" : "(Bozeman 1987; Scott &amp; Falcone 1998; Williams &amp; Powell 2013)" }, "properties" : { "noteIndex" : 0 }, "schema" : "https://github.com/citation-style-language/schema/raw/master/csl-citation.json" }</w:instrText>
      </w:r>
      <w:r w:rsidRPr="00452E2E">
        <w:rPr>
          <w:szCs w:val="24"/>
        </w:rPr>
        <w:fldChar w:fldCharType="separate"/>
      </w:r>
      <w:r w:rsidRPr="00452E2E">
        <w:rPr>
          <w:noProof/>
          <w:szCs w:val="24"/>
        </w:rPr>
        <w:t>(Bozeman, 1987; Scott &amp; Falcone, 1998; Williams &amp; Powell, 2013)</w:t>
      </w:r>
      <w:r w:rsidRPr="00452E2E">
        <w:rPr>
          <w:szCs w:val="24"/>
        </w:rPr>
        <w:fldChar w:fldCharType="end"/>
      </w:r>
      <w:r w:rsidRPr="00452E2E">
        <w:rPr>
          <w:szCs w:val="24"/>
        </w:rPr>
        <w:t xml:space="preserve">. This means that the more an organization is under the control of economic authority, the more private it is whilst the more an organization is subject to political authority, the more public it is </w:t>
      </w:r>
      <w:r w:rsidRPr="00452E2E">
        <w:rPr>
          <w:szCs w:val="24"/>
        </w:rPr>
        <w:fldChar w:fldCharType="begin" w:fldLock="1"/>
      </w:r>
      <w:r w:rsidRPr="00452E2E">
        <w:rPr>
          <w:szCs w:val="24"/>
        </w:rPr>
        <w:instrText>ADDIN CSL_CITATION { "citationItems" : [ { "id" : "ITEM-1", "itemData" : { "author" : [ { "dropping-particle" : "", "family" : "Bozeman", "given" : "Barry", "non-dropping-particle" : "", "parse-names" : false, "suffix" : "" } ], "id" : "ITEM-1", "issued" : { "date-parts" : [ [ "1987" ] ] }, "publisher" : "Jossey-Bass", "publisher-place" : "San Francisco CA", "title" : "All organizations are public: Bridging public and private organizational theories", "type" : "book" }, "uris" : [ "http://www.mendeley.com/documents/?uuid=04c8e509-159b-4ee2-bbec-677e9d6e3592" ] }, { "id" : "ITEM-2", "itemData" : { "author" : [ { "dropping-particle" : "", "family" : "Nutt", "given" : "Paul C", "non-dropping-particle" : "", "parse-names" : false, "suffix" : "" }, { "dropping-particle" : "", "family" : "Backoff", "given" : "Robert W", "non-dropping-particle" : "", "parse-names" : false, "suffix" : "" } ], "container-title" : "Journal of Public Administration Research and Theory", "id" : "ITEM-2", "issue" : "2", "issued" : { "date-parts" : [ [ "1993" ] ] }, "page" : "209-231", "title" : "Organizational publicness and its implications for strategic management", "type" : "article-journal", "volume" : "3" }, "uris" : [ "http://www.mendeley.com/documents/?uuid=f98649e1-83a4-4490-8512-31475a7fbba4" ] }, { "id" : "ITEM-3", "itemData" : { "author" : [ { "dropping-particle" : "", "family" : "Williams", "given" : "Iestyn", "non-dropping-particle" : "", "parse-names" : false, "suffix" : "" }, { "dropping-particle" : "", "family" : "Powell", "given" : "Martin", "non-dropping-particle" : "", "parse-names" : false, "suffix" : "" } ], "genre" : "Paper for the symposium \u2018Blurring the boundaries between public and private\u2019, Social Policy Association Conference, Sheffield 8-10 July 2013", "id" : "ITEM-3", "issued" : { "date-parts" : [ [ "2013" ] ] }, "title" : "In search of the public: an analysis of the derivation and application of publicness theories", "type" : "article" }, "uris" : [ "http://www.mendeley.com/documents/?uuid=a0872ca4-d25b-4c12-a49c-86741deb6b6b" ] } ], "mendeley" : { "formattedCitation" : "(Bozeman 1987; Nutt &amp; Backoff 1993; Williams &amp; Powell 2013)", "manualFormatting" : "(Bozeman, 1987; Williams &amp; Powell, 2013)", "plainTextFormattedCitation" : "(Bozeman 1987; Nutt &amp; Backoff 1993; Williams &amp; Powell 2013)", "previouslyFormattedCitation" : "(Bozeman 1987; Nutt &amp; Backoff 1993; Williams &amp; Powell 2013)" }, "properties" : { "noteIndex" : 0 }, "schema" : "https://github.com/citation-style-language/schema/raw/master/csl-citation.json" }</w:instrText>
      </w:r>
      <w:r w:rsidRPr="00452E2E">
        <w:rPr>
          <w:szCs w:val="24"/>
        </w:rPr>
        <w:fldChar w:fldCharType="separate"/>
      </w:r>
      <w:r w:rsidRPr="00452E2E">
        <w:rPr>
          <w:noProof/>
          <w:szCs w:val="24"/>
        </w:rPr>
        <w:t>(Bozeman, 1987; Williams &amp; Powell, 2013)</w:t>
      </w:r>
      <w:r w:rsidRPr="00452E2E">
        <w:rPr>
          <w:szCs w:val="24"/>
        </w:rPr>
        <w:fldChar w:fldCharType="end"/>
      </w:r>
      <w:r w:rsidRPr="00452E2E">
        <w:rPr>
          <w:szCs w:val="24"/>
        </w:rPr>
        <w:t xml:space="preserve">. As noted by Scott and Falcone (1998), the dimensional approach is useful not only because it accounts for hybrid organizations, but it also takes into cognisance the political behaviour of private organizations as well as the economic behaviour of government ones. </w:t>
      </w:r>
    </w:p>
    <w:p w:rsidR="00D03A8E" w:rsidRPr="00452E2E" w:rsidRDefault="008E5B86" w:rsidP="00D03A8E">
      <w:pPr>
        <w:spacing w:line="360" w:lineRule="auto"/>
        <w:jc w:val="both"/>
        <w:rPr>
          <w:szCs w:val="24"/>
        </w:rPr>
      </w:pPr>
      <w:r w:rsidRPr="00452E2E">
        <w:rPr>
          <w:szCs w:val="24"/>
        </w:rPr>
        <w:t xml:space="preserve">Therefore, public organizations are defined in this research as organizations that are </w:t>
      </w:r>
      <w:r w:rsidRPr="00452E2E">
        <w:rPr>
          <w:i/>
          <w:szCs w:val="24"/>
        </w:rPr>
        <w:t>wholly</w:t>
      </w:r>
      <w:r w:rsidRPr="00452E2E">
        <w:rPr>
          <w:szCs w:val="24"/>
        </w:rPr>
        <w:t xml:space="preserve"> owned by the government and funded </w:t>
      </w:r>
      <w:r w:rsidRPr="00452E2E">
        <w:rPr>
          <w:i/>
          <w:szCs w:val="24"/>
        </w:rPr>
        <w:t>mainly</w:t>
      </w:r>
      <w:r w:rsidRPr="00452E2E">
        <w:rPr>
          <w:szCs w:val="24"/>
        </w:rPr>
        <w:t xml:space="preserve"> through government appropriations whilst private organizations are defined as organizations that are </w:t>
      </w:r>
      <w:r w:rsidRPr="00452E2E">
        <w:rPr>
          <w:i/>
          <w:szCs w:val="24"/>
        </w:rPr>
        <w:t>wholly</w:t>
      </w:r>
      <w:r w:rsidRPr="00452E2E">
        <w:rPr>
          <w:szCs w:val="24"/>
        </w:rPr>
        <w:t xml:space="preserve"> owned by individuals or shareholders and funded </w:t>
      </w:r>
      <w:r w:rsidRPr="00452E2E">
        <w:rPr>
          <w:i/>
          <w:szCs w:val="24"/>
        </w:rPr>
        <w:t>mainly</w:t>
      </w:r>
      <w:r w:rsidRPr="00452E2E">
        <w:rPr>
          <w:szCs w:val="24"/>
        </w:rPr>
        <w:t xml:space="preserve"> through revenue from customers or owners’ funds. On the basis of this classification, this research </w:t>
      </w:r>
      <w:r w:rsidR="001F3F22" w:rsidRPr="00452E2E">
        <w:rPr>
          <w:szCs w:val="24"/>
        </w:rPr>
        <w:t>will</w:t>
      </w:r>
      <w:r w:rsidRPr="00452E2E">
        <w:rPr>
          <w:szCs w:val="24"/>
        </w:rPr>
        <w:t xml:space="preserve"> explore the nature of HRM in public and private sector in Nigeria </w:t>
      </w:r>
      <w:r w:rsidR="001F3F22" w:rsidRPr="00452E2E">
        <w:rPr>
          <w:szCs w:val="24"/>
        </w:rPr>
        <w:t>as well as</w:t>
      </w:r>
      <w:r w:rsidRPr="00452E2E">
        <w:rPr>
          <w:szCs w:val="24"/>
        </w:rPr>
        <w:t xml:space="preserve"> the effects of HR practices on employee attitudes in public and private sector.  </w:t>
      </w:r>
    </w:p>
    <w:p w:rsidR="00D03A8E" w:rsidRPr="00452E2E" w:rsidRDefault="003633A9" w:rsidP="00170224">
      <w:pPr>
        <w:pStyle w:val="Heading3"/>
      </w:pPr>
      <w:bookmarkStart w:id="21" w:name="_Toc465271160"/>
      <w:bookmarkStart w:id="22" w:name="_Toc473808099"/>
      <w:r w:rsidRPr="00452E2E">
        <w:t>1.4</w:t>
      </w:r>
      <w:r w:rsidR="00D03A8E" w:rsidRPr="00452E2E">
        <w:t xml:space="preserve"> The Research Problem</w:t>
      </w:r>
      <w:bookmarkEnd w:id="21"/>
      <w:bookmarkEnd w:id="22"/>
    </w:p>
    <w:p w:rsidR="00236089" w:rsidRPr="00452E2E" w:rsidRDefault="00D03A8E" w:rsidP="00D03A8E">
      <w:pPr>
        <w:spacing w:line="360" w:lineRule="auto"/>
        <w:jc w:val="both"/>
      </w:pPr>
      <w:r w:rsidRPr="00452E2E">
        <w:t xml:space="preserve">There are two distinct approaches to HRM </w:t>
      </w:r>
      <w:r w:rsidRPr="00452E2E">
        <w:fldChar w:fldCharType="begin" w:fldLock="1"/>
      </w:r>
      <w:r w:rsidRPr="00452E2E">
        <w:instrText>ADDIN CSL_CITATION { "citationItems" : [ { "id" : "ITEM-1", "itemData" : { "author" : [ { "dropping-particle" : "", "family" : "Storey", "given" : "John", "non-dropping-particle" : "", "parse-names" : false, "suffix" : "" } ], "id" : "ITEM-1", "issued" : { "date-parts" : [ [ "1995" ] ] }, "publisher" : "Routledge", "publisher-place" : "London", "title" : "Human resource management: A critical text", "type" : "book" }, "uris" : [ "http://www.mendeley.com/documents/?uuid=e1eb0dd4-a012-4b7a-b16d-dc73f1e1f2aa" ] } ], "mendeley" : { "formattedCitation" : "(Storey 1995)", "manualFormatting" : "(Storey, 1995)", "plainTextFormattedCitation" : "(Storey 1995)", "previouslyFormattedCitation" : "(Storey 1995)" }, "properties" : { "noteIndex" : 0 }, "schema" : "https://github.com/citation-style-language/schema/raw/master/csl-citation.json" }</w:instrText>
      </w:r>
      <w:r w:rsidRPr="00452E2E">
        <w:fldChar w:fldCharType="separate"/>
      </w:r>
      <w:r w:rsidRPr="00452E2E">
        <w:rPr>
          <w:noProof/>
        </w:rPr>
        <w:t>(Storey, 1995)</w:t>
      </w:r>
      <w:r w:rsidRPr="00452E2E">
        <w:fldChar w:fldCharType="end"/>
      </w:r>
      <w:r w:rsidRPr="00452E2E">
        <w:t xml:space="preserve"> which may be influenced by the context in which organizations operate </w:t>
      </w:r>
      <w:r w:rsidRPr="00452E2E">
        <w:fldChar w:fldCharType="begin" w:fldLock="1"/>
      </w:r>
      <w:r w:rsidRPr="00452E2E">
        <w:instrText>ADDIN CSL_CITATION { "citationItems" : [ { "id" : "ITEM-1", "itemData" : { "abstract" : "TheUS originated notion ofHRMhas been widely accepted across the world \u2013 and also widely criticized. The underlying features of the European economy are different from those of the USA and it is argued that these have led to a different approach to HRM being developed in Europe. Differences in features such as more limited individualism, a greater role for the State, different patterns of consultation and patterns of ownership, are linked to these different practices and have led to more varied patterns of research and a more critical literature. Keywords", "author" : [ { "dropping-particle" : "", "family" : "Brewster", "given" : "Chris", "non-dropping-particle" : "", "parse-names" : false, "suffix" : "" } ], "container-title" : "The International Journal of Human Resource Management", "id" : "ITEM-1", "issue" : "5", "issued" : { "date-parts" : [ [ "2007" ] ] }, "page" : "769-787", "title" : "Comparative HRM: European views and perspectives", "type" : "article-journal", "volume" : "18" }, "uris" : [ "http://www.mendeley.com/documents/?uuid=2eadcb0b-8992-405b-87d6-41610c41b626" ] }, { "id" : "ITEM-2", "itemData" : { "DOI" : "10.1080/09585192.2013.770780", "ISBN" : "0958-5192", "ISSN" : "0958-5192", "abstract" : "This paper reports different managerial approaches to engaging employees in two contrasting organizations. We categorize these approaches to employee engagement as \u2018hard\u2019 and \u2018soft\u2019, and examine how these reflect the different external contexts in which management operate and, in particular, their influence on management\u2019s ability to promote a supportive internal context. The paper extends the existing literature on the antecedents of engagement by illustrating the importance of combining practitioner concerns about the role and practice of managers with the insights derived from the psychological literature relating to job features. We build from these two approaches to include important features of organizational context to examine the tensions and constraints management encounter in promoting engagement. Our analysis draws on the critical organizational and HRM literature to make a contribution to understanding different applications of employee engagement within organizations. In so doing, we outline a situated and critical reading of organizations to better appreciate that management practices are complex, contested, emergent, locally enacted and context specific, and thereby provide new insights into the inherent challenges of delivering engaged employees. Keywords:", "author" : [ { "dropping-particle" : "", "family" : "Jenkins", "given" : "Sarah", "non-dropping-particle" : "", "parse-names" : false, "suffix" : "" }, { "dropping-particle" : "", "family" : "Delbridge", "given" : "Rick", "non-dropping-particle" : "", "parse-names" : false, "suffix" : "" } ], "container-title" : "The International Journal of Human Resource Management", "id" : "ITEM-2", "issue" : "14", "issued" : { "date-parts" : [ [ "2013" ] ] }, "page" : "2670-2691", "title" : "Context matters: Examining \u2018soft\u2019 and \u2018hard\u2019 approaches to employee engagement in two workplaces", "type" : "article-journal", "volume" : "24" }, "uris" : [ "http://www.mendeley.com/documents/?uuid=8af85f3c-afe9-402c-b9cf-d2810843fbfa" ] } ], "mendeley" : { "formattedCitation" : "(Brewster 2007; Jenkins &amp; Delbridge 2013)", "manualFormatting" : "(Brewster, 2007; Jenkins &amp; Delbridge, 2013)", "plainTextFormattedCitation" : "(Brewster 2007; Jenkins &amp; Delbridge 2013)", "previouslyFormattedCitation" : "(Brewster 2007; Jenkins &amp; Delbridge 2013)" }, "properties" : { "noteIndex" : 0 }, "schema" : "https://github.com/citation-style-language/schema/raw/master/csl-citation.json" }</w:instrText>
      </w:r>
      <w:r w:rsidRPr="00452E2E">
        <w:fldChar w:fldCharType="separate"/>
      </w:r>
      <w:r w:rsidRPr="00452E2E">
        <w:rPr>
          <w:noProof/>
        </w:rPr>
        <w:t>(Brewster, 2007; Jenkins &amp; Delbridge, 2013)</w:t>
      </w:r>
      <w:r w:rsidRPr="00452E2E">
        <w:fldChar w:fldCharType="end"/>
      </w:r>
      <w:r w:rsidRPr="00452E2E">
        <w:t xml:space="preserve">. One approach views the people that work for </w:t>
      </w:r>
      <w:r w:rsidRPr="00452E2E">
        <w:lastRenderedPageBreak/>
        <w:t xml:space="preserve">organizations like any resource that can be deployed to achieve organizational goals </w:t>
      </w:r>
      <w:r w:rsidRPr="00452E2E">
        <w:fldChar w:fldCharType="begin" w:fldLock="1"/>
      </w:r>
      <w:r w:rsidRPr="00452E2E">
        <w:instrText>ADDIN CSL_CITATION { "citationItems" : [ { "id" : "ITEM-1", "itemData" : { "author" : [ { "dropping-particle" : "", "family" : "Beardwell", "given" : "Julie", "non-dropping-particle" : "", "parse-names" : false, "suffix" : "" }, { "dropping-particle" : "", "family" : "Clark", "given" : "Ian", "non-dropping-particle" : "", "parse-names" : false, "suffix" : "" } ], "container-title" : "Human resource management: A contemporary approach", "edition" : "5th ed", "editor" : [ { "dropping-particle" : "", "family" : "Beardwell", "given" : "Julie", "non-dropping-particle" : "", "parse-names" : false, "suffix" : "" }, { "dropping-particle" : "", "family" : "Claydon", "given" : "Tim", "non-dropping-particle" : "", "parse-names" : false, "suffix" : "" } ], "id" : "ITEM-1", "issued" : { "date-parts" : [ [ "2007" ] ] }, "page" : "4-33", "publisher" : "FT/Prentice Hall", "publisher-place" : "Harlow", "title" : "An introduction to human resource management", "type" : "chapter" }, "uris" : [ "http://www.mendeley.com/documents/?uuid=4fe7b6eb-ad0f-401a-9e47-1744cccffef2" ] } ], "mendeley" : { "formattedCitation" : "(Beardwell &amp; Clark 2007)", "manualFormatting" : "(Beardwell &amp; Clark, 2007)", "plainTextFormattedCitation" : "(Beardwell &amp; Clark 2007)", "previouslyFormattedCitation" : "(Beardwell &amp; Clark 2007)" }, "properties" : { "noteIndex" : 0 }, "schema" : "https://github.com/citation-style-language/schema/raw/master/csl-citation.json" }</w:instrText>
      </w:r>
      <w:r w:rsidRPr="00452E2E">
        <w:fldChar w:fldCharType="separate"/>
      </w:r>
      <w:r w:rsidRPr="00452E2E">
        <w:rPr>
          <w:noProof/>
        </w:rPr>
        <w:t>(Beardwell &amp; Clark, 2007)</w:t>
      </w:r>
      <w:r w:rsidRPr="00452E2E">
        <w:fldChar w:fldCharType="end"/>
      </w:r>
      <w:r w:rsidRPr="00452E2E">
        <w:t xml:space="preserve">. Organizations using this approach tend to adopt what Webster &amp; Wood (2005) refer to </w:t>
      </w:r>
      <w:r w:rsidR="000F02C5" w:rsidRPr="00452E2E">
        <w:t xml:space="preserve">as </w:t>
      </w:r>
      <w:r w:rsidRPr="00452E2E">
        <w:t xml:space="preserve">“low-value added” HR practices that are characterised by low pay, low investment in training, low employee voice, low job security and an emphasis on individual productivity </w:t>
      </w:r>
      <w:r w:rsidRPr="00452E2E">
        <w:fldChar w:fldCharType="begin" w:fldLock="1"/>
      </w:r>
      <w:r w:rsidRPr="00452E2E">
        <w:instrText>ADDIN CSL_CITATION { "citationItems" : [ { "id" : "ITEM-1", "itemData" : { "author" : [ { "dropping-particle" : "", "family" : "Storey", "given" : "John", "non-dropping-particle" : "", "parse-names" : false, "suffix" : "" } ], "id" : "ITEM-1", "issued" : { "date-parts" : [ [ "1995" ] ] }, "publisher" : "Routledge", "publisher-place" : "London", "title" : "Human resource management: A critical text", "type" : "book" }, "uris" : [ "http://www.mendeley.com/documents/?uuid=e1eb0dd4-a012-4b7a-b16d-dc73f1e1f2aa"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"id" : "ITEM-3", "itemData" : { "author" : [ { "dropping-particle" : "", "family" : "Crawshaw", "given" : "J.R.", "non-dropping-particle" : "", "parse-names" : false, "suffix" : "" }, { "dropping-particle" : "", "family" : "Hatch", "given" : "Alastair",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"ITEM-3", "issued" : { "date-parts" : [ [ "2014" ] ] }, "page" : "2-25", "publisher" : "SAGE", "publisher-place" : "London", "title" : "Introduction: Context and challenges for HRM", "type" : "chapter" }, "uris" : [ "http://www.mendeley.com/documents/?uuid=84ce5326-441a-41fd-83ea-4c959ef8be86" ] } ], "mendeley" : { "formattedCitation" : "(Storey 1995; Webster &amp; Wood 2005; Crawshaw &amp; Hatch 2014)", "manualFormatting" : "(Storey, 1995; Webster &amp; Wood, 2005; Crawshaw &amp; Hatch, 2014)", "plainTextFormattedCitation" : "(Storey 1995; Webster &amp; Wood 2005; Crawshaw &amp; Hatch 2014)", "previouslyFormattedCitation" : "(Storey 1995; Webster &amp; Wood 2005; Crawshaw &amp; Hatch 2014)" }, "properties" : { "noteIndex" : 0 }, "schema" : "https://github.com/citation-style-language/schema/raw/master/csl-citation.json" }</w:instrText>
      </w:r>
      <w:r w:rsidRPr="00452E2E">
        <w:fldChar w:fldCharType="separate"/>
      </w:r>
      <w:r w:rsidRPr="00452E2E">
        <w:rPr>
          <w:noProof/>
        </w:rPr>
        <w:t>(Storey, 1995; Webster &amp; Wood, 2005; Crawshaw &amp; Hatch, 2014)</w:t>
      </w:r>
      <w:r w:rsidRPr="00452E2E">
        <w:fldChar w:fldCharType="end"/>
      </w:r>
      <w:r w:rsidRPr="00452E2E">
        <w:t xml:space="preserve">. A second approach however is focused on engendering the commitment of workers </w:t>
      </w:r>
      <w:r w:rsidRPr="00452E2E">
        <w:fldChar w:fldCharType="begin" w:fldLock="1"/>
      </w:r>
      <w:r w:rsidRPr="00452E2E">
        <w:instrText>ADDIN CSL_CITATION { "citationItems" : [ { "id" : "ITEM-1", "itemData" : { "author" : [ { "dropping-particle" : "", "family" : "Crawshaw", "given" : "J.R.", "non-dropping-particle" : "", "parse-names" : false, "suffix" : "" }, { "dropping-particle" : "", "family" : "Hatch", "given" : "Alastair",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"2-25", "publisher" : "SAGE", "publisher-place" : "London", "title" : "Introduction: Context and challenges for HRM", "type" : "chapter" }, "uris" : [ "http://www.mendeley.com/documents/?uuid=84ce5326-441a-41fd-83ea-4c959ef8be86" ] } ], "mendeley" : { "formattedCitation" : "(Crawshaw &amp; Hatch 2014)", "manualFormatting" : "(Crawshaw &amp; Hatch, 2014)", "plainTextFormattedCitation" : "(Crawshaw &amp; Hatch 2014)", "previouslyFormattedCitation" : "(Crawshaw &amp; Hatch 2014)" }, "properties" : { "noteIndex" : 0 }, "schema" : "https://github.com/citation-style-language/schema/raw/master/csl-citation.json" }</w:instrText>
      </w:r>
      <w:r w:rsidRPr="00452E2E">
        <w:fldChar w:fldCharType="separate"/>
      </w:r>
      <w:r w:rsidRPr="00452E2E">
        <w:rPr>
          <w:noProof/>
        </w:rPr>
        <w:t>(Crawshaw &amp; Hatch, 2014)</w:t>
      </w:r>
      <w:r w:rsidRPr="00452E2E">
        <w:fldChar w:fldCharType="end"/>
      </w:r>
      <w:r w:rsidRPr="00452E2E">
        <w:t xml:space="preserve"> through the adoption of “high-value added” HR practices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"(cf.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(cf. Webster &amp; Wood, 2005)</w:t>
      </w:r>
      <w:r w:rsidRPr="00452E2E">
        <w:fldChar w:fldCharType="end"/>
      </w:r>
      <w:r w:rsidRPr="00452E2E">
        <w:t xml:space="preserve"> characterised by high pay, high investment in training, high employee voice, and high job security </w:t>
      </w:r>
      <w:r w:rsidRPr="00452E2E">
        <w:fldChar w:fldCharType="begin" w:fldLock="1"/>
      </w:r>
      <w:r w:rsidRPr="00452E2E">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"Boxall", "given" : "Peter", "non-dropping-particle" : "", "parse-names" : false, "suffix" : "" }, { "dropping-particle" : "", "family" : "Purcell", "given" : "John", "non-dropping-particle" : "", "parse-names" : false, "suffix" : "" } ], "id" : "ITEM-2", "issued" : { "date-parts" : [ [ "2003" ] ] }, "publisher" : "Palgrave Macmillan", "publisher-place" : "Houndsmill", "title" : "Strategy and human resource management", "type" : "book" }, "uris" : [ "http://www.mendeley.com/documents/?uuid=7df8cee2-2170-4d1e-b2a0-ed8404b86785" ] } ], "mendeley" : { "formattedCitation" : "(Appelbaum et al. 2000; Boxall &amp; Purcell 2003)", "manualFormatting" : "(Appelbaum et al., 2000; Boxall &amp; Purcell, 2003; Crawshaw &amp; Hatch, 2014)", "plainTextFormattedCitation" : "(Appelbaum et al. 2000; Boxall &amp; Purcell 2003)", "previouslyFormattedCitation" : "(Appelbaum et al. 2000; Boxall &amp; Purcell 2003)" }, "properties" : { "noteIndex" : 0 }, "schema" : "https://github.com/citation-style-language/schema/raw/master/csl-citation.json" }</w:instrText>
      </w:r>
      <w:r w:rsidRPr="00452E2E">
        <w:fldChar w:fldCharType="separate"/>
      </w:r>
      <w:r w:rsidRPr="00452E2E">
        <w:rPr>
          <w:noProof/>
        </w:rPr>
        <w:t xml:space="preserve">(Appelbaum </w:t>
      </w:r>
      <w:r w:rsidRPr="00452E2E">
        <w:rPr>
          <w:i/>
          <w:noProof/>
        </w:rPr>
        <w:t>et al</w:t>
      </w:r>
      <w:r w:rsidRPr="00452E2E">
        <w:rPr>
          <w:noProof/>
        </w:rPr>
        <w:t>., 2000; Boxall &amp; Purcell, 2003; Crawshaw &amp; Hatch, 2014)</w:t>
      </w:r>
      <w:r w:rsidRPr="00452E2E">
        <w:fldChar w:fldCharType="end"/>
      </w:r>
      <w:r w:rsidRPr="00452E2E">
        <w:t xml:space="preserve">. </w:t>
      </w:r>
    </w:p>
    <w:p w:rsidR="00D03A8E" w:rsidRPr="00452E2E" w:rsidRDefault="00D03A8E" w:rsidP="00D03A8E">
      <w:pPr>
        <w:spacing w:line="360" w:lineRule="auto"/>
        <w:jc w:val="both"/>
      </w:pPr>
      <w:r w:rsidRPr="00452E2E">
        <w:t xml:space="preserve">Whilst there is debate as to whether HRM across the world is converging towards the “low-value added” model as a result of competitive pressures arising from globalization </w:t>
      </w:r>
      <w:r w:rsidRPr="00452E2E">
        <w:fldChar w:fldCharType="begin" w:fldLock="1"/>
      </w:r>
      <w:r w:rsidRPr="00452E2E">
        <w:instrText>ADDIN CSL_CITATION { "citationItems" : [ { "id" : "ITEM-1", "itemData" : { "abstract" : "TheUS originated notion ofHRMhas been widely accepted across the world \u2013 and also widely criticized. The underlying features of the European economy are different from those of the USA and it is argued that these have led to a different approach to HRM being developed in Europe. Differences in features such as more limited individualism, a greater role for the State, different patterns of consultation and patterns of ownership, are linked to these different practices and have led to more varied patterns of research and a more critical literature. Keywords", "author" : [ { "dropping-particle" : "", "family" : "Brewster", "given" : "Chris", "non-dropping-particle" : "", "parse-names" : false, "suffix" : "" } ], "container-title" : "The International Journal of Human Resource Management", "id" : "ITEM-1", "issue" : "5", "issued" : { "date-parts" : [ [ "2007" ] ] }, "page" : "769-787", "title" : "Comparative HRM: European views and perspectives", "type" : "article-journal", "volume" : "18" }, "uris" : [ "http://www.mendeley.com/documents/?uuid=2eadcb0b-8992-405b-87d6-41610c41b626" ] } ], "mendeley" : { "formattedCitation" : "(Brewster 2007)", "manualFormatting" : "(Brewster, 2007)", "plainTextFormattedCitation" : "(Brewster 2007)", "previouslyFormattedCitation" : "(Brewster 2007)" }, "properties" : { "noteIndex" : 0 }, "schema" : "https://github.com/citation-style-language/schema/raw/master/csl-citation.json" }</w:instrText>
      </w:r>
      <w:r w:rsidRPr="00452E2E">
        <w:fldChar w:fldCharType="separate"/>
      </w:r>
      <w:r w:rsidRPr="00452E2E">
        <w:rPr>
          <w:noProof/>
        </w:rPr>
        <w:t>(Brewster, 2007)</w:t>
      </w:r>
      <w:r w:rsidRPr="00452E2E">
        <w:fldChar w:fldCharType="end"/>
      </w:r>
      <w:r w:rsidRPr="00452E2E">
        <w:t xml:space="preserve">, empirical research indicate that whilst pressures of globalization persist, national institutional differences preclude the convergence of HRM towards a single model </w:t>
      </w:r>
      <w:r w:rsidRPr="00452E2E">
        <w:fldChar w:fldCharType="begin" w:fldLock="1"/>
      </w:r>
      <w:r w:rsidRPr="00452E2E">
        <w:instrText>ADDIN CSL_CITATION { "citationItems" : [ { "id" : "ITEM-1", "itemData" : { "abstract" : "There is considerable debate as to the determinants of the human resource policies of human resource management: do they reflect national institutional or cultural realities, emerging common global practices, parent country effects or the dual effects of transnational and national realities? We use an extensive international database to explore these differences, assessing variations in a range of human resource practices. We find new evidence of national differences in the manner in which indigenous firms manage their people, but also evidence of a similarity in practice amongst multinational corporations. In other words, multinational corporations tend to manage their human resources in ways that are distinct from those of their host country; at the same time, country of origin effects seem relatively weak. Whilst there is some evidence of common global practices, sufficient diversity in practice persists to suggest that duality theories may provide the most appropriate explanation. [ABSTRACT FROM AUTHOR]", "author" : [ { "dropping-particle" : "", "family" : "Brewster", "given" : "Chris", "non-dropping-particle" : "", "parse-names" : false, "suffix" : "" }, { "dropping-particle" : "", "family" : "Wood", "given" : "Geoffrey", "non-dropping-particle" : "", "parse-names" : false, "suffix" : "" }, { "dropping-particle" : "", "family" : "Brookes", "given" : "Michael", "non-dropping-particle" : "", "parse-names" : false, "suffix" : "" } ], "container-title" : "British Journal of Management", "id" : "ITEM-1", "issue" : "4", "issued" : { "date-parts" : [ [ "2008" ] ] }, "page" : "320-342", "title" : "Similarity, isomorphism or duality? Recent survey evidence on the human resource management policies of multinational corporations", "type" : "article-journal", "volume" : "19" }, "uris" : [ "http://www.mendeley.com/documents/?uuid=fa4d3562-9a2e-4782-aa4a-ebbd03b1ac30" ] }, { "id" : "ITEM-2", "itemData" : { "DOI" : "10.1016/j.hrmr.2010.09.011", "ISBN" : "1053-4822", "ISSN" : "10534822", "abstract" : "In this paper we explore the notion of convergence in managerial practice as a result of globalization. Focused on convergence at the national level, we offer a more nuanced exposition of convergence than has been evident in previous literature and draw upon a study that empirically analyzes the development of HRM in larger private sector firms in 13 European countries between 1992 and 2004 to examine any evidence of human resource management practices becoming more alike. We find considerable evidence of directional similarity - practices increasing or decreasing in the same way across the countries - but no evidence of final convergence - countries becoming more alike in the way they manage people. The findings have important implications for theories of convergence, theories of HRM, and for practitioners in multinational corporations. ?? 2010 Elsevier Inc.", "author" : [ { "dropping-particle" : "", "family" : "Mayrhofer", "given" : "Wolfgang", "non-dropping-particle" : "", "parse-names" : false, "suffix" : "" }, { "dropping-particle" : "", "family" : "Brewster", "given" : "Chris", "non-dropping-particle" : "", "parse-names" : false, "suffix" : "" }, { "dropping-particle" : "", "family" : "Morley", "given" : "Michael J.", "non-dropping-particle" : "", "parse-names" : false, "suffix" : "" }, { "dropping-particle" : "", "family" : "Ledolter", "given" : "Johannes", "non-dropping-particle" : "", "parse-names" : false, "suffix" : "" } ], "container-title" : "Human Resource Management Review", "id" : "ITEM-2", "issue" : "1", "issued" : { "date-parts" : [ [ "2011" ] ] }, "page" : "50-67", "publisher" : "Elsevier Inc.", "title" : "Hearing a different drummer? Convergence of human resource management in Europe - A longitudinal analysis", "type" : "article-journal", "volume" : "21" }, "uris" : [ "http://www.mendeley.com/documents/?uuid=fe989bd4-3b92-484f-8e26-379179d76108" ] }, { "id" : "ITEM-3", "itemData" : { "DOI" : "10.1111/j.1468-232X.2012.00688.x",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"ITEM-3", "issue" : "SUPPL. 1", "issued" : { "date-parts" : [ [ "2012" ] ] }, "page" : "501-527", "title" : "Varieties of capitalism and investments in human capital", "type" : "article-journal", "volume" : "51" }, "uris" : [ "http://www.mendeley.com/documents/?uuid=8ba16f8e-7b93-4a00-908b-5d23afd60dde" ] } ], "mendeley" : { "formattedCitation" : "(Brewster et al. 2008; Mayrhofer et al. 2011; Goergen et al. 2012)", "manualFormatting" : "(Brewster et al., 2008; Mayrhofer et al., 2011; Goergen et al., 2012)", "plainTextFormattedCitation" : "(Brewster et al. 2008; Mayrhofer et al. 2011; Goergen et al. 2012)", "previouslyFormattedCitation" : "(Brewster et al. 2008; Mayrhofer et al. 2011; Goergen et al. 2012)" }, "properties" : { "noteIndex" : 0 }, "schema" : "https://github.com/citation-style-language/schema/raw/master/csl-citation.json" }</w:instrText>
      </w:r>
      <w:r w:rsidRPr="00452E2E">
        <w:fldChar w:fldCharType="separate"/>
      </w:r>
      <w:r w:rsidRPr="00452E2E">
        <w:rPr>
          <w:noProof/>
        </w:rPr>
        <w:t xml:space="preserve">(Brewster </w:t>
      </w:r>
      <w:r w:rsidRPr="00452E2E">
        <w:rPr>
          <w:i/>
          <w:noProof/>
        </w:rPr>
        <w:t>et al</w:t>
      </w:r>
      <w:r w:rsidRPr="00452E2E">
        <w:rPr>
          <w:noProof/>
        </w:rPr>
        <w:t xml:space="preserve">., 2008; Mayrhofer </w:t>
      </w:r>
      <w:r w:rsidRPr="00452E2E">
        <w:rPr>
          <w:i/>
          <w:noProof/>
        </w:rPr>
        <w:t>et al</w:t>
      </w:r>
      <w:r w:rsidRPr="00452E2E">
        <w:rPr>
          <w:noProof/>
        </w:rPr>
        <w:t xml:space="preserve">., 2011; Goergen </w:t>
      </w:r>
      <w:r w:rsidRPr="00452E2E">
        <w:rPr>
          <w:i/>
          <w:noProof/>
        </w:rPr>
        <w:t>et al</w:t>
      </w:r>
      <w:r w:rsidRPr="00452E2E">
        <w:rPr>
          <w:noProof/>
        </w:rPr>
        <w:t>., 2012)</w:t>
      </w:r>
      <w:r w:rsidRPr="00452E2E">
        <w:fldChar w:fldCharType="end"/>
      </w:r>
      <w:r w:rsidRPr="00452E2E">
        <w:t xml:space="preserve">. Hence, whilst </w:t>
      </w:r>
      <w:r w:rsidR="000F02C5" w:rsidRPr="00452E2E">
        <w:t xml:space="preserve">a </w:t>
      </w:r>
      <w:r w:rsidRPr="00452E2E">
        <w:t xml:space="preserve">“low-value added” model of HRM is associated with Anglo-Saxon liberal market economies, “high-value added” model of HRM is associated with co-ordinated market economies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"plainTextFormattedCitation" : "(Wood et al. 2012)", "previouslyFormattedCitation" : "(Wood et al. 2012)"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2012)</w:t>
      </w:r>
      <w:r w:rsidRPr="00452E2E">
        <w:fldChar w:fldCharType="end"/>
      </w:r>
      <w:r w:rsidRPr="00452E2E">
        <w:t xml:space="preserve">. Nevertheless, within specific national contexts, diversity may exist in the way organizations manage human resources </w:t>
      </w:r>
      <w:r w:rsidRPr="00452E2E">
        <w:fldChar w:fldCharType="begin" w:fldLock="1"/>
      </w:r>
      <w:r w:rsidRPr="00452E2E">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"(Lane &amp; Wood, 2009)", "plainTextFormattedCitation" : "(Lane &amp; Wood 2009)", "previouslyFormattedCitation" : "(Lane &amp; Wood 2009)" }, "properties" : { "noteIndex" : 0 }, "schema" : "https://github.com/citation-style-language/schema/raw/master/csl-citation.json" }</w:instrText>
      </w:r>
      <w:r w:rsidRPr="00452E2E">
        <w:fldChar w:fldCharType="separate"/>
      </w:r>
      <w:r w:rsidRPr="00452E2E">
        <w:rPr>
          <w:noProof/>
        </w:rPr>
        <w:t>(Lane &amp; Wood, 2009)</w:t>
      </w:r>
      <w:r w:rsidRPr="00452E2E">
        <w:fldChar w:fldCharType="end"/>
      </w:r>
      <w:r w:rsidRPr="00452E2E">
        <w:t>.</w:t>
      </w:r>
    </w:p>
    <w:p w:rsidR="00D03A8E" w:rsidRPr="00452E2E" w:rsidRDefault="00D03A8E" w:rsidP="00D03A8E">
      <w:pPr>
        <w:spacing w:line="360" w:lineRule="auto"/>
        <w:jc w:val="both"/>
      </w:pPr>
      <w:r w:rsidRPr="00452E2E">
        <w:t xml:space="preserve">Although they may not be viewed as a homogeneous entity </w:t>
      </w:r>
      <w:r w:rsidRPr="00452E2E">
        <w:fldChar w:fldCharType="begin" w:fldLock="1"/>
      </w:r>
      <w:r w:rsidRPr="00452E2E">
        <w:instrText>ADDIN CSL_CITATION { "citationItems" : [ { "id" : "ITEM-1", "itemData" : { "author" : [ { "dropping-particle" : "", "family" : "Kamoche", "given" : "Ken", "non-dropping-particle" : "", "parse-names" : false, "suffix" : "" }, { "dropping-particle" : "", "family" : "Siebers", "given" : "Lisa QIxun", "non-dropping-particle" : "", "parse-names" : false, "suffix" : "" }, { "dropping-particle" : "", "family" : "Mamman", "given" : "Aminu", "non-dropping-particle" : "", "parse-names" : false, "suffix" : "" }, { "dropping-particle" : "", "family" : "Newenham-Kahindi", "given" : "Aloysius", "non-dropping-particle" : "", "parse-names" : false, "suffix" : "" } ], "container-title" : "Personnel Review", "id" : "ITEM-1", "issue" : "3", "issued" : { "date-parts" : [ [ "2015" ] ] }, "page" : "330-345", "title" : "The dynamics of managing people in the diverse cultural and institutional context of Africa", "type" : "article-journal", "volume" : "44" }, "uris" : [ "http://www.mendeley.com/documents/?uuid=69ad02a9-4a01-42ad-ac07-0a1853df3747" ] } ], "mendeley" : { "formattedCitation" : "(Kamoche et al. 2015)", "manualFormatting" : "(Kamoche et al., 2015)", "plainTextFormattedCitation" : "(Kamoche et al. 2015)", "previouslyFormattedCitation" : "(Kamoche et al. 2015)" }, "properties" : { "noteIndex" : 0 }, "schema" : "https://github.com/citation-style-language/schema/raw/master/csl-citation.json" }</w:instrText>
      </w:r>
      <w:r w:rsidRPr="00452E2E">
        <w:fldChar w:fldCharType="separate"/>
      </w:r>
      <w:r w:rsidRPr="00452E2E">
        <w:rPr>
          <w:noProof/>
        </w:rPr>
        <w:t xml:space="preserve">(Kamoche </w:t>
      </w:r>
      <w:r w:rsidRPr="00452E2E">
        <w:rPr>
          <w:i/>
          <w:noProof/>
        </w:rPr>
        <w:t>et al</w:t>
      </w:r>
      <w:r w:rsidRPr="00452E2E">
        <w:rPr>
          <w:noProof/>
        </w:rPr>
        <w:t>., 2015)</w:t>
      </w:r>
      <w:r w:rsidRPr="00452E2E">
        <w:fldChar w:fldCharType="end"/>
      </w:r>
      <w:r w:rsidRPr="00452E2E">
        <w:t>, most emerging countries in Africa have shared historical legacies of colonialism and are currently undergoing another wave of economic imperialism via the instrumentality of Bretton Woods institutions, which has influenced the nature of institutional arrangements and by extension</w:t>
      </w:r>
      <w:r w:rsidR="00B87EF2" w:rsidRPr="00452E2E">
        <w:t>,</w:t>
      </w:r>
      <w:r w:rsidRPr="00452E2E">
        <w:t xml:space="preserve"> the management of human resources in African contexts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"http://www.mendeley.com/documents/?uuid=43a2fbd4-6640-46db-bd96-9c0c4ca42d50" ] }, { "id" : "ITEM-2", "itemData" : { "author" : [ { "dropping-particle" : "", "family" : "Kamoche", "given" : "Ken", "non-dropping-particle" : "", "parse-names" : false, "suffix" : "" }, { "dropping-particle" : "", "family" : "Siebers", "given" : "Lisa QIxun", "non-dropping-particle" : "", "parse-names" : false, "suffix" : "" }, { "dropping-particle" : "", "family" : "Mamman", "given" : "Aminu", "non-dropping-particle" : "", "parse-names" : false, "suffix" : "" }, { "dropping-particle" : "", "family" : "Newenham-Kahindi", "given" : "Aloysius", "non-dropping-particle" : "", "parse-names" : false, "suffix" : "" } ], "container-title" : "Personnel Review", "id" : "ITEM-2", "issue" : "3", "issued" : { "date-parts" : [ [ "2015" ] ] }, "page" : "330-345", "title" : "The dynamics of managing people in the diverse cultural and institutional context of Africa", "type" : "article-journal", "volume" : "44" }, "uris" : [ "http://www.mendeley.com/documents/?uuid=69ad02a9-4a01-42ad-ac07-0a1853df3747" ] }, { "id" : "ITEM-3", "itemData" : { "author" : [ { "dropping-particle" : "", "family" : "Dibben", "given" : "Pauline", "non-dropping-particle" : "", "parse-names" : false, "suffix" : "" }, { "dropping-particle" : "", "family" : "Wood", "given" : "Geoffrey", "non-dropping-particle" : "", "parse-names" : false, "suffix" : "" } ], "container-title" : "Labor History", "id" : "ITEM-3", "issue" : "1", "issued" : { "date-parts" : [ [ "2016" ] ] }, "page" : "126-140", "title" : "The legacies of coercion and the challenges of contingency: Mozambican unions in difficult times", "type" : "article-journal", "volume" : "57" }, "uris" : [ "http://www.mendeley.com/documents/?uuid=e43feaea-d6cb-47fa-bee3-54442e4547cc" ] } ], "mendeley" : { "formattedCitation" : "(Okpara &amp; Wynn 2008; Kamoche et al. 2015; Dibben &amp; Wood 2016)", "manualFormatting" : "(Okpara &amp; Wynn, 2008; Wood et al., 2011; Dibben &amp; Wood, 2016)", "plainTextFormattedCitation" : "(Okpara &amp; Wynn 2008; Kamoche et al. 2015; Dibben &amp; Wood 2016)", "previouslyFormattedCitation" : "(Okpara &amp; Wynn 2008; Kamoche et al. 2015; Dibben &amp; Wood 2016)" }, "properties" : { "noteIndex" : 0 }, "schema" : "https://github.com/citation-style-language/schema/raw/master/csl-citation.json" }</w:instrText>
      </w:r>
      <w:r w:rsidRPr="00452E2E">
        <w:fldChar w:fldCharType="separate"/>
      </w:r>
      <w:r w:rsidRPr="00452E2E">
        <w:rPr>
          <w:noProof/>
        </w:rPr>
        <w:t xml:space="preserve">(Okpara &amp; Wynn, 2008; Wood </w:t>
      </w:r>
      <w:r w:rsidRPr="00452E2E">
        <w:rPr>
          <w:i/>
          <w:noProof/>
        </w:rPr>
        <w:t>et al</w:t>
      </w:r>
      <w:r w:rsidRPr="00452E2E">
        <w:rPr>
          <w:noProof/>
        </w:rPr>
        <w:t>., 2011; Dibben &amp; Wood, 2016)</w:t>
      </w:r>
      <w:r w:rsidRPr="00452E2E">
        <w:fldChar w:fldCharType="end"/>
      </w:r>
      <w:r w:rsidRPr="00452E2E">
        <w:t xml:space="preserve">. The adoption of neo-liberal policies that are forced on emerging countries in Africa has facilitated the transfer of HRM </w:t>
      </w:r>
      <w:r w:rsidR="00637635" w:rsidRPr="00452E2E">
        <w:t>practices</w:t>
      </w:r>
      <w:r w:rsidR="00621699" w:rsidRPr="00452E2E">
        <w:t xml:space="preserve"> </w:t>
      </w:r>
      <w:r w:rsidRPr="00452E2E">
        <w:t xml:space="preserve">from Anglo-Saxon developed economies to emerging African countries </w:t>
      </w:r>
      <w:r w:rsidRPr="00452E2E">
        <w:fldChar w:fldCharType="begin" w:fldLock="1"/>
      </w:r>
      <w:r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"DOI" : "10.1080/09585190210131267", "ISBN" : "0958519021", "ISSN" : "0958-5192", "abstract" : "Current approaches to understanding the management of people in Africa are often framed within a pejorative 'developing/developed' world paradigm that not only paints a negative view of management in Africa, but also assumes the need to develop towards the 'developed' world approach. Cross-cultural analysis that focuses first on historical and current cultural interaction across continents suggests a difference between an instrumental view of people as a resource to serve the ends of the organization and a humanistic view which sees people as having a value in themselves. This offers a more useful paradigm for progressing both research and practice in this area. Both a conceptual model and a typology of management systems are offered as a way forward. Research should also focus on cross-cultural difference and interactions at cross-national and interethnic levels. This will facilitate a cross-cultural approach to management development and team building through developing synergies in organizations in Africa", "author" : [ { "dropping-particle" : "", "family" : "Jackson", "given" : "Terence", "non-dropping-particle" : "", "parse-names" : false, "suffix" : "" } ], "container-title" : "The International Journal of Human Resource Management", "id" : "ITEM-2", "issue" : "7", "issued" : { "date-parts" : [ [ "2002" ] ] }, "page" : "998-1018", "title" : "Reframing human resource management in Africa: a cross-cultural perspective", "type" : "article-journal", "volume" : "13" }, "uris" : [ "http://www.mendeley.com/documents/?uuid=c61162a1-4fad-41c5-9a48-557d890188ae" ] }, { "id" : "ITEM-3", "itemData" : { "DOI" : "10.1080/09585190210131258", "ISBN" : "0958519021", "ISSN" : "0958-5192", "abstract" : "This article introduces the special issue that seeks to spur the debate on the challenges of managing people in organizations in Africa. The debate on HRM in Africa has proceeded with tentative steps and now clearly needs to be located firmly within the international management context. It is not the purpose of this special issue to discover or develop an over-arching model of HRM. That has been attempted elsewhere. Our purpose is to bring together the various threads that characterize the on-going debate and hopefully move towards a more specific research agenda which captures the complexity of managing on the African continent. Some of these threads include the formulation of new perspectives on HR research, finding common ground with diverse disciplines and tackling enduring problems like ethnicity and discrimination.", "author" : [ { "dropping-particle" : "", "family" : "Kamoche", "given" : "Ken", "non-dropping-particle" : "", "parse-names" : false, "suffix" : "" } ], "container-title" : "The International Journal of Human Resource Management", "id" : "ITEM-3", "issue" : "7", "issued" : { "date-parts" : [ [ "2002" ] ] }, "page" : "993-997", "title" : "Introduction: human resource management in Africa", "type" : "article-journal", "volume" : "13" }, "uris" : [ "http://www.mendeley.com/documents/?uuid=1420fe09-e5f0-43a1-93e2-d0970134e6f9" ] }, { "id" : "ITEM-4",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"ITEM-4", "issue" : "1", "issued" : { "date-parts" : [ [ "2009" ] ] }, "page" : "62-82", "title" : "Managerial perspectives on HRM in Nigeria: Evolving hybridization?", "type" : "article-journal", "volume" : "16" }, "uris" : [ "http://www.mendeley.com/documents/?uuid=cde70e16-aeda-4832-89c0-f5554c70c93e" ] } ], "mendeley" : { "formattedCitation" : "(Anakwe 2002; Jackson 2002; Kamoche 2002; Azolukwam &amp; Perkins 2009)", "manualFormatting" : "(Anakwe, 2002; Jackson, 2002; Kamoche, 2002; Azolukwam &amp; Perkins, 2009; Newenham-Kahindi et al., 2013)", "plainTextFormattedCitation" : "(Anakwe 2002; Jackson 2002; Kamoche 2002; Azolukwam &amp; Perkins 2009)", "previouslyFormattedCitation" : "(Anakwe 2002; Jackson 2002; Kamoche 2002; Azolukwam &amp; Perkins 2009)" }, "properties" : { "noteIndex" : 0 }, "schema" : "https://github.com/citation-style-language/schema/raw/master/csl-citation.json" }</w:instrText>
      </w:r>
      <w:r w:rsidRPr="00452E2E">
        <w:fldChar w:fldCharType="separate"/>
      </w:r>
      <w:r w:rsidRPr="00452E2E">
        <w:rPr>
          <w:noProof/>
        </w:rPr>
        <w:t xml:space="preserve">(Anakwe, 2002; Jackson, 2002; Kamoche, 2002; Azolukwam &amp; Perkins, 2009; Newenham-Kahindi </w:t>
      </w:r>
      <w:r w:rsidRPr="00452E2E">
        <w:rPr>
          <w:i/>
          <w:noProof/>
        </w:rPr>
        <w:t>et al</w:t>
      </w:r>
      <w:r w:rsidRPr="00452E2E">
        <w:rPr>
          <w:noProof/>
        </w:rPr>
        <w:t>., 2013)</w:t>
      </w:r>
      <w:r w:rsidRPr="00452E2E">
        <w:fldChar w:fldCharType="end"/>
      </w:r>
      <w:r w:rsidRPr="00452E2E">
        <w:t xml:space="preserve">. The rationale for this, according to </w:t>
      </w:r>
      <w:r w:rsidRPr="00452E2E">
        <w:fldChar w:fldCharType="begin" w:fldLock="1"/>
      </w:r>
      <w:r w:rsidRPr="00452E2E">
        <w:instrText>ADDIN CSL_CITATION { "citationItems" : [ { "id" : "ITEM-1", "itemData" : { "author"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"ITEM-1", "issued" : { "date-parts" : [ [ "2013" ] ] }, "publisher" : "Palgrave Macmillan", "publisher-place" : "Basingstoke", "title" : "Effective people management in Africa", "type" : "book" }, "uris" : [ "http://www.mendeley.com/documents/?uuid=df49d581-c369-4838-ac23-83f3e0741683" ] } ], "mendeley" : { "formattedCitation" : "(Newenham-Kahindi et al. 2013)", "manualFormatting" : "Newenham-Kahindi et al. (2013)", "plainTextFormattedCitation" : "(Newenham-Kahindi et al. 2013)", "previouslyFormattedCitation" : "(Newenham-Kahindi et al. 2013)" }, "properties" : { "noteIndex" : 0 }, "schema" : "https://github.com/citation-style-language/schema/raw/master/csl-citation.json" }</w:instrText>
      </w:r>
      <w:r w:rsidRPr="00452E2E">
        <w:fldChar w:fldCharType="separate"/>
      </w:r>
      <w:r w:rsidRPr="00452E2E">
        <w:rPr>
          <w:noProof/>
        </w:rPr>
        <w:t xml:space="preserve">Newenham-Kahindi </w:t>
      </w:r>
      <w:r w:rsidRPr="00452E2E">
        <w:rPr>
          <w:i/>
          <w:noProof/>
        </w:rPr>
        <w:t xml:space="preserve">et </w:t>
      </w:r>
      <w:r w:rsidRPr="00452E2E">
        <w:rPr>
          <w:i/>
          <w:noProof/>
        </w:rPr>
        <w:lastRenderedPageBreak/>
        <w:t>al</w:t>
      </w:r>
      <w:r w:rsidRPr="00452E2E">
        <w:rPr>
          <w:noProof/>
        </w:rPr>
        <w:t>. (2013)</w:t>
      </w:r>
      <w:r w:rsidRPr="00452E2E">
        <w:fldChar w:fldCharType="end"/>
      </w:r>
      <w:r w:rsidRPr="00452E2E">
        <w:t xml:space="preserve"> is that these practices have worked effectively in other emerging markets thus it is assumed that they will automatically prove effective in African contexts. </w:t>
      </w:r>
    </w:p>
    <w:p w:rsidR="00D03A8E" w:rsidRPr="00452E2E" w:rsidRDefault="00D03A8E" w:rsidP="00D03A8E">
      <w:pPr>
        <w:spacing w:line="360" w:lineRule="auto"/>
        <w:jc w:val="both"/>
      </w:pPr>
      <w:r w:rsidRPr="00452E2E">
        <w:t xml:space="preserve">However, where such practices are not adapted to the socio-cultural, political and economic realities of African countries, they may fail to produce desired outcomes and result in alienation, frustration, confusion and disillusionment on the part of workers </w:t>
      </w:r>
      <w:r w:rsidRPr="00452E2E">
        <w:fldChar w:fldCharType="begin" w:fldLock="1"/>
      </w:r>
      <w:r w:rsidRPr="00452E2E">
        <w:instrText>ADDIN CSL_CITATION { "citationItems" : [ { "id" : "ITEM-1",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"ITEM-1", "issue" : "1", "issued" : { "date-parts" : [ [ "2009" ] ] }, "page" : "62-82", "title" : "Managerial perspectives on HRM in Nigeria: Evolving hybridization?", "type" : "article-journal", "volume" : "16" }, "uris" : [ "http://www.mendeley.com/documents/?uuid=cde70e16-aeda-4832-89c0-f5554c70c93e" ] }, { "id" : "ITEM-2", "itemData" : { "author"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"dropping-particle" : "", "family" : "Newenham-Kahindi", "given" : "Aloysius", "non-dropping-particle" : "", "parse-names" : false, "suffix" : "" } ], "container-title" : "Effective people management in Africa", "editor"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"ITEM-2", "issued" : { "date-parts" : [ [ "2013" ] ] }, "page" : "1-14", "publisher" : "Palgrave Macmillan", "publisher-place" : "Basingstoke", "title" : "Introduction: New directions in the management of human resources in Africa", "type" : "chapter" }, "uris" : [ "http://www.mendeley.com/documents/?uuid=b50a4bc1-4e9c-4d9f-ba2c-38acb74e11d3" ] } ], "mendeley" : { "formattedCitation" : "(Azolukwam &amp; Perkins 2009; Kamoche et al. 2013)", "manualFormatting" : "(Azolukwam &amp; Perkins, 2009; Kamoche et al., 2013)", "plainTextFormattedCitation" : "(Azolukwam &amp; Perkins 2009; Kamoche et al. 2013)", "previouslyFormattedCitation" : "(Azolukwam &amp; Perkins 2009; Kamoche et al. 2013)" }, "properties" : { "noteIndex" : 0 }, "schema" : "https://github.com/citation-style-language/schema/raw/master/csl-citation.json" }</w:instrText>
      </w:r>
      <w:r w:rsidRPr="00452E2E">
        <w:fldChar w:fldCharType="separate"/>
      </w:r>
      <w:r w:rsidRPr="00452E2E">
        <w:rPr>
          <w:noProof/>
        </w:rPr>
        <w:t xml:space="preserve">(Azolukwam &amp; Perkins, 2009; Kamoche </w:t>
      </w:r>
      <w:r w:rsidRPr="00452E2E">
        <w:rPr>
          <w:i/>
          <w:noProof/>
        </w:rPr>
        <w:t>et al</w:t>
      </w:r>
      <w:r w:rsidRPr="00452E2E">
        <w:rPr>
          <w:noProof/>
        </w:rPr>
        <w:t>., 2013)</w:t>
      </w:r>
      <w:r w:rsidRPr="00452E2E">
        <w:fldChar w:fldCharType="end"/>
      </w:r>
      <w:r w:rsidRPr="00452E2E">
        <w:t xml:space="preserve">. Hence, it has been suggested that the “management of people and organizations in Africa should be informed and driven by locally identifiable practices” </w:t>
      </w:r>
      <w:r w:rsidRPr="00452E2E">
        <w:fldChar w:fldCharType="begin" w:fldLock="1"/>
      </w:r>
      <w:r w:rsidRPr="00452E2E">
        <w:instrText>ADDIN CSL_CITATION { "citationItems" : [ { "id" : "ITEM-1", "itemData" : { "author"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"ITEM-1", "issued" : { "date-parts" : [ [ "2013" ] ] }, "publisher" : "Palgrave Macmillan", "publisher-place" : "Basingstoke", "title" : "Effective people management in Africa", "type" : "book" }, "uris" : [ "http://www.mendeley.com/documents/?uuid=df49d581-c369-4838-ac23-83f3e0741683" ] } ], "mendeley" : { "formattedCitation" : "(Newenham-Kahindi et al. 2013)", "manualFormatting" : "(Newenham-Kahindi et al., 2013 p. xi)", "plainTextFormattedCitation" : "(Newenham-Kahindi et al. 2013)", "previouslyFormattedCitation" : "(Newenham-Kahindi et al. 2013)" }, "properties" : { "noteIndex" : 0 }, "schema" : "https://github.com/citation-style-language/schema/raw/master/csl-citation.json" }</w:instrText>
      </w:r>
      <w:r w:rsidRPr="00452E2E">
        <w:fldChar w:fldCharType="separate"/>
      </w:r>
      <w:r w:rsidRPr="00452E2E">
        <w:rPr>
          <w:noProof/>
        </w:rPr>
        <w:t xml:space="preserve">(Newenham-Kahindi </w:t>
      </w:r>
      <w:r w:rsidRPr="00452E2E">
        <w:rPr>
          <w:i/>
          <w:noProof/>
        </w:rPr>
        <w:t>et al</w:t>
      </w:r>
      <w:r w:rsidRPr="00452E2E">
        <w:rPr>
          <w:noProof/>
        </w:rPr>
        <w:t>., 2013 p. xi)</w:t>
      </w:r>
      <w:r w:rsidRPr="00452E2E">
        <w:fldChar w:fldCharType="end"/>
      </w:r>
      <w:r w:rsidRPr="00452E2E">
        <w:t xml:space="preserve">. Consequently, as earlier noted by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a key issue in the study of HRM in African contexts is whether the adoption of neo-liberal approaches has resulted to the predominance of </w:t>
      </w:r>
      <w:r w:rsidR="00B00A4F" w:rsidRPr="00452E2E">
        <w:t xml:space="preserve">a </w:t>
      </w:r>
      <w:r w:rsidRPr="00452E2E">
        <w:t>“low-value added” model or whether organizations in Africa adopt culturally-derived practices that may be described</w:t>
      </w:r>
      <w:r w:rsidR="00DB74E8" w:rsidRPr="00452E2E">
        <w:t xml:space="preserve"> as autocratic, paternalistic, </w:t>
      </w:r>
      <w:r w:rsidRPr="00452E2E">
        <w:t xml:space="preserve">and based on informal networks. </w:t>
      </w:r>
    </w:p>
    <w:p w:rsidR="00D03A8E" w:rsidRPr="00452E2E" w:rsidRDefault="00D03A8E" w:rsidP="00D03A8E">
      <w:pPr>
        <w:spacing w:line="360" w:lineRule="auto"/>
        <w:jc w:val="both"/>
      </w:pPr>
      <w:r w:rsidRPr="00452E2E">
        <w:t xml:space="preserve">In Nigeria, the adoption of </w:t>
      </w:r>
      <w:r w:rsidR="000911E2" w:rsidRPr="00452E2E">
        <w:t xml:space="preserve">an </w:t>
      </w:r>
      <w:r w:rsidRPr="00452E2E">
        <w:t xml:space="preserve">IMF-driven policy of liberalization has opened indigenous private organizations to intense competition from firms from advanced countries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"ITEM-2", "issue" : "7", "issued" : { "date-parts" : [ [ "2002" ] ] }, "page" : "1042-1059", "title" : "Human resource management practices in Nigeria: Challenges and insights", "type" : "article-journal", "volume" : "13" }, "uris" : [ "http://www.mendeley.com/documents/?uuid=05a9e25e-4e60-410a-af56-a98b14b9eb28" ] }, { "id" : "ITEM-3",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"ITEM-3",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"(Ovadje &amp; Ankomah 2001; Anakwe 2002; Okpara &amp; Wynn 2008)", "manualFormatting" : "(Ovadje &amp; Ankomah, 2001; Anakwe, 2002; Okpara &amp; Wynn, 2008)", "plainTextFormattedCitation" : "(Ovadje &amp; Ankomah 2001; Anakwe 2002; Okpara &amp; Wynn 2008)", "previouslyFormattedCitation" : "(Ovadje &amp; Ankomah 2001; Anakwe 2002; Okpara &amp; Wynn 2008)" }, "properties" : { "noteIndex" : 0 }, "schema" : "https://github.com/citation-style-language/schema/raw/master/csl-citation.json" }</w:instrText>
      </w:r>
      <w:r w:rsidRPr="00452E2E">
        <w:fldChar w:fldCharType="separate"/>
      </w:r>
      <w:r w:rsidRPr="00452E2E">
        <w:rPr>
          <w:noProof/>
        </w:rPr>
        <w:t>(Ovadje &amp; Ankomah, 2001; Anakwe, 2002; Okpara &amp; Wynn, 2008)</w:t>
      </w:r>
      <w:r w:rsidRPr="00452E2E">
        <w:fldChar w:fldCharType="end"/>
      </w:r>
      <w:r w:rsidRPr="00452E2E">
        <w:t xml:space="preserve">. Of course, Wood and colleagues (Webster &amp; Wood, 2005; Wood </w:t>
      </w:r>
      <w:r w:rsidRPr="00452E2E">
        <w:rPr>
          <w:i/>
        </w:rPr>
        <w:t>et al</w:t>
      </w:r>
      <w:r w:rsidRPr="00452E2E">
        <w:t xml:space="preserve">., 2011) note that when firms in </w:t>
      </w:r>
      <w:r w:rsidR="00666BE9" w:rsidRPr="00452E2E">
        <w:t>emerg</w:t>
      </w:r>
      <w:r w:rsidRPr="00452E2E">
        <w:t xml:space="preserve">ing countries are confronted with such competitive pressures, cost-cutting becomes the best path to profitability. Hence, labour becomes a major casualty of such cost-cutting measures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The result is often poor employment conditions portrayed by low wages, lack of job security, lack of investment in training, job cuts and other associated harsh measures (cf. Webster &amp; Wood, 2005). Unsurprisingly, words such as ‘downsizing’, ‘layoffs’, ‘retrenchment’, ‘rightsizing’, ‘redundancy’, and related terminologies have crept into the Nigerian lexicon of employment. </w:t>
      </w:r>
    </w:p>
    <w:p w:rsidR="00D03A8E" w:rsidRPr="00452E2E" w:rsidRDefault="00D03A8E" w:rsidP="00D03A8E">
      <w:pPr>
        <w:spacing w:line="360" w:lineRule="auto"/>
        <w:jc w:val="both"/>
      </w:pPr>
      <w:r w:rsidRPr="00452E2E">
        <w:t xml:space="preserve">The public sector in Nigeria is also not immune to the negative effects of </w:t>
      </w:r>
      <w:r w:rsidR="005D27DF" w:rsidRPr="00452E2E">
        <w:t xml:space="preserve">the </w:t>
      </w:r>
      <w:r w:rsidRPr="00452E2E">
        <w:t xml:space="preserve">IMF’s structural adjustment policies </w:t>
      </w:r>
      <w:r w:rsidRPr="00452E2E">
        <w:fldChar w:fldCharType="begin" w:fldLock="1"/>
      </w:r>
      <w:r w:rsidRPr="00452E2E">
        <w:instrText>ADDIN CSL_CITATION { "citationItems" : [ { "id" : "ITEM-1", "itemData" : { "author" : [ { "dropping-particle" : "", "family" : "Adewumi", "given" : "F", "non-dropping-particle" : "", "parse-names" : false, "suffix" : "" }, { "dropping-particle" : "", "family" : "Idowu", "given" : "W",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"ITEM-1", "issued" : { "date-parts" : [ [ "2012" ] ] }, "page" : "1-10", "publisher" : "CODESRIA", "publisher-place" : "Dakar", "title" : "Introduction", "type" : "chapter" }, "uris" : [ "http://www.mendeley.com/documents/?uuid=d5b746c6-3e8e-4b38-8fd2-3661451e0c79" ] }, { "id" : "ITEM-2", "itemData" : { "author" : [ { "dropping-particle" : "", "family" : "Omar", "given" : "M",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"ITEM-2", "issued" : { "date-parts" : [ [ "2012" ] ] }, "page" : "29-48", "publisher" : "CODESRIA", "publisher-place" : "Dakar", "title" : "Rethinking public service reforms in Nigeria", "type" : "chapter" }, "uris" : [ "http://www.mendeley.com/documents/?uuid=adfa7bf8-4631-471e-a5a9-66496ce38ac9" ] } ], "mendeley" : { "formattedCitation" : "(F Adewumi &amp; Idowu 2012; Omar 2012)", "manualFormatting" : "(Adewumi &amp; Idowu, 2012; Omar, 2012)", "plainTextFormattedCitation" : "(F Adewumi &amp; Idowu 2012; Omar 2012)", "previouslyFormattedCitation" : "(F Adewumi &amp; Idowu 2012; Omar 2012)" }, "properties" : { "noteIndex" : 0 }, "schema" : "https://github.com/citation-style-language/schema/raw/master/csl-citation.json" }</w:instrText>
      </w:r>
      <w:r w:rsidRPr="00452E2E">
        <w:fldChar w:fldCharType="separate"/>
      </w:r>
      <w:r w:rsidRPr="00452E2E">
        <w:rPr>
          <w:noProof/>
        </w:rPr>
        <w:t>(Adewumi &amp; Idowu, 2012; Omar, 2012)</w:t>
      </w:r>
      <w:r w:rsidRPr="00452E2E">
        <w:fldChar w:fldCharType="end"/>
      </w:r>
      <w:r w:rsidRPr="00452E2E">
        <w:t xml:space="preserve">. The obsession with ‘efficiency’ of public organizations arising from the policies of neo-liberalism has posed challenges to HRM in the public sector </w:t>
      </w:r>
      <w:r w:rsidRPr="00452E2E">
        <w:fldChar w:fldCharType="begin" w:fldLock="1"/>
      </w:r>
      <w:r w:rsidRPr="00452E2E">
        <w:instrText>ADDIN CSL_CITATION { "citationItems" : [ { "id" : "ITEM-1", "itemData" : { "author" : [ { "dropping-particle" : "", "family" : "Adewumi", "given" : "Funmi",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"ITEM-1", "issued" : { "date-parts" : [ [ "2012" ] ] }, "page" : "111-128", "publisher" : "CODESRIA", "publisher-place" : "Dakar", "title" : "Victims as sacrificial lambs: A critique of public service reforms in Nigeria", "type" : "chapter" }, "uris" : [ "http://www.mendeley.com/documents/?uuid=c2fd0c7d-7bf4-4d52-ab7c-cac2e8767455" ] } ], "mendeley" : { "formattedCitation" : "(Adewumi 2012b)", "manualFormatting" : "(Adewumi, 2012b)", "plainTextFormattedCitation" : "(Adewumi 2012b)", "previouslyFormattedCitation" : "(Adewumi 2012b)" }, "properties" : { "noteIndex" : 0 }, "schema" : "https://github.com/citation-style-language/schema/raw/master/csl-citation.json" }</w:instrText>
      </w:r>
      <w:r w:rsidRPr="00452E2E">
        <w:fldChar w:fldCharType="separate"/>
      </w:r>
      <w:r w:rsidRPr="00452E2E">
        <w:rPr>
          <w:noProof/>
        </w:rPr>
        <w:t>(Adewumi, 2012</w:t>
      </w:r>
      <w:r w:rsidRPr="00452E2E">
        <w:rPr>
          <w:i/>
          <w:noProof/>
        </w:rPr>
        <w:t>b</w:t>
      </w:r>
      <w:r w:rsidRPr="00452E2E">
        <w:rPr>
          <w:noProof/>
        </w:rPr>
        <w:t>)</w:t>
      </w:r>
      <w:r w:rsidRPr="00452E2E">
        <w:fldChar w:fldCharType="end"/>
      </w:r>
      <w:r w:rsidRPr="00452E2E">
        <w:t xml:space="preserve">. Wholesale privatization of public enterprises has led to massive job </w:t>
      </w:r>
      <w:r w:rsidRPr="00452E2E">
        <w:lastRenderedPageBreak/>
        <w:t xml:space="preserve">losses whilst budget cuts for public sector organizations has created additional challenges for managing existing employees in the public sector </w:t>
      </w:r>
      <w:r w:rsidRPr="00452E2E">
        <w:fldChar w:fldCharType="begin" w:fldLock="1"/>
      </w:r>
      <w:r w:rsidRPr="00452E2E">
        <w:instrText>ADDIN CSL_CITATION { "citationItems" : [ { "id" : "ITEM-1", "itemData" : { "author" : [ { "dropping-particle" : "", "family" : "Adewumi", "given" : "Funmi",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"ITEM-1", "issued" : { "date-parts" : [ [ "2012" ] ] }, "page" : "111-128", "publisher" : "CODESRIA", "publisher-place" : "Dakar", "title" : "Victims as sacrificial lambs: A critique of public service reforms in Nigeria", "type" : "chapter" }, "uris" : [ "http://www.mendeley.com/documents/?uuid=c2fd0c7d-7bf4-4d52-ab7c-cac2e8767455" ] }, { "id" : "ITEM-2", "itemData" : { "author" : [ { "dropping-particle" : "", "family" : "Idowu", "given" : "W",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"ITEM-2", "issued" : { "date-parts" : [ [ "2012" ] ] }, "page" : "49-70", "publisher" : "CODESRIA", "publisher-place" : "Dakar", "title" : "Privatisation and public sector reforms in Nigeria: implications for social democratic conception of citizenship", "type" : "chapter" }, "uris" : [ "http://www.mendeley.com/documents/?uuid=4c092dcf-26b2-4d4b-89ad-d7535a2c86ad" ] } ], "mendeley" : { "formattedCitation" : "(Adewumi 2012b; Idowu 2012)", "manualFormatting" : "(Adewumi, 2012b; Idowu, 2012)", "plainTextFormattedCitation" : "(Adewumi 2012b; Idowu 2012)", "previouslyFormattedCitation" : "(Adewumi 2012b; Idowu 2012)" }, "properties" : { "noteIndex" : 0 }, "schema" : "https://github.com/citation-style-language/schema/raw/master/csl-citation.json" }</w:instrText>
      </w:r>
      <w:r w:rsidRPr="00452E2E">
        <w:fldChar w:fldCharType="separate"/>
      </w:r>
      <w:r w:rsidRPr="00452E2E">
        <w:rPr>
          <w:noProof/>
        </w:rPr>
        <w:t>(Adewumi, 2012</w:t>
      </w:r>
      <w:r w:rsidRPr="00452E2E">
        <w:rPr>
          <w:i/>
          <w:noProof/>
        </w:rPr>
        <w:t>b</w:t>
      </w:r>
      <w:r w:rsidRPr="00452E2E">
        <w:rPr>
          <w:noProof/>
        </w:rPr>
        <w:t>; Idowu, 2012)</w:t>
      </w:r>
      <w:r w:rsidRPr="00452E2E">
        <w:fldChar w:fldCharType="end"/>
      </w:r>
      <w:r w:rsidRPr="00452E2E">
        <w:t xml:space="preserve">. However, despite the pressures of neo-liberalism, the public sector in Nigeria provides a platform for promoting national unity </w:t>
      </w:r>
      <w:r w:rsidRPr="00452E2E">
        <w:fldChar w:fldCharType="begin" w:fldLock="1"/>
      </w:r>
      <w:r w:rsidRPr="00452E2E">
        <w:instrText>ADDIN CSL_CITATION { "citationItems" : [ { "id" : "ITEM-1", "itemData" : { "DOI" : "10.1002/jid", "abstract" : "Nigeria, South Africa and Namibia, all divided societies, have affirmative action programmes aimed at bridging the profound inequalities between different segments of their population. Many others African countries have milder versions, such as parliamentary quotas for women. This study examines the necessity for affirmative action and the effectiveness of the Federal Character Commission (FCC), set up in Nigeria to oversee the process. It examines the historical connections between ethnic inequalities, governance and conflict in Nigeria and the various efforts at reforming the entrenched ethnic imbalances in the Nigerian public sector. It advances both philosophical and instrumentalist arguments in defence of affirmative action and, against this background, examines the effectiveness of the commission. A core argument is that the commission should be evaluated on both its intended and unintended effects on Nigerian public life. If this wider standard is used, then the commission has contributed positively to the management of ethnic inequalities in the Nigerian public sector. Some of the challenges facing the commission are also highlighted.", "author" : [ { "dropping-particle" : "", "family" : "Mustapha", "given" : "Abdul Raufu", "non-dropping-particle" : "", "parse-names" : false, "suffix" : "" } ], "container-title" : "Journal of International Development", "id" : "ITEM-1", "issue" : "43", "issued" : { "date-parts" : [ [ "2009" ] ] }, "page" : "561-576", "title" : "Institutionalising ethnic representation : how effective is affirmative action in Nigeria ?", "type" : "article-journal", "volume" : "576" }, "uris" : [ "http://www.mendeley.com/documents/?uuid=225bc6b9-e852-41cf-a452-00ea8c4f9ace" ] } ], "mendeley" : { "formattedCitation" : "(Mustapha 2009)", "manualFormatting" : "(Mustapha, 2009)", "plainTextFormattedCitation" : "(Mustapha 2009)", "previouslyFormattedCitation" : "(Mustapha 2009)" }, "properties" : { "noteIndex" : 0 }, "schema" : "https://github.com/citation-style-language/schema/raw/master/csl-citation.json" }</w:instrText>
      </w:r>
      <w:r w:rsidRPr="00452E2E">
        <w:fldChar w:fldCharType="separate"/>
      </w:r>
      <w:r w:rsidRPr="00452E2E">
        <w:rPr>
          <w:noProof/>
        </w:rPr>
        <w:t>(Mustapha, 2009)</w:t>
      </w:r>
      <w:r w:rsidRPr="00452E2E">
        <w:fldChar w:fldCharType="end"/>
      </w:r>
      <w:r w:rsidR="00E215A5" w:rsidRPr="00452E2E">
        <w:t xml:space="preserve">, </w:t>
      </w:r>
      <w:r w:rsidRPr="00452E2E">
        <w:t xml:space="preserve">with some practices in the public sector aimed at ‘compensating for systemic failures’ </w:t>
      </w:r>
      <w:r w:rsidRPr="00452E2E">
        <w:fldChar w:fldCharType="begin" w:fldLock="1"/>
      </w:r>
      <w:r w:rsidRPr="00452E2E">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"(cf. Lane &amp; Wood, 2009)", "plainTextFormattedCitation" : "(Lane &amp; Wood 2009)", "previouslyFormattedCitation" : "(Lane &amp; Wood 2009)" }, "properties" : { "noteIndex" : 0 }, "schema" : "https://github.com/citation-style-language/schema/raw/master/csl-citation.json" }</w:instrText>
      </w:r>
      <w:r w:rsidRPr="00452E2E">
        <w:fldChar w:fldCharType="separate"/>
      </w:r>
      <w:r w:rsidRPr="00452E2E">
        <w:rPr>
          <w:noProof/>
        </w:rPr>
        <w:t>(cf. Lane &amp; Wood, 2009)</w:t>
      </w:r>
      <w:r w:rsidRPr="00452E2E">
        <w:fldChar w:fldCharType="end"/>
      </w:r>
      <w:r w:rsidRPr="00452E2E">
        <w:t xml:space="preserve">, such as the quota system of employment in the public service </w:t>
      </w:r>
      <w:r w:rsidRPr="00452E2E">
        <w:fldChar w:fldCharType="begin" w:fldLock="1"/>
      </w:r>
      <w:r w:rsidRPr="00452E2E">
        <w:instrText>ADDIN CSL_CITATION { "citationItems" : [ { "id" : "ITEM-1", "itemData" : { "DOI" : "10.1002/jid", "abstract" : "Nigeria, South Africa and Namibia, all divided societies, have affirmative action programmes aimed at bridging the profound inequalities between different segments of their population. Many others African countries have milder versions, such as parliamentary quotas for women. This study examines the necessity for affirmative action and the effectiveness of the Federal Character Commission (FCC), set up in Nigeria to oversee the process. It examines the historical connections between ethnic inequalities, governance and conflict in Nigeria and the various efforts at reforming the entrenched ethnic imbalances in the Nigerian public sector. It advances both philosophical and instrumentalist arguments in defence of affirmative action and, against this background, examines the effectiveness of the commission. A core argument is that the commission should be evaluated on both its intended and unintended effects on Nigerian public life. If this wider standard is used, then the commission has contributed positively to the management of ethnic inequalities in the Nigerian public sector. Some of the challenges facing the commission are also highlighted.", "author" : [ { "dropping-particle" : "", "family" : "Mustapha", "given" : "Abdul Raufu", "non-dropping-particle" : "", "parse-names" : false, "suffix" : "" } ], "container-title" : "Journal of International Development", "id" : "ITEM-1", "issue" : "43", "issued" : { "date-parts" : [ [ "2009" ] ] }, "page" : "561-576", "title" : "Institutionalising ethnic representation : how effective is affirmative action in Nigeria ?", "type" : "article-journal", "volume" : "576" }, "uris" : [ "http://www.mendeley.com/documents/?uuid=225bc6b9-e852-41cf-a452-00ea8c4f9ace" ] } ], "mendeley" : { "formattedCitation" : "(Mustapha 2009)", "manualFormatting" : "(Mustapha, 2009)", "plainTextFormattedCitation" : "(Mustapha 2009)", "previouslyFormattedCitation" : "(Mustapha 2009)" }, "properties" : { "noteIndex" : 0 }, "schema" : "https://github.com/citation-style-language/schema/raw/master/csl-citation.json" }</w:instrText>
      </w:r>
      <w:r w:rsidRPr="00452E2E">
        <w:fldChar w:fldCharType="separate"/>
      </w:r>
      <w:r w:rsidRPr="00452E2E">
        <w:rPr>
          <w:noProof/>
        </w:rPr>
        <w:t>(Mustapha, 2009)</w:t>
      </w:r>
      <w:r w:rsidRPr="00452E2E">
        <w:fldChar w:fldCharType="end"/>
      </w:r>
      <w:r w:rsidRPr="00452E2E">
        <w:t xml:space="preserve">. </w:t>
      </w:r>
    </w:p>
    <w:p w:rsidR="00D03A8E" w:rsidRPr="00452E2E" w:rsidRDefault="00D03A8E" w:rsidP="00D03A8E">
      <w:pPr>
        <w:spacing w:line="360" w:lineRule="auto"/>
        <w:jc w:val="both"/>
      </w:pPr>
      <w:r w:rsidRPr="00452E2E">
        <w:t xml:space="preserve">Interestingly, whilst the Labour Act of 1998 and the Nigerian Constitution provide the regulatory framework for employment relations in Nigeria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with the latter particularly safeguarding the basic human rights of all citizens, the problem with Nigeria is not in enacting laws but the enforcement of such laws </w:t>
      </w:r>
      <w:r w:rsidRPr="00452E2E">
        <w:fldChar w:fldCharType="begin" w:fldLock="1"/>
      </w:r>
      <w:r w:rsidRPr="00452E2E">
        <w:instrText>ADDIN CSL_CITATION { "citationItems" : [ { "id" : "ITEM-1", "itemData" : { "abstract" : "Purpose \u2013 Whilst taking Nigeria\u2019s peculiar institutional configurations into consideration, this paper aims to critically evaluate the Nigerian corporate governance regulatory system, which is characterised by endemic corporate corruption, and to explore how regulatory policy responses can be strategically formulated to ensure corporate vitality and prevent market failures. The paper investigates the antecedents of effective corporate governance regulation in Nigeria. Design/methodology/approach \u2013 This paper employs research method triangulation in order to provide an informative and comprehensive account. The following data collection methods were employed to conduct a survey of corporate governance professionals in academia, in practice (including board directors, managers, current and former CEOs and chairmen across different industries, as well as members of professional accounting and audit associations), and in the Nigerian polity: in-depth interviews, focus groups, direct observations and case studies. Findings \u2013 This study has provided some evidence to support the view that a country\u2019s peculiar institutional arrangements influence its predominant model and style of corporate governance regulation. These institutions may be regarded as integral and inseparable constituents of any particular nation, which can either aggregate to facilitate the success of regulatory initiatives and promote good corporate governance or constitute barriers to the implementation of good governance principles. Originality/value \u2013 This paper primarily adds to the literature on corporate governance in sub-Saharan Africa, whilst extending knowledge on the dynamics of corporate governance regulation in different institutional contexts. The paper further points out some transnational challenges, and suggests more caution, in the diffusion of corporate governance regulatory principles across different institutional environments. This further brings to the fore the need for countries to fashion out their corporate governance regulatory strategies in ways which deal with peculiar challenges, albeit within an umbrella of accepted principles of responsible corporate behaviour", "author" : [ { "dropping-particle" : "", "family" : "Adegbite", "given" : "Emmanuel", "non-dropping-particle" : "", "parse-names" : false, "suffix" : "" } ], "container-title" : "The International Journal of Business in Society", "id" : "ITEM-1", "issue" : "2", "issued" : { "date-parts" : [ [ "2012" ] ] }, "page" : "257-276", "title" : "Corporate governance regulation in Nigeria", "type" : "article-journal", "volume" : "12" }, "uris" : [ "http://www.mendeley.com/documents/?uuid=13af33e4-728f-4f04-b89a-cb083bdb6d90" ] } ], "mendeley" : { "formattedCitation" : "(Adegbite 2012)", "manualFormatting" : "(Adegbite, 2012)", "plainTextFormattedCitation" : "(Adegbite 2012)", "previouslyFormattedCitation" : "(Adegbite 2012)" }, "properties" : { "noteIndex" : 0 }, "schema" : "https://github.com/citation-style-language/schema/raw/master/csl-citation.json" }</w:instrText>
      </w:r>
      <w:r w:rsidRPr="00452E2E">
        <w:fldChar w:fldCharType="separate"/>
      </w:r>
      <w:r w:rsidRPr="00452E2E">
        <w:rPr>
          <w:noProof/>
        </w:rPr>
        <w:t>(Adegbite, 2012)</w:t>
      </w:r>
      <w:r w:rsidRPr="00452E2E">
        <w:fldChar w:fldCharType="end"/>
      </w:r>
      <w:r w:rsidRPr="00452E2E">
        <w:t>. A system of endemic corruption</w:t>
      </w:r>
      <w:r w:rsidR="00A6619B" w:rsidRPr="00452E2E">
        <w:t>,</w:t>
      </w:r>
      <w:r w:rsidRPr="00452E2E">
        <w:t xml:space="preserve"> combined with weak institutional capacity</w:t>
      </w:r>
      <w:r w:rsidR="00A6619B" w:rsidRPr="00452E2E">
        <w:t>,</w:t>
      </w:r>
      <w:r w:rsidRPr="00452E2E">
        <w:t xml:space="preserve"> result </w:t>
      </w:r>
      <w:r w:rsidR="00F7613F" w:rsidRPr="00452E2E">
        <w:t>in</w:t>
      </w:r>
      <w:r w:rsidRPr="00452E2E">
        <w:t xml:space="preserve"> poor enforcement of labour legislation </w:t>
      </w:r>
      <w:r w:rsidRPr="00452E2E">
        <w:fldChar w:fldCharType="begin" w:fldLock="1"/>
      </w:r>
      <w:r w:rsidRPr="00452E2E">
        <w:instrText>ADDIN CSL_CITATION { "citationItems" : [ { "id" : "ITEM-1", "itemData" : { "DOI" : "10.1007/s10551-005-3402-3", "ISBN" : "0167-4544", "ISSN" : "01674544", "PMID" : "18661623", "abstract" : "Corruption is a major problem in many of the world's developing economies today. World Bank studies put bribery at over $1 trillion per year accounting for up to 12 of the GDP of nations like Nigeria, Kenya and Venezuela. Though largely ignored for many years, interest in world wide corruption has been rekindled by recent corporate scandals in the US and Europe. Corruption in the developing nations is said to result from a number of factors. Mass poverty has been cited as a facilitating condition for corruption just as an inability to manage a sudden upsurge in mineral revenues has been credited with breeding corruption and adventurous government procurement among public officials in countries like Nigeria and Venezuela. Virtually all developing nations that have serious corruption problems also have very limited economic freedom and a very weak enforcement of the rule of law. In such nations, corruption represents a regressive taxation that bears hard on the poor. It has a dampening effect on development and it could result in the production of inferior goods as companies find ways to accommodate under-the-table payments. Finally, corruption is a dangerous threat to the legitimacy of the governments of some of the developing nations themselves. It is suggested that new urgent initiatives are needed to deal with the dangers posed by corruption in the developing economies. They include making the economies of these nations more open by the withdrawal of the government from the productive sector and by the abolition of unnecessarily stringent restrictions on business conduct. The rule of law needs to be strengthened in these nations and those countries like Nigeria and Venezuela should ignore scruples over sovereignty and seek foreign assistance in the management of their oil wealth. Finally, multinationals should be made to disclose all the payments they make in developing nations to such organizations like International Chamber of Commerce or Transparency International where they can be reviewed by anyone interested. \u00a9 Springer 2005.", "author" : [ { "dropping-particle" : "", "family" : "Nwabuzor", "given" : "Augustine", "non-dropping-particle" : "", "parse-names" : false, "suffix" : "" } ], "container-title" : "Journal of Business Ethics", "id" : "ITEM-1", "issue" : "1", "issued" : { "date-parts" : [ [ "2005" ] ] }, "page" : "121-138", "title" : "Corruption and development: new initiatives in economic openness and strengthened rule of law", "type" : "article-journal", "volume" : "59" }, "uris" : [ "http://www.mendeley.com/documents/?uuid=98c3865e-a1d6-48aa-9d59-e822e188af51" ] }, { "id" : "ITEM-2",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"ITEM-2", "issued" : { "date-parts" : [ [ "2007" ] ] }, "page" : "147-161", "publisher" : "Routledge", "publisher-place" : "Basingstoke", "title" : "The development of industrial relations in Nigeria", "type" : "chapter" }, "uris" : [ "http://www.mendeley.com/documents/?uuid=f2b8aead-5881-431a-ac66-a771fb408edd" ] }, { "id" : "ITEM-3", "itemData" : { "author" : [ { "dropping-particle" : "", "family" : "Akanle", "given" : "O.", "non-dropping-particle" : "", "parse-names" : false, "suffix" : "" }, { "dropping-particle" : "", "family" : "Adesina", "given" : "J. O.", "non-dropping-particle" : "", "parse-names" : false, "suffix" : "" } ], "container-title" : "Journal of Developing Societies", "id" : "ITEM-3", "issue" : "4", "issued" : { "date-parts" : [ [ "2015" ] ] }, "page" : "421-446", "title" : "Corruption and the Nigerian development quagmire: Popular narratives and current interrogations", "type" : "article-journal", "volume" : "31" }, "uris" : [ "http://www.mendeley.com/documents/?uuid=55be4474-7f74-4fbe-969f-e1361a51316a" ] } ], "mendeley" : { "formattedCitation" : "(Nwabuzor 2005; Fajana 2007; Akanle &amp; Adesina 2015)", "manualFormatting" : "(Nwabuzor, 2005; Fajana, 2007; Akanle &amp; Adesina, 2015)", "plainTextFormattedCitation" : "(Nwabuzor 2005; Fajana 2007; Akanle &amp; Adesina 2015)", "previouslyFormattedCitation" : "(Nwabuzor 2005; Fajana 2007; Akanle &amp; Adesina 2015)" }, "properties" : { "noteIndex" : 0 }, "schema" : "https://github.com/citation-style-language/schema/raw/master/csl-citation.json" }</w:instrText>
      </w:r>
      <w:r w:rsidRPr="00452E2E">
        <w:fldChar w:fldCharType="separate"/>
      </w:r>
      <w:r w:rsidRPr="00452E2E">
        <w:rPr>
          <w:noProof/>
        </w:rPr>
        <w:t>(Nwabuzor, 2005; Fajana, 2007; Akanle &amp; Adesina, 2015)</w:t>
      </w:r>
      <w:r w:rsidRPr="00452E2E">
        <w:fldChar w:fldCharType="end"/>
      </w:r>
      <w:r w:rsidRPr="00452E2E">
        <w:t xml:space="preserve"> whilst massive unemployment and the flagrant abuse of the rule of law inhibit workers from demanding for their basic rights </w:t>
      </w:r>
      <w:r w:rsidRPr="00452E2E">
        <w:fldChar w:fldCharType="begin" w:fldLock="1"/>
      </w:r>
      <w:r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"id" : "ITEM-2", "itemData" : { "author" : [ { "dropping-particle" : "", "family" : "Adewumi", "given" : "Funmi;", "non-dropping-particle" : "", "parse-names" : false, "suffix" : "" }, { "dropping-particle" : "", "family" : "Adenuga", "given" : "Adebimpe", "non-dropping-particle" : "", "parse-names" : false, "suffix" : "" } ], "id" : "ITEM-2", "issued" : { "date-parts" : [ [ "2010" ] ] }, "publisher" : "Friedrich-Ebert-Stiftung", "publisher-place" : "Abuja", "title" : "The state of workers\u2019 rights in Nigeria: an examination of the banking, oil and gas and telecommunication sectors", "type" : "book" }, "uris" : [ "http://www.mendeley.com/documents/?uuid=bca142ac-ccc5-402b-9bf8-6c83b4ca57bf" ] }, { "id" : "ITEM-3", "itemData" : { "abstract" : "Since the inception of paid/wage employment, through a combination of sustained struggles and appeals to the conscience of the rest of society, workers, using the platform provided by their organizations (trade unions), have been able to secure for themselves a number of rights. These rights are predicated on, and complemented by, some constitutional provisions which confer certain rights on workers as citizens of their countries. However, in the new world economic order elegantly referred to as globalization workers' rights have been dealt a devastating blow. Under globalization driven by neoliberalism and anchored on less state involvement in the economic sphere, governments, particularly in their obsession to attract foreign direct investments as well as satisfying private corporate interests, have been arm-twisted to relax labor laws that seek to protect workers from extreme abuse within the employment relationship. This unfolds within the context of the increasing autocracy of the capitalist state, not only in Nigeria but worldwide by which basic labor rights, such as the right to freedom of association and collective bargaining, are brazenly violated even in the advanced democracies. Based on a combination of empirical data and secondary materials, this essay establishes that the level of compliance with existing legislation on workers' rights is low in Nigeria. The research also finds that official enforcement is equally low; a situation that is encouraged by weak institutional capacity of the labor administration system. Closely related to weak institutional capacity is the lack of the political will on the part of the subservient Nigerian state to protect its worker-citizens. It is against this backdrop that the paper submits that given the failure of the state to ensure compliance with laws which seek to protect workers, workers, their organisations, and allies within the broader labour movement need to look beyond the state and its agencies to secure rights at work. The reality equally calls for a deeper understanding of the issues involved and a holistic response of the working class, both national and transnational. [ABSTRACT FROM AUTHOR]", "author" : [ { "dropping-particle" : "", "family" : "Adewumi", "given" : "Funmi", "non-dropping-particle" : "", "parse-names" : false, "suffix" : "" } ], "container-title" : "WorkingUSA", "id" : "ITEM-3", "issue" : "December", "issued" : { "date-parts" : [ [ "2012" ] ] }, "page" : "529-547", "title" : "The global economy, trade unions and the protection of workers' rights in Nigeria", "type" : "article-journal", "volume" : "15" }, "uris" : [ "http://www.mendeley.com/documents/?uuid=83e0a08f-76b3-46e8-a1f0-ae8e0126bf34" ] } ], "mendeley" : { "formattedCitation" : "(Fajana 2007; Adewumi &amp; Adenuga 2010; Adewumi 2012a)", "manualFormatting" : "(Fajana, 2007; Adewumi &amp; Adenuga, 2010; Adewumi, 2012)", "plainTextFormattedCitation" : "(Fajana 2007; Adewumi &amp; Adenuga 2010; Adewumi 2012a)", "previouslyFormattedCitation" : "(Fajana 2007; Adewumi &amp; Adenuga 2010; Adewumi 2012a)" }, "properties" : { "noteIndex" : 0 }, "schema" : "https://github.com/citation-style-language/schema/raw/master/csl-citation.json" }</w:instrText>
      </w:r>
      <w:r w:rsidRPr="00452E2E">
        <w:fldChar w:fldCharType="separate"/>
      </w:r>
      <w:r w:rsidRPr="00452E2E">
        <w:rPr>
          <w:noProof/>
        </w:rPr>
        <w:t>(Fajana, 2007; Adewumi &amp; Adenuga, 2010; Adewumi, 2012)</w:t>
      </w:r>
      <w:r w:rsidRPr="00452E2E">
        <w:fldChar w:fldCharType="end"/>
      </w:r>
      <w:r w:rsidRPr="00452E2E">
        <w:t xml:space="preserve">. This is further exacerbated in an environment where structures are designed to deliberately weaken the capacity of trade unions in line with the dictates of neo-liberalism </w:t>
      </w:r>
      <w:r w:rsidRPr="00452E2E">
        <w:fldChar w:fldCharType="begin" w:fldLock="1"/>
      </w:r>
      <w:r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"id" : "ITEM-2", "itemData" : { "abstract" : "Since the inception of paid/wage employment, through a combination of sustained struggles and appeals to the conscience of the rest of society, workers, using the platform provided by their organizations (trade unions), have been able to secure for themselves a number of rights. These rights are predicated on, and complemented by, some constitutional provisions which confer certain rights on workers as citizens of their countries. However, in the new world economic order elegantly referred to as globalization workers' rights have been dealt a devastating blow. Under globalization driven by neoliberalism and anchored on less state involvement in the economic sphere, governments, particularly in their obsession to attract foreign direct investments as well as satisfying private corporate interests, have been arm-twisted to relax labor laws that seek to protect workers from extreme abuse within the employment relationship. This unfolds within the context of the increasing autocracy of the capitalist state, not only in Nigeria but worldwide by which basic labor rights, such as the right to freedom of association and collective bargaining, are brazenly violated even in the advanced democracies. Based on a combination of empirical data and secondary materials, this essay establishes that the level of compliance with existing legislation on workers' rights is low in Nigeria. The research also finds that official enforcement is equally low; a situation that is encouraged by weak institutional capacity of the labor administration system. Closely related to weak institutional capacity is the lack of the political will on the part of the subservient Nigerian state to protect its worker-citizens. It is against this backdrop that the paper submits that given the failure of the state to ensure compliance with laws which seek to protect workers, workers, their organisations, and allies within the broader labour movement need to look beyond the state and its agencies to secure rights at work. The reality equally calls for a deeper understanding of the issues involved and a holistic response of the working class, both national and transnational. [ABSTRACT FROM AUTHOR]", "author" : [ { "dropping-particle" : "", "family" : "Adewumi", "given" : "Funmi", "non-dropping-particle" : "", "parse-names" : false, "suffix" : "" } ], "container-title" : "WorkingUSA", "id" : "ITEM-2", "issue" : "December", "issued" : { "date-parts" : [ [ "2012" ] ] }, "page" : "529-547", "title" : "The global economy, trade unions and the protection of workers' rights in Nigeria", "type" : "article-journal", "volume" : "15" }, "uris" : [ "http://www.mendeley.com/documents/?uuid=83e0a08f-76b3-46e8-a1f0-ae8e0126bf34" ] } ], "mendeley" : { "formattedCitation" : "(Fajana 2007; Adewumi 2012a)", "manualFormatting" : "(Fajana, 2007; Adewumi, 2012)", "plainTextFormattedCitation" : "(Fajana 2007; Adewumi 2012a)", "previouslyFormattedCitation" : "(Fajana 2007; Adewumi 2012a)" }, "properties" : { "noteIndex" : 0 }, "schema" : "https://github.com/citation-style-language/schema/raw/master/csl-citation.json" }</w:instrText>
      </w:r>
      <w:r w:rsidRPr="00452E2E">
        <w:fldChar w:fldCharType="separate"/>
      </w:r>
      <w:r w:rsidRPr="00452E2E">
        <w:rPr>
          <w:noProof/>
        </w:rPr>
        <w:t>(Fajana, 2007; Adewumi, 2012)</w:t>
      </w:r>
      <w:r w:rsidRPr="00452E2E">
        <w:fldChar w:fldCharType="end"/>
      </w:r>
      <w:r w:rsidRPr="00452E2E">
        <w:t xml:space="preserve">. </w:t>
      </w:r>
      <w:r w:rsidR="003665F0" w:rsidRPr="00452E2E">
        <w:t xml:space="preserve">This results </w:t>
      </w:r>
      <w:r w:rsidR="00F7613F" w:rsidRPr="00452E2E">
        <w:t>in</w:t>
      </w:r>
      <w:r w:rsidR="003665F0" w:rsidRPr="00452E2E">
        <w:t xml:space="preserve"> poor conditions of employment in many organizations in Nigeria</w:t>
      </w:r>
      <w:r w:rsidR="00A546EA" w:rsidRPr="00452E2E">
        <w:t>,</w:t>
      </w:r>
      <w:r w:rsidR="003665F0" w:rsidRPr="00452E2E">
        <w:t xml:space="preserve"> </w:t>
      </w:r>
      <w:r w:rsidR="00B962F1" w:rsidRPr="00452E2E">
        <w:t xml:space="preserve">exemplified by low investment in value-added HR practices </w:t>
      </w:r>
      <w:r w:rsidR="00CE1C03" w:rsidRPr="00452E2E">
        <w:t>(Ovadje &amp; Ankomah, 2001).</w:t>
      </w:r>
    </w:p>
    <w:p w:rsidR="00D03A8E" w:rsidRPr="00452E2E" w:rsidRDefault="00D03A8E" w:rsidP="00D03A8E">
      <w:pPr>
        <w:spacing w:line="360" w:lineRule="auto"/>
        <w:jc w:val="both"/>
      </w:pPr>
      <w:r w:rsidRPr="00452E2E">
        <w:t xml:space="preserve">At the same time, it has been suggested that some organizations may adopt culturally-relevant practices in managing human resources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"ITEM-2", "issue" : "7", "issued" : { "date-parts" : [ [ "2002" ] ] }, "page" : "1042-1059", "title" : "Human resource management practices in Nigeria: Challenges and insights", "type" : "article-journal", "volume" : "13" }, "uris" : [ "http://www.mendeley.com/documents/?uuid=05a9e25e-4e60-410a-af56-a98b14b9eb28" ] } ], "mendeley" : { "formattedCitation" : "(Ovadje &amp; Ankomah 2001; Anakwe 2002)", "manualFormatting" : "(Ovadje &amp; Ankomah, 2001; Anakwe, 2002)", "plainTextFormattedCitation" : "(Ovadje &amp; Ankomah 2001; Anakwe 2002)", "previouslyFormattedCitation" : "(Ovadje &amp; Ankomah 2001; Anakwe 2002)" }, "properties" : { "noteIndex" : 0 }, "schema" : "https://github.com/citation-style-language/schema/raw/master/csl-citation.json" }</w:instrText>
      </w:r>
      <w:r w:rsidRPr="00452E2E">
        <w:fldChar w:fldCharType="separate"/>
      </w:r>
      <w:r w:rsidRPr="00452E2E">
        <w:rPr>
          <w:noProof/>
        </w:rPr>
        <w:t>(Ovadje &amp; Ankomah, 2001; Anakwe, 2002)</w:t>
      </w:r>
      <w:r w:rsidRPr="00452E2E">
        <w:fldChar w:fldCharType="end"/>
      </w:r>
      <w:r w:rsidRPr="00452E2E">
        <w:t xml:space="preserve">. This may create a dichotomy between the use of formal versus informal techniques </w:t>
      </w:r>
      <w:r w:rsidR="00F7613F" w:rsidRPr="00452E2E">
        <w:t>of HRM or a combination of both,</w:t>
      </w:r>
      <w:r w:rsidRPr="00452E2E">
        <w:t xml:space="preserve"> resulting in hybridized practices </w:t>
      </w:r>
      <w:r w:rsidRPr="00452E2E">
        <w:fldChar w:fldCharType="begin" w:fldLock="1"/>
      </w:r>
      <w:r w:rsidRPr="00452E2E">
        <w:instrText>ADDIN CSL_CITATION { "citationItems" : [ { "id" : "ITEM-1",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"ITEM-1", "issue" : "1", "issued" : { "date-parts" : [ [ "2009" ] ] }, "page" : "62-82", "title" : "Managerial perspectives on HRM in Nigeria: Evolving hybridization?", "type" : "article-journal", "volume" : "16" }, "uris" : [ "http://www.mendeley.com/documents/?uuid=cde70e16-aeda-4832-89c0-f5554c70c93e" ] } ], "mendeley" : { "formattedCitation" : "(Azolukwam &amp; Perkins 2009)", "manualFormatting" : "(Azolukwam &amp; Perkins, 2009)", "plainTextFormattedCitation" : "(Azolukwam &amp; Perkins 2009)", "previouslyFormattedCitation" : "(Azolukwam &amp; Perkins 2009)" }, "properties" : { "noteIndex" : 0 }, "schema" : "https://github.com/citation-style-language/schema/raw/master/csl-citation.json" }</w:instrText>
      </w:r>
      <w:r w:rsidRPr="00452E2E">
        <w:fldChar w:fldCharType="separate"/>
      </w:r>
      <w:r w:rsidRPr="00452E2E">
        <w:rPr>
          <w:noProof/>
        </w:rPr>
        <w:t>(Azolukwam &amp; Perkins, 2009)</w:t>
      </w:r>
      <w:r w:rsidRPr="00452E2E">
        <w:fldChar w:fldCharType="end"/>
      </w:r>
      <w:r w:rsidRPr="00452E2E">
        <w:t xml:space="preserve">. For example, whilst some organizations may adopt formal techniques of recruitment such as advertisement and the use of recruitment agencies </w:t>
      </w:r>
      <w:r w:rsidRPr="00452E2E">
        <w:fldChar w:fldCharType="begin" w:fldLock="1"/>
      </w:r>
      <w:r w:rsidRPr="00452E2E">
        <w:instrText>ADDIN CSL_CITATION { "citationItems" : [ { "id" : "ITEM-1", "itemData" : { "abstract" : "This study presents the results of a survey of the extent to which organizations in two West African countries use various human resource management (HRM) practices and the perceived importance of these practices. Survey data were collected from 166 organizations in Ghana and Nigeria. Descriptive data are presented with respect to the use and implementation of traditional HRM practices such as recruitment, selection, performance appraisal, and training and development. In addition, data focusing on the perceived importance of these activities and other more specific HRM activities are presented and discussed. Finally, results of the present survey are compared with similiar data reported for US organizations and suggestions and recommendations for future research are discussed.", "author" : [ { "dropping-particle" : "", "family" : "Arthur", "given" : "Winfred", "non-dropping-particle" : "", "parse-names" : false, "suffix" : "" }, { "dropping-particle" : "", "family" : "Woehr", "given" : "David J", "non-dropping-particle" : "", "parse-names" : false, "suffix" : "" }, { "dropping-particle" : "", "family" : "Akande", "given" : "Adebowale", "non-dropping-particle" : "", "parse-names" : false, "suffix" : "" }, { "dropping-particle" : "", "family" : "Strong", "given" : "Mark H", "non-dropping-particle" : "", "parse-names" : false, "suffix" : "" } ], "container-title" : "The International Journal of Human Resource Management", "id" : "ITEM-1", "issue" : "2", "issued" : { "date-parts" : [ [ "1995" ] ] }, "page" : "347-367", "title" : "Human resource managment in West Africa: Practices and perceptions", "type" : "article-journal", "volume" : "6" }, "uris" : [ "http://www.mendeley.com/documents/?uuid=70d9522a-da7a-4fbe-8dcf-770a76025ea1" ] }, { "id" : "ITEM-2",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"ITEM-2",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"(Arthur et al. 1995; Okpara &amp; Wynn 2008)", "manualFormatting" : "(Arthur et al., 1995; Okpara &amp; Wynn, 2008)", "plainTextFormattedCitation" : "(Arthur et al. 1995; Okpara &amp; Wynn 2008)", "previouslyFormattedCitation" : "(Arthur et al. 1995; Okpara &amp; Wynn 2008)" }, "properties" : { "noteIndex" : 0 }, "schema" : "https://github.com/citation-style-language/schema/raw/master/csl-citation.json" }</w:instrText>
      </w:r>
      <w:r w:rsidRPr="00452E2E">
        <w:fldChar w:fldCharType="separate"/>
      </w:r>
      <w:r w:rsidRPr="00452E2E">
        <w:rPr>
          <w:noProof/>
        </w:rPr>
        <w:t xml:space="preserve">(Arthur </w:t>
      </w:r>
      <w:r w:rsidRPr="00452E2E">
        <w:rPr>
          <w:i/>
          <w:noProof/>
        </w:rPr>
        <w:t>et al</w:t>
      </w:r>
      <w:r w:rsidRPr="00452E2E">
        <w:rPr>
          <w:noProof/>
        </w:rPr>
        <w:t>., 1995; Okpara &amp; Wynn, 2008)</w:t>
      </w:r>
      <w:r w:rsidRPr="00452E2E">
        <w:fldChar w:fldCharType="end"/>
      </w:r>
      <w:r w:rsidRPr="00452E2E">
        <w:t xml:space="preserve">, others may rely on informal networks based on family ties and friendship as a source of recruitment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Nevertheless, there are yet some industries or sectors where “high-value added” practices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"(cf.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(cf. Webster &amp; Wood, 2005)</w:t>
      </w:r>
      <w:r w:rsidRPr="00452E2E">
        <w:fldChar w:fldCharType="end"/>
      </w:r>
      <w:r w:rsidRPr="00452E2E">
        <w:t xml:space="preserve"> may be prevalent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00F7613F" w:rsidRPr="00452E2E">
        <w:t xml:space="preserve">, </w:t>
      </w:r>
      <w:r w:rsidRPr="00452E2E">
        <w:t xml:space="preserve">thereby </w:t>
      </w:r>
      <w:r w:rsidRPr="00452E2E">
        <w:lastRenderedPageBreak/>
        <w:t xml:space="preserve">leading to internal diversity on the basis of industry or sector that characterise a segmented business system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"id" : "ITEM-2",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"495-511", "publisher" : "Edward Elgar", "publisher-place" : "Cheltenham, UK", "title" : "The practice of HRM in Africa in comparative perspective", "type" : "chapter" }, "uris" : [ "http://www.mendeley.com/documents/?uuid=c50d4f41-3d16-4383-bbfc-941b6ffeeb24" ] }, { "id" : "ITEM-3",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"ITEM-3",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"(Wood &amp; Frynas 2006; Bischoff &amp; Wood 2012; Wood &amp; Horwitz 2015)", "manualFormatting" : "(Wood &amp; Frynas, 2006; Bischoff &amp; Wood, 2012; Wood &amp; Horwitz, 2015)", "plainTextFormattedCitation" : "(Wood &amp; Frynas 2006; Bischoff &amp; Wood 2012; Wood &amp; Horwitz 2015)", "previouslyFormattedCitation" : "(Wood &amp; Frynas 2006; Bischoff &amp; Wood 2012; Wood &amp; Horwitz 2015)" }, "properties" : { "noteIndex" : 0 }, "schema" : "https://github.com/citation-style-language/schema/raw/master/csl-citation.json" }</w:instrText>
      </w:r>
      <w:r w:rsidRPr="00452E2E">
        <w:fldChar w:fldCharType="separate"/>
      </w:r>
      <w:r w:rsidRPr="00452E2E">
        <w:rPr>
          <w:noProof/>
        </w:rPr>
        <w:t>(Wood &amp; Frynas, 2006; Bischoff &amp; Wood, 2012; Wood &amp; Horwitz, 2015)</w:t>
      </w:r>
      <w:r w:rsidRPr="00452E2E">
        <w:fldChar w:fldCharType="end"/>
      </w:r>
      <w:r w:rsidRPr="00452E2E">
        <w:t xml:space="preserve">. </w:t>
      </w:r>
    </w:p>
    <w:p w:rsidR="008C29C6" w:rsidRPr="00452E2E" w:rsidRDefault="00D03A8E" w:rsidP="00D03A8E">
      <w:pPr>
        <w:spacing w:line="360" w:lineRule="auto"/>
        <w:jc w:val="both"/>
      </w:pPr>
      <w:r w:rsidRPr="00452E2E">
        <w:t>Meanwhile, it has been argued that when organizations adopt HR practices that seek to e</w:t>
      </w:r>
      <w:r w:rsidR="00052110" w:rsidRPr="00452E2E">
        <w:t>nhance the ability of employees, motivate employees,</w:t>
      </w:r>
      <w:r w:rsidRPr="00452E2E">
        <w:t xml:space="preserve"> and provide them </w:t>
      </w:r>
      <w:r w:rsidR="00052110" w:rsidRPr="00452E2E">
        <w:t xml:space="preserve">with </w:t>
      </w:r>
      <w:r w:rsidRPr="00452E2E">
        <w:t xml:space="preserve">the opportunity to participate, it will engender positive employee attitudes in the form of job satisfaction and organizational commitment </w:t>
      </w:r>
      <w:r w:rsidRPr="00452E2E">
        <w:fldChar w:fldCharType="begin" w:fldLock="1"/>
      </w:r>
      <w:r w:rsidRPr="00452E2E">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"Boxall", "given" : "Peter", "non-dropping-particle" : "", "parse-names" : false, "suffix" : "" }, { "dropping-particle" : "", "family" : "Purcell", "given" : "John", "non-dropping-particle" : "", "parse-names" : false, "suffix" : "" } ], "id" : "ITEM-2", "issued" : { "date-parts" : [ [ "2003" ] ] }, "publisher" : "Palgrave Macmillan", "publisher-place" : "Houndsmill", "title" : "Strategy and human resource management", "type" : "book" }, "uris" : [ "http://www.mendeley.com/documents/?uuid=7df8cee2-2170-4d1e-b2a0-ed8404b86785" ] }, { "id" : "ITEM-3",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"ITEM-3", "issued" : { "date-parts" : [ [ "2014" ] ] }, "page" : "26-47", "publisher" : "SAGE", "publisher-place" : "London", "title" : "HRM and firm performance", "type" : "chapter" }, "uris" : [ "http://www.mendeley.com/documents/?uuid=e3c973eb-cf2c-42cc-b672-3c45b350ee20" ] } ], "mendeley" : { "formattedCitation" : "(Appelbaum et al. 2000; Boxall &amp; Purcell 2003; Katou &amp; Budhwar 2014)", "manualFormatting" : "(Appelbaum et al., 2000; Boxall &amp; Purcell, 2003; Katou &amp; Budhwar, 2014)", "plainTextFormattedCitation" : "(Appelbaum et al. 2000; Boxall &amp; Purcell 2003; Katou &amp; Budhwar 2014)", "previouslyFormattedCitation" : "(Appelbaum et al. 2000; Boxall &amp; Purcell 2003; Katou &amp; Budhwar 2014)" }, "properties" : { "noteIndex" : 0 }, "schema" : "https://github.com/citation-style-language/schema/raw/master/csl-citation.json" }</w:instrText>
      </w:r>
      <w:r w:rsidRPr="00452E2E">
        <w:fldChar w:fldCharType="separate"/>
      </w:r>
      <w:r w:rsidRPr="00452E2E">
        <w:rPr>
          <w:noProof/>
        </w:rPr>
        <w:t xml:space="preserve">(Appelbaum </w:t>
      </w:r>
      <w:r w:rsidRPr="00452E2E">
        <w:rPr>
          <w:i/>
          <w:noProof/>
        </w:rPr>
        <w:t>et al</w:t>
      </w:r>
      <w:r w:rsidRPr="00452E2E">
        <w:rPr>
          <w:noProof/>
        </w:rPr>
        <w:t>., 2000; Boxall &amp; Purcell, 2003; Katou &amp; Budhwar, 2014)</w:t>
      </w:r>
      <w:r w:rsidRPr="00452E2E">
        <w:fldChar w:fldCharType="end"/>
      </w:r>
      <w:r w:rsidRPr="00452E2E">
        <w:t>. Thus, the effectiveness of HR practices in engendering positive attitudes in the Nigerian context may be sector-dependent. Moreover, since the institutional environment of organizations influence</w:t>
      </w:r>
      <w:r w:rsidR="00052110" w:rsidRPr="00452E2E">
        <w:t>s</w:t>
      </w:r>
      <w:r w:rsidRPr="00452E2E">
        <w:t xml:space="preserve"> the practices they adopt, it is expected that the effects of HR practices on employee attitudes may be affected by th</w:t>
      </w:r>
      <w:r w:rsidR="00052110" w:rsidRPr="00452E2E">
        <w:t>e institutional context. Moreover</w:t>
      </w:r>
      <w:r w:rsidRPr="00452E2E">
        <w:t xml:space="preserve">, differences in ownership and sources of funding between public and private sector organizations </w:t>
      </w:r>
      <w:r w:rsidR="00052110" w:rsidRPr="00452E2E">
        <w:t>mean</w:t>
      </w:r>
      <w:r w:rsidRPr="00452E2E">
        <w:t xml:space="preserve"> that organizations in both sectors operate under different institutional environments </w:t>
      </w:r>
      <w:r w:rsidRPr="00452E2E">
        <w:fldChar w:fldCharType="begin" w:fldLock="1"/>
      </w:r>
      <w:r w:rsidRPr="00452E2E">
        <w:instrText>ADDIN CSL_CITATION { "citationItems" : [ { "id" : "ITEM-1", "itemData" : { "author" : [ { "dropping-particle" : "", "family" : "Rainey", "given" : "Hal G.", "non-dropping-particle" : "", "parse-names" : false, "suffix" : "" } ], "edition" : "5th", "id" : "ITEM-1", "issued" : { "date-parts" : [ [ "2014" ] ] }, "publisher" : "Jossey-Bass", "publisher-place" : "San Francisco CA", "title" : "Understanding and managing public organizations", "type" : "book" }, "uris" : [ "http://www.mendeley.com/documents/?uuid=e4509630-4d2f-4f7b-acc0-ef9c899faaab" ] } ], "mendeley" : { "formattedCitation" : "(Rainey 2014)", "manualFormatting" : "(Rainey, 2014)", "plainTextFormattedCitation" : "(Rainey 2014)", "previouslyFormattedCitation" : "(Rainey 2014)" }, "properties" : { "noteIndex" : 0 }, "schema" : "https://github.com/citation-style-language/schema/raw/master/csl-citation.json" }</w:instrText>
      </w:r>
      <w:r w:rsidRPr="00452E2E">
        <w:fldChar w:fldCharType="separate"/>
      </w:r>
      <w:r w:rsidRPr="00452E2E">
        <w:rPr>
          <w:noProof/>
        </w:rPr>
        <w:t>(Rainey, 2014)</w:t>
      </w:r>
      <w:r w:rsidRPr="00452E2E">
        <w:fldChar w:fldCharType="end"/>
      </w:r>
      <w:r w:rsidRPr="00452E2E">
        <w:t xml:space="preserve"> which may influence not only their practices but also employee attitudinal responses to such practices. </w:t>
      </w:r>
    </w:p>
    <w:p w:rsidR="00D03A8E" w:rsidRPr="00452E2E" w:rsidRDefault="00D03A8E" w:rsidP="00D03A8E">
      <w:pPr>
        <w:spacing w:line="360" w:lineRule="auto"/>
        <w:jc w:val="both"/>
      </w:pPr>
      <w:r w:rsidRPr="00452E2E">
        <w:t xml:space="preserve">Nevertheless, most previous studies on the effect of HR practices on employee attitudes have focused on private sector organizations to the neglect of public sector organizations. Of course, just like HRM is important to private sector organizations, it is also important to public sector organizations since the skills, abilities and motivations of employees are necessary for quality service delivery in the public sector </w:t>
      </w:r>
      <w:r w:rsidRPr="00452E2E">
        <w:fldChar w:fldCharType="begin" w:fldLock="1"/>
      </w:r>
      <w:r w:rsidRPr="00452E2E">
        <w:instrText>ADDIN CSL_CITATION { "citationItems" : [ { "id" : "ITEM-1", "itemData" : { "author" : [ { "dropping-particle" : "", "family" : "Burke", "given" : "Ronald J", "non-dropping-particle" : "", "parse-names" : false, "suffix" : "" }, { "dropping-particle" : "", "family" : "Allisey", "given" : "A.F", "non-dropping-particle" : "", "parse-names" : false, "suffix" : "" }, { "dropping-particle" : "", "family" : "Noblet", "given" : "A.J", "non-dropping-particle" : "", "parse-names" : false, "suffix" : "" } ], "container-title" : "Human resource management in the public sector", "editor" : [ { "dropping-particle" : "", "family" : "Burke", "given" : "R.J", "non-dropping-particle" : "", "parse-names" : false, "suffix" : "" }, { "dropping-particle" : "", "family" : "Noblet", "given" : "A.J", "non-dropping-particle" : "", "parse-names" : false, "suffix" : "" }, { "dropping-particle" : "", "family" : "Cooper", "given" : "C L", "non-dropping-particle" : "", "parse-names" : false, "suffix" : "" } ], "id" : "ITEM-1", "issued" : { "date-parts" : [ [ "2013" ] ] }, "page" : "1-13", "publisher" : "Edward Elgar", "publisher-place" : "Cheltenham, UK", "title" : "The importance of human resource management in the public sector, future challenges and the relevance of the current collection", "type" : "chapter" }, "uris" : [ "http://www.mendeley.com/documents/?uuid=f3292962-3011-4954-b778-d8d1122d0b4a" ] } ], "mendeley" : { "formattedCitation" : "(Burke et al. 2013)", "manualFormatting" : "(Burke et al., 2013)", "plainTextFormattedCitation" : "(Burke et al. 2013)", "previouslyFormattedCitation" : "(Burke et al. 2013)" }, "properties" : { "noteIndex" : 0 }, "schema" : "https://github.com/citation-style-language/schema/raw/master/csl-citation.json" }</w:instrText>
      </w:r>
      <w:r w:rsidRPr="00452E2E">
        <w:fldChar w:fldCharType="separate"/>
      </w:r>
      <w:r w:rsidRPr="00452E2E">
        <w:rPr>
          <w:noProof/>
        </w:rPr>
        <w:t xml:space="preserve">(Burke </w:t>
      </w:r>
      <w:r w:rsidRPr="00452E2E">
        <w:rPr>
          <w:i/>
          <w:noProof/>
        </w:rPr>
        <w:t>et al</w:t>
      </w:r>
      <w:r w:rsidRPr="00452E2E">
        <w:rPr>
          <w:noProof/>
        </w:rPr>
        <w:t>., 2013)</w:t>
      </w:r>
      <w:r w:rsidRPr="00452E2E">
        <w:fldChar w:fldCharType="end"/>
      </w:r>
      <w:r w:rsidRPr="00452E2E">
        <w:t xml:space="preserve">. It is based on the foregoing </w:t>
      </w:r>
      <w:r w:rsidR="00B25C3D" w:rsidRPr="00452E2E">
        <w:t xml:space="preserve">premise </w:t>
      </w:r>
      <w:r w:rsidRPr="00452E2E">
        <w:t xml:space="preserve">that this study seeks to compare the nature of HRM in </w:t>
      </w:r>
      <w:r w:rsidR="000929B6" w:rsidRPr="00452E2E">
        <w:t xml:space="preserve">the </w:t>
      </w:r>
      <w:r w:rsidRPr="00452E2E">
        <w:t xml:space="preserve">public and private sector in Nigeria as well as the effects of HR practices on employee attitudes in </w:t>
      </w:r>
      <w:r w:rsidR="000929B6" w:rsidRPr="00452E2E">
        <w:t xml:space="preserve">the </w:t>
      </w:r>
      <w:r w:rsidRPr="00452E2E">
        <w:t xml:space="preserve">public and private sector. </w:t>
      </w:r>
    </w:p>
    <w:p w:rsidR="00D03A8E" w:rsidRPr="00452E2E" w:rsidRDefault="008C3D77" w:rsidP="00170224">
      <w:pPr>
        <w:pStyle w:val="Heading3"/>
      </w:pPr>
      <w:bookmarkStart w:id="23" w:name="_Toc465271161"/>
      <w:bookmarkStart w:id="24" w:name="_Toc473808100"/>
      <w:r w:rsidRPr="00452E2E">
        <w:t>1.5</w:t>
      </w:r>
      <w:r w:rsidR="00D03A8E" w:rsidRPr="00452E2E">
        <w:t xml:space="preserve"> Research Objectives and Questions</w:t>
      </w:r>
      <w:bookmarkEnd w:id="23"/>
      <w:bookmarkEnd w:id="24"/>
    </w:p>
    <w:p w:rsidR="00D03A8E" w:rsidRPr="00452E2E" w:rsidRDefault="00D03A8E" w:rsidP="00D03A8E">
      <w:pPr>
        <w:spacing w:line="360" w:lineRule="auto"/>
        <w:jc w:val="both"/>
      </w:pPr>
      <w:r w:rsidRPr="00452E2E">
        <w:t xml:space="preserve">The broad objective of this research is to compare the nature of HRM in </w:t>
      </w:r>
      <w:r w:rsidR="000929B6" w:rsidRPr="00452E2E">
        <w:t xml:space="preserve">the </w:t>
      </w:r>
      <w:r w:rsidRPr="00452E2E">
        <w:t xml:space="preserve">public and private sector </w:t>
      </w:r>
      <w:r w:rsidR="000929B6" w:rsidRPr="00452E2E">
        <w:t>as well as</w:t>
      </w:r>
      <w:r w:rsidRPr="00452E2E">
        <w:t xml:space="preserve"> the effects of HR practices on employee attitudes in public and private sector in Nigeria. The specific research objectives are as follows:</w:t>
      </w:r>
    </w:p>
    <w:p w:rsidR="00D03A8E" w:rsidRPr="00452E2E" w:rsidRDefault="00D03A8E" w:rsidP="00D03A8E">
      <w:pPr>
        <w:pStyle w:val="ListParagraph"/>
        <w:numPr>
          <w:ilvl w:val="0"/>
          <w:numId w:val="3"/>
        </w:numPr>
        <w:spacing w:line="360" w:lineRule="auto"/>
        <w:ind w:left="0" w:firstLine="0"/>
        <w:jc w:val="both"/>
      </w:pPr>
      <w:r w:rsidRPr="00452E2E">
        <w:lastRenderedPageBreak/>
        <w:t xml:space="preserve">To explore the influence of institutions on HRM in </w:t>
      </w:r>
      <w:r w:rsidR="000929B6" w:rsidRPr="00452E2E">
        <w:t xml:space="preserve">the </w:t>
      </w:r>
      <w:r w:rsidRPr="00452E2E">
        <w:t>public and private sector in Nigeria.</w:t>
      </w:r>
    </w:p>
    <w:p w:rsidR="00D03A8E" w:rsidRPr="00452E2E" w:rsidRDefault="00D03A8E" w:rsidP="00D03A8E">
      <w:pPr>
        <w:pStyle w:val="ListParagraph"/>
        <w:numPr>
          <w:ilvl w:val="0"/>
          <w:numId w:val="3"/>
        </w:numPr>
        <w:spacing w:line="360" w:lineRule="auto"/>
        <w:ind w:left="0" w:firstLine="0"/>
        <w:jc w:val="both"/>
      </w:pPr>
      <w:r w:rsidRPr="00452E2E">
        <w:t xml:space="preserve">To examine the specific techniques of HRM adopted in </w:t>
      </w:r>
      <w:r w:rsidR="000929B6" w:rsidRPr="00452E2E">
        <w:t xml:space="preserve">the </w:t>
      </w:r>
      <w:r w:rsidRPr="00452E2E">
        <w:t>public and private sector in Nigeria.</w:t>
      </w:r>
    </w:p>
    <w:p w:rsidR="00D03A8E" w:rsidRPr="00452E2E" w:rsidRDefault="00D03A8E" w:rsidP="00D03A8E">
      <w:pPr>
        <w:pStyle w:val="ListParagraph"/>
        <w:numPr>
          <w:ilvl w:val="0"/>
          <w:numId w:val="3"/>
        </w:numPr>
        <w:spacing w:line="360" w:lineRule="auto"/>
        <w:ind w:left="0" w:firstLine="0"/>
        <w:jc w:val="both"/>
      </w:pPr>
      <w:r w:rsidRPr="00452E2E">
        <w:t xml:space="preserve">To examine the effects of HR practices on employee attitudes in </w:t>
      </w:r>
      <w:r w:rsidR="000929B6" w:rsidRPr="00452E2E">
        <w:t xml:space="preserve">the </w:t>
      </w:r>
      <w:r w:rsidRPr="00452E2E">
        <w:t>public and private sector in Nigeria.</w:t>
      </w:r>
    </w:p>
    <w:p w:rsidR="00D03A8E" w:rsidRPr="00452E2E" w:rsidRDefault="00D03A8E" w:rsidP="00D03A8E">
      <w:pPr>
        <w:spacing w:line="360" w:lineRule="auto"/>
        <w:jc w:val="both"/>
      </w:pPr>
      <w:r w:rsidRPr="00452E2E">
        <w:t>Arising from these objectives, the research seeks to address the following research questions:</w:t>
      </w:r>
    </w:p>
    <w:p w:rsidR="00D03A8E" w:rsidRPr="00452E2E" w:rsidRDefault="00D03A8E" w:rsidP="00D03A8E">
      <w:pPr>
        <w:pStyle w:val="ListParagraph"/>
        <w:numPr>
          <w:ilvl w:val="0"/>
          <w:numId w:val="4"/>
        </w:numPr>
        <w:spacing w:line="360" w:lineRule="auto"/>
        <w:ind w:left="0" w:firstLine="0"/>
        <w:jc w:val="both"/>
      </w:pPr>
      <w:r w:rsidRPr="00452E2E">
        <w:t xml:space="preserve">How do institutions influence HRM in </w:t>
      </w:r>
      <w:r w:rsidR="000929B6" w:rsidRPr="00452E2E">
        <w:t xml:space="preserve">the </w:t>
      </w:r>
      <w:r w:rsidRPr="00452E2E">
        <w:t>public and private sector in Nigeria?</w:t>
      </w:r>
    </w:p>
    <w:p w:rsidR="00D03A8E" w:rsidRPr="00452E2E" w:rsidRDefault="00D03A8E" w:rsidP="00D03A8E">
      <w:pPr>
        <w:pStyle w:val="ListParagraph"/>
        <w:numPr>
          <w:ilvl w:val="0"/>
          <w:numId w:val="4"/>
        </w:numPr>
        <w:spacing w:line="360" w:lineRule="auto"/>
        <w:ind w:left="0" w:firstLine="0"/>
        <w:jc w:val="both"/>
      </w:pPr>
      <w:r w:rsidRPr="00452E2E">
        <w:t xml:space="preserve">What are the specific techniques of HRM adopted in </w:t>
      </w:r>
      <w:r w:rsidR="000929B6" w:rsidRPr="00452E2E">
        <w:t xml:space="preserve">the </w:t>
      </w:r>
      <w:r w:rsidRPr="00452E2E">
        <w:t>public and private sector in Nigeria?</w:t>
      </w:r>
    </w:p>
    <w:p w:rsidR="00D03A8E" w:rsidRPr="00452E2E" w:rsidRDefault="00D03A8E" w:rsidP="00D03A8E">
      <w:pPr>
        <w:pStyle w:val="ListParagraph"/>
        <w:numPr>
          <w:ilvl w:val="0"/>
          <w:numId w:val="4"/>
        </w:numPr>
        <w:spacing w:line="360" w:lineRule="auto"/>
        <w:ind w:left="0" w:firstLine="0"/>
        <w:jc w:val="both"/>
      </w:pPr>
      <w:r w:rsidRPr="00452E2E">
        <w:t xml:space="preserve">What </w:t>
      </w:r>
      <w:r w:rsidR="000929B6" w:rsidRPr="00452E2E">
        <w:t>are</w:t>
      </w:r>
      <w:r w:rsidRPr="00452E2E">
        <w:t xml:space="preserve"> the effects of HR practices on employee attitudes in </w:t>
      </w:r>
      <w:r w:rsidR="000929B6" w:rsidRPr="00452E2E">
        <w:t xml:space="preserve">the </w:t>
      </w:r>
      <w:r w:rsidRPr="00452E2E">
        <w:t>public and private sector in Nigeria?</w:t>
      </w:r>
    </w:p>
    <w:p w:rsidR="00D03A8E" w:rsidRPr="00452E2E" w:rsidRDefault="000D7AB9" w:rsidP="00170224">
      <w:pPr>
        <w:pStyle w:val="Heading3"/>
      </w:pPr>
      <w:bookmarkStart w:id="25" w:name="_Toc465271162"/>
      <w:bookmarkStart w:id="26" w:name="_Toc473808101"/>
      <w:r w:rsidRPr="00452E2E">
        <w:t>1.6</w:t>
      </w:r>
      <w:r w:rsidR="00D03A8E" w:rsidRPr="00452E2E">
        <w:t xml:space="preserve"> Significance of the Research</w:t>
      </w:r>
      <w:bookmarkEnd w:id="25"/>
      <w:bookmarkEnd w:id="26"/>
    </w:p>
    <w:p w:rsidR="00D03A8E" w:rsidRPr="00452E2E" w:rsidRDefault="00D03A8E" w:rsidP="00D03A8E">
      <w:pPr>
        <w:spacing w:line="360" w:lineRule="auto"/>
        <w:jc w:val="both"/>
      </w:pPr>
      <w:r w:rsidRPr="00452E2E">
        <w:t xml:space="preserve">The aim of this section is to highlight the various ways in which this research is considered important. </w:t>
      </w:r>
      <w:r w:rsidR="00557B58" w:rsidRPr="00452E2E">
        <w:t>T</w:t>
      </w:r>
      <w:r w:rsidRPr="00452E2E">
        <w:t xml:space="preserve">he </w:t>
      </w:r>
      <w:r w:rsidR="00557B58" w:rsidRPr="00452E2E">
        <w:t>analysis</w:t>
      </w:r>
      <w:r w:rsidRPr="00452E2E">
        <w:t xml:space="preserve"> of HRM in Nigeria from an institutional perspective</w:t>
      </w:r>
      <w:r w:rsidR="00557B58" w:rsidRPr="00452E2E">
        <w:t xml:space="preserve"> is one of the main significance of this research</w:t>
      </w:r>
      <w:r w:rsidRPr="00452E2E">
        <w:t xml:space="preserve">. This is because many researchers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"id" : "ITEM-2", "itemData" : { "DOI" : "10.1080/09585192.2015.1071546", "ISSN" : "0958-5192", "author" : [ { "dropping-particle" : "", "family" : "Cooke", "given" : "Fang Lee", "non-dropping-particle" : "", "parse-names" : false, "suffix" : "" }, { "dropping-particle" : "", "family" : "Wood", "given" : "Geoffrey", "non-dropping-particle" : "", "parse-names" : false, "suffix" : "" }, { "dropping-particle" : "", "family" : "Horwitz", "given" : "Frank", "non-dropping-particle" : "", "parse-names" : false, "suffix" : "" } ], "container-title" : "The International Journal of Human Resource Management", "id" : "ITEM-2", "issue" : "21", "issued" : { "date-parts" : [ [ "2015" ] ] }, "page" : "2653-2675", "title" : "Multinational firms from emerging economies in Africa: Implications for research and practice in human resource management", "type" : "article-journal", "volume" : "26" }, "uris" : [ "http://www.mendeley.com/documents/?uuid=00b6a1e1-3d15-4bc3-9254-07ad89eb3867" ] }, { "id" : "ITEM-3", "itemData" : { "author" : [ { "dropping-particle" : "", "family" : "Kamoche", "given" : "Ken", "non-dropping-particle" : "", "parse-names" : false, "suffix" : "" }, { "dropping-particle" : "", "family" : "Siebers", "given" : "Lisa QIxun", "non-dropping-particle" : "", "parse-names" : false, "suffix" : "" }, { "dropping-particle" : "", "family" : "Mamman", "given" : "Aminu", "non-dropping-particle" : "", "parse-names" : false, "suffix" : "" }, { "dropping-particle" : "", "family" : "Newenham-Kahindi", "given" : "Aloysius", "non-dropping-particle" : "", "parse-names" : false, "suffix" : "" } ], "container-title" : "Personnel Review", "id" : "ITEM-3", "issue" : "3", "issued" : { "date-parts" : [ [ "2015" ] ] }, "page" : "330-345", "title" : "The dynamics of managing people in the diverse cultural and institutional context of Africa", "type" : "article-journal", "volume" : "44" }, "uris" : [ "http://www.mendeley.com/documents/?uuid=69ad02a9-4a01-42ad-ac07-0a1853df3747" ] } ], "mendeley" : { "formattedCitation" : "(Wood et al. 2011; Cooke et al. 2015; Kamoche et al. 2015)", "manualFormatting" : "(e.g. Wood et al., 2011; Cooke et al., 2015; Kamoche et al., 2015)", "plainTextFormattedCitation" : "(Wood et al. 2011; Cooke et al. 2015; Kamoche et al. 2015)", "previouslyFormattedCitation" : "(Wood et al. 2011; Cooke et al. 2015; Kamoche et al. 2015)" }, "properties" : { "noteIndex" : 0 }, "schema" : "https://github.com/citation-style-language/schema/raw/master/csl-citation.json" }</w:instrText>
      </w:r>
      <w:r w:rsidRPr="00452E2E">
        <w:fldChar w:fldCharType="separate"/>
      </w:r>
      <w:r w:rsidRPr="00452E2E">
        <w:rPr>
          <w:noProof/>
        </w:rPr>
        <w:t xml:space="preserve">(e.g. Wood </w:t>
      </w:r>
      <w:r w:rsidRPr="00452E2E">
        <w:rPr>
          <w:i/>
          <w:noProof/>
        </w:rPr>
        <w:t>et al</w:t>
      </w:r>
      <w:r w:rsidRPr="00452E2E">
        <w:rPr>
          <w:noProof/>
        </w:rPr>
        <w:t xml:space="preserve">., 2011; Cooke </w:t>
      </w:r>
      <w:r w:rsidRPr="00452E2E">
        <w:rPr>
          <w:i/>
          <w:noProof/>
        </w:rPr>
        <w:t>et al</w:t>
      </w:r>
      <w:r w:rsidRPr="00452E2E">
        <w:rPr>
          <w:noProof/>
        </w:rPr>
        <w:t xml:space="preserve">., 2015; Kamoche </w:t>
      </w:r>
      <w:r w:rsidRPr="00452E2E">
        <w:rPr>
          <w:i/>
          <w:noProof/>
        </w:rPr>
        <w:t>et al</w:t>
      </w:r>
      <w:r w:rsidRPr="00452E2E">
        <w:rPr>
          <w:noProof/>
        </w:rPr>
        <w:t>., 2015)</w:t>
      </w:r>
      <w:r w:rsidRPr="00452E2E">
        <w:fldChar w:fldCharType="end"/>
      </w:r>
      <w:r w:rsidRPr="00452E2E">
        <w:t xml:space="preserve"> have noted the dominant use of cultural frameworks in examining HRM in African contexts. Apart from the fact that institutions influence HRM more than culture </w:t>
      </w:r>
      <w:r w:rsidRPr="00452E2E">
        <w:fldChar w:fldCharType="begin" w:fldLock="1"/>
      </w:r>
      <w:r w:rsidRPr="00452E2E">
        <w:instrText>ADDIN CSL_CITATION { "citationItems" : [ { "id" : "ITEM-1", "itemData" : { "abstract" : "This paper assesses the relative and joint impact of cultural and institutional factors on firms' use of \u201ccalculative\u201d human resource management practices to determine their separate analytic power. To what extent do institutions and culture structure managerial choice? Previous research has been constrained by not having measures for both cultural and institutional distance. Employing data from 14 European countries taken from the Cranet survey, our findings indicate that institutional, and more specifically, labour relations factors, have more explanatory power than cultural factors.", "author" : [ { "dropping-particle" : "", "family" : "Brookes", "given" : "Michael", "non-dropping-particle" : "", "parse-names" : false, "suffix" : "" }, { "dropping-particle" : "", "family" : "Croucher", "given" : "Richard", "non-dropping-particle" : "", "parse-names" : false, "suffix" : "" }, { "dropping-particle" : "", "family" : "Fenton-O'Creevy", "given" : "Mark", "non-dropping-particle" : "", "parse-names" : false, "suffix" : "" }, { "dropping-particle" : "", "family" : "Gooderham", "given" : "Paul", "non-dropping-particle" : "", "parse-names" : false, "suffix" : "" } ], "container-title" : "Human Resource Management Review", "id" : "ITEM-1", "issued" : { "date-parts" : [ [ "2011" ] ] }, "page" : "68-79", "publisher" : "Elsevier Inc.", "title" : "Measuring competing explanations of human resource management practices through the Cranet survey: Cultural versus institutional explanations", "type" : "article-journal", "volume" : "21" }, "uris" : [ "http://www.mendeley.com/documents/?uuid=13829220-3a0e-44a0-a4c5-ee34ef394d32" ] } ], "mendeley" : { "formattedCitation" : "(Brookes et al. 2011)", "manualFormatting" : "(Brookes et al., 2011)", "plainTextFormattedCitation" : "(Brookes et al. 2011)", "previouslyFormattedCitation" : "(Brookes et al. 2011)" }, "properties" : { "noteIndex" : 0 }, "schema" : "https://github.com/citation-style-language/schema/raw/master/csl-citation.json" }</w:instrText>
      </w:r>
      <w:r w:rsidRPr="00452E2E">
        <w:fldChar w:fldCharType="separate"/>
      </w:r>
      <w:r w:rsidRPr="00452E2E">
        <w:rPr>
          <w:noProof/>
        </w:rPr>
        <w:t xml:space="preserve">(Brookes </w:t>
      </w:r>
      <w:r w:rsidRPr="00452E2E">
        <w:rPr>
          <w:i/>
          <w:noProof/>
        </w:rPr>
        <w:t>et al</w:t>
      </w:r>
      <w:r w:rsidRPr="00452E2E">
        <w:rPr>
          <w:noProof/>
        </w:rPr>
        <w:t>., 2011)</w:t>
      </w:r>
      <w:r w:rsidRPr="00452E2E">
        <w:fldChar w:fldCharType="end"/>
      </w:r>
      <w:r w:rsidRPr="00452E2E">
        <w:t xml:space="preserve">, the cultural diversity that exists between and within African countries suggests that cultural frameworks may be inadequate in understanding organizational practices in such contexts </w:t>
      </w:r>
      <w:r w:rsidRPr="00452E2E">
        <w:fldChar w:fldCharType="begin" w:fldLock="1"/>
      </w:r>
      <w:r w:rsidRPr="00452E2E">
        <w:instrText>ADDIN CSL_CITATION { "citationItems" : [ { "id" : "ITEM-1", "itemData" : { "author" : [ { "dropping-particle" : "", "family" : "Adeleye", "given" : "I.", "non-dropping-particle" : "", "parse-names" : false, "suffix" : "" } ], "container-title" : "African Journal of Business Management", "id" : "ITEM-1", "issue" : "6", "issued" : { "date-parts" : [ [ "2011" ] ] }, "page" : "2028\u20132039", "title" : "Theorising human resource management in Africa: Beyond cultural relativism", "type" : "article-journal", "volume" : "5" }, "uris" : [ "http://www.mendeley.com/documents/?uuid=b6058017-794b-4523-80e3-eae4db7ca9ff" ] } ], "mendeley" : { "formattedCitation" : "(Adeleye 2011)", "manualFormatting" : "(Adeleye, 2011)", "plainTextFormattedCitation" : "(Adeleye 2011)", "previouslyFormattedCitation" : "(Adeleye 2011)" }, "properties" : { "noteIndex" : 0 }, "schema" : "https://github.com/citation-style-language/schema/raw/master/csl-citation.json" }</w:instrText>
      </w:r>
      <w:r w:rsidRPr="00452E2E">
        <w:fldChar w:fldCharType="separate"/>
      </w:r>
      <w:r w:rsidRPr="00452E2E">
        <w:rPr>
          <w:noProof/>
        </w:rPr>
        <w:t>(Adeleye, 2011)</w:t>
      </w:r>
      <w:r w:rsidRPr="00452E2E">
        <w:fldChar w:fldCharType="end"/>
      </w:r>
      <w:r w:rsidRPr="00452E2E">
        <w:t xml:space="preserve">. Importantly, </w:t>
      </w:r>
      <w:r w:rsidRPr="00452E2E">
        <w:fldChar w:fldCharType="begin" w:fldLock="1"/>
      </w:r>
      <w:r w:rsidRPr="00452E2E">
        <w:instrText>ADDIN CSL_CITATION { "citationItems" : [ { "id" : "ITEM-1",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"495-511", "publisher" : "Edward Elgar", "publisher-place" : "Cheltenham, UK", "title" : "The practice of HRM in Africa in comparative perspective", "type" : "chapter" }, "uris" : [ "http://www.mendeley.com/documents/?uuid=c50d4f41-3d16-4383-bbfc-941b6ffeeb24" ] } ], "mendeley" : { "formattedCitation" : "(Bischoff &amp; Wood 2012)", "manualFormatting" : "Bischoff &amp; Wood (2012)", "plainTextFormattedCitation" : "(Bischoff &amp; Wood 2012)", "previouslyFormattedCitation" : "(Bischoff &amp; Wood 2012)" }, "properties" : { "noteIndex" : 0 }, "schema" : "https://github.com/citation-style-language/schema/raw/master/csl-citation.json" }</w:instrText>
      </w:r>
      <w:r w:rsidRPr="00452E2E">
        <w:fldChar w:fldCharType="separate"/>
      </w:r>
      <w:r w:rsidRPr="00452E2E">
        <w:rPr>
          <w:noProof/>
        </w:rPr>
        <w:t>Bischoff &amp; Wood (2012)</w:t>
      </w:r>
      <w:r w:rsidRPr="00452E2E">
        <w:fldChar w:fldCharType="end"/>
      </w:r>
      <w:r w:rsidRPr="00452E2E">
        <w:t xml:space="preserve"> note that a major limitation of studying HRM from a cultural perspective in diverse cultural contexts of African countries is that some cultures may be unjustly condemned for being liable for poor performance of organizations which may result </w:t>
      </w:r>
      <w:r w:rsidR="00DE5161" w:rsidRPr="00452E2E">
        <w:t>in</w:t>
      </w:r>
      <w:r w:rsidRPr="00452E2E">
        <w:t xml:space="preserve"> prejudice against particular cultures, with its attendant consequences. On the other hand, an understanding of HRM from an institutional perspective in such a context as adopted in this study may help managers of organizations and policy makers in engineering </w:t>
      </w:r>
      <w:r w:rsidRPr="00452E2E">
        <w:lastRenderedPageBreak/>
        <w:t xml:space="preserve">positive transformations in institutional arrangements in order to achieve prosperity </w:t>
      </w:r>
      <w:r w:rsidRPr="00452E2E">
        <w:fldChar w:fldCharType="begin" w:fldLock="1"/>
      </w:r>
      <w:r w:rsidRPr="00452E2E">
        <w:instrText>ADDIN CSL_CITATION { "citationItems" : [ { "id" : "ITEM-1",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"495-511", "publisher" : "Edward Elgar", "publisher-place" : "Cheltenham, UK", "title" : "The practice of HRM in Africa in comparative perspective", "type" : "chapter" }, "uris" : [ "http://www.mendeley.com/documents/?uuid=c50d4f41-3d16-4383-bbfc-941b6ffeeb24" ] } ], "mendeley" : { "formattedCitation" : "(Bischoff &amp; Wood 2012)", "manualFormatting" : "(Bischoff &amp; Wood, 2012)", "plainTextFormattedCitation" : "(Bischoff &amp; Wood 2012)", "previouslyFormattedCitation" : "(Bischoff &amp; Wood 2012)" }, "properties" : { "noteIndex" : 0 }, "schema" : "https://github.com/citation-style-language/schema/raw/master/csl-citation.json" }</w:instrText>
      </w:r>
      <w:r w:rsidRPr="00452E2E">
        <w:fldChar w:fldCharType="separate"/>
      </w:r>
      <w:r w:rsidRPr="00452E2E">
        <w:rPr>
          <w:noProof/>
        </w:rPr>
        <w:t>(Bischoff &amp; Wood, 2012)</w:t>
      </w:r>
      <w:r w:rsidRPr="00452E2E">
        <w:fldChar w:fldCharType="end"/>
      </w:r>
      <w:r w:rsidRPr="00452E2E">
        <w:t xml:space="preserve">. </w:t>
      </w:r>
    </w:p>
    <w:p w:rsidR="0056372B" w:rsidRPr="00452E2E" w:rsidRDefault="00D03A8E" w:rsidP="00D03A8E">
      <w:pPr>
        <w:spacing w:line="360" w:lineRule="auto"/>
        <w:jc w:val="both"/>
      </w:pPr>
      <w:r w:rsidRPr="00452E2E">
        <w:t xml:space="preserve">Generally, researchers examining the nature of HRM from an institutional perspective have often conducted their studies at the organizational level of analysis by tapping the views of HR managers who provide information on HR practices on behalf of their organizations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"10.1080/09585190802404247", "ISBN" : "0958519080", "ISSN" : "0958-5192", "abstract" : "The impact of institutionalized contexts on the HRM activities of multinational \ufb01rms has become a focus of increasing attention in recent literature. However, theories of how different types of business systems or market economies may in\ufb02uence HRM, and the impact of context on multinational corporations (MNCs) operating under these different conditions are still not fully tested. In this paper the in\ufb02uence of the extent of institutional embeddedness of different national contexts (based on varieties of capitalism theory) on the HRM activities of MNCs is explored through the use of extensive survey data from four countries: the UK, Germany, the Netherlands and Sweden. Evidence is found of differences in HRM practices between foreign- and domestic-owned MNCs, as well as between MNCs and domestic organizations. Although less than expected, the restricted amount of leeway within a coordinated economy also appears to have differential effects on the various HRM practices explored in these foreign and domestic organizations.", "author" : [ { "dropping-particle" : "", "family" : "Farndale", "given" : "Elaine", "non-dropping-particle" : "", "parse-names" : false, "suffix" : "" }, { "dropping-particle" : "", "family" : "Brewster", "given" : "Chris", "non-dropping-particle" : "", "parse-names" : false, "suffix" : "" }, { "dropping-particle" : "", "family" : "Poutsma", "given" : "Erik", "non-dropping-particle" : "", "parse-names" : false, "suffix" : "" } ], "container-title" : "The International Journal of Human Resource Management", "id" : "ITEM-2", "issue" : "11", "issued" : { "date-parts" : [ [ "2008" ] ] }, "page" : "2004-2023", "title" : "Coordinated vs. liberal market HRM: the impact of institutionalization on multinational firms", "type" : "article-journal", "volume" : "19" }, "uris" : [ "http://www.mendeley.com/documents/?uuid=2c701966-403e-4827-aee3-1040a62d9447" ] }, { "id" : "ITEM-3",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"ITEM-3", "issue" : "1", "issued" : { "date-parts" : [ [ "2009" ] ] }, "page" : "37-61", "title" : "The rise of post-bureaucracy: Theorists' fancy or organizational praxis?", "type" : "article-journal", "volume" : "24" }, "uris" : [ "http://www.mendeley.com/documents/?uuid=34301c7c-ab72-4a8c-a149-b61552e4a0db" ] }, { "id" : "ITEM-4", "itemData" : { "abstract" : "Literature on comparative capitalism remains divided between approaches founded on stylized case study evidence and descriptions of broad trends, and those that focus on macro data. In contrast, this study explores the relevance of Amable's approach to understanding differences in employment relations practice, based on firm-level micro data. The article examines employee-employer interdependence (including turnover rates) in different categories of economy as classified by Amable. The findings confirm that exit -- whether forced or voluntary -- remains more common in market-based economies than in their continental counterparts and that institutionalized employee voice is an important variable in reducing turnover. However, there is as much diversity within the different country categories as between them, and across continental Europe. In Denmark's case, high turnover is combined with high unionization, showing the effects of a 'flexicurity' strategy. While employee voice may be stronger in Scandinavia, interdependence is weaker than in continental Europe. [PUBLICATION ABSTRACT]", "author" : [ { "dropping-particle" : "", "family" : "Croucher", "given" : "R.", "non-dropping-particle" : "", "parse-names" : false, "suffix" : "" }, { "dropping-particle" : "", "family" : "Wood", "given" : "G.", "non-dropping-particle" : "", "parse-names" : false, "suffix" : "" }, { "dropping-particle" : "", "family" : "Brewster", "given" : "C.", "non-dropping-particle" : "", "parse-names" : false, "suffix" : "" }, { "dropping-particle" : "", "family" : "Brookes", "given" : "M.", "non-dropping-particle" : "", "parse-names" : false, "suffix" : "" } ], "container-title" : "Economic and Industrial Democracy", "id" : "ITEM-4", "issue" : "4", "issued" : { "date-parts" : [ [ "2011" ] ] }, "page" : "605-620", "title" : "Employee turnover, HRM and institutional contexts", "type" : "article-journal", "volume" : "33" }, "uris" : [ "http://www.mendeley.com/documents/?uuid=0b3f97cc-0034-4288-88b8-d6cce26d7155" ] }, { "id" : "ITEM-5", "itemData" : { "DOI" : "10.1016/j.hrmr.2010.09.011", "ISBN" : "1053-4822", "ISSN" : "10534822", "abstract" : "In this paper we explore the notion of convergence in managerial practice as a result of globalization. Focused on convergence at the national level, we offer a more nuanced exposition of convergence than has been evident in previous literature and draw upon a study that empirically analyzes the development of HRM in larger private sector firms in 13 European countries between 1992 and 2004 to examine any evidence of human resource management practices becoming more alike. We find considerable evidence of directional similarity - practices increasing or decreasing in the same way across the countries - but no evidence of final convergence - countries becoming more alike in the way they manage people. The findings have important implications for theories of convergence, theories of HRM, and for practitioners in multinational corporations. ?? 2010 Elsevier Inc.", "author" : [ { "dropping-particle" : "", "family" : "Mayrhofer", "given" : "Wolfgang", "non-dropping-particle" : "", "parse-names" : false, "suffix" : "" }, { "dropping-particle" : "", "family" : "Brewster", "given" : "Chris", "non-dropping-particle" : "", "parse-names" : false, "suffix" : "" }, { "dropping-particle" : "", "family" : "Morley", "given" : "Michael J.", "non-dropping-particle" : "", "parse-names" : false, "suffix" : "" }, { "dropping-particle" : "", "family" : "Ledolter", "given" : "Johannes", "non-dropping-particle" : "", "parse-names" : false, "suffix" : "" } ], "container-title" : "Human Resource Management Review", "id" : "ITEM-5", "issue" : "1", "issued" : { "date-parts" : [ [ "2011" ] ] }, "page" : "50-67", "publisher" : "Elsevier Inc.", "title" : "Hearing a different drummer? Convergence of human resource management in Europe - A longitudinal analysis", "type" : "article-journal", "volume" : "21" }, "uris" : [ "http://www.mendeley.com/documents/?uuid=fe989bd4-3b92-484f-8e26-379179d76108" ] }, { "id" : "ITEM-6",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"ITEM-6", "issue" : "1", "issued" : { "date-parts" : [ [ "2011" ] ] }, "page" : "31-41", "publisher" : "Elsevier Inc.", "title" : "HRM in Mozambique: Homogenization, path dependence or segmented business system?", "type" : "article-journal", "volume" : "46" }, "uris" : [ "http://www.mendeley.com/documents/?uuid=715488db-b5b1-4ac9-8b33-8be3c1beb0c1" ] }, { "id" : "ITEM-7",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w:instrText>
      </w:r>
      <w:r w:rsidRPr="00452E2E">
        <w:rPr>
          <w:lang w:val="fr-FR"/>
        </w:rPr>
        <w:instrText>hil", "non-dropping-particle" : "", "parse-names" : false, "suffix" : "" }, { "dropping-particle" : "", "family" : "Wood", "given" : "Geoffrey", "non-dropping-particle" : "", "parse-names" : false, "suffix" : "" } ], "container-title" : "The International Journal of Human Resource Management", "id" : "ITEM-7", "issue" : "6", "issued" : { "date-parts" : [ [ "2014" ] ] }, "page" : "795-809", "title" : "Direct involvement, partnership and setting: A study in bounded diversity", "type" : "article-journal", "volume" : "25" }, "uris" : [ "http://www.mendeley.com/documents/?uuid=e20c0258-4a3f-4b03-bcbb-2f7953a311a9" ] } ], "mendeley" : { "formattedCitation" : "(Webster &amp; Wood 2005; Farndale et al. 2008; Johnson et al. 2009; Croucher et al. 2011; Mayrhofer et al. 2011; Wood et al. 2011; Brewster et al. 2014)", "manualFormatting" : "(e.g Webster &amp; Wood, 2005; Farndale et al., 2008; Johnson et al., 2009; Croucher et al., 2011; Mayrhofer et al., 2011; Wood et al., 2011; Brewster et al., 2014)", "plainTextFormattedCitation" : "(Webster &amp; Wood 2005; Farndale et al. 2008; Johnson et al. 2009; Croucher et al. 2011; Mayrhofer et al. 2011; Wood et al. 2011; Brewster et al. 2014)", "previouslyFormattedCitation" : "(Webster &amp; Wood 2005; Farndale et al. 2008; Johnson et al. 2009; Croucher et al. 2011; Mayrhofer et al. 2011; Wood et al. 2011; Brewster et al. 2014)" }, "properties" : { "noteIndex" : 0 }, "schema" : "https://github.com/citation-style-language/schema/raw/master/csl-citation.json" }</w:instrText>
      </w:r>
      <w:r w:rsidRPr="00452E2E">
        <w:fldChar w:fldCharType="separate"/>
      </w:r>
      <w:r w:rsidRPr="00452E2E">
        <w:rPr>
          <w:noProof/>
          <w:lang w:val="fr-FR"/>
        </w:rPr>
        <w:t xml:space="preserve">(e.g Webster &amp; Wood, 2005; Farndale </w:t>
      </w:r>
      <w:r w:rsidRPr="00452E2E">
        <w:rPr>
          <w:i/>
          <w:noProof/>
          <w:lang w:val="fr-FR"/>
        </w:rPr>
        <w:t>et al</w:t>
      </w:r>
      <w:r w:rsidRPr="00452E2E">
        <w:rPr>
          <w:noProof/>
          <w:lang w:val="fr-FR"/>
        </w:rPr>
        <w:t xml:space="preserve">., 2008; Johnson </w:t>
      </w:r>
      <w:r w:rsidRPr="00452E2E">
        <w:rPr>
          <w:i/>
          <w:noProof/>
          <w:lang w:val="fr-FR"/>
        </w:rPr>
        <w:t>et al</w:t>
      </w:r>
      <w:r w:rsidRPr="00452E2E">
        <w:rPr>
          <w:noProof/>
          <w:lang w:val="fr-FR"/>
        </w:rPr>
        <w:t xml:space="preserve">., 2009; Croucher </w:t>
      </w:r>
      <w:r w:rsidRPr="00452E2E">
        <w:rPr>
          <w:i/>
          <w:noProof/>
          <w:lang w:val="fr-FR"/>
        </w:rPr>
        <w:t>et al</w:t>
      </w:r>
      <w:r w:rsidRPr="00452E2E">
        <w:rPr>
          <w:noProof/>
          <w:lang w:val="fr-FR"/>
        </w:rPr>
        <w:t xml:space="preserve">., 2011; Mayrhofer </w:t>
      </w:r>
      <w:r w:rsidRPr="00452E2E">
        <w:rPr>
          <w:i/>
          <w:noProof/>
          <w:lang w:val="fr-FR"/>
        </w:rPr>
        <w:t>et al</w:t>
      </w:r>
      <w:r w:rsidRPr="00452E2E">
        <w:rPr>
          <w:noProof/>
          <w:lang w:val="fr-FR"/>
        </w:rPr>
        <w:t xml:space="preserve">., 2011; Wood </w:t>
      </w:r>
      <w:r w:rsidRPr="00452E2E">
        <w:rPr>
          <w:i/>
          <w:noProof/>
          <w:lang w:val="fr-FR"/>
        </w:rPr>
        <w:t>et al</w:t>
      </w:r>
      <w:r w:rsidRPr="00452E2E">
        <w:rPr>
          <w:noProof/>
          <w:lang w:val="fr-FR"/>
        </w:rPr>
        <w:t xml:space="preserve">., 2011; Brewster </w:t>
      </w:r>
      <w:r w:rsidRPr="00452E2E">
        <w:rPr>
          <w:i/>
          <w:noProof/>
          <w:lang w:val="fr-FR"/>
        </w:rPr>
        <w:t>et al</w:t>
      </w:r>
      <w:r w:rsidRPr="00452E2E">
        <w:rPr>
          <w:noProof/>
          <w:lang w:val="fr-FR"/>
        </w:rPr>
        <w:t>., 2014)</w:t>
      </w:r>
      <w:r w:rsidRPr="00452E2E">
        <w:fldChar w:fldCharType="end"/>
      </w:r>
      <w:r w:rsidRPr="00452E2E">
        <w:rPr>
          <w:lang w:val="fr-FR"/>
        </w:rPr>
        <w:t xml:space="preserve">. </w:t>
      </w:r>
      <w:r w:rsidRPr="00452E2E">
        <w:t xml:space="preserve">This study adopts this approach but extends </w:t>
      </w:r>
      <w:r w:rsidR="00300F02" w:rsidRPr="00452E2E">
        <w:t>the analysis to</w:t>
      </w:r>
      <w:r w:rsidRPr="00452E2E">
        <w:t xml:space="preserve"> the perceptions of employees about the HR practices they encounter in their organizations. Seeking to understand the perceptions of employees about HR practices is considered significant in this study since it recognizes employees as important stakeholders in the HRM equation </w:t>
      </w:r>
      <w:r w:rsidRPr="00452E2E">
        <w:fldChar w:fldCharType="begin" w:fldLock="1"/>
      </w:r>
      <w:r w:rsidRPr="00452E2E">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"Beer", "given" : "M", "non-dropping-particle" : "", "parse-names" : false, "suffix" : "" }, { "dropping-particle" : "", "family" : "Boselie", "given" : "Paul", "non-dropping-particle" : "", "parse-names" : false, "suffix" : "" }, { "dropping-particle" : "", "family" : "Brewster", "given" : "Chris", "non-dropping-particle" : "", "parse-names" : false, "suffix" : "" } ], "container-title" : "Human Resource Management", "id" : "ITEM-1", "issue" : "3", "issued" : { "date-parts" : [ [ "2015" ] ] }, "page" : "427-438", "title" : "Back to the future: Implications for the field of HRM of the multistakeholder perspective proposed 30 years ago", "type" : "article-journal", "volume" : "54" }, "uris" : [ "http://www.mendeley.com/documents/?uuid=a5760126-a198-4f9d-a07d-954814d16d69" ] } ], "mendeley" : { "formattedCitation" : "(Beer et al. 2015)", "manualFormatting" : "(Beer et al., 2015)", "plainTextFormattedCitation" : "(Beer et al. 2015)", "previouslyFormattedCitation" : "(Beer et al. 2015)" }, "properties" : { "noteIndex" : 0 }, "schema" : "https://github.com/citation-style-language/schema/raw/master/csl-citation.json" }</w:instrText>
      </w:r>
      <w:r w:rsidRPr="00452E2E">
        <w:fldChar w:fldCharType="separate"/>
      </w:r>
      <w:r w:rsidRPr="00452E2E">
        <w:rPr>
          <w:noProof/>
        </w:rPr>
        <w:t xml:space="preserve">(Beer </w:t>
      </w:r>
      <w:r w:rsidRPr="00452E2E">
        <w:rPr>
          <w:i/>
          <w:noProof/>
        </w:rPr>
        <w:t>et al</w:t>
      </w:r>
      <w:r w:rsidRPr="00452E2E">
        <w:rPr>
          <w:noProof/>
        </w:rPr>
        <w:t>., 2015)</w:t>
      </w:r>
      <w:r w:rsidRPr="00452E2E">
        <w:fldChar w:fldCharType="end"/>
      </w:r>
      <w:r w:rsidRPr="00452E2E">
        <w:t xml:space="preserve"> whose views about the practices they encounter should also be heard </w:t>
      </w:r>
      <w:r w:rsidRPr="00452E2E">
        <w:fldChar w:fldCharType="begin" w:fldLock="1"/>
      </w:r>
      <w:r w:rsidRPr="00452E2E">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"mendeley" : { "formattedCitation" : "(Guest 2011)", "manualFormatting" : "(Guest, 2011)", "plainTextFormattedCitation" : "(Guest 2011)", "previouslyFormattedCitation" : "(Guest 2011)" }, "properties" : { "noteIndex" : 0 }, "schema" : "https://github.com/citation-style-language/schema/raw/master/csl-citation.json" }</w:instrText>
      </w:r>
      <w:r w:rsidRPr="00452E2E">
        <w:fldChar w:fldCharType="separate"/>
      </w:r>
      <w:r w:rsidRPr="00452E2E">
        <w:rPr>
          <w:noProof/>
        </w:rPr>
        <w:t>(Guest, 2011)</w:t>
      </w:r>
      <w:r w:rsidRPr="00452E2E">
        <w:fldChar w:fldCharType="end"/>
      </w:r>
      <w:r w:rsidRPr="00452E2E">
        <w:t xml:space="preserve">. </w:t>
      </w:r>
      <w:r w:rsidR="008F0237" w:rsidRPr="00452E2E">
        <w:t>Moreover,</w:t>
      </w:r>
      <w:r w:rsidRPr="00452E2E">
        <w:t xml:space="preserve"> there may be a gap between intended practices based on the views of HR managers and the actual practices employees encounter in their organizations </w:t>
      </w:r>
      <w:r w:rsidRPr="00452E2E">
        <w:fldChar w:fldCharType="begin" w:fldLock="1"/>
      </w:r>
      <w:r w:rsidRPr="00452E2E">
        <w:instrText>ADDIN CSL_CITATION { "citationItems" : [ { "id" : "ITEM-1", "itemData" : { "DOI" : "10.1002/hrm", "ISBN" : "0086029826654", "ISSN" : "0090-4848", "PMID" : "31163372", "author" : [ { "dropping-particle" : "", "family" : "Piening", "given" : "Erk P", "non-dropping-particle" : "", "parse-names" : false, "suffix" : "" }, { "dropping-particle" : "", "family" : "Baluch", "given" : "Alina M", "non-dropping-particle" : "", "parse-names" : false, "suffix" : "" }, { "dropping-particle" : "", "family" : "Ridder", "given" : "Hans-Gerad", "non-dropping-particle" : "", "parse-names" : false, "suffix" : "" } ], "container-title" : "Human Resource Management", "id" : "ITEM-1", "issue" : "4", "issued" : { "date-parts" : [ [ "2014" ] ] }, "page" : "545-567", "title" : "Mind the intended-implemented gap: Understanding employees' perceptions of HRM", "type" : "article-journal", "volume" : "53" }, "uris" : [ "http://www.mendeley.com/documents/?uuid=b12451a8-570e-4f77-9952-04a78bb6a918" ] } ], "mendeley" : { "formattedCitation" : "(Piening et al. 2014)", "manualFormatting" : "(Piening et al., 2014)", "plainTextFormattedCitation" : "(Piening et al. 2014)", "previouslyFormattedCitation" : "(Piening et al. 2014)" }, "properties" : { "noteIndex" : 0 }, "schema" : "https://github.com/citation-style-language/schema/raw/master/csl-citation.json" }</w:instrText>
      </w:r>
      <w:r w:rsidRPr="00452E2E">
        <w:fldChar w:fldCharType="separate"/>
      </w:r>
      <w:r w:rsidRPr="00452E2E">
        <w:rPr>
          <w:noProof/>
        </w:rPr>
        <w:t xml:space="preserve">(Piening </w:t>
      </w:r>
      <w:r w:rsidRPr="00452E2E">
        <w:rPr>
          <w:i/>
          <w:noProof/>
        </w:rPr>
        <w:t>et al</w:t>
      </w:r>
      <w:r w:rsidRPr="00452E2E">
        <w:rPr>
          <w:noProof/>
        </w:rPr>
        <w:t>., 2014)</w:t>
      </w:r>
      <w:r w:rsidRPr="00452E2E">
        <w:fldChar w:fldCharType="end"/>
      </w:r>
      <w:r w:rsidRPr="00452E2E">
        <w:t xml:space="preserve">. Therefore, studying HRM from the perspective of both HR managers and employees will present a more balanced perspective about the nature of HRM in organizations. </w:t>
      </w:r>
    </w:p>
    <w:p w:rsidR="00D03A8E" w:rsidRPr="00452E2E" w:rsidRDefault="00D03A8E" w:rsidP="00D03A8E">
      <w:pPr>
        <w:spacing w:line="360" w:lineRule="auto"/>
        <w:jc w:val="both"/>
      </w:pPr>
      <w:r w:rsidRPr="00452E2E">
        <w:t xml:space="preserve">Similarly, most studies on </w:t>
      </w:r>
      <w:r w:rsidR="005A1992" w:rsidRPr="00452E2E">
        <w:t xml:space="preserve">the </w:t>
      </w:r>
      <w:r w:rsidRPr="00452E2E">
        <w:t xml:space="preserve">HR practices-employee attitudes relationship often neglect the impact of the institutional context in which organizations operate </w:t>
      </w:r>
      <w:r w:rsidRPr="00452E2E">
        <w:fldChar w:fldCharType="begin" w:fldLock="1"/>
      </w:r>
      <w:r w:rsidRPr="00452E2E">
        <w:instrText>ADDIN CSL_CITATION { "citationItems" : [ { "id" : "ITEM-1",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"ITEM-1",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"(Kim &amp; Wright 2011)", "manualFormatting" : "(Kim &amp; Wright, 2011)", "plainTextFormattedCitation" : "(Kim &amp; Wright 2011)", "previouslyFormattedCitation" : "(Kim &amp; Wright 2011)" }, "properties" : { "noteIndex" : 0 }, "schema" : "https://github.com/citation-style-language/schema/raw/master/csl-citation.json" }</w:instrText>
      </w:r>
      <w:r w:rsidRPr="00452E2E">
        <w:fldChar w:fldCharType="separate"/>
      </w:r>
      <w:r w:rsidRPr="00452E2E">
        <w:rPr>
          <w:noProof/>
        </w:rPr>
        <w:t>(Kim &amp; Wright, 2011)</w:t>
      </w:r>
      <w:r w:rsidRPr="00452E2E">
        <w:fldChar w:fldCharType="end"/>
      </w:r>
      <w:r w:rsidRPr="00452E2E">
        <w:t xml:space="preserve">. In this study, the researcher understands that organizations are part of a wider institutional environment which may influence the practices they adopt. As a result, the effect of HR practices in engendering positive attitudes may also be affected by the institutional context. This approach is significant since it will enable researchers and practitioners </w:t>
      </w:r>
      <w:r w:rsidR="00953978" w:rsidRPr="00452E2E">
        <w:t xml:space="preserve">to </w:t>
      </w:r>
      <w:r w:rsidRPr="00452E2E">
        <w:t xml:space="preserve">understand the institutional conditions </w:t>
      </w:r>
      <w:r w:rsidR="00953978" w:rsidRPr="00452E2E">
        <w:t>with</w:t>
      </w:r>
      <w:r w:rsidRPr="00452E2E">
        <w:t>in which HR practices may generate positive employee attitudes.</w:t>
      </w:r>
    </w:p>
    <w:p w:rsidR="00D03A8E" w:rsidRPr="00452E2E" w:rsidRDefault="00D03A8E" w:rsidP="00D03A8E">
      <w:pPr>
        <w:spacing w:line="360" w:lineRule="auto"/>
        <w:jc w:val="both"/>
      </w:pPr>
      <w:r w:rsidRPr="00452E2E">
        <w:t xml:space="preserve">This research is also significant since it will enable researchers and practitioners understand the nature of HRM in Nigeria at a time the country seeks to diversify the economy and attract foreign </w:t>
      </w:r>
      <w:r w:rsidR="00D92715" w:rsidRPr="00452E2E">
        <w:t xml:space="preserve">direct </w:t>
      </w:r>
      <w:r w:rsidRPr="00452E2E">
        <w:t xml:space="preserve">investment. Although there are a handful of writings on HRM in Nigeria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"ITEM-2", "issue" : "7", "issued" : { "date-parts" : [ [ "2002" ] ] }, "page" : "1042-1059", "title" : "Human resource management practices in Nigeria: Challenges and insights", "type" : "article-journal", "volume" : "13" }, "uris" : [ "http://www.mendeley.com/documents/?uuid=05a9e25e-4e60-410a-af56-a98b14b9eb28" ] }, { "id" : "ITEM-3",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"ITEM-3", "issue" : "1", "issued" : { "date-parts" : [ [ "2008" ] ] }, "page" : "57-76", "title" : "Human resource management practices in a transition economy: Challenges and prospects", "type" : "article-journal", "volume" : "31" }, "uris" : [ "http://www.mendeley.com/documents/?uuid=95a1a97b-b7f5-40f1-a40b-8040c1a14505" ] }, { "id" : "ITEM-4",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"ITEM-4", "issue" : "1", "issued" : { "date-parts" : [ [ "2009" ] ] }, "page" : "62-82", "title" : "Managerial perspectives on HRM in Nigeria: Evolving hybridization?", "type" : "article-journal", "volume" : "16" }, "uris" : [ "http://www.mendeley.com/documents/?uuid=cde70e16-aeda-4832-89c0-f5554c70c93e" ] } ], "mendeley" : { "formattedCitation" : "(Ovadje &amp; Ankomah 2001; Anakwe 2002; Okpara &amp; Wynn 2008; Azolukwam &amp; Perkins 2009)", "manualFormatting" : "(Ovadje &amp; Ankomah, 2001; Anakwe, 2002; Okpara &amp; Wynn, 2008; Azolukwam &amp; Perkins, 2009)", "plainTextFormattedCitation" : "(Ovadje &amp; Ankomah 2001; Anakwe 2002; Okpara &amp; Wynn 2008; Azolukwam &amp; Perkins 2009)", "previouslyFormattedCitation" : "(Ovadje &amp; Ankomah 2001; Anakwe 2002; Okpara &amp; Wynn 2008; Azolukwam &amp; Perkins 2009)" }, "properties" : { "noteIndex" : 0 }, "schema" : "https://github.com/citation-style-language/schema/raw/master/csl-citation.json" }</w:instrText>
      </w:r>
      <w:r w:rsidRPr="00452E2E">
        <w:fldChar w:fldCharType="separate"/>
      </w:r>
      <w:r w:rsidRPr="00452E2E">
        <w:rPr>
          <w:noProof/>
        </w:rPr>
        <w:t>(Ovadje &amp; Ankomah, 2001; Anakwe, 2002; Okpara &amp; Wynn, 2008; Azolukwam &amp; Perkins, 2009)</w:t>
      </w:r>
      <w:r w:rsidRPr="00452E2E">
        <w:fldChar w:fldCharType="end"/>
      </w:r>
      <w:r w:rsidR="00EC582C" w:rsidRPr="00452E2E">
        <w:t xml:space="preserve">, </w:t>
      </w:r>
      <w:r w:rsidRPr="00452E2E">
        <w:t xml:space="preserve">this research </w:t>
      </w:r>
      <w:r w:rsidR="00EC582C" w:rsidRPr="00452E2E">
        <w:t xml:space="preserve">seeks to examine </w:t>
      </w:r>
      <w:r w:rsidR="00EC582C" w:rsidRPr="00452E2E">
        <w:lastRenderedPageBreak/>
        <w:t xml:space="preserve">whether the </w:t>
      </w:r>
      <w:r w:rsidR="00B270E8" w:rsidRPr="00452E2E">
        <w:t xml:space="preserve">specific </w:t>
      </w:r>
      <w:r w:rsidR="00EC582C" w:rsidRPr="00452E2E">
        <w:t>HR practices</w:t>
      </w:r>
      <w:r w:rsidR="0085594C" w:rsidRPr="00452E2E">
        <w:t xml:space="preserve"> </w:t>
      </w:r>
      <w:r w:rsidR="00EC582C" w:rsidRPr="00452E2E">
        <w:t>adopted by organizations in Nigeria differ according to the</w:t>
      </w:r>
      <w:r w:rsidR="0085594C" w:rsidRPr="00452E2E">
        <w:t xml:space="preserve"> industry, sector and size of the organization</w:t>
      </w:r>
      <w:r w:rsidRPr="00452E2E">
        <w:t xml:space="preserve">. So for example, whilst it is useful to learn the importance of employee benefits and training in Nigerian organizations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it is equally important to understand how organizations are training employees or the types of employee benefits offered. In the same vein, whilst it is interesting to know that HR practices such as recruitment and selection found in advanced countries are also present in Nigeria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"(Okpara &amp; Wynn 2008)", "manualFormatting" : "(cf. Okpara &amp; Wynn, 2008)", "plainTextFormattedCitation" : "(Okpara &amp; Wynn 2008)", "previouslyFormattedCitation" : "(Okpara &amp; Wynn 2008)" }, "properties" : { "noteIndex" : 0 }, "schema" : "https://github.com/citation-style-language/schema/raw/master/csl-citation.json" }</w:instrText>
      </w:r>
      <w:r w:rsidRPr="00452E2E">
        <w:fldChar w:fldCharType="separate"/>
      </w:r>
      <w:r w:rsidRPr="00452E2E">
        <w:rPr>
          <w:noProof/>
        </w:rPr>
        <w:t>(cf. Okpara &amp; Wynn, 2008)</w:t>
      </w:r>
      <w:r w:rsidRPr="00452E2E">
        <w:fldChar w:fldCharType="end"/>
      </w:r>
      <w:r w:rsidRPr="00452E2E">
        <w:t>, it is important to find out the techniques of recruitment and selection used</w:t>
      </w:r>
      <w:r w:rsidR="00B761D9" w:rsidRPr="00452E2E">
        <w:t>, and by which type of organization.</w:t>
      </w:r>
      <w:r w:rsidRPr="00452E2E">
        <w:t xml:space="preserve"> </w:t>
      </w:r>
      <w:r w:rsidR="00B761D9" w:rsidRPr="00452E2E">
        <w:t>This will</w:t>
      </w:r>
      <w:r w:rsidRPr="00452E2E">
        <w:t xml:space="preserve"> enable those who are interested in HRM in Nigeria to discover whether </w:t>
      </w:r>
      <w:r w:rsidR="001134AE" w:rsidRPr="00452E2E">
        <w:t xml:space="preserve">or not </w:t>
      </w:r>
      <w:r w:rsidRPr="00452E2E">
        <w:t xml:space="preserve">organizations in Nigeria are converging towards a particular model of HRM. </w:t>
      </w:r>
    </w:p>
    <w:p w:rsidR="00D03A8E" w:rsidRPr="00452E2E" w:rsidRDefault="00D03A8E" w:rsidP="00D03A8E">
      <w:pPr>
        <w:spacing w:line="360" w:lineRule="auto"/>
        <w:jc w:val="both"/>
        <w:rPr>
          <w:szCs w:val="24"/>
        </w:rPr>
      </w:pPr>
      <w:r w:rsidRPr="00452E2E">
        <w:t>Moreover, the research seeks to examine employee attitudes- job satisfaction and organizational commitment- that are widely considered as important t</w:t>
      </w:r>
      <w:r w:rsidR="0055106F" w:rsidRPr="00452E2E">
        <w:t xml:space="preserve">o employees and organizations. </w:t>
      </w:r>
      <w:r w:rsidRPr="00452E2E">
        <w:t xml:space="preserve">As discussed in chapter 3, these employee attitudes have been found to relate to HRM (albeit mostly in other contexts). </w:t>
      </w:r>
      <w:r w:rsidRPr="00452E2E">
        <w:rPr>
          <w:szCs w:val="24"/>
        </w:rPr>
        <w:t xml:space="preserve">Job satisfaction and organizational commitment are the most powerful predictors of behaviour </w:t>
      </w:r>
      <w:r w:rsidRPr="00452E2E">
        <w:rPr>
          <w:szCs w:val="24"/>
        </w:rPr>
        <w:fldChar w:fldCharType="begin" w:fldLock="1"/>
      </w:r>
      <w:r w:rsidRPr="00452E2E">
        <w:rPr>
          <w:szCs w:val="24"/>
        </w:rPr>
        <w:instrText>ADDIN CSL_CITATION { "citationItems" : [ { "id" : "ITEM-1", "itemData" : { "author" : [ { "dropping-particle" : "", "family" : "Mathieu", "given" : "J E", "non-dropping-particle" : "", "parse-names" : false, "suffix" : "" }, { "dropping-particle" : "", "family" : "Zajac", "given" : "D M", "non-dropping-particle" : "", "parse-names" : false, "suffix" : "" } ], "container-title" : "Psychological Bulletin", "id" : "ITEM-1", "issue" : "2", "issued" : { "date-parts" : [ [ "1990" ] ] }, "page" : "171-194", "title" : "A review and meta-analysis of the antecedents, correlates, and consequences of organizational commitment", "type" : "article-journal", "volume" : "108" }, "uris" : [ "http://www.mendeley.com/documents/?uuid=30cfdf88-acbf-440b-9ecd-0bc19a627fd8" ] }, { "id" : "ITEM-2",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"ITEM-2",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"id" : "ITEM-3", "itemData" : { "DOI" : "10.1016/j.jvb.2010.12.008", "ISBN" : "0001-8791", "ISSN" : "00018791", "abstract" : "This article summarizes what is known about the active management of affective organizational commitment (AOC) through a review of 58 studies employing longitudinal research designs. The review yields six broad categories of antecedents that have empirically demonstrated effects on AOC: socialization practices, organizational changes, human resource practices, interpersonal relations, employee-organizational relations, and a residual \"other\" category. Insights from the review include (a) that perceptions of personal attachment to the organization are among the most substantiated (but tenuous) strategies for enhancing AOC, (b) that theorizing and research efforts have focused almost exclusively on achieving high levels of AOC, and (c) organizations have been reticent to address situations when AOC is low. Implications and recommendations for the theoretical, research and practical advancement of AOC are offered. \u00a9 2010 Elsevier Inc.", "author" : [ { "dropping-particle" : "", "family" : "Morrow", "given" : "Paula C.", "non-dropping-particle" : "", "parse-names" : false, "suffix" : "" } ], "container-title" : "Journal of Vocational Behavior", "id" : "ITEM-3", "issue" : "1", "issued" : { "date-parts" : [ [ "2011" ] ] }, "page" : "18-35", "publisher" : "Elsevier Inc.", "title" : "Managing organizational commitment: Insights from longitudinal research", "type" : "article-journal", "volume" : "79" }, "uris" : [ "http://www.mendeley.com/documents/?uuid=e74e9767-1929-4486-8348-3c77d5f5ac96" ] }, { "id" : "ITEM-4", "itemData" : { "DOI" : "10.1146/annurev-psych-120710-100511", "ISBN" : "1545-2085", "ISSN" : "0066-4308", "PMID" : "22129457", "abstract" : "Job attitudes research is arguably the most venerable and popular topic in organizational psychology. This article surveys the field as it has been constituted in the past several years. Definitional issues are addressed first, in an attempt to clarify the nature, scope, and structure of job attitudes. The distinction between cognitive and affective bases of job attitudes has been an issue of debate, and recent research using within-persons designs has done much to inform this discussion. Recent research has also begun to reformulate the question of dispositional or situational influences on employee attitudes by addressing how these factors might work together to influence attitudes. Finally, there has also been a continual growth in research investigating how employee attitudes are related to a variety of behaviors at both the individual and aggregated level of analysis. [ABSTRACT FROM AUTHOR]\\nCopyright of Annual Review of Psychology is the property of Annual Reviews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"Judge", "given" : "Timothy A.", "non-dropping-particle" : "", "parse-names" : false, "suffix" : "" }, { "dropping-particle" : "", "family" : "Kammeyer-Mueller", "given" : "John D.", "non-dropping-particle" : "", "parse-names" : false, "suffix" : "" } ], "container-title" : "Annual Review of Psychology", "id" : "ITEM-4", "issue" : "1", "issued" : { "date-parts" : [ [ "2012" ] ] }, "page" : "341-367", "title" : "Job attitudes", "type" : "article-journal", "volume" : "63" }, "uris" : [ "http://www.mendeley.com/documents/?uuid=4393a31a-6cb4-4686-87eb-11364826f4e6" ] } ], "mendeley" : { "formattedCitation" : "(Mathieu &amp; Zajac 1990; Meyer et al. 2002; Morrow 2011; Judge &amp; Kammeyer-Mueller 2012)", "manualFormatting" : "(Mathieu &amp; Zajac, 1990; Meyer et al., 2002; Morrow, 2011; Judge &amp; Kammeyer-Mueller, 2012)", "plainTextFormattedCitation" : "(Mathieu &amp; Zajac 1990; Meyer et al. 2002; Morrow 2011; Judge &amp; Kammeyer-Mueller 2012)", "previouslyFormattedCitation" : "(Mathieu &amp; Zajac 1990; Meyer et al. 2002; Morrow 2011; Judge &amp; Kammeyer-Mueller 2012)" }, "properties" : { "noteIndex" : 0 }, "schema" : "https://github.com/citation-style-language/schema/raw/master/csl-citation.json" }</w:instrText>
      </w:r>
      <w:r w:rsidRPr="00452E2E">
        <w:rPr>
          <w:szCs w:val="24"/>
        </w:rPr>
        <w:fldChar w:fldCharType="separate"/>
      </w:r>
      <w:r w:rsidRPr="00452E2E">
        <w:rPr>
          <w:noProof/>
          <w:szCs w:val="24"/>
        </w:rPr>
        <w:t xml:space="preserve">(Mathieu &amp; Zajac, 1990; Meyer </w:t>
      </w:r>
      <w:r w:rsidRPr="00452E2E">
        <w:rPr>
          <w:i/>
          <w:noProof/>
          <w:szCs w:val="24"/>
        </w:rPr>
        <w:t>et al</w:t>
      </w:r>
      <w:r w:rsidRPr="00452E2E">
        <w:rPr>
          <w:noProof/>
          <w:szCs w:val="24"/>
        </w:rPr>
        <w:t>., 2002; Morrow, 2011; Judge &amp; Kammeyer-Mueller, 2012)</w:t>
      </w:r>
      <w:r w:rsidRPr="00452E2E">
        <w:rPr>
          <w:szCs w:val="24"/>
        </w:rPr>
        <w:fldChar w:fldCharType="end"/>
      </w:r>
      <w:r w:rsidRPr="00452E2E">
        <w:rPr>
          <w:szCs w:val="24"/>
        </w:rPr>
        <w:t xml:space="preserve"> and have been found to influence important work outcomes such as job performance </w:t>
      </w:r>
      <w:r w:rsidRPr="00452E2E">
        <w:rPr>
          <w:szCs w:val="24"/>
        </w:rPr>
        <w:fldChar w:fldCharType="begin" w:fldLock="1"/>
      </w:r>
      <w:r w:rsidRPr="00452E2E">
        <w:rPr>
          <w:szCs w:val="24"/>
        </w:rPr>
        <w:instrText>ADDIN CSL_CITATION { "citationItems" : [ { "id" : "ITEM-1", "itemData" : { "author" : [ { "dropping-particle" : "", "family" : "Judge", "given" : "Timothy A", "non-dropping-particle" : "", "parse-names" : false, "suffix" : "" }, { "dropping-particle" : "", "family" : "Thoresen", "given" : "Carl J", "non-dropping-particle" : "", "parse-names" : false, "suffix" : "" }, { "dropping-particle" : "", "family" : "Bono", "given" : "Joyce E", "non-dropping-particle" : "", "parse-names" : false, "suffix" : "" }, { "dropping-particle" : "", "family" : "Patton", "given" : "Gregory K", "non-dropping-particle" : "", "parse-names" : false, "suffix" : "" } ], "container-title" : "Psychological Bulletin", "id" : "ITEM-1", "issue" : "3", "issued" : { "date-parts" : [ [ "2001" ] ] }, "page" : "376-407", "title" : "The job satisfaction- job performance relationship: A qualitative and quantitative review", "type" : "article-journal", "volume" : "127" }, "uris" : [ "http://www.mendeley.com/documents/?uuid=3393a5e9-7fe4-4d83-8a4c-6eb37d604886" ] }, { "id" : "ITEM-2", "itemData" : { "abstract" : "A meta-analysis was conducted to estimate the true correlation between attitudinal organiza- tional commitment and job performance and to identify moderators of this correlation. One- hundred and eleven samples from 93 published studies were included. The corrected mean correlation was 0.20. The correlation was at least marginally significantly stronger for: (a) extra-role performance as opposed to in-role performance; (b) white-collar workers as opposed to blue-collar workers; and (c) performance assessed by self ratings as opposed to supervisor ratings or objective indicators. Four other assumed moderators (commitment mea- sure: Affective Commitment Scale versus Organizational Commitment Questionnaire, job level, age, and tenure) did not have at least marginally significant effects. Copyright", "author" : [ { "dropping-particle" : "", "family" : "Riketta", "given" : "Michael", "non-dropping-particle" : "", "parse-names" : false, "suffix" : "" } ], "container-title" : "Journal of Organizational Behavior", "id" : "ITEM-2", "issue" : "3", "issued" : { "date-parts" : [ [ "2002" ] ] }, "page" : "257-266", "title" : "Attitudinal organizational commitment and job performance: A meta-analysis", "type" : "article-journal", "volume" : "23" }, "uris" : [ "http://www.mendeley.com/documents/?uuid=3849ff30-cef5-4480-8b30-a35ff27abf6d" ] }, { "id" : "ITEM-3", "itemData" : { "DOI" : "10.1037/a0013932", "ISBN" : "1072-5245", "ISSN" : "1072-5245", "abstract" : "This article combines meta-analysis with structural equation modeling to compare alternative models of the relationships among work stress, psychological mediators, and job performance. Specifically, the authors examined the mediating effects of job satisfaction and propensity to leave and their effect on the relationships between role ambiguity, role conflict, and job performance. The meta-analysis included both published and unpublished studies conducted over a period of 25 years, resulting in 113 independent samples with more than 22,000 individuals. As hypothesized, the structural model that best fit the meta-analytic estimates was the partial mediation model, in which stress is related to job performance both directly and indirectly through job satisfaction and propensity to leave and in which all path coefficients were reliably different from zero. The results are discussed in terms of theoretical contributions and implications for future stress-performance research", "author" : [ { "dropping-particle" : "", "family" : "Fried", "given" : "Y", "non-dropping-particle" : "", "parse-names" : false, "suffix" : "" }, { "dropping-particle" : "", "family" : "Shirom", "given" : "A", "non-dropping-particle" : "", "parse-names" : false, "suffix" : "" }, { "dropping-particle" : "", "family" : "Gilboa", "given" : "S", "non-dropping-particle" : "", "parse-names" : false, "suffix" : "" }, { "dropping-particle" : "", "family" : "Cooper", "given" : "C L", "non-dropping-particle" : "", "parse-names" : false, "suffix" : "" } ], "container-title" : "International Journal of Stress Management", "id" : "ITEM-3", "issue" : "4", "issued" : { "date-parts" : [ [ "2008" ] ] }, "page" : "305-328", "title" : "The mediating effects of job satisfaction and propensity to leave on role stress-job performance relationships: Combining meta-analysis and structural equation modeling", "type" : "article-journal", "volume" : "15" }, "uris" : [ "http://www.mendeley.com/documents/?uuid=c56afbe8-a0ff-4a2d-b360-026737405fc1" ] }, { "id" : "ITEM-4",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"ITEM-4",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"id" : "ITEM-5", "itemData" : { "DOI" : "10.1177/0022022109339208", "ISBN" : "0022-0221", "ISSN" : "0022-0221", "abstract" : "The purpose of this study is to examine whether culture moderates the relationship between job satisfaction and job performance. Multiple theoretical frameworks regarding culture are used as the theoretical guide. Based on meta-analytical moderator tests, the authors find some support for their hypotheses that the effect size for the job satisfaction\u2014job performance relationship is likely to be stronger in individualistic (vs. collectivistic) cultures, in low-power-distance (vs. high-power-distance) cultures, in low-uncertainty-avoidance (vs. high-uncertainty-avoidance) cultures, and in masculine (vs. feminine) cultures. They also observe stronger evidence of these effects for task performance than for contextual performance. Implications for theory, practice, and future research are discussed. (PsycINFO Database Record (c) 2012 APA, all rights reserved) (journal abstract)", "author" : [ { "dropping-particle" : "", "family" : "Ng", "given" : "T. W. H.", "non-dropping-particle" : "", "parse-names" : false, "suffix" : "" }, { "dropping-particle" : "", "family" : "Sorensen", "given" : "K. L.", "non-dropping-particle" : "", "parse-names" : false, "suffix" : "" }, { "dropping-particle" : "", "family" : "Yim", "given" : "F. H. K.", "non-dropping-particle" : "", "parse-names" : false, "suffix" : "" } ], "container-title" : "Journal of Cross-Cultural Psychology", "id" : "ITEM-5", "issue" : "5", "issued" : { "date-parts" : [ [ "2009" ] ] }, "page" : "761-796", "title" : "Does the job satisfaction--job performance relationship vary across cultures?", "type" : "article-journal", "volume" : "40" }, "uris" : [ "http://www.mendeley.com/documents/?uuid=ff459388-a213-44a9-a9f1-8f24fe92cc20" ] } ], "mendeley" : { "formattedCitation" : "(Judge et al. 2001; Riketta 2002; Fried et al. 2008; Kuvaas 2008; Ng et al. 2009)", "manualFormatting" : "(Judge et al., 2001; Riketta, 2002; Fried et al., 2008; Kuvaas, 2008; Ng et al., 2009)", "plainTextFormattedCitation" : "(Judge et al. 2001; Riketta 2002; Fried et al. 2008; Kuvaas 2008; Ng et al. 2009)", "previouslyFormattedCitation" : "(Judge et al. 2001; Riketta 2002; Fried et al. 2008; Kuvaas 2008; Ng et al. 2009)" }, "properties" : { "noteIndex" : 0 }, "schema" : "https://github.com/citation-style-language/schema/raw/master/csl-citation.json" }</w:instrText>
      </w:r>
      <w:r w:rsidRPr="00452E2E">
        <w:rPr>
          <w:szCs w:val="24"/>
        </w:rPr>
        <w:fldChar w:fldCharType="separate"/>
      </w:r>
      <w:r w:rsidRPr="00452E2E">
        <w:rPr>
          <w:noProof/>
          <w:szCs w:val="24"/>
        </w:rPr>
        <w:t xml:space="preserve">(Judge </w:t>
      </w:r>
      <w:r w:rsidRPr="00452E2E">
        <w:rPr>
          <w:i/>
          <w:noProof/>
          <w:szCs w:val="24"/>
        </w:rPr>
        <w:t>et al</w:t>
      </w:r>
      <w:r w:rsidRPr="00452E2E">
        <w:rPr>
          <w:noProof/>
          <w:szCs w:val="24"/>
        </w:rPr>
        <w:t xml:space="preserve">., 2001; Riketta, 2002; Fried </w:t>
      </w:r>
      <w:r w:rsidRPr="00452E2E">
        <w:rPr>
          <w:i/>
          <w:noProof/>
          <w:szCs w:val="24"/>
        </w:rPr>
        <w:t>et al</w:t>
      </w:r>
      <w:r w:rsidRPr="00452E2E">
        <w:rPr>
          <w:noProof/>
          <w:szCs w:val="24"/>
        </w:rPr>
        <w:t xml:space="preserve">., 2008; Kuvaas, 2008; Ng </w:t>
      </w:r>
      <w:r w:rsidRPr="00452E2E">
        <w:rPr>
          <w:i/>
          <w:noProof/>
          <w:szCs w:val="24"/>
        </w:rPr>
        <w:t>et al</w:t>
      </w:r>
      <w:r w:rsidRPr="00452E2E">
        <w:rPr>
          <w:noProof/>
          <w:szCs w:val="24"/>
        </w:rPr>
        <w:t>., 2009)</w:t>
      </w:r>
      <w:r w:rsidRPr="00452E2E">
        <w:rPr>
          <w:szCs w:val="24"/>
        </w:rPr>
        <w:fldChar w:fldCharType="end"/>
      </w:r>
      <w:r w:rsidRPr="00452E2E">
        <w:rPr>
          <w:szCs w:val="24"/>
        </w:rPr>
        <w:t xml:space="preserve">, organizational citizenship behaviours </w:t>
      </w:r>
      <w:r w:rsidRPr="00452E2E">
        <w:rPr>
          <w:szCs w:val="24"/>
        </w:rPr>
        <w:fldChar w:fldCharType="begin" w:fldLock="1"/>
      </w:r>
      <w:r w:rsidRPr="00452E2E">
        <w:rPr>
          <w:szCs w:val="24"/>
        </w:rPr>
        <w:instrText>ADDIN CSL_CITATION { "citationItems" : [ { "id" : "ITEM-1", "itemData" : { "DOI" : "10.1007/BF01419445", "ISBN" : "08927545", "ISSN" : "08927545", "PMID" : "9312281849", "abstract" : "This article presents information related to the relative contribution of perceptions of procedural justice in the prediction of organizational citizenship behavior (OCB). The search for the relationship between job attitudes and job performance has a long history. Lengthy reviews have reported numerous attempts to show definitively that job attitudes are related to or even cause job performance, yet most efforts, have resulted in only a weak relationship, far below that suggested by conventional wisdom. Organizational commitment describes the relative strength of an individual's identification with and involvement in a particular organization and has been suggested as an antecedent to OCB because it reflects an employee's willingness to aid the organization even if direct reward is not contingent upon that aid. Employees who demonstrate conscientiousness toward their work, try to prevent problems with other employees, inform others before taking important actions, and refrain from excessively complaining about work. They do so because the organization has treated them in a fair manner. Fairness invokes moral or quasimoral obligations that go beyond affective response.", "author" : [ { "dropping-particle" : "", "family" : "Moorman", "given" : "Robert H.", "non-dropping-particle" : "", "parse-names" : false, "suffix" : "" }, { "dropping-particle" : "", "family" : "Niehoff", "given" : "Brian P.", "non-dropping-particle" : "", "parse-names" : false, "suffix" : "" }, { "dropping-particle" : "", "family" : "Organ", "given" : "Dennis W.", "non-dropping-particle" : "", "parse-names" : false, "suffix" : "" } ], "container-title" : "Employee Responsibilities and Rights Journal", "id" : "ITEM-1", "issue" : "3", "issued" : { "date-parts" : [ [ "1993" ] ] }, "page" : "209-225", "title" : "Treating employees fairly and organizational citizenship behavior: Sorting the effects of job satisfaction, organizational commitment, and procedural justice", "type" : "article-journal", "volume" : "6" }, "uris" : [ "http://www.mendeley.com/documents/?uuid=ef833adf-0d87-4f0f-a296-8a5b4df85481" ] }, { "id" : "ITEM-2", "itemData" : { "DOI" : "10.1111/j.1744-6570.2001.tb00087.x", "ISBN" : "1744-6570", "ISSN" : "1744-6570", "PMID" : "4229458", "abstract" : "This study addresses the issue of whether positive employee attitudes and behaviors influence business outcomes or whether positive business outcomes influence positive employee attitudes and behaviors. We hypothesize that employee satisfaction, organizational citizenship behavior, and employee turnover influence profitability and customer satisfaction. Data were gathered from the units of a regional restaurant chain via employee surveys, manager surveys, customer surveys, and organizational records. Cross-lagged regression analyses show that employee attitudes and behaviors at Time 1 are related to organizational effectiveness at Time 2. Additional cross-lagged regression analyses show no significant relationship between organizational effectiveness at Time 1 and the employee attitudes and behaviors at Time 2. These results add to the evidence that HR outcomes influence business outcomes, rather than the other way around.", "author" : [ { "dropping-particle" : "", "family" : "Koys", "given" : "Daniel", "non-dropping-particle" : "", "parse-names" : false, "suffix" : "" } ], "container-title" : "Personnel Psychology", "id" : "ITEM-2", "issue" : "1", "issued" : { "date-parts" : [ [ "2001" ] ] }, "page" : "101-114", "title" : "The Effects of employee satisfaction, organizational citizenship behavior, and turnover on organizational effectiveness: A unit-level, longitudinal study", "type" : "article-journal", "volume" : "54" }, "uris" : [ "http://www.mendeley.com/documents/?uuid=7532e7a7-4569-47e1-a326-d3ece6ef0a5e" ] }, { "id" : "ITEM-3", "itemData" : { "DOI" : "10.1016/j.jvb.2011.03.006", "ISBN" : "0001-8791", "ISSN" : "00018791", "abstract" : "Utilizing a meta-analytical approach for testing moderating effects, the current study investigated organizational tenure as a moderator in the relation between affective organizational commitment and organizational citizenship behavior (OCB). We observed that, across 40 studies (N=11,416 respondents), the effect size for the relation between affective organizational commitment and non-self measures of OCB was .23. However, we also found that organizational tenure moderated the relation in a non-linear way. Before 10. years of tenure, the strength of the commitment-OCB relation increased as organizational tenure increased; after that point, the strength of the commitment-OCB relation decreased as organizational tenure increased. In short, the moderating effect of tenure follows a curvilinear pattern. ?? 2011 Elsevier Inc.", "author" : [ { "dropping-particle" : "", "family" : "Ng", "given" : "Thomas W H", "non-dropping-particle" : "", "parse-names" : false, "suffix" : "" }, { "dropping-particle" : "", "family" : "Feldman", "given" : "Daniel C.", "non-dropping-particle" : "", "parse-names" : false, "suffix" : "" } ], "container-title" : "Journal of Vocational Behavior", "id" : "ITEM-3", "issue" : "2", "issued" : { "date-parts" : [ [ "2011" ] ] }, "page" : "528-537", "publisher" : "Elsevier Inc.", "title" : "Affective organizational commitment and citizenship behavior: Linear and non-linear moderating effects of organizational tenure", "type" : "article-journal", "volume" : "79" }, "uris" : [ "http://www.mendeley.com/documents/?uuid=44230920-8a07-4c20-85ff-e6e6073ec27b" ] }, { "id" : "ITEM-4",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"ITEM-4", "issue" : "8", "issued" : { "date-parts" : [ [ "2012" ] ] }, "page" : "1209-1227", "title" : "High-involvement human resource practices, affective commitment, and organizational citizenship behaviors", "type" : "article-journal", "volume" : "32" }, "uris" : [ "http://www.mendeley.com/documents/?uuid=3233ad68-00c0-4a22-bbc0-0ed35d43dfad" ] }, { "id" : "ITEM-5",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"ITEM-5", "issue" : "2", "issued" : { "date-parts" : [ [ "2013" ] ] }, "page" : "366-391", "title" : "The impact of high performance human resource practices on employees' attitudes and behaviors", "type" : "article-journal", "volume" : "39" }, "uris" : [ "http://www.mendeley.com/documents/?uuid=87fa9e55-e4a1-416e-9e06-eb7fd4bd89a6" ] } ], "mendeley" : { "formattedCitation" : "(Moorman et al. 1993; Koys 2001; Ng &amp; Feldman 2011; Yang 2012; Kehoe &amp; Wright 2013)", "manualFormatting" : "(Moorman et al., 1993; Koys, 2001; Ng &amp; Feldman, 2011; Yang, 2012; Kehoe &amp; Wright, 2013)", "plainTextFormattedCitation" : "(Moorman et al. 1993; Koys 2001; Ng &amp; Feldman 2011; Yang 2012; Kehoe &amp; Wright 2013)", "previouslyFormattedCitation" : "(Moorman et al. 1993; Koys 2001; Ng &amp; Feldman 2011; Yang 2012; Kehoe &amp; Wright 2013)" }, "properties" : { "noteIndex" : 0 }, "schema" : "https://github.com/citation-style-language/schema/raw/master/csl-citation.json" }</w:instrText>
      </w:r>
      <w:r w:rsidRPr="00452E2E">
        <w:rPr>
          <w:szCs w:val="24"/>
        </w:rPr>
        <w:fldChar w:fldCharType="separate"/>
      </w:r>
      <w:r w:rsidRPr="00452E2E">
        <w:rPr>
          <w:noProof/>
          <w:szCs w:val="24"/>
        </w:rPr>
        <w:t xml:space="preserve">(Moorman </w:t>
      </w:r>
      <w:r w:rsidRPr="00452E2E">
        <w:rPr>
          <w:i/>
          <w:noProof/>
          <w:szCs w:val="24"/>
        </w:rPr>
        <w:t>et al</w:t>
      </w:r>
      <w:r w:rsidRPr="00452E2E">
        <w:rPr>
          <w:noProof/>
          <w:szCs w:val="24"/>
        </w:rPr>
        <w:t>., 1993; Koys, 2001; Ng &amp; Feldman, 2011; Yang, 2012; Kehoe &amp; Wright, 2013)</w:t>
      </w:r>
      <w:r w:rsidRPr="00452E2E">
        <w:rPr>
          <w:szCs w:val="24"/>
        </w:rPr>
        <w:fldChar w:fldCharType="end"/>
      </w:r>
      <w:r w:rsidRPr="00452E2E">
        <w:rPr>
          <w:szCs w:val="24"/>
        </w:rPr>
        <w:t xml:space="preserve">, turnover intentions </w:t>
      </w:r>
      <w:r w:rsidRPr="00452E2E">
        <w:rPr>
          <w:szCs w:val="24"/>
        </w:rPr>
        <w:fldChar w:fldCharType="begin" w:fldLock="1"/>
      </w:r>
      <w:r w:rsidRPr="00452E2E">
        <w:rPr>
          <w:szCs w:val="24"/>
        </w:rPr>
        <w:instrText>ADDIN CSL_CITATION { "citationItems" : [ { "id" : "ITEM-1", "itemData" : { "DOI" : "10.1080/09585192.2010.483845", "ISBN" : "0958-5192", "ISSN" : "0958-5192", "abstract" : "The purpose of this study was to investigate the impact of a bundle of eight human resource management practices on intention to leave, and to examine the mediating effect of organizational commitment on the relationship between the HRM practices and intention to leave of employees of a service organization in India. Most of the prior HRM practices-employee turnover studies have been from the HR manager's point of view. This study took a different approach and studied this relationship from an employee's point of view. Internet survey questionnaires were used to collect the data from 183 employees working in a service company in India. Multiple linear regression and hierarchical linear regression analysis were conducted to test the hypotheses. The study found not only that the HRM practices lower employee intentions to leave, but also that this relationship is partially mediated by organizational commitment. The results of the study not only supported that organizations should focus on employee perceptions of the organizations' HRM practices but also indicated that human resources should go beyond establishing policies and procedures to providing an employee-friendly work environment (Biswas and Varma 2007). \u00a9 2010 Taylor &amp; Francis.", "author" : [ { "dropping-particle" : "", "family" : "Guchait", "given" : "Priyanko", "non-dropping-particle" : "", "parse-names" : false, "suffix" : "" }, { "dropping-particle" : "", "family" : "Cho", "given" : "Seonghee", "non-dropping-particle" : "", "parse-names" : false, "suffix" : "" } ], "container-title" : "The International Journal of Human Resource Management", "id" : "ITEM-1", "issue" : "8", "issued" : { "date-parts" : [ [ "2010" ] ] }, "page" : "1228-1247", "title" : "The impact of human resource management practices on intention to leave of employees in the service industry in India: The mediating role of organizational commitment", "type" : "article-journal", "volume" : "21" }, "uris" : [ "http://www.mendeley.com/documents/?uuid=06a93245-ccf1-4ad2-84ce-ca27f6eec38c" ] }, { "id" : "ITEM-2",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"ITEM-2",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"ITEM-3", "itemData" : { "DOI" : "10.1080/09585192.2013.763841", "ISBN" : "0958-5192", "ISSN" : "0958-5192", "abstract" : "This study examined the mediating effects of organizational commitment (OC) and organizational engagement (OE) on the relationship between human resource (HR) practices (career management, performance appraisal, compensation, person-job fit and job control) and turnover intention. A total of 457 employees working in various sectors in a selected region in Malaysia participated in this study. It was found that all the variables used to measure HR practices have significant effects on OC and OE. However, multiple regression analyses indicated that career management and job control did not have any significant influence on turnover intention. OC and OE were discovered to give partial mediating effects on the relationship between HR practices and turnover intention. \u00a9 2013 \u00a9 2013 Taylor &amp; Francis.", "author" : [ { "dropping-particle" : "", "family" : "Juhdi", "given" : "Nurita", "non-dropping-particle" : "", "parse-names" : false, "suffix" : "" }, { "dropping-particle" : "", "family" : "Pa'wan", "given" : "Fatimah", "non-dropping-particle" : "", "parse-names" : false, "suffix" : "" }, { "dropping-particle" : "", "family" : "Hansaram", "given" : "Ram Milah Kaur", "non-dropping-particle" : "", "parse-names" : false, "suffix" : "" } ], "container-title" : "The International Journal of Human Resource Management", "id" : "ITEM-3", "issue" : "15", "issued" : { "date-parts" : [ [ "2013" ] ] }, "page" : "3002-3019", "title" : "HR practices and turnover intention: The mediating roles of organizational commitment and organizational engagement in a selected region in Malaysia", "type" : "article-journal", "volume" : "24" }, "uris" : [ "http://www.mendeley.com/documents/?uuid=9d0a4d40-82bb-4b73-9c1a-b9ab2a91c26a" ] }, { "id" : "ITEM-4",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"ITEM-4", "issue" : "2", "issued" : { "date-parts" : [ [ "2013" ] ] }, "page" : "366-391", "title" : "The impact of high performance human resource practices on employees' attitudes and behaviors", "type" : "article-journal", "volume" : "39" }, "uris" : [ "http://www.mendeley.com/documents/?uuid=87fa9e55-e4a1-416e-9e06-eb7fd4bd89a6" ] }, { "id" : "ITEM-5",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"ITEM-5",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"ITEM-6", "</w:instrText>
      </w:r>
      <w:r w:rsidRPr="00452E2E">
        <w:rPr>
          <w:szCs w:val="24"/>
          <w:lang w:val="fr-FR"/>
        </w:rPr>
        <w:instrText>itemData" : { "DOI" : "10.1108/ICT-04-2015-0029", "ISBN" : "0143773111112", "ISSN" : "0019-7858", "author" : [ { "dropping-particle" : "", "family" : "Huang", "given" : "Wen-Rou", "non-dropping-particle" : "", "parse-names" : false, "suffix" : "" }, { "dropping-particle" : "", "family" : "Su", "given" : "Chih-Hao", "non-dropping-particle" : "", "parse-names" : false, "suffix" : "" } ], "container-title" : "Industrial and Commercial Training", "id" : "ITEM-6", "issue" : "1", "issued" : { "date-parts" : [ [ "2016" ] ] }, "page" : "42-52", "title" : "The mediating role of job satisfaction in the relationship between job training satisfaction and turnover intentions", "type" : "article-journal", "volume" : "48" }, "uris" : [ "http://www.mendeley.com/documents/?uuid=7ef56a7b-c056-4872-b062-89a4b3807219" ] } ], "mendeley" : { "formattedCitation" : "(Guchait &amp; Cho 2010; Ang et al. 2013; Juhdi et al. 2013; Kehoe &amp; Wright 2013; Fabi et al. 2015; Huang &amp; Su 2016)", "manualFormatting" : "(Guchait &amp; Cho, 2010; Juhdi et al., 2013; Fabi et al., 2015; Huang &amp; Su, 2016)", "plainTextFormattedCitation" : "(Guchait &amp; Cho 2010; Ang et al. 2013; Juhdi et al. 2013; Kehoe &amp; Wright 2013; Fabi et al. 2015; Huang &amp; Su 2016)", "previouslyFormattedCitation" : "(Guchait &amp; Cho 2010; Ang et al. 2013; Juhdi et al. 2013; Kehoe &amp; Wright 2013; Fabi et al. 2015; Huang &amp; Su 2016)" }, "properties" : { "noteIndex" : 0 }, "schema" : "https://github.com/citation-style-language/schema/raw/master/csl-citation.json" }</w:instrText>
      </w:r>
      <w:r w:rsidRPr="00452E2E">
        <w:rPr>
          <w:szCs w:val="24"/>
        </w:rPr>
        <w:fldChar w:fldCharType="separate"/>
      </w:r>
      <w:r w:rsidRPr="00452E2E">
        <w:rPr>
          <w:noProof/>
          <w:szCs w:val="24"/>
          <w:lang w:val="fr-FR"/>
        </w:rPr>
        <w:t xml:space="preserve">(Guchait &amp; Cho, 2010; Juhdi </w:t>
      </w:r>
      <w:r w:rsidRPr="00452E2E">
        <w:rPr>
          <w:i/>
          <w:noProof/>
          <w:szCs w:val="24"/>
          <w:lang w:val="fr-FR"/>
        </w:rPr>
        <w:t>et al</w:t>
      </w:r>
      <w:r w:rsidRPr="00452E2E">
        <w:rPr>
          <w:noProof/>
          <w:szCs w:val="24"/>
          <w:lang w:val="fr-FR"/>
        </w:rPr>
        <w:t xml:space="preserve">., 2013; Fabi </w:t>
      </w:r>
      <w:r w:rsidRPr="00452E2E">
        <w:rPr>
          <w:i/>
          <w:noProof/>
          <w:szCs w:val="24"/>
          <w:lang w:val="fr-FR"/>
        </w:rPr>
        <w:t>et al</w:t>
      </w:r>
      <w:r w:rsidRPr="00452E2E">
        <w:rPr>
          <w:noProof/>
          <w:szCs w:val="24"/>
          <w:lang w:val="fr-FR"/>
        </w:rPr>
        <w:t>., 2015; Huang &amp; Su, 2016)</w:t>
      </w:r>
      <w:r w:rsidRPr="00452E2E">
        <w:rPr>
          <w:szCs w:val="24"/>
        </w:rPr>
        <w:fldChar w:fldCharType="end"/>
      </w:r>
      <w:r w:rsidRPr="00452E2E">
        <w:rPr>
          <w:szCs w:val="24"/>
          <w:lang w:val="fr-FR"/>
        </w:rPr>
        <w:t xml:space="preserve">, </w:t>
      </w:r>
      <w:r w:rsidR="00AC1CBD" w:rsidRPr="00452E2E">
        <w:rPr>
          <w:szCs w:val="24"/>
          <w:lang w:val="fr-FR"/>
        </w:rPr>
        <w:t xml:space="preserve">and </w:t>
      </w:r>
      <w:r w:rsidRPr="00452E2E">
        <w:rPr>
          <w:szCs w:val="24"/>
          <w:lang w:val="fr-FR"/>
        </w:rPr>
        <w:t xml:space="preserve">organizational performance </w:t>
      </w:r>
      <w:r w:rsidRPr="00452E2E">
        <w:rPr>
          <w:szCs w:val="24"/>
        </w:rPr>
        <w:fldChar w:fldCharType="begin" w:fldLock="1"/>
      </w:r>
      <w:r w:rsidRPr="00452E2E">
        <w:rPr>
          <w:szCs w:val="24"/>
          <w:lang w:val="fr-FR"/>
        </w:rPr>
        <w:instrText>ADDIN CSL_CITATION { "citationItems" : [ { "id" : "ITEM-1",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w:instrText>
      </w:r>
      <w:r w:rsidRPr="00452E2E">
        <w:rPr>
          <w:szCs w:val="24"/>
        </w:rPr>
        <w:instrText xml:space="preserve">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"ITEM-1",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"id" : "ITEM-2",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"ITEM-2", "issue" : "5", "issued" : { "date-parts" : [ [ "2013" ] ] }, "page" : "573-594", "title" : "Effects of employees' perceptions on the relationship between HR practices and firm performance for Korean firms", "type" : "article-journal", "volume" : "42" }, "uris" : [ "http://www.mendeley.com/documents/?uuid=ffb61f90-b58e-4457-9560-eaad5c903c53" ] } ], "mendeley" : { "formattedCitation" : "(Gong et al. 2009; Choi &amp; Lee 2013)", "manualFormatting" : "(Gong et al., 2009; Elorza et al., 2011; Choi &amp; Lee, 2013)", "plainTextFormattedCitation" : "(Gong et al. 2009; Choi &amp; Lee 2013)", "previouslyFormattedCitation" : "(Gong et al. 2009; Choi &amp; Lee 2013)" }, "properties" : { "noteIndex" : 0 }, "schema" : "https://github.com/citation-style-language/schema/raw/master/csl-citation.json" }</w:instrText>
      </w:r>
      <w:r w:rsidRPr="00452E2E">
        <w:rPr>
          <w:szCs w:val="24"/>
        </w:rPr>
        <w:fldChar w:fldCharType="separate"/>
      </w:r>
      <w:r w:rsidRPr="00452E2E">
        <w:rPr>
          <w:noProof/>
          <w:szCs w:val="24"/>
        </w:rPr>
        <w:t xml:space="preserve">(Gong </w:t>
      </w:r>
      <w:r w:rsidRPr="00452E2E">
        <w:rPr>
          <w:i/>
          <w:noProof/>
          <w:szCs w:val="24"/>
        </w:rPr>
        <w:t>et al</w:t>
      </w:r>
      <w:r w:rsidRPr="00452E2E">
        <w:rPr>
          <w:noProof/>
          <w:szCs w:val="24"/>
        </w:rPr>
        <w:t xml:space="preserve">., 2009; Elorza </w:t>
      </w:r>
      <w:r w:rsidRPr="00452E2E">
        <w:rPr>
          <w:i/>
          <w:noProof/>
          <w:szCs w:val="24"/>
        </w:rPr>
        <w:t>et al</w:t>
      </w:r>
      <w:r w:rsidRPr="00452E2E">
        <w:rPr>
          <w:noProof/>
          <w:szCs w:val="24"/>
        </w:rPr>
        <w:t>., 2011; Choi &amp; Lee, 2013)</w:t>
      </w:r>
      <w:r w:rsidRPr="00452E2E">
        <w:rPr>
          <w:szCs w:val="24"/>
        </w:rPr>
        <w:fldChar w:fldCharType="end"/>
      </w:r>
      <w:r w:rsidRPr="00452E2E">
        <w:rPr>
          <w:szCs w:val="24"/>
        </w:rPr>
        <w:t>, among others.</w:t>
      </w:r>
    </w:p>
    <w:p w:rsidR="00D03A8E" w:rsidRPr="00452E2E" w:rsidRDefault="00D03A8E" w:rsidP="00D03A8E">
      <w:pPr>
        <w:spacing w:line="360" w:lineRule="auto"/>
        <w:jc w:val="both"/>
      </w:pPr>
      <w:r w:rsidRPr="00452E2E">
        <w:rPr>
          <w:szCs w:val="24"/>
        </w:rPr>
        <w:t xml:space="preserve">Finally, the study is significant since it focuses on comparing HRM in </w:t>
      </w:r>
      <w:r w:rsidR="00AC1CBD" w:rsidRPr="00452E2E">
        <w:rPr>
          <w:szCs w:val="24"/>
        </w:rPr>
        <w:t xml:space="preserve">the </w:t>
      </w:r>
      <w:r w:rsidRPr="00452E2E">
        <w:rPr>
          <w:szCs w:val="24"/>
        </w:rPr>
        <w:t xml:space="preserve">public and private sector. Despite the importance of HRM to both public and private sector organizations </w:t>
      </w:r>
      <w:r w:rsidRPr="00452E2E">
        <w:rPr>
          <w:szCs w:val="24"/>
        </w:rPr>
        <w:fldChar w:fldCharType="begin" w:fldLock="1"/>
      </w:r>
      <w:r w:rsidRPr="00452E2E">
        <w:rPr>
          <w:szCs w:val="24"/>
        </w:rPr>
        <w:instrText>ADDIN CSL_CITATION { "citationItems" : [ { "id" : "ITEM-1", "itemData" : { "author" : [ { "dropping-particle" : "", "family" : "Burke", "given" : "Ronald J", "non-dropping-particle" : "", "parse-names" : false, "suffix" : "" }, { "dropping-particle" : "", "family" : "Allisey", "given" : "A.F", "non-dropping-particle" : "", "parse-names" : false, "suffix" : "" }, { "dropping-particle" : "", "family" : "Noblet", "given" : "A.J", "non-dropping-particle" : "", "parse-names" : false, "suffix" : "" } ], "container-title" : "Human resource management in the public sector", "editor" : [ { "dropping-particle" : "", "family" : "Burke", "given" : "R.J", "non-dropping-particle" : "", "parse-names" : false, "suffix" : "" }, { "dropping-particle" : "", "family" : "Noblet", "given" : "A.J", "non-dropping-particle" : "", "parse-names" : false, "suffix" : "" }, { "dropping-particle" : "", "family" : "Cooper", "given" : "C L", "non-dropping-particle" : "", "parse-names" : false, "suffix" : "" } ], "id" : "ITEM-1", "issued" : { "date-parts" : [ [ "2013" ] ] }, "page" : "1-13", "publisher" : "Edward Elgar", "publisher-place" : "Cheltenham, UK", "title" : "The importance of human resource management in the public sector, future challenges and the relevance of the current collection", "type" : "chapter" }, "uris" : [ "http://www.mendeley.com/documents/?uuid=f3292962-3011-4954-b778-d8d1122d0b4a" ] } ], "mendeley" : { "formattedCitation" : "(Burke et al. 2013)", "manualFormatting" : "(Burke et al., 2013)", "plainTextFormattedCitation" : "(Burke et al. 2013)", "previouslyFormattedCitation" : "(Burke et al. 2013)" }, "properties" : { "noteIndex" : 0 }, "schema" : "https://github.com/citation-style-language/schema/raw/master/csl-citation.json" }</w:instrText>
      </w:r>
      <w:r w:rsidRPr="00452E2E">
        <w:rPr>
          <w:szCs w:val="24"/>
        </w:rPr>
        <w:fldChar w:fldCharType="separate"/>
      </w:r>
      <w:r w:rsidRPr="00452E2E">
        <w:rPr>
          <w:noProof/>
          <w:szCs w:val="24"/>
        </w:rPr>
        <w:t xml:space="preserve">(Burke </w:t>
      </w:r>
      <w:r w:rsidRPr="00452E2E">
        <w:rPr>
          <w:i/>
          <w:noProof/>
          <w:szCs w:val="24"/>
        </w:rPr>
        <w:t>et al</w:t>
      </w:r>
      <w:r w:rsidRPr="00452E2E">
        <w:rPr>
          <w:noProof/>
          <w:szCs w:val="24"/>
        </w:rPr>
        <w:t>., 2013)</w:t>
      </w:r>
      <w:r w:rsidRPr="00452E2E">
        <w:rPr>
          <w:szCs w:val="24"/>
        </w:rPr>
        <w:fldChar w:fldCharType="end"/>
      </w:r>
      <w:r w:rsidRPr="00452E2E">
        <w:rPr>
          <w:szCs w:val="24"/>
        </w:rPr>
        <w:t xml:space="preserve">, most writings on HRM focus on private sector organizations to the neglect of public sector organizations </w:t>
      </w:r>
      <w:r w:rsidRPr="00452E2E">
        <w:rPr>
          <w:szCs w:val="24"/>
        </w:rPr>
        <w:fldChar w:fldCharType="begin" w:fldLock="1"/>
      </w:r>
      <w:r w:rsidRPr="00452E2E">
        <w:rPr>
          <w:szCs w:val="24"/>
        </w:rPr>
        <w:instrText>ADDIN CSL_CITATION { "citationItems" : [ { "id" : "ITEM-1", "itemData" : { "author" : [ { "dropping-particle" : "", "family" : "Burke", "given" : "Ronald J", "non-dropping-particle" : "", "parse-names" : false, "suffix" : "" }, { "dropping-particle" : "", "family" : "Allisey", "given" : "A.F", "non-dropping-particle" : "", "parse-names" : false, "suffix" : "" }, { "dropping-particle" : "", "family" : "Noblet", "given" : "A.J", "non-dropping-particle" : "", "parse-names" : false, "suffix" : "" } ], "container-title" : "Human resource management in the public sector", "editor" : [ { "dropping-particle" : "", "family" : "Burke", "given" : "R.J", "non-dropping-particle" : "", "parse-names" : false, "suffix" : "" }, { "dropping-particle" : "", "family" : "Noblet", "given" : "A.J", "non-dropping-particle" : "", "parse-names" : false, "suffix" : "" }, { "dropping-particle" : "", "family" : "Cooper", "given" : "C L", "non-dropping-particle" : "", "parse-names" : false, "suffix" : "" } ], "id" : "ITEM-1", "issued" : { "date-parts" : [ [ "2013" ] ] }, "page" : "1-13", "publisher" : "Edward Elgar", "publisher-place" : "Cheltenham, UK", "title" : "The importance of human resource management in the public sector, future challenges and the relevance of the current collection", "type" : "chapter" }, "uris" : [ "http://www.mendeley.com/documents/?uuid=f3292962-3011-4954-b778-d8d1122d0b4a" ] }, { "id" : "ITEM-2", "itemData" : { "DOI" : "10.1080/09585192.2014.980127", "author" : [ { "dropping-particle" : "", "family" : "Knies", "given" : "Eva", "non-dropping-particle" : "", "parse-names" : false, "suffix" : "" }, { "dropping-particle" : "", "family" : "Boselie", "given" : "Paul", "non-dropping-particle" : "", "parse-names" : false, "suffix" : "" }, { "dropping-particle" : "", "family" : "Gould-williams", "given" : "Julian", "non-dropping-particle" : "", "parse-names" : false, "suffix" : "" }, { "dropping-particle" : "", "family" : "Vandenabeele", "given" : "C", "non-dropping-particle" : "", "parse-names" : false, "suffix" : "" } ], "container-title" : "International Journal of Human Resource Management", "id" : "ITEM-2", "issue" : "3", "issued" : { "date-parts" : [ [ "2015" ] ] }, "page" : "421-424", "title" : "Special issue of International Journal of Human Resource Management : strategic human resource management and public sector performance", "type" : "article-journal", "volume" : "26" }, "uris" : [ "http://www.mendeley.com/documents/?uuid=16eb534b-a03a-4ea6-bcbb-5081bf60ca59" ] } ], "mendeley" : { "formattedCitation" : "(Burke et al. 2013; Knies et al. 2015)", "plainTextFormattedCitation" : "(Burke et al. 2013; Knies et al. 2015)", "previouslyFormattedCitation" : "(Burke et al. 2013; Knies et al. 2015)" }, "properties" : { "noteIndex" : 0 }, "schema" : "https://github.com/citation-style-language/schema/raw/master/csl-citation.json" }</w:instrText>
      </w:r>
      <w:r w:rsidRPr="00452E2E">
        <w:rPr>
          <w:szCs w:val="24"/>
        </w:rPr>
        <w:fldChar w:fldCharType="separate"/>
      </w:r>
      <w:r w:rsidRPr="00452E2E">
        <w:rPr>
          <w:noProof/>
          <w:szCs w:val="24"/>
        </w:rPr>
        <w:t xml:space="preserve">(Burke </w:t>
      </w:r>
      <w:r w:rsidRPr="00452E2E">
        <w:rPr>
          <w:i/>
          <w:noProof/>
          <w:szCs w:val="24"/>
        </w:rPr>
        <w:t>et al</w:t>
      </w:r>
      <w:r w:rsidRPr="00452E2E">
        <w:rPr>
          <w:noProof/>
          <w:szCs w:val="24"/>
        </w:rPr>
        <w:t>.</w:t>
      </w:r>
      <w:r w:rsidR="006379AD" w:rsidRPr="00452E2E">
        <w:rPr>
          <w:noProof/>
          <w:szCs w:val="24"/>
        </w:rPr>
        <w:t>,</w:t>
      </w:r>
      <w:r w:rsidRPr="00452E2E">
        <w:rPr>
          <w:noProof/>
          <w:szCs w:val="24"/>
        </w:rPr>
        <w:t xml:space="preserve"> 2013; Knies </w:t>
      </w:r>
      <w:r w:rsidRPr="00452E2E">
        <w:rPr>
          <w:i/>
          <w:noProof/>
          <w:szCs w:val="24"/>
        </w:rPr>
        <w:t>et al</w:t>
      </w:r>
      <w:r w:rsidRPr="00452E2E">
        <w:rPr>
          <w:noProof/>
          <w:szCs w:val="24"/>
        </w:rPr>
        <w:t>.</w:t>
      </w:r>
      <w:r w:rsidR="006379AD" w:rsidRPr="00452E2E">
        <w:rPr>
          <w:noProof/>
          <w:szCs w:val="24"/>
        </w:rPr>
        <w:t>,</w:t>
      </w:r>
      <w:r w:rsidRPr="00452E2E">
        <w:rPr>
          <w:noProof/>
          <w:szCs w:val="24"/>
        </w:rPr>
        <w:t xml:space="preserve"> 2015)</w:t>
      </w:r>
      <w:r w:rsidRPr="00452E2E">
        <w:rPr>
          <w:szCs w:val="24"/>
        </w:rPr>
        <w:fldChar w:fldCharType="end"/>
      </w:r>
      <w:r w:rsidRPr="00452E2E">
        <w:rPr>
          <w:szCs w:val="24"/>
        </w:rPr>
        <w:t xml:space="preserve">. This trend has been followed in HRM studies in African contexts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"http://www.mendeley.com/documents/?uuid=43a2fbd4-6640-46db-bd96-9c0c4ca42d50" ] }, { "id" : "ITEM-2",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"ITEM-2", "issue" : "1", "issued" : { "date-parts" : [ [ "2009" ] ] }, "page" : "62-82", "title" : "Managerial perspectives on HRM in Nigeria: Evolving hybridization?", "type" : "article-journal", "volume" : "16" }, "uris" : [ "http://www.mendeley.com/documents/?uuid=cde70e16-aeda-4832-89c0-f5554c70c93e" ] }, { "id" : "ITEM-3",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"ITEM-3", "issue" : "1", "issued" : { "date-parts" : [ [ "2011" ] ] }, "page" : "31-41", "publisher" : "Elsevier Inc.", "title" : "HRM in Mozambique: Homogenization, path dependence or segmented business system?", "type" : "article-journal", "volume" : "46" }, "uris" : [ "http://www.mendeley.com/documents/?uuid=715488db-b5b1-4ac9-8b33-8be3c1beb0c1" ] }, { "id" : "ITEM-4", "itemData" : { "DOI" : "10.1080/09585192.2012.671509", "ISSN" : "0958-5192", "abstract" : "Despite the increasing number of mergers and acquisitions (M&amp;A) taking place in Africa, research of this phenomenon, particularly in this continent, is extremely scarce. There is also growing awareness amongst researchers of the importance of human resource management (HRM) practices in general throughout the merger process. This makes an enquiry into its role in this context opportune. By analysing the recent M&amp;A wave in the Nigerian banking sector, this paper explores HRM practices throughout the M&amp;A process. Through interviews of key informants in each merging bank, key HRM practices are identified and conclusions drawn about their contribution to overall M&amp;A outcomes. Implications for theory and practice are discussed and future research directions offered.", "author" : [ { "dropping-particle" : "", "family" : "Gomes", "given" : "Emanuel", "non-dropping-particle" : "", "parse-names" : false, "suffix" : "" }, { "dropping-particle" : "", "family" : "Angwin", "given" : "Duncan", "non-dropping-particle" : "", "parse-names" : false, "suffix" : "" }, { "dropping-particle" : "", "family" : "Peter", "given" : "Emmanuel", "non-dropping-particle" : "", "parse-names" : false, "suffix" : "" }, { "dropping-particle" : "", "family" : "Mellahi", "given" : "Kamel", "non-dropping-particle" : "", "parse-names" : false, "suffix" : "" } ], "container-title" : "The International Journal of Human Resource Management", "id" : "ITEM-4", "issue" : "14", "issued" : { "date-parts" : [ [ "2012" ] ] }, "page" : "2874-2900", "title" : "HRM issues and outcomes in African mergers and acquisitions: a study of the Nigerian banking sector", "type" : "article-journal", "volume" : "23" }, "uris" : [ "http://www.mendeley.com/documents/?uuid=918c4f32-201e-4dad-a677-28daa6de6629" ] }, { "id" : "ITEM-5", "itemData" : { "DOI" : "10.1080/09585192.2012.671504", "ISBN" : "09585192", "ISSN" : "0958-5192", "abstract" : "The last decade has witnessed a notable increase in the volume of publications on human resource management (HRM) in Africa, particularly in reputable management journals. Yet, within the broader context of the mainstream HRM debate, advances in research and theoretical sophistication have not quite kept pace with the actual practice of management. This is particularly notable when it comes to the progress that organizations in Africa have made in product innovation and service delivery, the creation and application of advanced technology, as well as in the adoption of progressive/innovative HRM practices. The six papers in this forum were drawn from an international conference on HRM in Africa held at Nottingham Business School in 2010. Taken together, they identify important new developments in theory and practice, and also open up avenues for further debate particularly in the areas of career development, knowledge appropriation, mergers and acquisitions, the role of HR professionals, the informal sector and the most effective ways to engage foreign investors.", "author"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"dropping-particle" : "", "family" : "Newenham-Kahindi", "given" : "Aloysius", "non-dropping-particle" : "", "parse-names" : false, "suffix" : "" } ], "container-title" : "The International Journal of Human Resource Management", "id" : "ITEM-5", "issue" : "14", "issued" : { "date-parts" : [ [ "2012" ] ] }, "page" : "2825-2834", "title" : "New directions in the management of human resources in Africa", "type" : "article-journal", "volume" : "23" }, "uris" : [ "http://www.mendeley.com/documents/?uuid=2ffa1b6f-e2e1-4cfb-9ecb-2a51b6402bad" ] } ], "mendeley" : { "formattedCitation" : "(Okpara &amp; Wynn 2008; Azolukwam &amp; Perkins 2009; Wood et al. 2011; Gomes et al. 2012; Kamoche et al. 2012)", "manualFormatting" : "(e.g Okpara &amp; Wynn, 2008; Azolukwam &amp; Perkins, 2009; Wood et al., 2011; Gomes et al., 2012)", "plainTextFormattedCitation" : "(Okpara &amp; Wynn 2008; Azolukwam &amp; Perkins 2009; Wood et al. 2011; Gomes et al. 2012; Kamoche et al. 2012)", "previouslyFormattedCitation" : "(Okpara &amp; Wynn 2008; Azolukwam &amp; Perkins 2009; Wood et al. 2011; Gomes et al. 2012; Kamoche et al. 2012)" }, "properties" : { "noteIndex" : 0 }, "schema" : "https://github.com/citation-style-language/schema/raw/master/csl-citation.json" }</w:instrText>
      </w:r>
      <w:r w:rsidRPr="00452E2E">
        <w:fldChar w:fldCharType="separate"/>
      </w:r>
      <w:r w:rsidRPr="00452E2E">
        <w:rPr>
          <w:noProof/>
        </w:rPr>
        <w:t xml:space="preserve">(e.g Okpara &amp; Wynn, 2008; Azolukwam &amp; Perkins, 2009; Wood </w:t>
      </w:r>
      <w:r w:rsidRPr="00452E2E">
        <w:rPr>
          <w:i/>
          <w:noProof/>
        </w:rPr>
        <w:t>et al</w:t>
      </w:r>
      <w:r w:rsidRPr="00452E2E">
        <w:rPr>
          <w:noProof/>
        </w:rPr>
        <w:t xml:space="preserve">., 2011; Gomes </w:t>
      </w:r>
      <w:r w:rsidRPr="00452E2E">
        <w:rPr>
          <w:i/>
          <w:noProof/>
        </w:rPr>
        <w:t>et al</w:t>
      </w:r>
      <w:r w:rsidRPr="00452E2E">
        <w:rPr>
          <w:noProof/>
        </w:rPr>
        <w:t>., 2012)</w:t>
      </w:r>
      <w:r w:rsidRPr="00452E2E">
        <w:fldChar w:fldCharType="end"/>
      </w:r>
      <w:r w:rsidRPr="00452E2E">
        <w:t xml:space="preserve"> </w:t>
      </w:r>
      <w:r w:rsidRPr="00452E2E">
        <w:rPr>
          <w:szCs w:val="24"/>
        </w:rPr>
        <w:t>where</w:t>
      </w:r>
      <w:r w:rsidR="00CC4C7F" w:rsidRPr="00452E2E">
        <w:rPr>
          <w:szCs w:val="24"/>
        </w:rPr>
        <w:t>, in most cases,</w:t>
      </w:r>
      <w:r w:rsidRPr="00452E2E">
        <w:rPr>
          <w:szCs w:val="24"/>
        </w:rPr>
        <w:t xml:space="preserve"> the bulk of the workforce in the </w:t>
      </w:r>
      <w:r w:rsidRPr="00452E2E">
        <w:rPr>
          <w:szCs w:val="24"/>
        </w:rPr>
        <w:lastRenderedPageBreak/>
        <w:t xml:space="preserve">formal economy belongs to the public sector </w:t>
      </w:r>
      <w:r w:rsidRPr="00452E2E">
        <w:fldChar w:fldCharType="begin" w:fldLock="1"/>
      </w:r>
      <w:r w:rsidRPr="00452E2E">
        <w:instrText>ADDIN CSL_CITATION { "citationItems" : [ { "id" : "ITEM-1", "itemData" : { "author" : [ { "dropping-particle" : "", "family" : "Aryee", "given" : "Samuel", "non-dropping-particle" : "", "parse-names" : false, "suffix" : "" } ], "container-title" : "Managing human resources in Africa", "editor"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"ITEM-1", "issued" : { "date-parts" : [ [ "2004" ] ] }, "page" : "121-134", "publisher" : "Routledge", "publisher-place" : "London", "title" : "HRM in Ghana", "type" : "chapter" }, "uris" : [ "http://www.mendeley.com/documents/?uuid=33c2f00a-0655-400e-9adc-892f7cfa3679" ] }, { "id" : "ITEM-2", "itemData" : { "author" : [ { "dropping-particle" : "", "family" : "Stampini", "given" : "Marco", "non-dropping-particle" : "", "parse-names" : false, "suffix" : "" }, { "dropping-particle" : "", "family" : "Leung", "given" : "R", "non-dropping-particle" : "", "parse-names" : false, "suffix" : "" }, { "dropping-particle" : "", "family" : "Diarra", "given" : "Setou M", "non-dropping-particle" : "", "parse-names" : false, "suffix" : "" }, { "dropping-particle" : "", "family" : "Pla", "given" : "L", "non-dropping-particle" : "", "parse-names" : false, "suffix" : "" } ], "genre" : "Discussion Paper No. 6267", "id" : "ITEM-2", "issued" : { "date-parts" : [ [ "2011" ] ] }, "page" : "1-27", "publisher" : "Institute for the Study of Labor", "publisher-place" : "Bonn", "title" : "How large is the private sector in Africa? Evidence from national accounts and labor markets", "type" : "article" }, "uris" : [ "http://www.mendeley.com/documents/?uuid=aee7fb98-7637-4363-8e63-b714d3ca8b11" ] }, { "id" : "ITEM-3", "itemData" : { "author" : [ { "dropping-particle" : "", "family" : "Adewumi", "given" : "Funmi", "non-dropping-particle" : "", "parse-names" : false, "suffix" : "" }, { "dropping-particle" : "", "family" : "Idowu", "given" : "W", "non-dropping-particle" : "", "parse-names" : false, "suffix" : "" } ], "id" : "ITEM-3", "issued" : { "date-parts" : [ [ "2012" ] ] }, "publisher" : "CODESRIA", "publisher-place" : "Dakar", "title" : "Public sector reforms in Africa: Nigerian perspectives", "type" : "book" }, "uris" : [ "http://www.mendeley.com/documents/?uuid=c7ec6f2e-5174-4074-981d-1562327cb860" ] } ], "mendeley" : { "formattedCitation" : "(Aryee 2004; Stampini et al. 2011; Funmi Adewumi &amp; Idowu 2012)", "manualFormatting" : "(Aryee, 2004; Stampini et al., 2011; Adewumi &amp; Idowu, 2012)", "plainTextFormattedCitation" : "(Aryee 2004; Stampini et al. 2011; Funmi Adewumi &amp; Idowu 2012)", "previouslyFormattedCitation" : "(Aryee 2004; Stampini et al. 2011; Funmi Adewumi &amp; Idowu 2012)" }, "properties" : { "noteIndex" : 0 }, "schema" : "https://github.com/citation-style-language/schema/raw/master/csl-citation.json" }</w:instrText>
      </w:r>
      <w:r w:rsidRPr="00452E2E">
        <w:fldChar w:fldCharType="separate"/>
      </w:r>
      <w:r w:rsidRPr="00452E2E">
        <w:rPr>
          <w:noProof/>
        </w:rPr>
        <w:t xml:space="preserve">(Aryee, 2004; Stampini </w:t>
      </w:r>
      <w:r w:rsidRPr="00452E2E">
        <w:rPr>
          <w:i/>
          <w:noProof/>
        </w:rPr>
        <w:t>et al</w:t>
      </w:r>
      <w:r w:rsidRPr="00452E2E">
        <w:rPr>
          <w:noProof/>
        </w:rPr>
        <w:t>., 2011; Adewumi &amp; Idowu, 2012)</w:t>
      </w:r>
      <w:r w:rsidRPr="00452E2E">
        <w:fldChar w:fldCharType="end"/>
      </w:r>
      <w:r w:rsidRPr="00452E2E">
        <w:t>.</w:t>
      </w:r>
      <w:r w:rsidRPr="00452E2E">
        <w:rPr>
          <w:szCs w:val="24"/>
        </w:rPr>
        <w:t xml:space="preserve"> Similarly, most studies examining the effects of employee attitudes have also concentrated on private sector firms with a few exception of studies that have focused on the public sector (see chapter 3). Meanwhile, as HRM is considered important to private firms, so is it important to public sector organizations in delivering quality services to citizens by harnessing the skills, abilities, motivations and commitment of employees </w:t>
      </w:r>
      <w:r w:rsidRPr="00452E2E">
        <w:rPr>
          <w:szCs w:val="24"/>
        </w:rPr>
        <w:fldChar w:fldCharType="begin" w:fldLock="1"/>
      </w:r>
      <w:r w:rsidRPr="00452E2E">
        <w:rPr>
          <w:szCs w:val="24"/>
        </w:rPr>
        <w:instrText>ADDIN CSL_CITATION { "citationItems" : [ { "id" : "ITEM-1", "itemData" : { "author" : [ { "dropping-particle" : "", "family" : "Burke", "given" : "Ronald J", "non-dropping-particle" : "", "parse-names" : false, "suffix" : "" }, { "dropping-particle" : "", "family" : "Allisey", "given" : "A.F", "non-dropping-particle" : "", "parse-names" : false, "suffix" : "" }, { "dropping-particle" : "", "family" : "Noblet", "given" : "A.J", "non-dropping-particle" : "", "parse-names" : false, "suffix" : "" } ], "container-title" : "Human resource management in the public sector", "editor" : [ { "dropping-particle" : "", "family" : "Burke", "given" : "R.J", "non-dropping-particle" : "", "parse-names" : false, "suffix" : "" }, { "dropping-particle" : "", "family" : "Noblet", "given" : "A.J", "non-dropping-particle" : "", "parse-names" : false, "suffix" : "" }, { "dropping-particle" : "", "family" : "Cooper", "given" : "C L", "non-dropping-particle" : "", "parse-names" : false, "suffix" : "" } ], "id" : "ITEM-1", "issued" : { "date-parts" : [ [ "2013" ] ] }, "page" : "1-13", "publisher" : "Edward Elgar", "publisher-place" : "Cheltenham, UK", "title" : "The importance of human resource management in the public sector, future challenges and the relevance of the current collection", "type" : "chapter" }, "uris" : [ "http://www.mendeley.com/documents/?uuid=f3292962-3011-4954-b778-d8d1122d0b4a" ] } ], "mendeley" : { "formattedCitation" : "(Burke et al. 2013)", "manualFormatting" : "(Burke et al., 2013)", "plainTextFormattedCitation" : "(Burke et al. 2013)", "previouslyFormattedCitation" : "(Burke et al. 2013)" }, "properties" : { "noteIndex" : 0 }, "schema" : "https://github.com/citation-style-language/schema/raw/master/csl-citation.json" }</w:instrText>
      </w:r>
      <w:r w:rsidRPr="00452E2E">
        <w:rPr>
          <w:szCs w:val="24"/>
        </w:rPr>
        <w:fldChar w:fldCharType="separate"/>
      </w:r>
      <w:r w:rsidRPr="00452E2E">
        <w:rPr>
          <w:noProof/>
          <w:szCs w:val="24"/>
        </w:rPr>
        <w:t xml:space="preserve">(Burke </w:t>
      </w:r>
      <w:r w:rsidRPr="00452E2E">
        <w:rPr>
          <w:i/>
          <w:noProof/>
          <w:szCs w:val="24"/>
        </w:rPr>
        <w:t>et al</w:t>
      </w:r>
      <w:r w:rsidRPr="00452E2E">
        <w:rPr>
          <w:noProof/>
          <w:szCs w:val="24"/>
        </w:rPr>
        <w:t>., 2013)</w:t>
      </w:r>
      <w:r w:rsidRPr="00452E2E">
        <w:rPr>
          <w:szCs w:val="24"/>
        </w:rPr>
        <w:fldChar w:fldCharType="end"/>
      </w:r>
      <w:r w:rsidRPr="00452E2E">
        <w:rPr>
          <w:szCs w:val="24"/>
        </w:rPr>
        <w:t xml:space="preserve">. Moreover, as public sector organizations in both developed </w:t>
      </w:r>
      <w:r w:rsidRPr="00452E2E">
        <w:rPr>
          <w:szCs w:val="24"/>
        </w:rPr>
        <w:fldChar w:fldCharType="begin" w:fldLock="1"/>
      </w:r>
      <w:r w:rsidRPr="00452E2E">
        <w:rPr>
          <w:szCs w:val="24"/>
        </w:rPr>
        <w:instrText>ADDIN CSL_CITATION { "citationItems" : [ { "id" : "ITEM-1", "itemData" : { "abstract" : "A wide variety of initiatives characterized under the umbrella term of new public management have been introduced over the past two decades to improve efficiency and cost-effectiveness in the public sector. The implications of these initiatives for public sector employment relationships have been the subject of on-going debate. This article contributes to this debate through examining how employees within local authorities are managed in a time of personal crisis with a particular focus on long-term sickness absence in the context of increased management drives for efficiency under the NPM agenda. The findings reveal that for managers in two local authorities that form the focus of this study there is a tension in struggling to achieve a workable balance between the needs of employees and wider operational requirements, resulting in role ambiguity for line managers and detrimental effects for vulnerable public service workers.", "author" : [ { "dropping-particle" : "", "family" : "Cunningham", "given" : "I.", "non-dropping-particle" : "", "parse-names" : false, "suffix" : "" }, { "dropping-particle" : "", "family" : "James", "given" : "P.", "non-dropping-particle" : "", "parse-names" : false, "suffix" : "" }, { "dropping-particle" : "", "family" : "Dibben", "given" : "P.", "non-dropping-particle" : "", "parse-names" : false, "suffix" : "" } ], "container-title" : "Public Management Review", "id" : "ITEM-1", "issue" : "2", "issued" : { "date-parts" : [ [ "2006" ] ] }, "page" : "207-225", "title" : "Tensions in local government employment relationships: The case of long-term sickness absence", "type" : "article-journal", "volume" : "8" }, "uris" : [ "http://www.mendeley.com/documents/?uuid=8531f75b-46f6-4024-8093-82baa323f4e4" ] } ], "mendeley" : { "formattedCitation" : "(Cunningham et al. 2006)", "manualFormatting" : "(Cunningham et al., 2006)", "plainTextFormattedCitation" : "(Cunningham et al. 2006)", "previouslyFormattedCitation" : "(Cunningham et al. 2006)" }, "properties" : { "noteIndex" : 0 }, "schema" : "https://github.com/citation-style-language/schema/raw/master/csl-citation.json" }</w:instrText>
      </w:r>
      <w:r w:rsidRPr="00452E2E">
        <w:rPr>
          <w:szCs w:val="24"/>
        </w:rPr>
        <w:fldChar w:fldCharType="separate"/>
      </w:r>
      <w:r w:rsidRPr="00452E2E">
        <w:rPr>
          <w:noProof/>
          <w:szCs w:val="24"/>
        </w:rPr>
        <w:t xml:space="preserve">(Cunningham </w:t>
      </w:r>
      <w:r w:rsidRPr="00452E2E">
        <w:rPr>
          <w:i/>
          <w:noProof/>
          <w:szCs w:val="24"/>
        </w:rPr>
        <w:t>et al</w:t>
      </w:r>
      <w:r w:rsidRPr="00452E2E">
        <w:rPr>
          <w:noProof/>
          <w:szCs w:val="24"/>
        </w:rPr>
        <w:t>., 2006)</w:t>
      </w:r>
      <w:r w:rsidRPr="00452E2E">
        <w:rPr>
          <w:szCs w:val="24"/>
        </w:rPr>
        <w:fldChar w:fldCharType="end"/>
      </w:r>
      <w:r w:rsidRPr="00452E2E">
        <w:rPr>
          <w:szCs w:val="24"/>
        </w:rPr>
        <w:t xml:space="preserve"> and developing countries </w:t>
      </w:r>
      <w:r w:rsidRPr="00452E2E">
        <w:rPr>
          <w:szCs w:val="24"/>
        </w:rPr>
        <w:fldChar w:fldCharType="begin" w:fldLock="1"/>
      </w:r>
      <w:r w:rsidRPr="00452E2E">
        <w:rPr>
          <w:szCs w:val="24"/>
        </w:rPr>
        <w:instrText>ADDIN CSL_CITATION { "citationItems" : [ { "id" : "ITEM-1", "itemData" : { "author" : [ { "dropping-particle" : "", "family" : "Rees", "given" : "Christopher", "non-dropping-particle" : "", "parse-names" : false, "suffix" : "" } ], "container-title" : "Human resource management in the public sector", "editor" : [ { "dropping-particle" : "", "family" : "Burke", "given" : "R.J", "non-dropping-particle" : "", "parse-names" : false, "suffix" : "" }, { "dropping-particle" : "", "family" : "Noblet", "given" : "A.J", "non-dropping-particle" : "", "parse-names" : false, "suffix" : "" }, { "dropping-particle" : "", "family" : "Cooper", "given" : "C L", "non-dropping-particle" : "", "parse-names" : false, "suffix" : "" } ], "id" : "ITEM-1", "issued" : { "date-parts" : [ [ "2013" ] ] }, "page" : "37-60", "publisher" : "Edward Elgar", "publisher-place" : "Cheltenham, UK", "title" : "Human resource management in public sector in developing countries", "type" : "chapter" }, "uris" : [ "http://www.mendeley.com/documents/?uuid=a1167cda-9b83-4587-ad0b-8080917cd2dd" ] } ], "mendeley" : { "formattedCitation" : "(Rees 2013)", "manualFormatting" : "(Rees, 2013)", "plainTextFormattedCitation" : "(Rees 2013)", "previouslyFormattedCitation" : "(Rees 2013)" }, "properties" : { "noteIndex" : 0 }, "schema" : "https://github.com/citation-style-language/schema/raw/master/csl-citation.json" }</w:instrText>
      </w:r>
      <w:r w:rsidRPr="00452E2E">
        <w:rPr>
          <w:szCs w:val="24"/>
        </w:rPr>
        <w:fldChar w:fldCharType="separate"/>
      </w:r>
      <w:r w:rsidRPr="00452E2E">
        <w:rPr>
          <w:noProof/>
          <w:szCs w:val="24"/>
        </w:rPr>
        <w:t>(Rees, 2013)</w:t>
      </w:r>
      <w:r w:rsidRPr="00452E2E">
        <w:rPr>
          <w:szCs w:val="24"/>
        </w:rPr>
        <w:fldChar w:fldCharType="end"/>
      </w:r>
      <w:r w:rsidRPr="00452E2E">
        <w:rPr>
          <w:szCs w:val="24"/>
        </w:rPr>
        <w:t xml:space="preserve"> are under pressure to adopt private sector-driven practices, it is important, especially in a</w:t>
      </w:r>
      <w:r w:rsidR="00E37FB6" w:rsidRPr="00452E2E">
        <w:rPr>
          <w:szCs w:val="24"/>
        </w:rPr>
        <w:t>n</w:t>
      </w:r>
      <w:r w:rsidRPr="00452E2E">
        <w:rPr>
          <w:szCs w:val="24"/>
        </w:rPr>
        <w:t xml:space="preserve"> </w:t>
      </w:r>
      <w:r w:rsidR="00E37FB6" w:rsidRPr="00452E2E">
        <w:rPr>
          <w:szCs w:val="24"/>
        </w:rPr>
        <w:t>emerging</w:t>
      </w:r>
      <w:r w:rsidRPr="00452E2E">
        <w:rPr>
          <w:szCs w:val="24"/>
        </w:rPr>
        <w:t xml:space="preserve"> country context, to compare the nature of HRM in </w:t>
      </w:r>
      <w:r w:rsidR="00886483" w:rsidRPr="00452E2E">
        <w:rPr>
          <w:szCs w:val="24"/>
        </w:rPr>
        <w:t xml:space="preserve">the </w:t>
      </w:r>
      <w:r w:rsidRPr="00452E2E">
        <w:rPr>
          <w:szCs w:val="24"/>
        </w:rPr>
        <w:t xml:space="preserve">public and private sector and how HR practices contribute </w:t>
      </w:r>
      <w:r w:rsidR="00886483" w:rsidRPr="00452E2E">
        <w:rPr>
          <w:szCs w:val="24"/>
        </w:rPr>
        <w:t>toward</w:t>
      </w:r>
      <w:r w:rsidRPr="00452E2E">
        <w:rPr>
          <w:szCs w:val="24"/>
        </w:rPr>
        <w:t xml:space="preserve"> engendering positive employee attitudes in both sectors. </w:t>
      </w:r>
    </w:p>
    <w:p w:rsidR="00D03A8E" w:rsidRPr="00452E2E" w:rsidRDefault="00BB7B27" w:rsidP="00170224">
      <w:pPr>
        <w:pStyle w:val="Heading3"/>
      </w:pPr>
      <w:bookmarkStart w:id="27" w:name="_Toc465271163"/>
      <w:bookmarkStart w:id="28" w:name="_Toc473808102"/>
      <w:r w:rsidRPr="00452E2E">
        <w:t>1.7</w:t>
      </w:r>
      <w:r w:rsidR="00D03A8E" w:rsidRPr="00452E2E">
        <w:t xml:space="preserve"> The Research Model</w:t>
      </w:r>
      <w:bookmarkEnd w:id="27"/>
      <w:bookmarkEnd w:id="28"/>
    </w:p>
    <w:p w:rsidR="00D62FD4" w:rsidRPr="00452E2E" w:rsidRDefault="00D03A8E" w:rsidP="00D03A8E">
      <w:pPr>
        <w:spacing w:line="360" w:lineRule="auto"/>
        <w:jc w:val="both"/>
        <w:rPr>
          <w:szCs w:val="24"/>
        </w:rPr>
      </w:pPr>
      <w:r w:rsidRPr="00452E2E">
        <w:t xml:space="preserve">The research model which is presented in figure 1.1 indicates that HRM is a function of the institutional environment in which organizations operate. It highlights that the techniques of HRM used will depend on the institutional environment of public and private sector organizations which in turn will influence the perceptions employees have about the HR practices they encounter. In turn, the perceptions employees have about HR practices will contribute in developing attitudes in </w:t>
      </w:r>
      <w:r w:rsidR="009D2768" w:rsidRPr="00452E2E">
        <w:t xml:space="preserve">the </w:t>
      </w:r>
      <w:r w:rsidRPr="00452E2E">
        <w:t xml:space="preserve">form of job satisfaction and organizational commitment. However, as the model suggests, the </w:t>
      </w:r>
      <w:r w:rsidR="00822BD4" w:rsidRPr="00452E2E">
        <w:t>effects of</w:t>
      </w:r>
      <w:r w:rsidRPr="00452E2E">
        <w:t xml:space="preserve"> HR practices </w:t>
      </w:r>
      <w:r w:rsidR="00822BD4" w:rsidRPr="00452E2E">
        <w:t>on</w:t>
      </w:r>
      <w:r w:rsidRPr="00452E2E">
        <w:t xml:space="preserve"> employee attitudes may not </w:t>
      </w:r>
      <w:r w:rsidR="00E508BD" w:rsidRPr="00452E2E">
        <w:t xml:space="preserve">be </w:t>
      </w:r>
      <w:r w:rsidRPr="00452E2E">
        <w:t xml:space="preserve">direct. The model indicates that this relationship may be mediated by procedural justice as well as HR attributions. </w:t>
      </w:r>
      <w:r w:rsidRPr="00452E2E">
        <w:rPr>
          <w:szCs w:val="24"/>
        </w:rPr>
        <w:t xml:space="preserve">Whilst procedural justice entails employees’ perception of fairness in the implementation of HR practices </w:t>
      </w:r>
      <w:r w:rsidRPr="00452E2E">
        <w:rPr>
          <w:szCs w:val="24"/>
        </w:rPr>
        <w:fldChar w:fldCharType="begin" w:fldLock="1"/>
      </w:r>
      <w:r w:rsidRPr="00452E2E">
        <w:rPr>
          <w:szCs w:val="24"/>
        </w:rPr>
        <w:instrText>ADDIN CSL_CITATION { "citationItems" : [ { "id" : "ITEM-1", "itemData" : { "author" : [ { "dropping-particle" : "", "family" : "Par\u00e9", "given" : "Guy", "non-dropping-particle" : "", "parse-names" : false, "suffix" : "" }, { "dropping-particle" : "", "family" : "Tremblay", "given" : "Michel", "non-dropping-particle" : "", "parse-names" : false, "suffix" : "" } ], "container-title" : "Group &amp; Organization Management", "id" : "ITEM-1", "issue" : "3", "issued" : { "date-parts" : [ [ "2007" ] ] }, "page" : "326-357", "title" : "The influence of high-involvement human resource practices, procedural justice, organizational commitment, and citizenship behaviors on information technology professionals \u2019 turnover intentions", "type" : "article-journal", "volume" : "32" }, "uris" : [ "http://www.mendeley.com/documents/?uuid=dd7a2e92-5026-450c-83bb-2292744a7d0b" ] } ], "mendeley" : { "formattedCitation" : "(Par\u00e9 &amp; Tremblay 2007)", "manualFormatting" : "(Par\u00e9 &amp; Tremblay, 2007)", "plainTextFormattedCitation" : "(Par\u00e9 &amp; Tremblay 2007)", "previouslyFormattedCitation" : "(Par\u00e9 &amp; Tremblay 2007)" }, "properties" : { "noteIndex" : 0 }, "schema" : "https://github.com/citation-style-language/schema/raw/master/csl-citation.json" }</w:instrText>
      </w:r>
      <w:r w:rsidRPr="00452E2E">
        <w:rPr>
          <w:szCs w:val="24"/>
        </w:rPr>
        <w:fldChar w:fldCharType="separate"/>
      </w:r>
      <w:r w:rsidRPr="00452E2E">
        <w:rPr>
          <w:noProof/>
          <w:szCs w:val="24"/>
        </w:rPr>
        <w:t>(Paré &amp; Tremblay, 2007)</w:t>
      </w:r>
      <w:r w:rsidRPr="00452E2E">
        <w:rPr>
          <w:szCs w:val="24"/>
        </w:rPr>
        <w:fldChar w:fldCharType="end"/>
      </w:r>
      <w:r w:rsidRPr="00452E2E">
        <w:rPr>
          <w:szCs w:val="24"/>
        </w:rPr>
        <w:t xml:space="preserve">, HR attributions refer to employees’ perception of the motivations for why organizations adopt HR practices </w:t>
      </w:r>
      <w:r w:rsidRPr="00452E2E">
        <w:rPr>
          <w:szCs w:val="24"/>
        </w:rPr>
        <w:fldChar w:fldCharType="begin" w:fldLock="1"/>
      </w:r>
      <w:r w:rsidRPr="00452E2E">
        <w:rPr>
          <w:szCs w:val="24"/>
        </w:rPr>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Pr="00452E2E">
        <w:rPr>
          <w:szCs w:val="24"/>
        </w:rPr>
        <w:fldChar w:fldCharType="separate"/>
      </w:r>
      <w:r w:rsidRPr="00452E2E">
        <w:rPr>
          <w:noProof/>
          <w:szCs w:val="24"/>
        </w:rPr>
        <w:t xml:space="preserve">(Nishii </w:t>
      </w:r>
      <w:r w:rsidRPr="00452E2E">
        <w:rPr>
          <w:i/>
          <w:noProof/>
          <w:szCs w:val="24"/>
        </w:rPr>
        <w:t>et al</w:t>
      </w:r>
      <w:r w:rsidRPr="00452E2E">
        <w:rPr>
          <w:noProof/>
          <w:szCs w:val="24"/>
        </w:rPr>
        <w:t>., 2008)</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It has been suggested that procedural justice </w:t>
      </w:r>
      <w:r w:rsidRPr="00452E2E">
        <w:rPr>
          <w:szCs w:val="24"/>
        </w:rPr>
        <w:fldChar w:fldCharType="begin" w:fldLock="1"/>
      </w:r>
      <w:r w:rsidRPr="00452E2E">
        <w:rPr>
          <w:szCs w:val="24"/>
        </w:rPr>
        <w:instrText>ADDIN CSL_CITATION { "citationItems" : [ { "id" : "ITEM-1",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"ITEM-1", "issued" : { "date-parts" : [ [ "2007" ] ] }, "page" : "166-184", "publisher" : "Oxford University Press", "publisher-place" : "New York", "title" : "HRM and societal embeddedness", "type" : "chapter" }, "uris" : [ "http://www.mendeley.com/documents/?uuid=bc50bffa-b076-4ece-b963-52ac09293458" ] } ], "mendeley" : { "formattedCitation" : "(Paauwe &amp; Boselie 2007)", "manualFormatting" : "(Paauwe &amp; Boselie, 2007)", "plainTextFormattedCitation" : "(Paauwe &amp; Boselie 2007)", "previouslyFormattedCitation" : "(Paauwe &amp; Boselie 2007)" }, "properties" : { "noteIndex" : 0 }, "schema" : "https://github.com/citation-style-language/schema/raw/master/csl-citation.json" }</w:instrText>
      </w:r>
      <w:r w:rsidRPr="00452E2E">
        <w:rPr>
          <w:szCs w:val="24"/>
        </w:rPr>
        <w:fldChar w:fldCharType="separate"/>
      </w:r>
      <w:r w:rsidRPr="00452E2E">
        <w:rPr>
          <w:noProof/>
          <w:szCs w:val="24"/>
        </w:rPr>
        <w:t>(Paauwe &amp; Boselie, 2007)</w:t>
      </w:r>
      <w:r w:rsidRPr="00452E2E">
        <w:rPr>
          <w:szCs w:val="24"/>
        </w:rPr>
        <w:fldChar w:fldCharType="end"/>
      </w:r>
      <w:r w:rsidRPr="00452E2E">
        <w:rPr>
          <w:szCs w:val="24"/>
        </w:rPr>
        <w:t xml:space="preserve"> and HR attributions </w:t>
      </w:r>
      <w:r w:rsidRPr="00452E2E">
        <w:rPr>
          <w:szCs w:val="24"/>
        </w:rPr>
        <w:fldChar w:fldCharType="begin" w:fldLock="1"/>
      </w:r>
      <w:r w:rsidRPr="00452E2E">
        <w:rPr>
          <w:szCs w:val="24"/>
        </w:rPr>
        <w:instrText>ADDIN CSL_CITATION { "citationItems" : [ { "id" : "ITEM-1",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"ITEM-1",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"(Kim &amp; Wright 2011)", "manualFormatting" : "(Kim &amp; Wright, 2011)", "plainTextFormattedCitation" : "(Kim &amp; Wright 2011)", "previouslyFormattedCitation" : "(Kim &amp; Wright 2011)" }, "properties" : { "noteIndex" : 0 }, "schema" : "https://github.com/citation-style-language/schema/raw/master/csl-citation.json" }</w:instrText>
      </w:r>
      <w:r w:rsidRPr="00452E2E">
        <w:rPr>
          <w:szCs w:val="24"/>
        </w:rPr>
        <w:fldChar w:fldCharType="separate"/>
      </w:r>
      <w:r w:rsidRPr="00452E2E">
        <w:rPr>
          <w:noProof/>
          <w:szCs w:val="24"/>
        </w:rPr>
        <w:t>(Kim &amp; Wright, 2011)</w:t>
      </w:r>
      <w:r w:rsidRPr="00452E2E">
        <w:rPr>
          <w:szCs w:val="24"/>
        </w:rPr>
        <w:fldChar w:fldCharType="end"/>
      </w:r>
      <w:r w:rsidRPr="00452E2E">
        <w:rPr>
          <w:szCs w:val="24"/>
        </w:rPr>
        <w:t xml:space="preserve"> may account for differences in the effects of HR practices on work outcomes in different institutional contexts. Therefore, it is hypothesized in this </w:t>
      </w:r>
      <w:r w:rsidR="0010285E" w:rsidRPr="00452E2E">
        <w:rPr>
          <w:szCs w:val="24"/>
        </w:rPr>
        <w:t>research</w:t>
      </w:r>
      <w:r w:rsidRPr="00452E2E">
        <w:rPr>
          <w:szCs w:val="24"/>
        </w:rPr>
        <w:t xml:space="preserve"> that employee perceptions of procedural justice </w:t>
      </w:r>
      <w:r w:rsidRPr="00452E2E">
        <w:rPr>
          <w:szCs w:val="24"/>
        </w:rPr>
        <w:lastRenderedPageBreak/>
        <w:t xml:space="preserve">and HR attributions will differ in </w:t>
      </w:r>
      <w:r w:rsidR="001D6461" w:rsidRPr="00452E2E">
        <w:rPr>
          <w:szCs w:val="24"/>
        </w:rPr>
        <w:t xml:space="preserve">the </w:t>
      </w:r>
      <w:r w:rsidRPr="00452E2E">
        <w:rPr>
          <w:szCs w:val="24"/>
        </w:rPr>
        <w:t xml:space="preserve">public and private sector and consequently, the mediating effect of procedural justice as well as HR attributions on the relationship between HR practices and employee attitudes will differ in </w:t>
      </w:r>
      <w:r w:rsidR="001D6461" w:rsidRPr="00452E2E">
        <w:rPr>
          <w:szCs w:val="24"/>
        </w:rPr>
        <w:t xml:space="preserve">the </w:t>
      </w:r>
      <w:r w:rsidRPr="00452E2E">
        <w:rPr>
          <w:szCs w:val="24"/>
        </w:rPr>
        <w:t xml:space="preserve">public and private sector (see chapter 6). </w:t>
      </w:r>
    </w:p>
    <w:p w:rsidR="00D03A8E" w:rsidRPr="00452E2E" w:rsidRDefault="00D03A8E" w:rsidP="00D03A8E">
      <w:pPr>
        <w:keepNext/>
        <w:spacing w:line="360" w:lineRule="auto"/>
        <w:jc w:val="both"/>
      </w:pPr>
      <w:r w:rsidRPr="00452E2E">
        <w:rPr>
          <w:rFonts w:eastAsia="SimSun" w:cs="Arial"/>
          <w:noProof/>
          <w:sz w:val="22"/>
          <w:lang w:eastAsia="en-GB"/>
        </w:rPr>
        <mc:AlternateContent>
          <mc:Choice Requires="wpg">
            <w:drawing>
              <wp:inline distT="0" distB="0" distL="0" distR="0" wp14:anchorId="4D3D3E75" wp14:editId="4191E37A">
                <wp:extent cx="5895833" cy="4039738"/>
                <wp:effectExtent l="0" t="0" r="10160" b="18415"/>
                <wp:docPr id="149" name="Group 149"/>
                <wp:cNvGraphicFramePr/>
                <a:graphic xmlns:a="http://schemas.openxmlformats.org/drawingml/2006/main">
                  <a:graphicData uri="http://schemas.microsoft.com/office/word/2010/wordprocessingGroup">
                    <wpg:wgp>
                      <wpg:cNvGrpSpPr/>
                      <wpg:grpSpPr>
                        <a:xfrm>
                          <a:off x="0" y="0"/>
                          <a:ext cx="5895833" cy="4039738"/>
                          <a:chOff x="0" y="0"/>
                          <a:chExt cx="6098540" cy="4191000"/>
                        </a:xfrm>
                      </wpg:grpSpPr>
                      <wps:wsp>
                        <wps:cNvPr id="150" name="Rounded Rectangle 150"/>
                        <wps:cNvSpPr/>
                        <wps:spPr>
                          <a:xfrm>
                            <a:off x="0" y="0"/>
                            <a:ext cx="6098540" cy="4191000"/>
                          </a:xfrm>
                          <a:prstGeom prst="roundRect">
                            <a:avLst/>
                          </a:prstGeom>
                          <a:solidFill>
                            <a:sysClr val="window" lastClr="FFFFFF"/>
                          </a:solidFill>
                          <a:ln w="19050" cap="flat" cmpd="sng" algn="ctr">
                            <a:solidFill>
                              <a:sysClr val="windowText" lastClr="000000"/>
                            </a:solidFill>
                            <a:prstDash val="solid"/>
                          </a:ln>
                          <a:effectLst/>
                        </wps:spPr>
                        <wps:txbx>
                          <w:txbxContent>
                            <w:p w:rsidR="00FD1596" w:rsidRPr="00F369D7" w:rsidRDefault="00FD1596" w:rsidP="00D03A8E">
                              <w:pPr>
                                <w:jc w:val="center"/>
                                <w:rPr>
                                  <w:sz w:val="48"/>
                                  <w:szCs w:val="48"/>
                                </w:rPr>
                              </w:pPr>
                              <w:r w:rsidRPr="00F369D7">
                                <w:rPr>
                                  <w:sz w:val="48"/>
                                  <w:szCs w:val="48"/>
                                </w:rPr>
                                <w:t>Public vs Private Sector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151" name="Group 151"/>
                        <wpg:cNvGrpSpPr/>
                        <wpg:grpSpPr>
                          <a:xfrm>
                            <a:off x="118533" y="110067"/>
                            <a:ext cx="5844421" cy="3248660"/>
                            <a:chOff x="-2" y="7887"/>
                            <a:chExt cx="7555341" cy="2224801"/>
                          </a:xfrm>
                        </wpg:grpSpPr>
                        <wpg:grpSp>
                          <wpg:cNvPr id="152" name="Group 152"/>
                          <wpg:cNvGrpSpPr/>
                          <wpg:grpSpPr>
                            <a:xfrm>
                              <a:off x="228600" y="284018"/>
                              <a:ext cx="6936308" cy="1948670"/>
                              <a:chOff x="0" y="0"/>
                              <a:chExt cx="6936308" cy="1948670"/>
                            </a:xfrm>
                          </wpg:grpSpPr>
                          <wps:wsp>
                            <wps:cNvPr id="153" name="Left Bracket 153"/>
                            <wps:cNvSpPr/>
                            <wps:spPr>
                              <a:xfrm rot="16200000">
                                <a:off x="3366655" y="-1620982"/>
                                <a:ext cx="288925" cy="6850380"/>
                              </a:xfrm>
                              <a:prstGeom prst="leftBracket">
                                <a:avLst/>
                              </a:prstGeom>
                              <a:solidFill>
                                <a:sysClr val="window" lastClr="FFFFFF"/>
                              </a:solidFill>
                              <a:ln w="25400" cap="flat" cmpd="sng" algn="ctr">
                                <a:solidFill>
                                  <a:sysClr val="windowText" lastClr="000000"/>
                                </a:solidFill>
                                <a:prstDash val="solid"/>
                              </a:ln>
                              <a:effectLst/>
                            </wps:spPr>
                            <wps:bodyPr/>
                          </wps:wsp>
                          <wpg:grpSp>
                            <wpg:cNvPr id="154" name="Group 154"/>
                            <wpg:cNvGrpSpPr/>
                            <wpg:grpSpPr>
                              <a:xfrm>
                                <a:off x="0" y="0"/>
                                <a:ext cx="6836380" cy="802901"/>
                                <a:chOff x="0" y="0"/>
                                <a:chExt cx="6836380" cy="802901"/>
                              </a:xfrm>
                            </wpg:grpSpPr>
                            <wps:wsp>
                              <wps:cNvPr id="155" name="Left Brace 155"/>
                              <wps:cNvSpPr/>
                              <wps:spPr>
                                <a:xfrm rot="5400000">
                                  <a:off x="637222" y="-637222"/>
                                  <a:ext cx="794385" cy="2068830"/>
                                </a:xfrm>
                                <a:prstGeom prst="leftBr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Left Brace 156"/>
                              <wps:cNvSpPr/>
                              <wps:spPr>
                                <a:xfrm rot="5400000">
                                  <a:off x="4488785" y="-1544694"/>
                                  <a:ext cx="794385" cy="3900805"/>
                                </a:xfrm>
                                <a:prstGeom prst="leftBrac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7" name="Group 157"/>
                          <wpg:cNvGrpSpPr/>
                          <wpg:grpSpPr>
                            <a:xfrm>
                              <a:off x="-2" y="7887"/>
                              <a:ext cx="7555341" cy="2164397"/>
                              <a:chOff x="61171" y="212955"/>
                              <a:chExt cx="7413557" cy="1971774"/>
                            </a:xfrm>
                          </wpg:grpSpPr>
                          <wpg:grpSp>
                            <wpg:cNvPr id="158" name="Group 158"/>
                            <wpg:cNvGrpSpPr/>
                            <wpg:grpSpPr>
                              <a:xfrm>
                                <a:off x="61171" y="349534"/>
                                <a:ext cx="7413557" cy="1835195"/>
                                <a:chOff x="-83503" y="-577067"/>
                                <a:chExt cx="8826624" cy="1837060"/>
                              </a:xfrm>
                            </wpg:grpSpPr>
                            <wps:wsp>
                              <wps:cNvPr id="159" name="Straight Arrow Connector 159"/>
                              <wps:cNvCnPr/>
                              <wps:spPr>
                                <a:xfrm flipV="1">
                                  <a:off x="6164200" y="636906"/>
                                  <a:ext cx="630300" cy="4444"/>
                                </a:xfrm>
                                <a:prstGeom prst="straightConnector1">
                                  <a:avLst/>
                                </a:prstGeom>
                                <a:solidFill>
                                  <a:sysClr val="window" lastClr="FFFFFF"/>
                                </a:solidFill>
                                <a:ln w="25400" cap="flat" cmpd="sng" algn="ctr">
                                  <a:solidFill>
                                    <a:sysClr val="windowText" lastClr="000000"/>
                                  </a:solidFill>
                                  <a:prstDash val="solid"/>
                                  <a:tailEnd type="arrow"/>
                                </a:ln>
                                <a:effectLst/>
                              </wps:spPr>
                              <wps:bodyPr/>
                            </wps:wsp>
                            <wps:wsp>
                              <wps:cNvPr id="160" name="Straight Arrow Connector 160"/>
                              <wps:cNvCnPr/>
                              <wps:spPr>
                                <a:xfrm>
                                  <a:off x="3951565" y="582243"/>
                                  <a:ext cx="657038" cy="4445"/>
                                </a:xfrm>
                                <a:prstGeom prst="straightConnector1">
                                  <a:avLst/>
                                </a:prstGeom>
                                <a:solidFill>
                                  <a:sysClr val="window" lastClr="FFFFFF"/>
                                </a:solidFill>
                                <a:ln w="25400" cap="flat" cmpd="sng" algn="ctr">
                                  <a:solidFill>
                                    <a:sysClr val="windowText" lastClr="000000"/>
                                  </a:solidFill>
                                  <a:prstDash val="solid"/>
                                  <a:tailEnd type="arrow"/>
                                </a:ln>
                                <a:effectLst/>
                              </wps:spPr>
                              <wps:bodyPr/>
                            </wps:wsp>
                            <wps:wsp>
                              <wps:cNvPr id="161" name="Straight Arrow Connector 161"/>
                              <wps:cNvCnPr/>
                              <wps:spPr>
                                <a:xfrm>
                                  <a:off x="2436038" y="589994"/>
                                  <a:ext cx="584973" cy="0"/>
                                </a:xfrm>
                                <a:prstGeom prst="straightConnector1">
                                  <a:avLst/>
                                </a:prstGeom>
                                <a:solidFill>
                                  <a:sysClr val="window" lastClr="FFFFFF"/>
                                </a:solidFill>
                                <a:ln w="25400" cap="flat" cmpd="sng" algn="ctr">
                                  <a:solidFill>
                                    <a:sysClr val="windowText" lastClr="000000"/>
                                  </a:solidFill>
                                  <a:prstDash val="solid"/>
                                  <a:tailEnd type="arrow"/>
                                </a:ln>
                                <a:effectLst/>
                              </wps:spPr>
                              <wps:bodyPr/>
                            </wps:wsp>
                            <wps:wsp>
                              <wps:cNvPr id="162" name="Straight Arrow Connector 162"/>
                              <wps:cNvCnPr/>
                              <wps:spPr>
                                <a:xfrm>
                                  <a:off x="784533" y="590550"/>
                                  <a:ext cx="660482" cy="1"/>
                                </a:xfrm>
                                <a:prstGeom prst="straightConnector1">
                                  <a:avLst/>
                                </a:prstGeom>
                                <a:solidFill>
                                  <a:sysClr val="window" lastClr="FFFFFF"/>
                                </a:solidFill>
                                <a:ln w="25400" cap="flat" cmpd="sng" algn="ctr">
                                  <a:solidFill>
                                    <a:sysClr val="windowText" lastClr="000000"/>
                                  </a:solidFill>
                                  <a:prstDash val="solid"/>
                                  <a:tailEnd type="arrow"/>
                                </a:ln>
                                <a:effectLst/>
                              </wps:spPr>
                              <wps:bodyPr/>
                            </wps:wsp>
                            <wps:wsp>
                              <wps:cNvPr id="163" name="Text Box 163"/>
                              <wps:cNvSpPr txBox="1"/>
                              <wps:spPr>
                                <a:xfrm>
                                  <a:off x="6793909" y="12728"/>
                                  <a:ext cx="1949212" cy="1197886"/>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D1596" w:rsidRPr="00E605A9" w:rsidRDefault="00FD1596" w:rsidP="00D03A8E">
                                    <w:pPr>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Employee Attitudes</w:t>
                                    </w:r>
                                  </w:p>
                                  <w:p w:rsidR="00FD1596" w:rsidRPr="00E605A9" w:rsidRDefault="00FD1596" w:rsidP="00D03A8E">
                                    <w:pPr>
                                      <w:pStyle w:val="ListParagraph"/>
                                      <w:numPr>
                                        <w:ilvl w:val="0"/>
                                        <w:numId w:val="5"/>
                                      </w:numPr>
                                      <w:spacing w:after="0" w:line="240" w:lineRule="auto"/>
                                      <w:ind w:left="284"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Job Satisfaction</w:t>
                                    </w:r>
                                  </w:p>
                                  <w:p w:rsidR="00FD1596" w:rsidRPr="00E605A9" w:rsidRDefault="00FD1596" w:rsidP="00D03A8E">
                                    <w:pPr>
                                      <w:pStyle w:val="ListParagraph"/>
                                      <w:numPr>
                                        <w:ilvl w:val="0"/>
                                        <w:numId w:val="5"/>
                                      </w:numPr>
                                      <w:spacing w:after="0" w:line="240" w:lineRule="auto"/>
                                      <w:ind w:left="284"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Organizational commitment</w:t>
                                    </w:r>
                                  </w:p>
                                  <w:p w:rsidR="00FD1596" w:rsidRPr="00E605A9" w:rsidRDefault="00FD1596" w:rsidP="00D03A8E">
                                    <w:pPr>
                                      <w:pStyle w:val="ListParagraph"/>
                                      <w:numPr>
                                        <w:ilvl w:val="1"/>
                                        <w:numId w:val="5"/>
                                      </w:numPr>
                                      <w:spacing w:after="0" w:line="240" w:lineRule="auto"/>
                                      <w:ind w:left="567" w:hanging="141"/>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Affective</w:t>
                                    </w:r>
                                  </w:p>
                                  <w:p w:rsidR="00FD1596" w:rsidRPr="00E605A9" w:rsidRDefault="00FD1596" w:rsidP="00D03A8E">
                                    <w:pPr>
                                      <w:pStyle w:val="ListParagraph"/>
                                      <w:numPr>
                                        <w:ilvl w:val="1"/>
                                        <w:numId w:val="5"/>
                                      </w:numPr>
                                      <w:spacing w:after="0" w:line="240" w:lineRule="auto"/>
                                      <w:ind w:left="567" w:hanging="141"/>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 xml:space="preserve">Normative </w:t>
                                    </w:r>
                                  </w:p>
                                  <w:p w:rsidR="00FD1596" w:rsidRPr="00E605A9" w:rsidRDefault="00FD1596" w:rsidP="00D03A8E">
                                    <w:pPr>
                                      <w:pStyle w:val="ListParagraph"/>
                                      <w:numPr>
                                        <w:ilvl w:val="1"/>
                                        <w:numId w:val="5"/>
                                      </w:numPr>
                                      <w:spacing w:after="0" w:line="240" w:lineRule="auto"/>
                                      <w:ind w:left="567" w:hanging="141"/>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Continuance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82550" h="38100" prst="coolSlant"/>
                                </a:sp3d>
                              </wps:bodyPr>
                            </wps:wsp>
                            <wps:wsp>
                              <wps:cNvPr id="164" name="Text Box 164"/>
                              <wps:cNvSpPr txBox="1"/>
                              <wps:spPr>
                                <a:xfrm>
                                  <a:off x="-83503" y="-21016"/>
                                  <a:ext cx="1278561" cy="1134916"/>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D1596" w:rsidRPr="00E605A9" w:rsidRDefault="00FD1596" w:rsidP="00D03A8E">
                                    <w:pPr>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Institutional Context</w:t>
                                    </w:r>
                                  </w:p>
                                  <w:p w:rsidR="00FD1596" w:rsidRPr="00F369D7" w:rsidRDefault="00FD1596" w:rsidP="00D03A8E">
                                    <w:pPr>
                                      <w:rPr>
                                        <w:sz w:val="18"/>
                                        <w:szCs w:val="18"/>
                                        <w14:props3d w14:extrusionH="57150" w14:contourW="0" w14:prstMaterial="warmMatte">
                                          <w14:bevelT w14:w="82550" w14:h="38100" w14:prst="coolSlant"/>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82550" h="38100" prst="coolSlant"/>
                                </a:sp3d>
                              </wps:bodyPr>
                            </wps:wsp>
                            <wps:wsp>
                              <wps:cNvPr id="165" name="Text Box 165"/>
                              <wps:cNvSpPr txBox="1"/>
                              <wps:spPr>
                                <a:xfrm>
                                  <a:off x="3021010" y="238410"/>
                                  <a:ext cx="1225406" cy="65498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D1596" w:rsidRPr="00E605A9" w:rsidRDefault="00FD1596" w:rsidP="00D03A8E">
                                    <w:pPr>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Employee Perceptions of HR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82550" h="38100" prst="coolSlant"/>
                                </a:sp3d>
                              </wps:bodyPr>
                            </wps:wsp>
                            <wps:wsp>
                              <wps:cNvPr id="166" name="Text Box 166"/>
                              <wps:cNvSpPr txBox="1"/>
                              <wps:spPr>
                                <a:xfrm>
                                  <a:off x="1444557" y="216440"/>
                                  <a:ext cx="1314882" cy="67695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D1596" w:rsidRPr="00E605A9" w:rsidRDefault="00FD1596" w:rsidP="00D03A8E">
                                    <w:pPr>
                                      <w:pStyle w:val="NoSpacing1"/>
                                      <w:rPr>
                                        <w:rFonts w:ascii="Cambria" w:hAnsi="Cambria"/>
                                        <w:sz w:val="17"/>
                                        <w:szCs w:val="17"/>
                                        <w14:props3d w14:extrusionH="57150" w14:contourW="0" w14:prstMaterial="warmMatte">
                                          <w14:bevelT w14:w="82550" w14:h="38100" w14:prst="coolSlant"/>
                                        </w14:props3d>
                                      </w:rPr>
                                    </w:pPr>
                                    <w:r w:rsidRPr="00E605A9">
                                      <w:rPr>
                                        <w:rFonts w:ascii="Cambria" w:hAnsi="Cambria"/>
                                        <w:sz w:val="17"/>
                                        <w:szCs w:val="17"/>
                                        <w14:props3d w14:extrusionH="57150" w14:contourW="0" w14:prstMaterial="warmMatte">
                                          <w14:bevelT w14:w="82550" w14:h="38100" w14:prst="coolSlant"/>
                                        </w14:props3d>
                                      </w:rPr>
                                      <w:t>HRM</w:t>
                                    </w:r>
                                  </w:p>
                                  <w:p w:rsidR="00FD1596" w:rsidRPr="00E605A9" w:rsidRDefault="00FD1596" w:rsidP="00D03A8E">
                                    <w:pPr>
                                      <w:pStyle w:val="NoSpacing1"/>
                                      <w:numPr>
                                        <w:ilvl w:val="0"/>
                                        <w:numId w:val="7"/>
                                      </w:numPr>
                                      <w:ind w:left="142" w:hanging="142"/>
                                      <w:rPr>
                                        <w:sz w:val="17"/>
                                        <w:szCs w:val="17"/>
                                        <w14:props3d w14:extrusionH="57150" w14:contourW="0" w14:prstMaterial="warmMatte">
                                          <w14:bevelT w14:w="82550" w14:h="38100" w14:prst="coolSlant"/>
                                        </w14:props3d>
                                      </w:rPr>
                                    </w:pPr>
                                    <w:r w:rsidRPr="00E605A9">
                                      <w:rPr>
                                        <w:rFonts w:ascii="Cambria" w:hAnsi="Cambria"/>
                                        <w:sz w:val="17"/>
                                        <w:szCs w:val="17"/>
                                        <w14:props3d w14:extrusionH="57150" w14:contourW="0" w14:prstMaterial="warmMatte">
                                          <w14:bevelT w14:w="82550" w14:h="38100" w14:prst="coolSlant"/>
                                        </w14:props3d>
                                      </w:rPr>
                                      <w:t>Specific Techniques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82550" h="38100" prst="coolSlant"/>
                                </a:sp3d>
                              </wps:bodyPr>
                            </wps:wsp>
                            <wps:wsp>
                              <wps:cNvPr id="167" name="Oval 167"/>
                              <wps:cNvSpPr/>
                              <wps:spPr>
                                <a:xfrm>
                                  <a:off x="4513518" y="-21299"/>
                                  <a:ext cx="2024059" cy="1281292"/>
                                </a:xfrm>
                                <a:prstGeom prst="ellipse">
                                  <a:avLst/>
                                </a:prstGeom>
                                <a:solidFill>
                                  <a:sysClr val="window" lastClr="FFFFFF"/>
                                </a:solidFill>
                                <a:ln w="25400" cap="flat" cmpd="sng" algn="ctr">
                                  <a:solidFill>
                                    <a:sysClr val="windowText" lastClr="000000"/>
                                  </a:solidFill>
                                  <a:prstDash val="solid"/>
                                </a:ln>
                                <a:effectLst/>
                              </wps:spPr>
                              <wps:txbx>
                                <w:txbxContent>
                                  <w:p w:rsidR="00FD1596" w:rsidRPr="00E605A9" w:rsidRDefault="00FD1596" w:rsidP="00D03A8E">
                                    <w:pPr>
                                      <w:pStyle w:val="ListParagraph"/>
                                      <w:numPr>
                                        <w:ilvl w:val="0"/>
                                        <w:numId w:val="6"/>
                                      </w:numPr>
                                      <w:spacing w:after="0" w:line="240" w:lineRule="auto"/>
                                      <w:ind w:left="0"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Procedural Justice</w:t>
                                    </w:r>
                                  </w:p>
                                  <w:p w:rsidR="00FD1596" w:rsidRPr="00E605A9" w:rsidRDefault="00FD1596" w:rsidP="00D03A8E">
                                    <w:pPr>
                                      <w:pStyle w:val="ListParagraph"/>
                                      <w:numPr>
                                        <w:ilvl w:val="0"/>
                                        <w:numId w:val="6"/>
                                      </w:numPr>
                                      <w:spacing w:after="0" w:line="240" w:lineRule="auto"/>
                                      <w:ind w:left="0"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HR Attributions</w:t>
                                    </w:r>
                                  </w:p>
                                  <w:p w:rsidR="00FD1596" w:rsidRPr="00E605A9" w:rsidRDefault="00FD1596" w:rsidP="00D03A8E">
                                    <w:pPr>
                                      <w:pStyle w:val="ListParagraph"/>
                                      <w:numPr>
                                        <w:ilvl w:val="1"/>
                                        <w:numId w:val="6"/>
                                      </w:numPr>
                                      <w:spacing w:after="0" w:line="240" w:lineRule="auto"/>
                                      <w:ind w:left="142"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Commitment-focused</w:t>
                                    </w:r>
                                  </w:p>
                                  <w:p w:rsidR="00FD1596" w:rsidRPr="00E605A9" w:rsidRDefault="00FD1596" w:rsidP="00D03A8E">
                                    <w:pPr>
                                      <w:pStyle w:val="ListParagraph"/>
                                      <w:numPr>
                                        <w:ilvl w:val="1"/>
                                        <w:numId w:val="6"/>
                                      </w:numPr>
                                      <w:spacing w:after="0" w:line="240" w:lineRule="auto"/>
                                      <w:ind w:left="142"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Control-focused</w:t>
                                    </w:r>
                                  </w:p>
                                  <w:p w:rsidR="00FD1596" w:rsidRPr="00E605A9" w:rsidRDefault="00FD1596" w:rsidP="00D03A8E">
                                    <w:pPr>
                                      <w:pStyle w:val="ListParagraph"/>
                                      <w:numPr>
                                        <w:ilvl w:val="1"/>
                                        <w:numId w:val="6"/>
                                      </w:numPr>
                                      <w:spacing w:after="0" w:line="240" w:lineRule="auto"/>
                                      <w:ind w:left="142"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Union compliance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82550" h="38100" prst="coolSlant"/>
                                </a:sp3d>
                              </wps:bodyPr>
                            </wps:wsp>
                            <wps:wsp>
                              <wps:cNvPr id="168" name="Straight Arrow Connector 168"/>
                              <wps:cNvCnPr/>
                              <wps:spPr>
                                <a:xfrm>
                                  <a:off x="2165847" y="-577067"/>
                                  <a:ext cx="3089156" cy="17817"/>
                                </a:xfrm>
                                <a:prstGeom prst="straightConnector1">
                                  <a:avLst/>
                                </a:prstGeom>
                                <a:solidFill>
                                  <a:sysClr val="window" lastClr="FFFFFF"/>
                                </a:solidFill>
                                <a:ln w="25400" cap="flat" cmpd="sng" algn="ctr">
                                  <a:solidFill>
                                    <a:sysClr val="windowText" lastClr="000000"/>
                                  </a:solidFill>
                                  <a:prstDash val="solid"/>
                                  <a:tailEnd type="arrow"/>
                                </a:ln>
                                <a:effectLst/>
                              </wps:spPr>
                              <wps:bodyPr/>
                            </wps:wsp>
                          </wpg:grpSp>
                          <wps:wsp>
                            <wps:cNvPr id="169" name="Text Box 169"/>
                            <wps:cNvSpPr txBox="1"/>
                            <wps:spPr>
                              <a:xfrm>
                                <a:off x="786417" y="212955"/>
                                <a:ext cx="1158513" cy="30166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D1596" w:rsidRPr="00F369D7" w:rsidRDefault="00FD1596" w:rsidP="00D03A8E">
                                  <w:pPr>
                                    <w:jc w:val="center"/>
                                  </w:pPr>
                                  <w:r w:rsidRPr="00F369D7">
                                    <w:t>Study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4545027" y="217923"/>
                                <a:ext cx="1109980" cy="298812"/>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D1596" w:rsidRPr="00F369D7" w:rsidRDefault="00FD1596" w:rsidP="00D03A8E">
                                  <w:pPr>
                                    <w:jc w:val="center"/>
                                  </w:pPr>
                                  <w:r w:rsidRPr="00F369D7">
                                    <w:t>Study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4D3D3E75" id="Group 149" o:spid="_x0000_s1026" style="width:464.25pt;height:318.1pt;mso-position-horizontal-relative:char;mso-position-vertical-relative:line" coordsize="60985,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">
                <v:roundrect id="Rounded Rectangle 150" o:spid="_x0000_s1027" style="position:absolute;width:60985;height:41910;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4iMYA&#10;AADcAAAADwAAAGRycy9kb3ducmV2LnhtbESPwW7CQAxE70j8w8pI3MqmRdAqsKCKgkQVOBT6ASbr&#10;JqFZb5RdIPx9fajEzdaMZ57ny87V6kptqDwbeB4loIhzbysuDHwfN09voEJEtlh7JgN3CrBc9Htz&#10;TK2/8RddD7FQEsIhRQNljE2qdchLchhGviEW7ce3DqOsbaFtizcJd7V+SZKpdlixNJTY0Kqk/Pdw&#10;cQbOn+vmsj9mH7vp6fyaabfKxu5uzHDQvc9AReriw/x/vbWCPxF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r4iMYAAADcAAAADwAAAAAAAAAAAAAAAACYAgAAZHJz&#10;L2Rvd25yZXYueG1sUEsFBgAAAAAEAAQA9QAAAIsDAAAAAA==&#10;" fillcolor="window" strokecolor="windowText" strokeweight="1.5pt">
                  <v:textbox>
                    <w:txbxContent>
                      <w:p w:rsidR="00FD1596" w:rsidRPr="00F369D7" w:rsidRDefault="00FD1596" w:rsidP="00D03A8E">
                        <w:pPr>
                          <w:jc w:val="center"/>
                          <w:rPr>
                            <w:sz w:val="48"/>
                            <w:szCs w:val="48"/>
                          </w:rPr>
                        </w:pPr>
                        <w:r w:rsidRPr="00F369D7">
                          <w:rPr>
                            <w:sz w:val="48"/>
                            <w:szCs w:val="48"/>
                          </w:rPr>
                          <w:t>Public vs Private Sector</w:t>
                        </w:r>
                      </w:p>
                    </w:txbxContent>
                  </v:textbox>
                </v:roundrect>
                <v:group id="Group 151" o:spid="_x0000_s1028" style="position:absolute;left:1185;top:1100;width:58444;height:32487" coordorigin=",78" coordsize="75553,2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152" o:spid="_x0000_s1029" style="position:absolute;left:2286;top:2840;width:69363;height:19486" coordsize="69363,1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3" o:spid="_x0000_s1030" type="#_x0000_t85" style="position:absolute;left:33666;top:-16210;width:2889;height:685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bZsAA&#10;AADcAAAADwAAAGRycy9kb3ducmV2LnhtbERPzWoCMRC+F3yHMIKXolmViqxGEUHx0kLVBxiTcbO4&#10;mSxJ1PXtm0Kht/n4fme57lwjHhRi7VnBeFSAINbe1FwpOJ92wzmImJANNp5JwYsirFe9tyWWxj/5&#10;mx7HVIkcwrFEBTaltpQyaksO48i3xJm7+uAwZRgqaQI+c7hr5KQoZtJhzbnBYktbS/p2vDsF25Ml&#10;c96F+WU/+dTTu3zHVn8pNeh3mwWIRF36F/+5DybP/5jC7zP5Ar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ZbZsAAAADcAAAADwAAAAAAAAAAAAAAAACYAgAAZHJzL2Rvd25y&#10;ZXYueG1sUEsFBgAAAAAEAAQA9QAAAIUDAAAAAA==&#10;" adj="76" filled="t" fillcolor="window" strokecolor="windowText" strokeweight="2pt"/>
                    <v:group id="Group 154" o:spid="_x0000_s1031" style="position:absolute;width:68363;height:8029" coordsize="68363,8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5" o:spid="_x0000_s1032" type="#_x0000_t87" style="position:absolute;left:6372;top:-6372;width:7943;height:206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Y0sUA&#10;AADcAAAADwAAAGRycy9kb3ducmV2LnhtbERP30vDMBB+H/g/hBv4MlzaQWXUZmMKggMRN8Xna3O2&#10;1ebSJdnW+tcbQdjbfXw/r1gPphMncr61rCCdJyCIK6tbrhW8vz3eLEH4gKyxs0wKRvKwXl1NCsy1&#10;PfOOTvtQixjCPkcFTQh9LqWvGjLo57YnjtyndQZDhK6W2uE5hptOLpLkVhpsOTY02NNDQ9X3/mgU&#10;fIRyPBzuxyx9Xbx8pT9bNxueS6Wup8PmDkSgIVzE/+4nHednGfw9Ey+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VjSxQAAANwAAAAPAAAAAAAAAAAAAAAAAJgCAABkcnMv&#10;ZG93bnJldi54bWxQSwUGAAAAAAQABAD1AAAAigMAAAAA&#10;" adj="691" filled="t" fillcolor="window" strokecolor="windowText" strokeweight="2pt"/>
                      <v:shape id="Left Brace 156" o:spid="_x0000_s1033" type="#_x0000_t87" style="position:absolute;left:44887;top:-15447;width:7944;height:390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FOMIA&#10;AADcAAAADwAAAGRycy9kb3ducmV2LnhtbERPTWvCQBC9F/oflil4KXVjISKpm6CCVMipMaTXITtN&#10;otnZkF01/ffdguBtHu9z1tlkenGl0XWWFSzmEQji2uqOGwXlcf+2AuE8ssbeMin4JQdZ+vy0xkTb&#10;G3/RtfCNCCHsElTQej8kUrq6JYNubgfiwP3Y0aAPcGykHvEWwk0v36NoKQ12HBpaHGjXUn0uLkbB&#10;ZE9+u88rtPL8/VrEn6syr5xSs5dp8wHC0+Qf4rv7oMP8eAn/z4QL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IU4wgAAANwAAAAPAAAAAAAAAAAAAAAAAJgCAABkcnMvZG93&#10;bnJldi54bWxQSwUGAAAAAAQABAD1AAAAhwMAAAAA&#10;" adj="367" filled="t" fillcolor="window" strokecolor="windowText" strokeweight="2pt"/>
                    </v:group>
                  </v:group>
                  <v:group id="Group 157" o:spid="_x0000_s1034" style="position:absolute;top:78;width:75553;height:21644" coordorigin="611,2129" coordsize="74135,1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58" o:spid="_x0000_s1035" style="position:absolute;left:611;top:3495;width:74136;height:18352" coordorigin="-835,-5770" coordsize="88266,18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59" o:spid="_x0000_s1036" type="#_x0000_t32" style="position:absolute;left:61642;top:6369;width:6303;height: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qFMIAAADcAAAADwAAAGRycy9kb3ducmV2LnhtbERPzWoCMRC+F/oOYQq91ayFSrsaRSwt&#10;HgSt+gDDZtwsJpMliRr79I0g9DYf3+9MZtlZcaYQO88KhoMKBHHjdcetgv3u6+UdREzIGq1nUnCl&#10;CLPp48MEa+0v/EPnbWpFCeFYowKTUl9LGRtDDuPA98SFO/jgMBUYWqkDXkq4s/K1qkbSYcelwWBP&#10;C0PNcXtyCjbDxXdcfc5/12FkNyezy7ZtslLPT3k+BpEop3/x3b3UZf7bB9yeKR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wqFMIAAADcAAAADwAAAAAAAAAAAAAA&#10;AAChAgAAZHJzL2Rvd25yZXYueG1sUEsFBgAAAAAEAAQA+QAAAJADAAAAAA==&#10;" filled="t" fillcolor="window" strokecolor="windowText" strokeweight="2pt">
                        <v:stroke endarrow="open"/>
                      </v:shape>
                      <v:shape id="Straight Arrow Connector 160" o:spid="_x0000_s1037" type="#_x0000_t32" style="position:absolute;left:39515;top:5822;width:6571;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pEMQAAADcAAAADwAAAGRycy9kb3ducmV2LnhtbESPwW7CQAxE70j9h5Ur9QYbckAhsKCq&#10;VSWKeoH2A6ysSQJZb5Q1kPbr60Ol3mzNeOZ5vR1DZ240pDayg/ksA0NcRd9y7eDr821agEmC7LGL&#10;TA6+KcF28zBZY+njnQ90O0ptNIRTiQ4akb60NlUNBUyz2BOrdopDQNF1qK0f8K7hobN5li1swJa1&#10;ocGeXhqqLsdrcFBclx/U7znPZb77kXx/Lor3V+eeHsfnFRihUf7Nf9c7r/gLxddndAK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ekQxAAAANwAAAAPAAAAAAAAAAAA&#10;AAAAAKECAABkcnMvZG93bnJldi54bWxQSwUGAAAAAAQABAD5AAAAkgMAAAAA&#10;" filled="t" fillcolor="window" strokecolor="windowText" strokeweight="2pt">
                        <v:stroke endarrow="open"/>
                      </v:shape>
                      <v:shape id="Straight Arrow Connector 161" o:spid="_x0000_s1038" type="#_x0000_t32" style="position:absolute;left:24360;top:5899;width:5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1Mi8EAAADcAAAADwAAAGRycy9kb3ducmV2LnhtbERPzWrCQBC+F3yHZQRvdZMcJI2uUpSC&#10;lV78eYAhO03SZmdDdtTo07sFobf5+H5nsRpcqy7Uh8azgXSagCIuvW24MnA6frzmoIIgW2w9k4Eb&#10;BVgtRy8LLKy/8p4uB6lUDOFQoIFapCu0DmVNDsPUd8SR+/a9Q4mwr7Tt8RrDXauzJJlphw3Hhho7&#10;WtdU/h7OzkB+fvuibsdZJun2LtnuJ88/N8ZMxsP7HJTQIP/ip3tr4/xZCn/PxAv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TUyLwQAAANwAAAAPAAAAAAAAAAAAAAAA&#10;AKECAABkcnMvZG93bnJldi54bWxQSwUGAAAAAAQABAD5AAAAjwMAAAAA&#10;" filled="t" fillcolor="window" strokecolor="windowText" strokeweight="2pt">
                        <v:stroke endarrow="open"/>
                      </v:shape>
                      <v:shape id="Straight Arrow Connector 162" o:spid="_x0000_s1039" type="#_x0000_t32" style="position:absolute;left:7845;top:5905;width:66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S/MEAAADcAAAADwAAAGRycy9kb3ducmV2LnhtbERPzWrCQBC+C32HZQq96cY9SJq6irQI&#10;Kr1U+wBDdkyi2dmQHTX16d1Cobf5+H5nvhx8q67UxyawhekkA0VcBtdwZeH7sB7noKIgO2wDk4Uf&#10;irBcPI3mWLhw4y+67qVSKYRjgRZqka7QOpY1eYyT0BEn7hh6j5JgX2nX4y2F+1abLJtpjw2nhho7&#10;eq+pPO8v3kJ+ef2kbsfGyHRzF7M75fn2w9qX52H1BkpokH/xn3vj0vyZgd9n0gV6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n9L8wQAAANwAAAAPAAAAAAAAAAAAAAAA&#10;AKECAABkcnMvZG93bnJldi54bWxQSwUGAAAAAAQABAD5AAAAjwMAAAAA&#10;" filled="t" fillcolor="window" strokecolor="windowText" strokeweight="2pt">
                        <v:stroke endarrow="open"/>
                      </v:shape>
                      <v:shapetype id="_x0000_t202" coordsize="21600,21600" o:spt="202" path="m,l,21600r21600,l21600,xe">
                        <v:stroke joinstyle="miter"/>
                        <v:path gradientshapeok="t" o:connecttype="rect"/>
                      </v:shapetype>
                      <v:shape id="Text Box 163" o:spid="_x0000_s1040" type="#_x0000_t202" style="position:absolute;left:67939;top:127;width:19492;height:11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fZ8MA&#10;AADcAAAADwAAAGRycy9kb3ducmV2LnhtbERPS2vCQBC+F/wPywi91Y2PikRXEUGptER8XLyN2TEJ&#10;ZmdDdo3pv3eFQm/z8T1ntmhNKRqqXWFZQb8XgSBOrS44U3A6rj8mIJxH1lhaJgW/5GAx77zNMNb2&#10;wXtqDj4TIYRdjApy76tYSpfmZND1bEUcuKutDfoA60zqGh8h3JRyEEVjabDg0JBjRauc0tvhbhRs&#10;L2aSJBn+3HUy2q/O37t089ko9d5tl1MQnlr/L/5zf+kwfzyE1zPhA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BfZ8MAAADcAAAADwAAAAAAAAAAAAAAAACYAgAAZHJzL2Rv&#10;d25yZXYueG1sUEsFBgAAAAAEAAQA9QAAAIgDAAAAAA==&#10;" fillcolor="window" strokecolor="windowText" strokeweight="2pt">
                        <v:textbox>
                          <w:txbxContent>
                            <w:p w:rsidR="00FD1596" w:rsidRPr="00E605A9" w:rsidRDefault="00FD1596" w:rsidP="00D03A8E">
                              <w:pPr>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Employee Attitudes</w:t>
                              </w:r>
                            </w:p>
                            <w:p w:rsidR="00FD1596" w:rsidRPr="00E605A9" w:rsidRDefault="00FD1596" w:rsidP="00D03A8E">
                              <w:pPr>
                                <w:pStyle w:val="ListParagraph"/>
                                <w:numPr>
                                  <w:ilvl w:val="0"/>
                                  <w:numId w:val="5"/>
                                </w:numPr>
                                <w:spacing w:after="0" w:line="240" w:lineRule="auto"/>
                                <w:ind w:left="284"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Job Satisfaction</w:t>
                              </w:r>
                            </w:p>
                            <w:p w:rsidR="00FD1596" w:rsidRPr="00E605A9" w:rsidRDefault="00FD1596" w:rsidP="00D03A8E">
                              <w:pPr>
                                <w:pStyle w:val="ListParagraph"/>
                                <w:numPr>
                                  <w:ilvl w:val="0"/>
                                  <w:numId w:val="5"/>
                                </w:numPr>
                                <w:spacing w:after="0" w:line="240" w:lineRule="auto"/>
                                <w:ind w:left="284"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Organizational commitment</w:t>
                              </w:r>
                            </w:p>
                            <w:p w:rsidR="00FD1596" w:rsidRPr="00E605A9" w:rsidRDefault="00FD1596" w:rsidP="00D03A8E">
                              <w:pPr>
                                <w:pStyle w:val="ListParagraph"/>
                                <w:numPr>
                                  <w:ilvl w:val="1"/>
                                  <w:numId w:val="5"/>
                                </w:numPr>
                                <w:spacing w:after="0" w:line="240" w:lineRule="auto"/>
                                <w:ind w:left="567" w:hanging="141"/>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Affective</w:t>
                              </w:r>
                            </w:p>
                            <w:p w:rsidR="00FD1596" w:rsidRPr="00E605A9" w:rsidRDefault="00FD1596" w:rsidP="00D03A8E">
                              <w:pPr>
                                <w:pStyle w:val="ListParagraph"/>
                                <w:numPr>
                                  <w:ilvl w:val="1"/>
                                  <w:numId w:val="5"/>
                                </w:numPr>
                                <w:spacing w:after="0" w:line="240" w:lineRule="auto"/>
                                <w:ind w:left="567" w:hanging="141"/>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 xml:space="preserve">Normative </w:t>
                              </w:r>
                            </w:p>
                            <w:p w:rsidR="00FD1596" w:rsidRPr="00E605A9" w:rsidRDefault="00FD1596" w:rsidP="00D03A8E">
                              <w:pPr>
                                <w:pStyle w:val="ListParagraph"/>
                                <w:numPr>
                                  <w:ilvl w:val="1"/>
                                  <w:numId w:val="5"/>
                                </w:numPr>
                                <w:spacing w:after="0" w:line="240" w:lineRule="auto"/>
                                <w:ind w:left="567" w:hanging="141"/>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Continuance</w:t>
                              </w:r>
                            </w:p>
                          </w:txbxContent>
                        </v:textbox>
                      </v:shape>
                      <v:shape id="Text Box 164" o:spid="_x0000_s1041" type="#_x0000_t202" style="position:absolute;left:-835;top:-210;width:12785;height:1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HE8IA&#10;AADcAAAADwAAAGRycy9kb3ducmV2LnhtbERPS4vCMBC+C/sfwizsTdMVFalGEWFlxaXi4+JtbMa2&#10;2ExKE2v99xtB8DYf33Om89aUoqHaFZYVfPciEMSp1QVnCo6Hn+4YhPPIGkvLpOBBDuazj84UY23v&#10;vKNm7zMRQtjFqCD3voqldGlOBl3PVsSBu9jaoA+wzqSu8R7CTSn7UTSSBgsODTlWtMwpve5vRsH6&#10;bMZJkuHfTSeD3fK02aarYaPU12e7mIDw1Pq3+OX+1WH+aADPZ8IF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ccTwgAAANwAAAAPAAAAAAAAAAAAAAAAAJgCAABkcnMvZG93&#10;bnJldi54bWxQSwUGAAAAAAQABAD1AAAAhwMAAAAA&#10;" fillcolor="window" strokecolor="windowText" strokeweight="2pt">
                        <v:textbox>
                          <w:txbxContent>
                            <w:p w:rsidR="00FD1596" w:rsidRPr="00E605A9" w:rsidRDefault="00FD1596" w:rsidP="00D03A8E">
                              <w:pPr>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Institutional Context</w:t>
                              </w:r>
                            </w:p>
                            <w:p w:rsidR="00FD1596" w:rsidRPr="00F369D7" w:rsidRDefault="00FD1596" w:rsidP="00D03A8E">
                              <w:pPr>
                                <w:rPr>
                                  <w:sz w:val="18"/>
                                  <w:szCs w:val="18"/>
                                  <w14:props3d w14:extrusionH="57150" w14:contourW="0" w14:prstMaterial="warmMatte">
                                    <w14:bevelT w14:w="82550" w14:h="38100" w14:prst="coolSlant"/>
                                  </w14:props3d>
                                </w:rPr>
                              </w:pPr>
                            </w:p>
                          </w:txbxContent>
                        </v:textbox>
                      </v:shape>
                      <v:shape id="Text Box 165" o:spid="_x0000_s1042" type="#_x0000_t202" style="position:absolute;left:30210;top:2384;width:12254;height:6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iiMQA&#10;AADcAAAADwAAAGRycy9kb3ducmV2LnhtbERPS2vCQBC+F/wPywi9NRuLEUmzShEslkqKj0tvY3ZM&#10;QrOzIbsm6b93C4Xe5uN7TrYeTSN66lxtWcEsikEQF1bXXCo4n7ZPSxDOI2tsLJOCH3KwXk0eMky1&#10;HfhA/dGXIoSwS1FB5X2bSumKigy6yLbEgbvazqAPsCul7nAI4aaRz3G8kAZrDg0VtrSpqPg+3oyC&#10;94tZ5nmJ+5vO54fN18dn8Zb0Sj1Ox9cXEJ5G/y/+c+90mL9I4PeZcIF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YojEAAAA3AAAAA8AAAAAAAAAAAAAAAAAmAIAAGRycy9k&#10;b3ducmV2LnhtbFBLBQYAAAAABAAEAPUAAACJAwAAAAA=&#10;" fillcolor="window" strokecolor="windowText" strokeweight="2pt">
                        <v:textbox>
                          <w:txbxContent>
                            <w:p w:rsidR="00FD1596" w:rsidRPr="00E605A9" w:rsidRDefault="00FD1596" w:rsidP="00D03A8E">
                              <w:pPr>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Employee Perceptions of HR Practices</w:t>
                              </w:r>
                            </w:p>
                          </w:txbxContent>
                        </v:textbox>
                      </v:shape>
                      <v:shape id="Text Box 166" o:spid="_x0000_s1043" type="#_x0000_t202" style="position:absolute;left:14445;top:2164;width:13149;height:6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8/8QA&#10;AADcAAAADwAAAGRycy9kb3ducmV2LnhtbERPTWvCQBC9F/oflil4qxtFg0TXIAHF0pIS20tvY3aa&#10;hGZnQ3aN8d93CwVv83ifs0lH04qBetdYVjCbRiCIS6sbrhR8fuyfVyCcR9bYWiYFN3KQbh8fNpho&#10;e+WChpOvRAhhl6CC2vsukdKVNRl0U9sRB+7b9gZ9gH0ldY/XEG5aOY+iWBpsODTU2FFWU/lzuhgF&#10;L2ezyvMK3y46XxTZ1+t7eVgOSk2ext0ahKfR38X/7qMO8+MY/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P/EAAAA3AAAAA8AAAAAAAAAAAAAAAAAmAIAAGRycy9k&#10;b3ducmV2LnhtbFBLBQYAAAAABAAEAPUAAACJAwAAAAA=&#10;" fillcolor="window" strokecolor="windowText" strokeweight="2pt">
                        <v:textbox>
                          <w:txbxContent>
                            <w:p w:rsidR="00FD1596" w:rsidRPr="00E605A9" w:rsidRDefault="00FD1596" w:rsidP="00D03A8E">
                              <w:pPr>
                                <w:pStyle w:val="NoSpacing1"/>
                                <w:rPr>
                                  <w:rFonts w:ascii="Cambria" w:hAnsi="Cambria"/>
                                  <w:sz w:val="17"/>
                                  <w:szCs w:val="17"/>
                                  <w14:props3d w14:extrusionH="57150" w14:contourW="0" w14:prstMaterial="warmMatte">
                                    <w14:bevelT w14:w="82550" w14:h="38100" w14:prst="coolSlant"/>
                                  </w14:props3d>
                                </w:rPr>
                              </w:pPr>
                              <w:r w:rsidRPr="00E605A9">
                                <w:rPr>
                                  <w:rFonts w:ascii="Cambria" w:hAnsi="Cambria"/>
                                  <w:sz w:val="17"/>
                                  <w:szCs w:val="17"/>
                                  <w14:props3d w14:extrusionH="57150" w14:contourW="0" w14:prstMaterial="warmMatte">
                                    <w14:bevelT w14:w="82550" w14:h="38100" w14:prst="coolSlant"/>
                                  </w14:props3d>
                                </w:rPr>
                                <w:t>HRM</w:t>
                              </w:r>
                            </w:p>
                            <w:p w:rsidR="00FD1596" w:rsidRPr="00E605A9" w:rsidRDefault="00FD1596" w:rsidP="00D03A8E">
                              <w:pPr>
                                <w:pStyle w:val="NoSpacing1"/>
                                <w:numPr>
                                  <w:ilvl w:val="0"/>
                                  <w:numId w:val="7"/>
                                </w:numPr>
                                <w:ind w:left="142" w:hanging="142"/>
                                <w:rPr>
                                  <w:sz w:val="17"/>
                                  <w:szCs w:val="17"/>
                                  <w14:props3d w14:extrusionH="57150" w14:contourW="0" w14:prstMaterial="warmMatte">
                                    <w14:bevelT w14:w="82550" w14:h="38100" w14:prst="coolSlant"/>
                                  </w14:props3d>
                                </w:rPr>
                              </w:pPr>
                              <w:r w:rsidRPr="00E605A9">
                                <w:rPr>
                                  <w:rFonts w:ascii="Cambria" w:hAnsi="Cambria"/>
                                  <w:sz w:val="17"/>
                                  <w:szCs w:val="17"/>
                                  <w14:props3d w14:extrusionH="57150" w14:contourW="0" w14:prstMaterial="warmMatte">
                                    <w14:bevelT w14:w="82550" w14:h="38100" w14:prst="coolSlant"/>
                                  </w14:props3d>
                                </w:rPr>
                                <w:t>Specific Techniques</w:t>
                              </w:r>
                            </w:p>
                          </w:txbxContent>
                        </v:textbox>
                      </v:shape>
                      <v:oval id="Oval 167" o:spid="_x0000_s1044" style="position:absolute;left:45135;top:-212;width:20240;height:1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up8QA&#10;AADcAAAADwAAAGRycy9kb3ducmV2LnhtbERPS2vCQBC+F/wPywi91U0tpJq6higN7aWH+Oh5yI5J&#10;bHY2ZFcT/323UPA2H99zVuloWnGl3jWWFTzPIhDEpdUNVwoO+/xpAcJ5ZI2tZVJwIwfpevKwwkTb&#10;gQu67nwlQgi7BBXU3neJlK6syaCb2Y44cCfbG/QB9pXUPQ4h3LRyHkWxNNhwaKixo21N5c/uYhR8&#10;5y/HfLm5ufPlXHwV2Xv7cdoelXqcjtkbCE+jv4v/3Z86zI9f4e+Zc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7qfEAAAA3AAAAA8AAAAAAAAAAAAAAAAAmAIAAGRycy9k&#10;b3ducmV2LnhtbFBLBQYAAAAABAAEAPUAAACJAwAAAAA=&#10;" fillcolor="window" strokecolor="windowText" strokeweight="2pt">
                        <v:textbox>
                          <w:txbxContent>
                            <w:p w:rsidR="00FD1596" w:rsidRPr="00E605A9" w:rsidRDefault="00FD1596" w:rsidP="00D03A8E">
                              <w:pPr>
                                <w:pStyle w:val="ListParagraph"/>
                                <w:numPr>
                                  <w:ilvl w:val="0"/>
                                  <w:numId w:val="6"/>
                                </w:numPr>
                                <w:spacing w:after="0" w:line="240" w:lineRule="auto"/>
                                <w:ind w:left="0"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Procedural Justice</w:t>
                              </w:r>
                            </w:p>
                            <w:p w:rsidR="00FD1596" w:rsidRPr="00E605A9" w:rsidRDefault="00FD1596" w:rsidP="00D03A8E">
                              <w:pPr>
                                <w:pStyle w:val="ListParagraph"/>
                                <w:numPr>
                                  <w:ilvl w:val="0"/>
                                  <w:numId w:val="6"/>
                                </w:numPr>
                                <w:spacing w:after="0" w:line="240" w:lineRule="auto"/>
                                <w:ind w:left="0"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HR Attributions</w:t>
                              </w:r>
                            </w:p>
                            <w:p w:rsidR="00FD1596" w:rsidRPr="00E605A9" w:rsidRDefault="00FD1596" w:rsidP="00D03A8E">
                              <w:pPr>
                                <w:pStyle w:val="ListParagraph"/>
                                <w:numPr>
                                  <w:ilvl w:val="1"/>
                                  <w:numId w:val="6"/>
                                </w:numPr>
                                <w:spacing w:after="0" w:line="240" w:lineRule="auto"/>
                                <w:ind w:left="142"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Commitment-focused</w:t>
                              </w:r>
                            </w:p>
                            <w:p w:rsidR="00FD1596" w:rsidRPr="00E605A9" w:rsidRDefault="00FD1596" w:rsidP="00D03A8E">
                              <w:pPr>
                                <w:pStyle w:val="ListParagraph"/>
                                <w:numPr>
                                  <w:ilvl w:val="1"/>
                                  <w:numId w:val="6"/>
                                </w:numPr>
                                <w:spacing w:after="0" w:line="240" w:lineRule="auto"/>
                                <w:ind w:left="142"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Control-focused</w:t>
                              </w:r>
                            </w:p>
                            <w:p w:rsidR="00FD1596" w:rsidRPr="00E605A9" w:rsidRDefault="00FD1596" w:rsidP="00D03A8E">
                              <w:pPr>
                                <w:pStyle w:val="ListParagraph"/>
                                <w:numPr>
                                  <w:ilvl w:val="1"/>
                                  <w:numId w:val="6"/>
                                </w:numPr>
                                <w:spacing w:after="0" w:line="240" w:lineRule="auto"/>
                                <w:ind w:left="142" w:hanging="142"/>
                                <w:rPr>
                                  <w:sz w:val="17"/>
                                  <w:szCs w:val="17"/>
                                  <w14:props3d w14:extrusionH="57150" w14:contourW="0" w14:prstMaterial="warmMatte">
                                    <w14:bevelT w14:w="82550" w14:h="38100" w14:prst="coolSlant"/>
                                  </w14:props3d>
                                </w:rPr>
                              </w:pPr>
                              <w:r w:rsidRPr="00E605A9">
                                <w:rPr>
                                  <w:sz w:val="17"/>
                                  <w:szCs w:val="17"/>
                                  <w14:props3d w14:extrusionH="57150" w14:contourW="0" w14:prstMaterial="warmMatte">
                                    <w14:bevelT w14:w="82550" w14:h="38100" w14:prst="coolSlant"/>
                                  </w14:props3d>
                                </w:rPr>
                                <w:t>Union compliance</w:t>
                              </w:r>
                            </w:p>
                          </w:txbxContent>
                        </v:textbox>
                      </v:oval>
                      <v:shape id="Straight Arrow Connector 168" o:spid="_x0000_s1045" type="#_x0000_t32" style="position:absolute;left:21658;top:-5770;width:30892;height: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lFsQAAADcAAAADwAAAGRycy9kb3ducmV2LnhtbESPwW7CQAxE70j9h5Ur9QYbckAhsKCq&#10;VSWKeoH2A6ysSQJZb5Q1kPbr60Ol3mzNeOZ5vR1DZ240pDayg/ksA0NcRd9y7eDr821agEmC7LGL&#10;TA6+KcF28zBZY+njnQ90O0ptNIRTiQ4akb60NlUNBUyz2BOrdopDQNF1qK0f8K7hobN5li1swJa1&#10;ocGeXhqqLsdrcFBclx/U7znPZb77kXx/Lor3V+eeHsfnFRihUf7Nf9c7r/gLpdVndAK7+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d+UWxAAAANwAAAAPAAAAAAAAAAAA&#10;AAAAAKECAABkcnMvZG93bnJldi54bWxQSwUGAAAAAAQABAD5AAAAkgMAAAAA&#10;" filled="t" fillcolor="window" strokecolor="windowText" strokeweight="2pt">
                        <v:stroke endarrow="open"/>
                      </v:shape>
                    </v:group>
                    <v:shape id="Text Box 169" o:spid="_x0000_s1046" type="#_x0000_t202" style="position:absolute;left:7864;top:2129;width:11585;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yY8QA&#10;AADcAAAADwAAAGRycy9kb3ducmV2LnhtbERPTWvCQBC9F/oflil4q5tUGzRmI7ZQ6MFDaz3obciO&#10;2WB2Ns2uGv+9Wyh4m8f7nGI52FacqfeNYwXpOAFBXDndcK1g+/PxPAPhA7LG1jEpuJKHZfn4UGCu&#10;3YW/6bwJtYgh7HNUYELocil9ZciiH7uOOHIH11sMEfa11D1eYrht5UuSZNJiw7HBYEfvhqrj5mQV&#10;NKfZPp2m5vVrstru3rI1yoR+lRo9DasFiEBDuIv/3Z86zs/m8PdMvE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o8mPEAAAA3AAAAA8AAAAAAAAAAAAAAAAAmAIAAGRycy9k&#10;b3ducmV2LnhtbFBLBQYAAAAABAAEAPUAAACJAwAAAAA=&#10;" fillcolor="window" strokecolor="windowText" strokeweight="2pt">
                      <v:textbox>
                        <w:txbxContent>
                          <w:p w:rsidR="00FD1596" w:rsidRPr="00F369D7" w:rsidRDefault="00FD1596" w:rsidP="00D03A8E">
                            <w:pPr>
                              <w:jc w:val="center"/>
                            </w:pPr>
                            <w:r w:rsidRPr="00F369D7">
                              <w:t>Study 1</w:t>
                            </w:r>
                          </w:p>
                        </w:txbxContent>
                      </v:textbox>
                    </v:shape>
                    <v:shape id="Text Box 170" o:spid="_x0000_s1047" type="#_x0000_t202" style="position:absolute;left:45450;top:2179;width:11100;height:2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NI8YA&#10;AADcAAAADwAAAGRycy9kb3ducmV2LnhtbESPT2/CMAzF75P2HSIj7TbS7g9DhYBg0qQdOAzGAW5W&#10;Y5qKxilNgO7bzwckbrbe83s/T+e9b9SFulgHNpAPM1DEZbA1Vwa2v1/PY1AxIVtsApOBP4ownz0+&#10;TLGw4cprumxSpSSEY4EGXEptoXUsHXmMw9ASi3YInccka1dp2+FVwn2jX7JspD3WLA0OW/p0VB43&#10;Z2+gPo/3+Vvu3n9eF9vdcrRCndHJmKdBv5iAStSnu/l2/W0F/0Pw5RmZQ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vNI8YAAADcAAAADwAAAAAAAAAAAAAAAACYAgAAZHJz&#10;L2Rvd25yZXYueG1sUEsFBgAAAAAEAAQA9QAAAIsDAAAAAA==&#10;" fillcolor="window" strokecolor="windowText" strokeweight="2pt">
                      <v:textbox>
                        <w:txbxContent>
                          <w:p w:rsidR="00FD1596" w:rsidRPr="00F369D7" w:rsidRDefault="00FD1596" w:rsidP="00D03A8E">
                            <w:pPr>
                              <w:jc w:val="center"/>
                            </w:pPr>
                            <w:r w:rsidRPr="00F369D7">
                              <w:t>Study 2</w:t>
                            </w:r>
                          </w:p>
                        </w:txbxContent>
                      </v:textbox>
                    </v:shape>
                  </v:group>
                </v:group>
                <w10:anchorlock/>
              </v:group>
            </w:pict>
          </mc:Fallback>
        </mc:AlternateContent>
      </w:r>
    </w:p>
    <w:p w:rsidR="00D03A8E" w:rsidRPr="00452E2E" w:rsidRDefault="00D03A8E" w:rsidP="00D03A8E">
      <w:pPr>
        <w:pStyle w:val="Caption"/>
        <w:rPr>
          <w:szCs w:val="24"/>
        </w:rPr>
      </w:pPr>
      <w:bookmarkStart w:id="29" w:name="_Toc465382297"/>
      <w:r w:rsidRPr="00452E2E">
        <w:t>Figure 1</w:t>
      </w:r>
      <w:r w:rsidRPr="00452E2E">
        <w:noBreakHyphen/>
      </w:r>
      <w:r w:rsidR="00B26571">
        <w:fldChar w:fldCharType="begin"/>
      </w:r>
      <w:r w:rsidR="00B26571">
        <w:instrText xml:space="preserve"> SEQ Figure \* ARABIC \s 1 </w:instrText>
      </w:r>
      <w:r w:rsidR="00B26571">
        <w:fldChar w:fldCharType="separate"/>
      </w:r>
      <w:r w:rsidR="00AE2756" w:rsidRPr="00452E2E">
        <w:rPr>
          <w:noProof/>
        </w:rPr>
        <w:t>1</w:t>
      </w:r>
      <w:r w:rsidR="00B26571">
        <w:rPr>
          <w:noProof/>
        </w:rPr>
        <w:fldChar w:fldCharType="end"/>
      </w:r>
      <w:r w:rsidRPr="00452E2E">
        <w:t>: The Research Model</w:t>
      </w:r>
      <w:bookmarkEnd w:id="29"/>
    </w:p>
    <w:p w:rsidR="00D03A8E" w:rsidRPr="00452E2E" w:rsidRDefault="00D03A8E" w:rsidP="00D03A8E">
      <w:pPr>
        <w:spacing w:line="360" w:lineRule="auto"/>
        <w:jc w:val="both"/>
      </w:pPr>
      <w:r w:rsidRPr="00452E2E">
        <w:rPr>
          <w:szCs w:val="24"/>
        </w:rPr>
        <w:t xml:space="preserve">Methodologically, the research is divided into 2 studies that are labelled </w:t>
      </w:r>
      <w:r w:rsidRPr="00452E2E">
        <w:rPr>
          <w:i/>
          <w:szCs w:val="24"/>
        </w:rPr>
        <w:t xml:space="preserve">study 1 </w:t>
      </w:r>
      <w:r w:rsidRPr="00452E2E">
        <w:rPr>
          <w:szCs w:val="24"/>
        </w:rPr>
        <w:t xml:space="preserve">and </w:t>
      </w:r>
      <w:r w:rsidRPr="00452E2E">
        <w:rPr>
          <w:i/>
          <w:szCs w:val="24"/>
        </w:rPr>
        <w:t xml:space="preserve">study 2 </w:t>
      </w:r>
      <w:r w:rsidRPr="00452E2E">
        <w:rPr>
          <w:szCs w:val="24"/>
        </w:rPr>
        <w:t xml:space="preserve">respectively. Study 1 is conducted at the organizational level of analysis by tapping the views of HR managers on the influence of institutions on HRM and the techniques of HR practices adopted in </w:t>
      </w:r>
      <w:r w:rsidR="00101FCA" w:rsidRPr="00452E2E">
        <w:rPr>
          <w:szCs w:val="24"/>
        </w:rPr>
        <w:t xml:space="preserve">the </w:t>
      </w:r>
      <w:r w:rsidRPr="00452E2E">
        <w:rPr>
          <w:szCs w:val="24"/>
        </w:rPr>
        <w:t>public and private sector since HR man</w:t>
      </w:r>
      <w:r w:rsidR="00101FCA" w:rsidRPr="00452E2E">
        <w:rPr>
          <w:szCs w:val="24"/>
        </w:rPr>
        <w:t>a</w:t>
      </w:r>
      <w:r w:rsidRPr="00452E2E">
        <w:rPr>
          <w:szCs w:val="24"/>
        </w:rPr>
        <w:t xml:space="preserve">gers are in a better position to provide information on these issues. The findings from this study were then used for generating context-specific hypotheses on the </w:t>
      </w:r>
      <w:r w:rsidR="00713F86" w:rsidRPr="00452E2E">
        <w:rPr>
          <w:szCs w:val="24"/>
        </w:rPr>
        <w:t>effects of</w:t>
      </w:r>
      <w:r w:rsidRPr="00452E2E">
        <w:rPr>
          <w:szCs w:val="24"/>
        </w:rPr>
        <w:t xml:space="preserve"> HR practices </w:t>
      </w:r>
      <w:r w:rsidR="00713F86" w:rsidRPr="00452E2E">
        <w:rPr>
          <w:szCs w:val="24"/>
        </w:rPr>
        <w:t>on</w:t>
      </w:r>
      <w:r w:rsidRPr="00452E2E">
        <w:rPr>
          <w:szCs w:val="24"/>
        </w:rPr>
        <w:t xml:space="preserve"> employee attitudes which is the focus of study 2. Certainly, issues involving employee perceptions of HR practices and employee attitudes are within the purview of employees; therefore study 2 is conducted at the individual level of analysis. A mixed methods research strategy which is embedded in a neo-positivist research philosophy </w:t>
      </w:r>
      <w:r w:rsidRPr="00452E2E">
        <w:rPr>
          <w:szCs w:val="24"/>
        </w:rPr>
        <w:fldChar w:fldCharType="begin" w:fldLock="1"/>
      </w:r>
      <w:r w:rsidRPr="00452E2E">
        <w:rPr>
          <w:szCs w:val="24"/>
        </w:rPr>
        <w:instrText>ADDIN CSL_CITATION { "citationItems" : [ { "id" : "ITEM-1",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"ITEM-1", "issued" : { "date-parts" : [ [ "2012" ] ] }, "page" : "15-34", "publisher" : "SAGE", "publisher-place" : "London", "title" : "Philosophies underpinning qualitative research", "type" : "chapter" }, "uris" : [ "http://www.mendeley.com/documents/?uuid=e58728df-d537-4f3e-bf54-129d677c48be" ] } ], "mendeley" : { "formattedCitation" : "(Duberley et al. 2012)", "manualFormatting" : "(Duberley et al., 2012)", "plainTextFormattedCitation" : "(Duberley et al. 2012)", "previouslyFormattedCitation" : "(Duberley et al. 2012)" }, "properties" : { "noteIndex" : 0 }, "schema" : "https://github.com/citation-style-language/schema/raw/master/csl-citation.json" }</w:instrText>
      </w:r>
      <w:r w:rsidRPr="00452E2E">
        <w:rPr>
          <w:szCs w:val="24"/>
        </w:rPr>
        <w:fldChar w:fldCharType="separate"/>
      </w:r>
      <w:r w:rsidRPr="00452E2E">
        <w:rPr>
          <w:noProof/>
          <w:szCs w:val="24"/>
        </w:rPr>
        <w:t xml:space="preserve">(Duberley </w:t>
      </w:r>
      <w:r w:rsidRPr="00452E2E">
        <w:rPr>
          <w:i/>
          <w:noProof/>
          <w:szCs w:val="24"/>
        </w:rPr>
        <w:t>et al</w:t>
      </w:r>
      <w:r w:rsidRPr="00452E2E">
        <w:rPr>
          <w:noProof/>
          <w:szCs w:val="24"/>
        </w:rPr>
        <w:t>., 2012)</w:t>
      </w:r>
      <w:r w:rsidRPr="00452E2E">
        <w:rPr>
          <w:szCs w:val="24"/>
        </w:rPr>
        <w:fldChar w:fldCharType="end"/>
      </w:r>
      <w:r w:rsidRPr="00452E2E">
        <w:rPr>
          <w:szCs w:val="24"/>
        </w:rPr>
        <w:t xml:space="preserve"> is adopted for the research which means that efforts were made to </w:t>
      </w:r>
      <w:r w:rsidRPr="00452E2E">
        <w:rPr>
          <w:szCs w:val="24"/>
        </w:rPr>
        <w:lastRenderedPageBreak/>
        <w:t xml:space="preserve">objectively conduct the qualitative aspect of the research </w:t>
      </w:r>
      <w:r w:rsidRPr="00452E2E">
        <w:rPr>
          <w:szCs w:val="24"/>
        </w:rPr>
        <w:fldChar w:fldCharType="begin" w:fldLock="1"/>
      </w:r>
      <w:r w:rsidRPr="00452E2E">
        <w:rPr>
          <w:szCs w:val="24"/>
        </w:rPr>
        <w:instrText>ADDIN CSL_CITATION { "citationItems" : [ { "id" : "ITEM-1",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"ITEM-1", "issued" : { "date-parts" : [ [ "2012" ] ] }, "page" : "15-34", "publisher" : "SAGE", "publisher-place" : "London", "title" : "Philosophies underpinning qualitative research", "type" : "chapter" }, "uris" : [ "http://www.mendeley.com/documents/?uuid=e58728df-d537-4f3e-bf54-129d677c48be" ] }, { "id" : "ITEM-2",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"ITEM-2", "issue" : "4", "issued" : { "date-parts" : [ [ "2015" ] ] }, "page" : "760-776", "title" : "Inductive praxis and management research: towards a reflexive framework", "type" : "article-journal", "volume" : "26" }, "uris" : [ "http://www.mendeley.com/documents/?uuid=f9176601-aa58-4266-aecd-97878aa30f90" ] } ], "mendeley" : { "formattedCitation" : "(Duberley et al. 2012; Johnson &amp; Duberley 2015)", "manualFormatting" : "(Duberley et al., 2012; Johnson &amp; Duberley, 2015)", "plainTextFormattedCitation" : "(Duberley et al. 2012; Johnson &amp; Duberley 2015)", "previouslyFormattedCitation" : "(Duberley et al. 2012; Johnson &amp; Duberley 2015)" }, "properties" : { "noteIndex" : 0 }, "schema" : "https://github.com/citation-style-language/schema/raw/master/csl-citation.json" }</w:instrText>
      </w:r>
      <w:r w:rsidRPr="00452E2E">
        <w:rPr>
          <w:szCs w:val="24"/>
        </w:rPr>
        <w:fldChar w:fldCharType="separate"/>
      </w:r>
      <w:r w:rsidRPr="00452E2E">
        <w:rPr>
          <w:noProof/>
          <w:szCs w:val="24"/>
        </w:rPr>
        <w:t xml:space="preserve">(Duberley </w:t>
      </w:r>
      <w:r w:rsidRPr="00452E2E">
        <w:rPr>
          <w:i/>
          <w:noProof/>
          <w:szCs w:val="24"/>
        </w:rPr>
        <w:t>et al</w:t>
      </w:r>
      <w:r w:rsidRPr="00452E2E">
        <w:rPr>
          <w:noProof/>
          <w:szCs w:val="24"/>
        </w:rPr>
        <w:t>., 2012; Johnson &amp; Duberley, 2015)</w:t>
      </w:r>
      <w:r w:rsidRPr="00452E2E">
        <w:rPr>
          <w:szCs w:val="24"/>
        </w:rPr>
        <w:fldChar w:fldCharType="end"/>
      </w:r>
      <w:r w:rsidRPr="00452E2E">
        <w:rPr>
          <w:szCs w:val="24"/>
        </w:rPr>
        <w:t xml:space="preserve">. </w:t>
      </w:r>
      <w:r w:rsidR="00635248" w:rsidRPr="00452E2E">
        <w:rPr>
          <w:szCs w:val="24"/>
        </w:rPr>
        <w:t>This will be further explained in chapter 4.</w:t>
      </w:r>
    </w:p>
    <w:p w:rsidR="00D03A8E" w:rsidRPr="00452E2E" w:rsidRDefault="00C52EA4" w:rsidP="00170224">
      <w:pPr>
        <w:pStyle w:val="Heading3"/>
      </w:pPr>
      <w:bookmarkStart w:id="30" w:name="_Toc465271164"/>
      <w:bookmarkStart w:id="31" w:name="_Toc473808103"/>
      <w:r w:rsidRPr="00452E2E">
        <w:t>1.8</w:t>
      </w:r>
      <w:r w:rsidR="00D03A8E" w:rsidRPr="00452E2E">
        <w:t xml:space="preserve"> Structure of the Thesis</w:t>
      </w:r>
      <w:bookmarkEnd w:id="30"/>
      <w:bookmarkEnd w:id="31"/>
    </w:p>
    <w:p w:rsidR="00D03A8E" w:rsidRPr="00452E2E" w:rsidRDefault="00D03A8E" w:rsidP="00D03A8E">
      <w:pPr>
        <w:spacing w:line="360" w:lineRule="auto"/>
        <w:jc w:val="both"/>
      </w:pPr>
      <w:r w:rsidRPr="00452E2E">
        <w:t xml:space="preserve">This thesis is organized into </w:t>
      </w:r>
      <w:r w:rsidR="00156C4A" w:rsidRPr="00452E2E">
        <w:t>nine</w:t>
      </w:r>
      <w:r w:rsidRPr="00452E2E">
        <w:t xml:space="preserve"> chapters, including the present one. In chapter 2, an overview of HRM is presented</w:t>
      </w:r>
      <w:r w:rsidR="00265D57" w:rsidRPr="00452E2E">
        <w:t>,</w:t>
      </w:r>
      <w:r w:rsidRPr="00452E2E">
        <w:t xml:space="preserve"> together with the institutional frameworks for understanding HRM. The institutional frameworks for understanding HRM covered in the chapter are: the economic perspective, new institutionalism, varieties of capitalism approach, business system theory and a discussion of institutional diversity. An understanding of these institutional frameworks is important to the research since one of the objectives of the research is to explore the influence of institutions on HRM in </w:t>
      </w:r>
      <w:r w:rsidR="0044165C" w:rsidRPr="00452E2E">
        <w:t xml:space="preserve">the </w:t>
      </w:r>
      <w:r w:rsidRPr="00452E2E">
        <w:t xml:space="preserve">public and private sector in Nigeria. Besides, these frameworks are important for providing directions in which to look in the course of qualitative data analysis. In addition, since another objective of the research is to examine the specific techniques of HRM adopted in </w:t>
      </w:r>
      <w:r w:rsidR="00C34A05" w:rsidRPr="00452E2E">
        <w:t xml:space="preserve">the </w:t>
      </w:r>
      <w:r w:rsidRPr="00452E2E">
        <w:t xml:space="preserve">public and private sector, the chapter also discusses </w:t>
      </w:r>
      <w:r w:rsidR="00B31FC2" w:rsidRPr="00452E2E">
        <w:t xml:space="preserve">and explains the selection of </w:t>
      </w:r>
      <w:r w:rsidRPr="00452E2E">
        <w:t xml:space="preserve">four HR practices (recruitment and selection, training, employee benefits and employee participation) that are included in the research. </w:t>
      </w:r>
    </w:p>
    <w:p w:rsidR="00D03A8E" w:rsidRPr="00452E2E" w:rsidRDefault="00D03A8E" w:rsidP="00D03A8E">
      <w:pPr>
        <w:spacing w:line="360" w:lineRule="auto"/>
        <w:jc w:val="both"/>
      </w:pPr>
      <w:r w:rsidRPr="00452E2E">
        <w:t xml:space="preserve">Chapter 3 focuses on reviewing literature on the effects of HR practices on employee attitudes in line with the objective of the study. The chapter begins with an overview of research on HR practices and organizational performance in order to make a case for why it is important to examine the effects of HR practices from the perspective of employees. </w:t>
      </w:r>
      <w:r w:rsidR="006A7D73" w:rsidRPr="00452E2E">
        <w:t>After defining the concept of employee attitudes, the chapter proceeds by discussing</w:t>
      </w:r>
      <w:r w:rsidRPr="00452E2E">
        <w:t xml:space="preserve"> </w:t>
      </w:r>
      <w:r w:rsidR="006A7D73" w:rsidRPr="00452E2E">
        <w:t xml:space="preserve">the theoretical link between HR practices and employee attitudes. Thereafter, </w:t>
      </w:r>
      <w:r w:rsidRPr="00452E2E">
        <w:t xml:space="preserve">studies on the effects of HR practices </w:t>
      </w:r>
      <w:r w:rsidR="0040275C" w:rsidRPr="00452E2E">
        <w:t>on</w:t>
      </w:r>
      <w:r w:rsidRPr="00452E2E">
        <w:t xml:space="preserve"> employee attitudes </w:t>
      </w:r>
      <w:r w:rsidR="00632C95" w:rsidRPr="00452E2E">
        <w:t>in the shape of</w:t>
      </w:r>
      <w:r w:rsidRPr="00452E2E">
        <w:t xml:space="preserve"> job satisfaction and organizational commitment are presented in a bid to </w:t>
      </w:r>
      <w:r w:rsidR="006405FB" w:rsidRPr="00452E2E">
        <w:t xml:space="preserve">show the link between HR practices and these attitudinal variables and </w:t>
      </w:r>
      <w:r w:rsidR="00F80DCE" w:rsidRPr="00452E2E">
        <w:t xml:space="preserve">to </w:t>
      </w:r>
      <w:r w:rsidRPr="00452E2E">
        <w:t xml:space="preserve">identify some </w:t>
      </w:r>
      <w:r w:rsidR="00B45052" w:rsidRPr="00452E2E">
        <w:t xml:space="preserve">of </w:t>
      </w:r>
      <w:r w:rsidRPr="00452E2E">
        <w:t xml:space="preserve">the research gaps that the current study seeks to fill. </w:t>
      </w:r>
    </w:p>
    <w:p w:rsidR="00D03A8E" w:rsidRPr="00452E2E" w:rsidRDefault="00D03A8E" w:rsidP="00D03A8E">
      <w:pPr>
        <w:spacing w:line="360" w:lineRule="auto"/>
        <w:jc w:val="both"/>
      </w:pPr>
      <w:r w:rsidRPr="00452E2E">
        <w:t xml:space="preserve">In chapter 4, the methodology used for conducting the present research is discussed. After discussing the philosophical position adopted in this research, the research design is presented. The chapter indicates that the current research is divided into 2 studies labelled as study 1 and study 2. In study 1, the influence </w:t>
      </w:r>
      <w:r w:rsidRPr="00452E2E">
        <w:lastRenderedPageBreak/>
        <w:t>of HRM on institutions and the specific techniques of HRM adopted in public and private organizations are covered, with data collected from HR managers. Study 2 deals with the effects of HR practices on employee attitude</w:t>
      </w:r>
      <w:r w:rsidR="00786EAD" w:rsidRPr="00452E2E">
        <w:t>s</w:t>
      </w:r>
      <w:r w:rsidRPr="00452E2E">
        <w:t xml:space="preserve">. The methods of data analysis for each </w:t>
      </w:r>
      <w:r w:rsidR="002C35D9" w:rsidRPr="00452E2E">
        <w:t xml:space="preserve">of </w:t>
      </w:r>
      <w:r w:rsidRPr="00452E2E">
        <w:t xml:space="preserve">these studies is presented whilst the chapter concludes by outlining the ethical issues that were addressed in the research. </w:t>
      </w:r>
    </w:p>
    <w:p w:rsidR="00D03A8E" w:rsidRPr="00452E2E" w:rsidRDefault="00D03A8E" w:rsidP="00D03A8E">
      <w:pPr>
        <w:spacing w:line="360" w:lineRule="auto"/>
        <w:jc w:val="both"/>
      </w:pPr>
      <w:r w:rsidRPr="00452E2E">
        <w:t>Data presentation and findings from study 1 is the focus of chapter 5 of this thesis. In this chapter, the results of both quantitative and qualitative data analysis on the influence of institutions on HRM are presented. This is followed b</w:t>
      </w:r>
      <w:r w:rsidR="00653C2E" w:rsidRPr="00452E2E">
        <w:t>y the presentation of results of</w:t>
      </w:r>
      <w:r w:rsidRPr="00452E2E">
        <w:t xml:space="preserve"> the specific techniques of HRM adopted in public and private sector in Nigeria. Chapter 6 deals with theorizing and hypotheses for study 2. The chapter draws on existing theories such </w:t>
      </w:r>
      <w:r w:rsidR="00EC7770" w:rsidRPr="00452E2E">
        <w:t>as the ability, motivation and opportunity (AMO)</w:t>
      </w:r>
      <w:r w:rsidRPr="00452E2E">
        <w:t xml:space="preserve"> framework, social exchange theory, organizational justice theory and attribution theory to develop hypotheses for study 2. In addition, the chapter draws from the findings from study 1 presented in chapter</w:t>
      </w:r>
      <w:r w:rsidR="00697323" w:rsidRPr="00452E2E">
        <w:t xml:space="preserve"> 5 as a basis for developing</w:t>
      </w:r>
      <w:r w:rsidRPr="00452E2E">
        <w:t xml:space="preserve"> some context-specific hypotheses for study 2.</w:t>
      </w:r>
    </w:p>
    <w:p w:rsidR="00D03A8E" w:rsidRPr="00452E2E" w:rsidRDefault="00D03A8E" w:rsidP="00D03A8E">
      <w:pPr>
        <w:spacing w:line="360" w:lineRule="auto"/>
        <w:jc w:val="both"/>
      </w:pPr>
      <w:r w:rsidRPr="00452E2E">
        <w:t xml:space="preserve">The analysis of data and tests of hypotheses for study 2 is the focus of chapter 7. After establishing construct validity and reliability of the measures used in the study, the chapter proceeds with presentation of results from hypotheses testing. The tests of hypotheses begins with the tests </w:t>
      </w:r>
      <w:r w:rsidR="003A5F38" w:rsidRPr="00452E2E">
        <w:t>of</w:t>
      </w:r>
      <w:r w:rsidRPr="00452E2E">
        <w:t xml:space="preserve"> direct relationships for which multiple regre</w:t>
      </w:r>
      <w:r w:rsidR="00D07432" w:rsidRPr="00452E2E">
        <w:t>ssion analysis is used as a</w:t>
      </w:r>
      <w:r w:rsidRPr="00452E2E">
        <w:t xml:space="preserve"> statistic</w:t>
      </w:r>
      <w:r w:rsidR="00D07432" w:rsidRPr="00452E2E">
        <w:t>al tool</w:t>
      </w:r>
      <w:r w:rsidRPr="00452E2E">
        <w:t>. This is followed by tests of mediation effects and moderated mediation effects with the use of mediation statistics and moderated mediation analysis respectively. The chapter ends with a summary of results from the tests of hypotheses.</w:t>
      </w:r>
    </w:p>
    <w:p w:rsidR="001E1153" w:rsidRPr="00452E2E" w:rsidRDefault="0085557F" w:rsidP="00D03A8E">
      <w:pPr>
        <w:spacing w:line="360" w:lineRule="auto"/>
        <w:jc w:val="both"/>
      </w:pPr>
      <w:r w:rsidRPr="00452E2E">
        <w:t>C</w:t>
      </w:r>
      <w:r w:rsidR="00D03A8E" w:rsidRPr="00452E2E">
        <w:t xml:space="preserve">hapter 8 deals with a discussion of findings from study 1 and study 2 in line with the objectives of the research. </w:t>
      </w:r>
      <w:r w:rsidRPr="00452E2E">
        <w:t xml:space="preserve">The chapter begins </w:t>
      </w:r>
      <w:r w:rsidR="00FD1596" w:rsidRPr="00452E2E">
        <w:t xml:space="preserve">with a discussion of findings on the influence of institutions on HRM in the public and private sector in Nigeria, followed by a discussion of findings on the specific techniques of HRM adopted by public and private sector organizations in Nigeria. Thereafter, the findings on the effects of HR practices on employee attitudes in the public and private sector in Nigeria </w:t>
      </w:r>
      <w:r w:rsidR="001E1153" w:rsidRPr="00452E2E">
        <w:t>are</w:t>
      </w:r>
      <w:r w:rsidR="00FD1596" w:rsidRPr="00452E2E">
        <w:t xml:space="preserve"> discussed </w:t>
      </w:r>
      <w:r w:rsidR="001E1153" w:rsidRPr="00452E2E">
        <w:t>whilst the chapter ends with a discussion of the findings on the effect of sector on employee attitudes.</w:t>
      </w:r>
    </w:p>
    <w:p w:rsidR="00D03A8E" w:rsidRPr="00452E2E" w:rsidRDefault="001E1153" w:rsidP="00D03A8E">
      <w:pPr>
        <w:spacing w:line="360" w:lineRule="auto"/>
        <w:jc w:val="both"/>
      </w:pPr>
      <w:r w:rsidRPr="00452E2E">
        <w:lastRenderedPageBreak/>
        <w:t xml:space="preserve">The last chapter of the thesis which is chapter 9 deals with the conclusions drawn from the research. The chapter begins by presenting the </w:t>
      </w:r>
      <w:r w:rsidR="00D03A8E" w:rsidRPr="00452E2E">
        <w:t xml:space="preserve">conclusions </w:t>
      </w:r>
      <w:r w:rsidRPr="00452E2E">
        <w:t>and is</w:t>
      </w:r>
      <w:r w:rsidR="00D03A8E" w:rsidRPr="00452E2E">
        <w:t xml:space="preserve"> followed by the </w:t>
      </w:r>
      <w:r w:rsidRPr="00452E2E">
        <w:t xml:space="preserve">presentation of </w:t>
      </w:r>
      <w:r w:rsidR="00D03A8E" w:rsidRPr="00452E2E">
        <w:t xml:space="preserve">research contributions. In addition, the chapter presents the practical implications of the research to managers, trade unions and policy makers in Nigeria. The research limitations and directions for future research are presented whilst the chapter, and indeed the thesis, ends with a presentation of some final reflections. </w:t>
      </w:r>
    </w:p>
    <w:p w:rsidR="00D03A8E" w:rsidRPr="00452E2E" w:rsidRDefault="00D03A8E" w:rsidP="00D03A8E">
      <w:pPr>
        <w:pStyle w:val="Heading1"/>
        <w:numPr>
          <w:ilvl w:val="0"/>
          <w:numId w:val="0"/>
        </w:numPr>
      </w:pPr>
      <w:r w:rsidRPr="00452E2E">
        <w:br w:type="page"/>
      </w:r>
      <w:bookmarkStart w:id="32" w:name="_Toc473808104"/>
      <w:r w:rsidRPr="00452E2E">
        <w:lastRenderedPageBreak/>
        <w:t>CHAPTER TWO</w:t>
      </w:r>
      <w:bookmarkEnd w:id="32"/>
    </w:p>
    <w:p w:rsidR="00D03A8E" w:rsidRPr="00452E2E" w:rsidRDefault="00D03A8E" w:rsidP="00D03A8E">
      <w:pPr>
        <w:pStyle w:val="Heading2"/>
      </w:pPr>
      <w:bookmarkStart w:id="33" w:name="_Toc465271166"/>
      <w:bookmarkStart w:id="34" w:name="_Toc473808105"/>
      <w:r w:rsidRPr="00452E2E">
        <w:t>HUMAN RESOURCE MANAGEMENT AND INSTITUTIONAL APPROACHES</w:t>
      </w:r>
      <w:bookmarkEnd w:id="33"/>
      <w:bookmarkEnd w:id="34"/>
    </w:p>
    <w:p w:rsidR="00D03A8E" w:rsidRPr="00452E2E" w:rsidRDefault="00D03A8E" w:rsidP="00D03A8E"/>
    <w:p w:rsidR="00D03A8E" w:rsidRPr="00452E2E" w:rsidRDefault="00D03A8E" w:rsidP="00170224">
      <w:pPr>
        <w:pStyle w:val="Heading3"/>
      </w:pPr>
      <w:bookmarkStart w:id="35" w:name="_Toc465271167"/>
      <w:bookmarkStart w:id="36" w:name="_Toc473808106"/>
      <w:r w:rsidRPr="00452E2E">
        <w:t>2.1 Introduction</w:t>
      </w:r>
      <w:bookmarkEnd w:id="35"/>
      <w:bookmarkEnd w:id="36"/>
    </w:p>
    <w:p w:rsidR="00D03A8E" w:rsidRPr="00452E2E" w:rsidRDefault="00D03A8E" w:rsidP="00D03A8E">
      <w:pPr>
        <w:spacing w:line="360" w:lineRule="auto"/>
        <w:jc w:val="both"/>
        <w:rPr>
          <w:szCs w:val="24"/>
        </w:rPr>
      </w:pPr>
      <w:r w:rsidRPr="00452E2E">
        <w:rPr>
          <w:szCs w:val="24"/>
        </w:rPr>
        <w:t xml:space="preserve">The aim of this chapter is to </w:t>
      </w:r>
      <w:r w:rsidR="00C32043" w:rsidRPr="00452E2E">
        <w:rPr>
          <w:szCs w:val="24"/>
        </w:rPr>
        <w:t>discuss the concept</w:t>
      </w:r>
      <w:r w:rsidRPr="00452E2E">
        <w:rPr>
          <w:szCs w:val="24"/>
        </w:rPr>
        <w:t xml:space="preserve"> of HRM as well as the institutional approaches to understanding HRM. An understanding of the various institutional frameworks is important since one of the objectives of the research is to explore the influence of institutions on HRM in </w:t>
      </w:r>
      <w:r w:rsidR="00C32043" w:rsidRPr="00452E2E">
        <w:rPr>
          <w:szCs w:val="24"/>
        </w:rPr>
        <w:t xml:space="preserve">the </w:t>
      </w:r>
      <w:r w:rsidRPr="00452E2E">
        <w:rPr>
          <w:szCs w:val="24"/>
        </w:rPr>
        <w:t xml:space="preserve">public and private sector in Nigeria. Thus, a review of institutional approaches </w:t>
      </w:r>
      <w:r w:rsidR="00184EBB" w:rsidRPr="00452E2E">
        <w:rPr>
          <w:szCs w:val="24"/>
        </w:rPr>
        <w:t>can</w:t>
      </w:r>
      <w:r w:rsidRPr="00452E2E">
        <w:rPr>
          <w:szCs w:val="24"/>
        </w:rPr>
        <w:t xml:space="preserve"> provide directions in which to look whilst analysing qualitative data on the influence of institutions on HRM in Nigeria. In addition, since the research also seeks to examine the specific techniques of HRM used in </w:t>
      </w:r>
      <w:r w:rsidR="00B15C8D" w:rsidRPr="00452E2E">
        <w:rPr>
          <w:szCs w:val="24"/>
        </w:rPr>
        <w:t xml:space="preserve">the </w:t>
      </w:r>
      <w:r w:rsidRPr="00452E2E">
        <w:rPr>
          <w:szCs w:val="24"/>
        </w:rPr>
        <w:t xml:space="preserve">public and private sector in Nigeria, it is </w:t>
      </w:r>
      <w:r w:rsidR="00B15C8D" w:rsidRPr="00452E2E">
        <w:rPr>
          <w:szCs w:val="24"/>
        </w:rPr>
        <w:t>important</w:t>
      </w:r>
      <w:r w:rsidRPr="00452E2E">
        <w:rPr>
          <w:szCs w:val="24"/>
        </w:rPr>
        <w:t xml:space="preserve"> to discuss the HR practices covered in this research. Therefore, the chapter also discusses </w:t>
      </w:r>
      <w:r w:rsidR="00B15C8D" w:rsidRPr="00452E2E">
        <w:rPr>
          <w:szCs w:val="24"/>
        </w:rPr>
        <w:t xml:space="preserve">in detail </w:t>
      </w:r>
      <w:r w:rsidRPr="00452E2E">
        <w:rPr>
          <w:szCs w:val="24"/>
        </w:rPr>
        <w:t xml:space="preserve">the HR practices </w:t>
      </w:r>
      <w:r w:rsidR="00BE18AE" w:rsidRPr="00452E2E">
        <w:rPr>
          <w:szCs w:val="24"/>
        </w:rPr>
        <w:t xml:space="preserve">namely </w:t>
      </w:r>
      <w:r w:rsidRPr="00452E2E">
        <w:rPr>
          <w:szCs w:val="24"/>
        </w:rPr>
        <w:t>recruitment and selection, training, employee benef</w:t>
      </w:r>
      <w:r w:rsidR="00B15C8D" w:rsidRPr="00452E2E">
        <w:rPr>
          <w:szCs w:val="24"/>
        </w:rPr>
        <w:t>its and employee participation which are the</w:t>
      </w:r>
      <w:r w:rsidRPr="00452E2E">
        <w:rPr>
          <w:szCs w:val="24"/>
        </w:rPr>
        <w:t xml:space="preserve"> </w:t>
      </w:r>
      <w:r w:rsidR="00B15C8D" w:rsidRPr="00452E2E">
        <w:rPr>
          <w:szCs w:val="24"/>
        </w:rPr>
        <w:t>focus of the present research.</w:t>
      </w:r>
      <w:r w:rsidRPr="00452E2E">
        <w:rPr>
          <w:szCs w:val="24"/>
        </w:rPr>
        <w:t xml:space="preserve"> The chapter begins with a discussion of </w:t>
      </w:r>
      <w:r w:rsidR="00B15C8D" w:rsidRPr="00452E2E">
        <w:rPr>
          <w:szCs w:val="24"/>
        </w:rPr>
        <w:t xml:space="preserve">the </w:t>
      </w:r>
      <w:r w:rsidRPr="00452E2E">
        <w:rPr>
          <w:szCs w:val="24"/>
        </w:rPr>
        <w:t xml:space="preserve">concept of HRM, followed by the institutional frameworks for understanding HRM whilst the various HR practices included in this research are discussed. </w:t>
      </w:r>
    </w:p>
    <w:p w:rsidR="00D03A8E" w:rsidRPr="00452E2E" w:rsidRDefault="00D03A8E" w:rsidP="00170224">
      <w:pPr>
        <w:pStyle w:val="Heading3"/>
      </w:pPr>
      <w:bookmarkStart w:id="37" w:name="_Toc465271168"/>
      <w:bookmarkStart w:id="38" w:name="_Toc473808107"/>
      <w:r w:rsidRPr="00452E2E">
        <w:t>2.2 The Concept of HRM</w:t>
      </w:r>
      <w:bookmarkEnd w:id="37"/>
      <w:bookmarkEnd w:id="38"/>
    </w:p>
    <w:p w:rsidR="00D03A8E" w:rsidRPr="00452E2E" w:rsidRDefault="00D03A8E" w:rsidP="00D03A8E">
      <w:pPr>
        <w:spacing w:line="360" w:lineRule="auto"/>
        <w:jc w:val="both"/>
        <w:rPr>
          <w:szCs w:val="24"/>
        </w:rPr>
      </w:pPr>
      <w:r w:rsidRPr="00452E2E">
        <w:rPr>
          <w:szCs w:val="24"/>
        </w:rPr>
        <w:t xml:space="preserve">HRM as an academic discipline originated from USA in the 1980s and has gained popularity around the world in the three decades or so, of its existence </w:t>
      </w:r>
      <w:r w:rsidRPr="00452E2E">
        <w:rPr>
          <w:szCs w:val="24"/>
        </w:rPr>
        <w:fldChar w:fldCharType="begin" w:fldLock="1"/>
      </w:r>
      <w:r w:rsidRPr="00452E2E">
        <w:rPr>
          <w:szCs w:val="24"/>
        </w:rPr>
        <w:instrText>ADDIN CSL_CITATION { "citationItems" : [ { "id" : "ITEM-1", "itemData" : { "abstract" : "TheUS originated notion ofHRMhas been widely accepted across the world \u2013 and also widely criticized. The underlying features of the European economy are different from those of the USA and it is argued that these have led to a different approach to HRM being developed in Europe. Differences in features such as more limited individualism, a greater role for the State, different patterns of consultation and patterns of ownership, are linked to these different practices and have led to more varied patterns of research and a more critical literature. Keywords", "author" : [ { "dropping-particle" : "", "family" : "Brewster", "given" : "Chris", "non-dropping-particle" : "", "parse-names" : false, "suffix" : "" } ], "container-title" : "The International Journal of Human Resource Management", "id" : "ITEM-1", "issue" : "5", "issued" : { "date-parts" : [ [ "2007" ] ] }, "page" : "769-787", "title" : "Comparative HRM: European views and perspectives", "type" : "article-journal", "volume" : "18" }, "uris" : [ "http://www.mendeley.com/documents/?uuid=2eadcb0b-8992-405b-87d6-41610c41b626" ] }, { "id" : "ITEM-2", "itemData" : { "author" : [ { "dropping-particle" : "", "family" : "Torrington", "given" : "Derek", "non-dropping-particle" : "", "parse-names" : false, "suffix" : "" }, { "dropping-particle" : "", "family" : "Hall", "given" : "Laura", "non-dropping-particle" : "", "parse-names" : false, "suffix" : "" }, { "dropping-particle" : "", "family" : "Taylor", "given" : "Stephen", "non-dropping-particle" : "", "parse-names" : false, "suffix" : "" }, { "dropping-particle" : "", "family" : "Atkinson", "given" : "C.", "non-dropping-particle" : "", "parse-names" : false, "suffix" : "" } ], "edition" : "8th ed", "id" : "ITEM-2", "issued" : { "date-parts" : [ [ "2011" ] ] }, "publisher" : "FT Prentice Hall", "publisher-place" : "London", "title" : "Human resource management", "type" : "book" }, "uris" : [ "http://www.mendeley.com/documents/?uuid=ecd68887-be2b-4cd3-96be-9e36a1baf71d" ] }, { "id" : "ITEM-3",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"ITEM-3", "issued" : { "date-parts" : [ [ "2012" ] ] }, "page" : "1-23", "publisher" : "Edward Elgar", "publisher-place" : "Cheltenham, UK", "title" : "Comparative human resource management: An introduction", "type" : "chapter" }, "uris" : [ "http://www.mendeley.com/documents/?uuid=3c9bc995-b399-4f2b-920d-18cfbc74a1c0" ] }, { "id" : "ITEM-4", "itemData" : { "author" : [ { "dropping-particle" : "", "family" : "Marchington", "given" : "Mick", "non-dropping-particle" : "", "parse-names" : false, "suffix" : "" }, { "dropping-particle" : "", "family" : "Wilkinson", "given" : "Adrian", "non-dropping-particle" : "", "parse-names" : false, "suffix" : "" } ], "edition" : "5th ed", "id" : "ITEM-4", "issued" : { "date-parts" : [ [ "2012" ] ] }, "publisher" : "CIPD", "publisher-place" : "London", "title" : "Human resource management at work", "type" : "book" }, "uris" : [ "http://www.mendeley.com/documents/?uuid=00375df4-0f41-4f42-8864-7812c725028e" ] }, { "id" : "ITEM-5", "itemData" : { "author" : [ { "dropping-particle" : "", "family" : "Redman", "given" : "Tom", "non-dropping-particle" : "", "parse-names" : false, "suffix" : "" }, { "dropping-particle" : "", "family" : "Wilkinson", "given" : "Adrian", "non-dropping-particle" : "", "parse-names" : false, "suffix" : "" } ],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"ITEM-5", "issued" : { "date-parts" : [ [ "2013" ] ] }, "page" : "4-40", "publisher" : "Pearson", "publisher-place" : "Harlow", "title" : "Human resource management: A contemporary perspective", "type" : "chapter" }, "uris" : [ "http://www.mendeley.com/documents/?uuid=ebd96ca0-e697-4756-bb71-d99cffc2358d" ] }, { "id" : "ITEM-6",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"Beer", "given" : "M", "non-dropping-particle" : "", "parse-names" : false, "suffix" : "" }, { "dropping-particle" : "", "family" : "Boselie", "given" : "Paul", "non-dropping-particle" : "", "parse-names" : false, "suffix" : "" }, { "dropping-particle" : "", "family" : "Brewster", "given" : "Chris", "non-dropping-particle" : "", "parse-names" : false, "suffix" : "" } ], "container-title" : "Human Resource Management", "id" : "ITEM-6", "issue" : "3", "issued" : { "date-parts" : [ [ "2015" ] ] }, "page" : "427-438", "title" : "Back to the future: Implications for the field of HRM of the multistakeholder perspective proposed 30 years ago", "type" : "article-journal", "volume" : "54" }, "uris" : [ "http://www.mendeley.com/documents/?uuid=a5760126-a198-4f9d-a07d-954814d16d69" ] } ], "mendeley" : { "formattedCitation" : "(Brewster 2007; Torrington et al. 2011; Brewster &amp; Mayrhofer 2012; Marchington &amp; Wilkinson 2012; Redman &amp; Wilkinson 2013; Beer et al. 2015)", "manualFormatting" : "(Brewster, 2007; Torrington et al., 2011; Brewster &amp; Mayrhofer, 2012; Marchington &amp; Wilkinson, 2012; Redman &amp; Wilkinson, 2013; Beer et al., 2015)", "plainTextFormattedCitation" : "(Brewster 2007; Torrington et al. 2011; Brewster &amp; Mayrhofer 2012; Marchington &amp; Wilkinson 2012; Redman &amp; Wilkinson 2013; Beer et al. 2015)", "previouslyFormattedCitation" : "(Brewster 2007; Torrington et al. 2011; Brewster &amp; Mayrhofer 2012; Marchington &amp; Wilkinson 2012; Redman &amp; Wilkinson 2013; Beer et al. 2015)" }, "properties" : { "noteIndex" : 0 }, "schema" : "https://github.com/citation-style-language/schema/raw/master/csl-citation.json" }</w:instrText>
      </w:r>
      <w:r w:rsidRPr="00452E2E">
        <w:rPr>
          <w:szCs w:val="24"/>
        </w:rPr>
        <w:fldChar w:fldCharType="separate"/>
      </w:r>
      <w:r w:rsidRPr="00452E2E">
        <w:rPr>
          <w:noProof/>
          <w:szCs w:val="24"/>
        </w:rPr>
        <w:t xml:space="preserve">(Brewster, 2007; Torrington </w:t>
      </w:r>
      <w:r w:rsidRPr="00452E2E">
        <w:rPr>
          <w:i/>
          <w:noProof/>
          <w:szCs w:val="24"/>
        </w:rPr>
        <w:t>et al</w:t>
      </w:r>
      <w:r w:rsidRPr="00452E2E">
        <w:rPr>
          <w:noProof/>
          <w:szCs w:val="24"/>
        </w:rPr>
        <w:t xml:space="preserve">., 2011; Brewster &amp; Mayrhofer, 2012; Marchington &amp; Wilkinson, 2012; Redman &amp; Wilkinson, 2013; Beer </w:t>
      </w:r>
      <w:r w:rsidRPr="00452E2E">
        <w:rPr>
          <w:i/>
          <w:noProof/>
          <w:szCs w:val="24"/>
        </w:rPr>
        <w:t>et al</w:t>
      </w:r>
      <w:r w:rsidRPr="00452E2E">
        <w:rPr>
          <w:noProof/>
          <w:szCs w:val="24"/>
        </w:rPr>
        <w:t>., 2015)</w:t>
      </w:r>
      <w:r w:rsidRPr="00452E2E">
        <w:rPr>
          <w:szCs w:val="24"/>
        </w:rPr>
        <w:fldChar w:fldCharType="end"/>
      </w:r>
      <w:r w:rsidRPr="00452E2E">
        <w:rPr>
          <w:szCs w:val="24"/>
        </w:rPr>
        <w:t xml:space="preserve">. However, there is no universally accepted definition of HRM in spite of the wide attention the subject has received over the years </w:t>
      </w:r>
      <w:r w:rsidRPr="00452E2E">
        <w:rPr>
          <w:szCs w:val="24"/>
        </w:rPr>
        <w:fldChar w:fldCharType="begin" w:fldLock="1"/>
      </w:r>
      <w:r w:rsidRPr="00452E2E">
        <w:rPr>
          <w:szCs w:val="24"/>
        </w:rPr>
        <w:instrText>ADDIN CSL_CITATION { "citationItems" : [ { "id" : "ITEM-1", "itemData" : { "author" : [ { "dropping-particle" : "", "family" : "Boxall", "given" : "Peter", "non-dropping-particle" : "", "parse-names" : false, "suffix" : "" }, { "dropping-particle" : "", "family" : "Purcell", "given" : "John", "non-dropping-particle" : "", "parse-names" : false, "suffix" : "" }, { "dropping-particle" : "", "family" : "Wright", "given" : "Patrick M.", "non-dropping-particle" : "", "parse-names" : false, "suffix" : "" } ], "container-title" : "The Oxford handbook of human resource management", "editor" : [ { "dropping-particle" : "", "family" : "Boxall", "given" : "Peter", "non-dropping-particle" : "", "parse-names" : false, "suffix" : "" }, { "dropping-particle" : "", "family" : "Purcell", "given" : "John", "non-dropping-particle" : "", "parse-names" : false, "suffix" : "" }, { "dropping-particle" : "", "family" : "Wright", "given" : "Patrick M.", "non-dropping-particle" : "", "parse-names" : false, "suffix" : "" } ], "id" : "ITEM-1", "issued" : { "date-parts" : [ [ "2007" ] ] }, "page" : "1-16", "publisher" : "Oxford University Press", "publisher-place" : "Oxford", "title" : "Human resource management: Scope, analysis, and significance", "type" : "chapter" }, "uris" : [ "http://www.mendeley.com/documents/?uuid=ab298f2e-3314-428c-b4d6-c5bdf55df3f9" ] }, { "id" : "ITEM-2", "itemData" : { "author" : [ { "dropping-particle" : "", "family" : "Torrington", "given" : "Derek", "non-dropping-particle" : "", "parse-names" : false, "suffix" : "" }, { "dropping-particle" : "", "family" : "Hall", "given" : "Laura", "non-dropping-particle" : "", "parse-names" : false, "suffix" : "" }, { "dropping-particle" : "", "family" : "Taylor", "given" : "Stephen", "non-dropping-particle" : "", "parse-names" : false, "suffix" : "" }, { "dropping-particle" : "", "family" : "Atkinson", "given" : "C.", "non-dropping-particle" : "", "parse-names" : false, "suffix" : "" } ], "edition" : "8th ed", "id" : "ITEM-2", "issued" : { "date-parts" : [ [ "2011" ] ] }, "publisher" : "FT Prentice Hall", "publisher-place" : "London", "title" : "Human resource management", "type" : "book" }, "uris" : [ "http://www.mendeley.com/documents/?uuid=ecd68887-be2b-4cd3-96be-9e36a1baf71d" ] }, { "id" : "ITEM-3", "itemData" : { "author" : [ { "dropping-particle" : "", "family" : "Marchington", "given" : "Mick", "non-dropping-particle" : "", "parse-names" : false, "suffix" : "" }, { "dropping-particle" : "", "family" : "Wilkinson", "given" : "Adrian", "non-dropping-particle" : "", "parse-names" : false, "suffix" : "" } ], "edition" : "5th ed", "id" : "ITEM-3", "issued" : { "date-parts" : [ [ "2012" ] ] }, "publisher" : "CIPD", "publisher-place" : "London", "title" : "Human resource management at work", "type" : "book" }, "uris" : [ "http://www.mendeley.com/documents/?uuid=00375df4-0f41-4f42-8864-7812c725028e" ] } ], "mendeley" : { "formattedCitation" : "(Boxall et al. 2007; Torrington et al. 2011; Marchington &amp; Wilkinson 2012)", "manualFormatting" : "(Boxall et al., 2007; Torrington et al., 2011; Marchington &amp; Wilkinson, 2012)", "plainTextFormattedCitation" : "(Boxall et al. 2007; Torrington et al. 2011; Marchington &amp; Wilkinson 2012)", "previouslyFormattedCitation" : "(Boxall et al. 2007; Torrington et al. 2011; Marchington &amp; Wilkinson 2012)" }, "properties" : { "noteIndex" : 0 }, "schema" : "https://github.com/citation-style-language/schema/raw/master/csl-citation.json" }</w:instrText>
      </w:r>
      <w:r w:rsidRPr="00452E2E">
        <w:rPr>
          <w:szCs w:val="24"/>
        </w:rPr>
        <w:fldChar w:fldCharType="separate"/>
      </w:r>
      <w:r w:rsidRPr="00452E2E">
        <w:rPr>
          <w:noProof/>
          <w:szCs w:val="24"/>
        </w:rPr>
        <w:t xml:space="preserve">(Boxall </w:t>
      </w:r>
      <w:r w:rsidRPr="00452E2E">
        <w:rPr>
          <w:i/>
          <w:noProof/>
          <w:szCs w:val="24"/>
        </w:rPr>
        <w:t>et al</w:t>
      </w:r>
      <w:r w:rsidRPr="00452E2E">
        <w:rPr>
          <w:noProof/>
          <w:szCs w:val="24"/>
        </w:rPr>
        <w:t xml:space="preserve">., 2007; Torrington </w:t>
      </w:r>
      <w:r w:rsidRPr="00452E2E">
        <w:rPr>
          <w:i/>
          <w:noProof/>
          <w:szCs w:val="24"/>
        </w:rPr>
        <w:t>et al</w:t>
      </w:r>
      <w:r w:rsidRPr="00452E2E">
        <w:rPr>
          <w:noProof/>
          <w:szCs w:val="24"/>
        </w:rPr>
        <w:t>., 2011; Marchington &amp; Wilkinson, 2012)</w:t>
      </w:r>
      <w:r w:rsidRPr="00452E2E">
        <w:rPr>
          <w:szCs w:val="24"/>
        </w:rPr>
        <w:fldChar w:fldCharType="end"/>
      </w:r>
      <w:r w:rsidRPr="00452E2E">
        <w:rPr>
          <w:szCs w:val="24"/>
        </w:rPr>
        <w:t xml:space="preserve">. Different philosophies and ideologies exist about what is, or what should constitute HRM, resulting </w:t>
      </w:r>
      <w:r w:rsidR="00E86596" w:rsidRPr="00452E2E">
        <w:rPr>
          <w:szCs w:val="24"/>
        </w:rPr>
        <w:t>in</w:t>
      </w:r>
      <w:r w:rsidRPr="00452E2E">
        <w:rPr>
          <w:szCs w:val="24"/>
        </w:rPr>
        <w:t xml:space="preserve"> increased difficulty in defining the concept </w:t>
      </w:r>
      <w:r w:rsidRPr="00452E2E">
        <w:rPr>
          <w:szCs w:val="24"/>
        </w:rPr>
        <w:fldChar w:fldCharType="begin" w:fldLock="1"/>
      </w:r>
      <w:r w:rsidRPr="00452E2E">
        <w:rPr>
          <w:szCs w:val="24"/>
        </w:rPr>
        <w:instrText>ADDIN CSL_CITATION { "citationItems" : [ { "id" : "ITEM-1", "itemData" : { "author" : [ { "dropping-particle" : "", "family" : "Beardwell", "given" : "Julie", "non-dropping-particle" : "", "parse-names" : false, "suffix" : "" }, { "dropping-particle" : "", "family" : "Clark", "given" : "Ian", "non-dropping-particle" : "", "parse-names" : false, "suffix" : "" } ], "container-title" : "Human resource management: A contemporary approach", "edition" : "5th ed", "editor" : [ { "dropping-particle" : "", "family" : "Beardwell", "given" : "Julie", "non-dropping-particle" : "", "parse-names" : false, "suffix" : "" }, { "dropping-particle" : "", "family" : "Claydon", "given" : "Tim", "non-dropping-particle" : "", "parse-names" : false, "suffix" : "" } ], "id" : "ITEM-1", "issued" : { "date-parts" : [ [ "2007" ] ] }, "page" : "4-33", "publisher" : "FT/Prentice Hall", "publisher-place" : "Harlow", "title" : "An introduction to human resource management", "type" : "chapter" }, "uris" : [ "http://www.mendeley.com/documents/?uuid=4fe7b6eb-ad0f-401a-9e47-1744cccffef2" ] }, { "id" : "ITEM-2", "itemData" : { "author" : [ { "dropping-particle" : "", "family" : "Gilmore", "given" : "Sarah", "non-dropping-particle" : "", "parse-names" : false, "suffix" : "" } ], "container-title" : "Human resource management", "editor" : [ { "dropping-particle" : "", "family" : "Gilmore", "given" : "Sarah", "non-dropping-particle" : "", "parse-names" : false, "suffix" : "" }, { "dropping-particle" : "", "family" : "Williams", "given" : "Steve", "non-dropping-particle" : "", "parse-names" : false, "suffix" : "" } ], "id" : "ITEM-2", "issued" : { "date-parts" : [ [ "2009" ] ] }, "page" : "2-23", "publisher" : "Oxford University Press", "publisher-place" : "New York", "title" : "Introducing human resource management", "type" : "chapter" }, "uris" : [ "http://www.mendeley.com/documents/?uuid=64e85429-3d5b-49fb-9947-ae4d89f35009" ] }, { "id" : "ITEM-3", "itemData" : { "author" : [ { "dropping-particle" : "", "family" : "Marchington", "given" : "Mick", "non-dropping-particle" : "", "parse-names" : false, "suffix" : "" }, { "dropping-particle" : "", "family" : "Wilkinson", "given" : "Adrian", "non-dropping-particle" : "", "parse-names" : false, "suffix" : "" } ], "edition" : "5th ed", "id" : "ITEM-3", "issued" : { "date-parts" : [ [ "2012" ] ] }, "publisher" : "CIPD", "publisher-place" : "London", "title" : "Human resource management at work", "type" : "book" }, "uris" : [ "http://www.mendeley.com/documents/?uuid=00375df4-0f41-4f42-8864-7812c725028e" ] } ], "mendeley" : { "formattedCitation" : "(Beardwell &amp; Clark 2007; Gilmore 2009; Marchington &amp; Wilkinson 2012)", "manualFormatting" : "(Beardwell &amp; Clark, 2007; Gilmore, 2009; Marchington &amp; Wilkinson, 2012)", "plainTextFormattedCitation" : "(Beardwell &amp; Clark 2007; Gilmore 2009; Marchington &amp; Wilkinson 2012)", "previouslyFormattedCitation" : "(Beardwell &amp; Clark 2007; Gilmore 2009; Marchington &amp; Wilkinson 2012)" }, "properties" : { "noteIndex" : 0 }, "schema" : "https://github.com/citation-style-language/schema/raw/master/csl-citation.json" }</w:instrText>
      </w:r>
      <w:r w:rsidRPr="00452E2E">
        <w:rPr>
          <w:szCs w:val="24"/>
        </w:rPr>
        <w:fldChar w:fldCharType="separate"/>
      </w:r>
      <w:r w:rsidRPr="00452E2E">
        <w:rPr>
          <w:noProof/>
          <w:szCs w:val="24"/>
        </w:rPr>
        <w:t>(Beardwell &amp; Clark, 2007; Gilmore, 2009; Marchington &amp; Wilkinson, 2012)</w:t>
      </w:r>
      <w:r w:rsidRPr="00452E2E">
        <w:rPr>
          <w:szCs w:val="24"/>
        </w:rPr>
        <w:fldChar w:fldCharType="end"/>
      </w:r>
      <w:r w:rsidRPr="00452E2E">
        <w:rPr>
          <w:szCs w:val="24"/>
        </w:rPr>
        <w:t xml:space="preserve">. In this research, </w:t>
      </w:r>
      <w:r w:rsidR="00A67267" w:rsidRPr="00452E2E">
        <w:rPr>
          <w:szCs w:val="24"/>
        </w:rPr>
        <w:t xml:space="preserve">one of </w:t>
      </w:r>
      <w:r w:rsidRPr="00452E2E">
        <w:rPr>
          <w:szCs w:val="24"/>
        </w:rPr>
        <w:t xml:space="preserve">the </w:t>
      </w:r>
      <w:r w:rsidR="00A67267" w:rsidRPr="00452E2E">
        <w:rPr>
          <w:szCs w:val="24"/>
        </w:rPr>
        <w:t xml:space="preserve">most popular </w:t>
      </w:r>
      <w:r w:rsidRPr="00452E2E">
        <w:rPr>
          <w:szCs w:val="24"/>
        </w:rPr>
        <w:t>definition</w:t>
      </w:r>
      <w:r w:rsidR="00A67267" w:rsidRPr="00452E2E">
        <w:rPr>
          <w:szCs w:val="24"/>
        </w:rPr>
        <w:t>s</w:t>
      </w:r>
      <w:r w:rsidRPr="00452E2E">
        <w:rPr>
          <w:szCs w:val="24"/>
        </w:rPr>
        <w:t xml:space="preserve"> of HRM put forward by </w:t>
      </w:r>
      <w:r w:rsidRPr="00452E2E">
        <w:rPr>
          <w:szCs w:val="24"/>
        </w:rPr>
        <w:fldChar w:fldCharType="begin" w:fldLock="1"/>
      </w:r>
      <w:r w:rsidR="00B62B61" w:rsidRPr="00452E2E">
        <w:rPr>
          <w:szCs w:val="24"/>
        </w:rPr>
        <w:instrText>ADDIN CSL_CITATION { "citationItems" : [ { "id" : "ITEM-1", "itemData" : { "author" : [ { "dropping-particle" : "", "family" : "Boxall", "given" : "Peter", "non-dropping-particle" : "", "parse-names" : false, "suffix" : "" }, { "dropping-particle" : "", "family" : "Purcell", "given" : "John", "non-dropping-particle" : "", "parse-names" : false, "suffix" : "" } ], "id" : "ITEM-1", "issued" : { "date-parts" : [ [ "2003" ] ] }, "publisher" : "Palgrave Macmillan", "publisher-place" : "Houndsmill", "title" : "Strategy and human resource management", "type" : "book" }, "uris" : [ "http://www.mendeley.com/documents/?uuid=7df8cee2-2170-4d1e-b2a0-ed8404b86785" ] } ], "mendeley" : { "formattedCitation" : "(Boxall &amp; Purcell 2003)", "manualFormatting" : "Storey (1995 p.5)", "plainTextFormattedCitation" : "(Boxall &amp; Purcell 2003)", "previouslyFormattedCitation" : "(Boxall &amp; Purcell 2003)" }, "properties" : { "noteIndex" : 0 }, "schema" : "https://github.com/citation-style-language/schema/raw/master/csl-citation.json" }</w:instrText>
      </w:r>
      <w:r w:rsidRPr="00452E2E">
        <w:rPr>
          <w:szCs w:val="24"/>
        </w:rPr>
        <w:fldChar w:fldCharType="separate"/>
      </w:r>
      <w:r w:rsidR="00B62B61" w:rsidRPr="00452E2E">
        <w:rPr>
          <w:noProof/>
          <w:szCs w:val="24"/>
        </w:rPr>
        <w:t>Storey (1995 p.5</w:t>
      </w:r>
      <w:r w:rsidRPr="00452E2E">
        <w:rPr>
          <w:noProof/>
          <w:szCs w:val="24"/>
        </w:rPr>
        <w:t>)</w:t>
      </w:r>
      <w:r w:rsidRPr="00452E2E">
        <w:rPr>
          <w:szCs w:val="24"/>
        </w:rPr>
        <w:fldChar w:fldCharType="end"/>
      </w:r>
      <w:r w:rsidRPr="00452E2E">
        <w:rPr>
          <w:szCs w:val="24"/>
        </w:rPr>
        <w:t xml:space="preserve"> who conceptualize HRM as </w:t>
      </w:r>
      <w:r w:rsidR="00B62B61" w:rsidRPr="00452E2E">
        <w:t xml:space="preserve">“a distinctive approach to employment management which seeks to achieve competitive advantage through strategic deployment of highly committed and capable </w:t>
      </w:r>
      <w:r w:rsidR="00B62B61" w:rsidRPr="00452E2E">
        <w:lastRenderedPageBreak/>
        <w:t>workforce, using an integrated array of cultural, structural and personnel techniques”</w:t>
      </w:r>
      <w:r w:rsidRPr="00452E2E">
        <w:rPr>
          <w:szCs w:val="24"/>
        </w:rPr>
        <w:t xml:space="preserve"> is adopted. Despite the considerable uncertainty in the use of the term HRM (Redman &amp; Wilkinson, 2013), the effective management of people is fundamental to the survival of organizations since even the most automated organizations rely </w:t>
      </w:r>
      <w:r w:rsidR="0042607A" w:rsidRPr="00452E2E">
        <w:rPr>
          <w:szCs w:val="24"/>
        </w:rPr>
        <w:t xml:space="preserve">on </w:t>
      </w:r>
      <w:r w:rsidRPr="00452E2E">
        <w:rPr>
          <w:szCs w:val="24"/>
        </w:rPr>
        <w:t xml:space="preserve">employees to function effectively </w:t>
      </w:r>
      <w:r w:rsidRPr="00452E2E">
        <w:rPr>
          <w:szCs w:val="24"/>
        </w:rPr>
        <w:fldChar w:fldCharType="begin" w:fldLock="1"/>
      </w:r>
      <w:r w:rsidRPr="00452E2E">
        <w:rPr>
          <w:szCs w:val="24"/>
        </w:rPr>
        <w:instrText>ADDIN CSL_CITATION { "citationItems" : [ { "id" : "ITEM-1", "itemData" : { "author" : [ { "dropping-particle" : "", "family" : "Crawshaw", "given" : "J.R.", "non-dropping-particle" : "", "parse-names" : false, "suffix" : "" }, { "dropping-particle" : "", "family" : "Hatch", "given" : "Alastair",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"2-25", "publisher" : "SAGE", "publisher-place" : "London", "title" : "Introduction: Context and challenges for HRM", "type" : "chapter" }, "uris" : [ "http://www.mendeley.com/documents/?uuid=84ce5326-441a-41fd-83ea-4c959ef8be86" ] } ], "mendeley" : { "formattedCitation" : "(Crawshaw &amp; Hatch 2014)", "manualFormatting" : "(Marchington &amp; Wilkinson, 2012; Crawshaw &amp; Hatch, 2014)", "plainTextFormattedCitation" : "(Crawshaw &amp; Hatch 2014)", "previouslyFormattedCitation" : "(Crawshaw &amp; Hatch 2014)" }, "properties" : { "noteIndex" : 0 }, "schema" : "https://github.com/citation-style-language/schema/raw/master/csl-citation.json" }</w:instrText>
      </w:r>
      <w:r w:rsidRPr="00452E2E">
        <w:rPr>
          <w:szCs w:val="24"/>
        </w:rPr>
        <w:fldChar w:fldCharType="separate"/>
      </w:r>
      <w:r w:rsidRPr="00452E2E">
        <w:rPr>
          <w:noProof/>
          <w:szCs w:val="24"/>
        </w:rPr>
        <w:t>(Marchington &amp; Wilkinson, 2012; Crawshaw &amp; Hatch, 2014)</w:t>
      </w:r>
      <w:r w:rsidRPr="00452E2E">
        <w:rPr>
          <w:szCs w:val="24"/>
        </w:rPr>
        <w:fldChar w:fldCharType="end"/>
      </w:r>
      <w:r w:rsidRPr="00452E2E">
        <w:rPr>
          <w:szCs w:val="24"/>
        </w:rPr>
        <w:t xml:space="preserve">. </w:t>
      </w:r>
    </w:p>
    <w:p w:rsidR="00AB2FB8" w:rsidRPr="00452E2E" w:rsidRDefault="00D03A8E" w:rsidP="00D03A8E">
      <w:pPr>
        <w:spacing w:line="360" w:lineRule="auto"/>
        <w:jc w:val="both"/>
        <w:rPr>
          <w:szCs w:val="24"/>
        </w:rPr>
      </w:pPr>
      <w:r w:rsidRPr="00452E2E">
        <w:rPr>
          <w:szCs w:val="24"/>
        </w:rPr>
        <w:t xml:space="preserve">Two perspectives on HRM have been distinguished as </w:t>
      </w:r>
      <w:r w:rsidR="00631225" w:rsidRPr="00452E2E">
        <w:rPr>
          <w:szCs w:val="24"/>
        </w:rPr>
        <w:t>‘hard’ and ‘soft’ models</w:t>
      </w:r>
      <w:r w:rsidR="00C705FF" w:rsidRPr="00BE5AF1">
        <w:rPr>
          <w:rStyle w:val="FootnoteReference"/>
        </w:rPr>
        <w:footnoteReference w:id="2"/>
      </w:r>
      <w:r w:rsidR="00631225" w:rsidRPr="00452E2E">
        <w:rPr>
          <w:szCs w:val="24"/>
        </w:rPr>
        <w:t xml:space="preserve"> of HRM </w:t>
      </w:r>
      <w:r w:rsidRPr="00452E2E">
        <w:rPr>
          <w:szCs w:val="24"/>
        </w:rPr>
        <w:fldChar w:fldCharType="begin" w:fldLock="1"/>
      </w:r>
      <w:r w:rsidRPr="00452E2E">
        <w:rPr>
          <w:szCs w:val="24"/>
        </w:rPr>
        <w:instrText>ADDIN CSL_CITATION { "citationItems" : [ { "id" : "ITEM-1", "itemData" : { "author" : [ { "dropping-particle" : "", "family" : "Storey", "given" : "John", "non-dropping-particle" : "", "parse-names" : false, "suffix" : "" } ], "id" : "ITEM-1", "issued" : { "date-parts" : [ [ "1995" ] ] }, "publisher" : "Routledge", "publisher-place" : "London", "title" : "Human resource management: A critical text", "type" : "book" }, "uris" : [ "http://www.mendeley.com/documents/?uuid=e1eb0dd4-a012-4b7a-b16d-dc73f1e1f2aa" ] } ], "mendeley" : { "formattedCitation" : "(Storey 1995)", "manualFormatting" : "(Storey, 1995)", "plainTextFormattedCitation" : "(Storey 1995)", "previouslyFormattedCitation" : "(Storey 1995)" }, "properties" : { "noteIndex" : 0 }, "schema" : "https://github.com/citation-style-language/schema/raw/master/csl-citation.json" }</w:instrText>
      </w:r>
      <w:r w:rsidRPr="00452E2E">
        <w:rPr>
          <w:szCs w:val="24"/>
        </w:rPr>
        <w:fldChar w:fldCharType="separate"/>
      </w:r>
      <w:r w:rsidRPr="00452E2E">
        <w:rPr>
          <w:noProof/>
          <w:szCs w:val="24"/>
        </w:rPr>
        <w:t>(Storey, 1995)</w:t>
      </w:r>
      <w:r w:rsidRPr="00452E2E">
        <w:rPr>
          <w:szCs w:val="24"/>
        </w:rPr>
        <w:fldChar w:fldCharType="end"/>
      </w:r>
      <w:r w:rsidRPr="00452E2E">
        <w:rPr>
          <w:szCs w:val="24"/>
        </w:rPr>
        <w:t xml:space="preserve">. Hard HRM model views the people that work in organizations like any resource that can be deployed for the attainment of organizational goals </w:t>
      </w:r>
      <w:r w:rsidRPr="00452E2E">
        <w:rPr>
          <w:szCs w:val="24"/>
        </w:rPr>
        <w:fldChar w:fldCharType="begin" w:fldLock="1"/>
      </w:r>
      <w:r w:rsidRPr="00452E2E">
        <w:rPr>
          <w:szCs w:val="24"/>
        </w:rPr>
        <w:instrText>ADDIN CSL_CITATION { "citationItems" : [ { "id" : "ITEM-1", "itemData" : { "author" : [ { "dropping-particle" : "", "family" : "Storey", "given" : "John", "non-dropping-particle" : "", "parse-names" : false, "suffix" : "" } ], "id" : "ITEM-1", "issued" : { "date-parts" : [ [ "1995" ] ] }, "publisher" : "Routledge", "publisher-place" : "London", "title" : "Human resource management: A critical text", "type" : "book" }, "uris" : [ "http://www.mendeley.com/documents/?uuid=e1eb0dd4-a012-4b7a-b16d-dc73f1e1f2aa" ] } ], "mendeley" : { "formattedCitation" : "(Storey 1995)", "manualFormatting" : "(Storey, 1995; Beardwell &amp; Clark, 2007)", "plainTextFormattedCitation" : "(Storey 1995)", "previouslyFormattedCitation" : "(Storey 1995)" }, "properties" : { "noteIndex" : 0 }, "schema" : "https://github.com/citation-style-language/schema/raw/master/csl-citation.json" }</w:instrText>
      </w:r>
      <w:r w:rsidRPr="00452E2E">
        <w:rPr>
          <w:szCs w:val="24"/>
        </w:rPr>
        <w:fldChar w:fldCharType="separate"/>
      </w:r>
      <w:r w:rsidRPr="00452E2E">
        <w:rPr>
          <w:noProof/>
          <w:szCs w:val="24"/>
        </w:rPr>
        <w:t>(Storey, 1995; Beardwell &amp; Clark, 2007)</w:t>
      </w:r>
      <w:r w:rsidRPr="00452E2E">
        <w:rPr>
          <w:szCs w:val="24"/>
        </w:rPr>
        <w:fldChar w:fldCharType="end"/>
      </w:r>
      <w:r w:rsidRPr="00452E2E">
        <w:rPr>
          <w:szCs w:val="24"/>
        </w:rPr>
        <w:t xml:space="preserve">. When conceived in this way, HRM involves controlling and coordinating employees in order to maximize their performance </w:t>
      </w:r>
      <w:r w:rsidRPr="00452E2E">
        <w:rPr>
          <w:szCs w:val="24"/>
        </w:rPr>
        <w:fldChar w:fldCharType="begin" w:fldLock="1"/>
      </w:r>
      <w:r w:rsidRPr="00452E2E">
        <w:rPr>
          <w:szCs w:val="24"/>
        </w:rPr>
        <w:instrText>ADDIN CSL_CITATION { "citationItems" : [ { "id" : "ITEM-1", "itemData" : { "author" : [ { "dropping-particle" : "", "family" : "Beardwell", "given" : "Julie", "non-dropping-particle" : "", "parse-names" : false, "suffix" : "" }, { "dropping-particle" : "", "family" : "Clark", "given" : "Ian", "non-dropping-particle" : "", "parse-names" : false, "suffix" : "" } ], "container-title" : "Human resource management: A contemporary approach", "edition" : "5th ed", "editor" : [ { "dropping-particle" : "", "family" : "Beardwell", "given" : "Julie", "non-dropping-particle" : "", "parse-names" : false, "suffix" : "" }, { "dropping-particle" : "", "family" : "Claydon", "given" : "Tim", "non-dropping-particle" : "", "parse-names" : false, "suffix" : "" } ], "id" : "ITEM-1", "issued" : { "date-parts" : [ [ "2007" ] ] }, "page" : "4-33", "publisher" : "FT/Prentice Hall", "publisher-place" : "Harlow", "title" : "An introduction to human resource management", "type" : "chapter" }, "uris" : [ "http://www.mendeley.com/documents/?uuid=4fe7b6eb-ad0f-401a-9e47-1744cccffef2" ] }, { "id" : "ITEM-2", "itemData" : { "author" : [ { "dropping-particle" : "", "family" : "Crawshaw", "given" : "J.R.", "non-dropping-particle" : "", "parse-names" : false, "suffix" : "" }, { "dropping-particle" : "", "family" : "Hatch", "given" : "Alastair",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"ITEM-2", "issued" : { "date-parts" : [ [ "2014" ] ] }, "page" : "2-25", "publisher" : "SAGE", "publisher-place" : "London", "title" : "Introduction: Context and challenges for HRM", "type" : "chapter" }, "uris" : [ "http://www.mendeley.com/documents/?uuid=84ce5326-441a-41fd-83ea-4c959ef8be86" ] } ], "mendeley" : { "formattedCitation" : "(Beardwell &amp; Clark 2007; Crawshaw &amp; Hatch 2014)", "manualFormatting" : "(Beardwell &amp; Clark, 2007; Crawshaw &amp; Hatch, 2014)", "plainTextFormattedCitation" : "(Beardwell &amp; Clark 2007; Crawshaw &amp; Hatch 2014)", "previouslyFormattedCitation" : "(Beardwell &amp; Clark 2007; Crawshaw &amp; Hatch 2014)" }, "properties" : { "noteIndex" : 0 }, "schema" : "https://github.com/citation-style-language/schema/raw/master/csl-citation.json" }</w:instrText>
      </w:r>
      <w:r w:rsidRPr="00452E2E">
        <w:rPr>
          <w:szCs w:val="24"/>
        </w:rPr>
        <w:fldChar w:fldCharType="separate"/>
      </w:r>
      <w:r w:rsidRPr="00452E2E">
        <w:rPr>
          <w:noProof/>
          <w:szCs w:val="24"/>
        </w:rPr>
        <w:t>(Beardwell &amp; Clark, 2007; Crawshaw &amp; Hatch, 2014)</w:t>
      </w:r>
      <w:r w:rsidRPr="00452E2E">
        <w:rPr>
          <w:szCs w:val="24"/>
        </w:rPr>
        <w:fldChar w:fldCharType="end"/>
      </w:r>
      <w:r w:rsidRPr="00452E2E">
        <w:rPr>
          <w:szCs w:val="24"/>
        </w:rPr>
        <w:t xml:space="preserve">. </w:t>
      </w:r>
      <w:r w:rsidR="00AE65A2" w:rsidRPr="00452E2E">
        <w:rPr>
          <w:szCs w:val="24"/>
        </w:rPr>
        <w:t xml:space="preserve">This model of HRM may focus on the use of sophisticated forms of appraisal and the use of contingent pay systems particularly for senior executives. </w:t>
      </w:r>
      <w:r w:rsidRPr="00452E2E">
        <w:rPr>
          <w:szCs w:val="24"/>
        </w:rPr>
        <w:t xml:space="preserve">Therefore, the emphasis of hard HRM is to ensure that the workforce of an organization is efficiently utilized </w:t>
      </w:r>
      <w:r w:rsidRPr="00452E2E">
        <w:rPr>
          <w:szCs w:val="24"/>
        </w:rPr>
        <w:fldChar w:fldCharType="begin" w:fldLock="1"/>
      </w:r>
      <w:r w:rsidRPr="00452E2E">
        <w:rPr>
          <w:szCs w:val="24"/>
        </w:rPr>
        <w:instrText>ADDIN CSL_CITATION { "citationItems" : [ { "id" : "ITEM-1", "itemData" : { "author" : [ { "dropping-particle" : "", "family" : "Beardwell", "given" : "Julie", "non-dropping-particle" : "", "parse-names" : false, "suffix" : "" }, { "dropping-particle" : "", "family" : "Clark", "given" : "Ian", "non-dropping-particle" : "", "parse-names" : false, "suffix" : "" } ], "container-title" : "Human resource management: A contemporary approach", "edition" : "5th ed", "editor" : [ { "dropping-particle" : "", "family" : "Beardwell", "given" : "Julie", "non-dropping-particle" : "", "parse-names" : false, "suffix" : "" }, { "dropping-particle" : "", "family" : "Claydon", "given" : "Tim", "non-dropping-particle" : "", "parse-names" : false, "suffix" : "" } ], "id" : "ITEM-1", "issued" : { "date-parts" : [ [ "2007" ] ] }, "page" : "4-33", "publisher" : "FT/Prentice Hall", "publisher-place" : "Harlow", "title" : "An introduction to human resource management", "type" : "chapter" }, "uris" : [ "http://www.mendeley.com/documents/?uuid=4fe7b6eb-ad0f-401a-9e47-1744cccffef2" ] } ], "mendeley" : { "formattedCitation" : "(Beardwell &amp; Clark 2007)", "manualFormatting" : "(Beardwell &amp; Clark, 2007; Crawshaw &amp; Hatch, 2014)", "plainTextFormattedCitation" : "(Beardwell &amp; Clark 2007)", "previouslyFormattedCitation" : "(Beardwell &amp; Clark 2007)" }, "properties" : { "noteIndex" : 0 }, "schema" : "https://github.com/citation-style-language/schema/raw/master/csl-citation.json" }</w:instrText>
      </w:r>
      <w:r w:rsidRPr="00452E2E">
        <w:rPr>
          <w:szCs w:val="24"/>
        </w:rPr>
        <w:fldChar w:fldCharType="separate"/>
      </w:r>
      <w:r w:rsidRPr="00452E2E">
        <w:rPr>
          <w:noProof/>
          <w:szCs w:val="24"/>
        </w:rPr>
        <w:t>(Beardwell &amp; Clark, 2007; Crawshaw &amp; Hatch, 2014)</w:t>
      </w:r>
      <w:r w:rsidRPr="00452E2E">
        <w:rPr>
          <w:szCs w:val="24"/>
        </w:rPr>
        <w:fldChar w:fldCharType="end"/>
      </w:r>
      <w:r w:rsidRPr="00452E2E">
        <w:rPr>
          <w:szCs w:val="24"/>
        </w:rPr>
        <w:t xml:space="preserve">. In fact, Brewster (2007) observe that when HRM is conceived in this way, the organization can only treat its people fairly under conducive circumstances such as when labour is in short supply or when labour is critical to the attainment of organizational goals. </w:t>
      </w:r>
    </w:p>
    <w:p w:rsidR="00D03A8E" w:rsidRPr="00452E2E" w:rsidRDefault="00D03A8E" w:rsidP="00D03A8E">
      <w:pPr>
        <w:spacing w:line="360" w:lineRule="auto"/>
        <w:jc w:val="both"/>
        <w:rPr>
          <w:szCs w:val="24"/>
        </w:rPr>
      </w:pPr>
      <w:r w:rsidRPr="00452E2E">
        <w:rPr>
          <w:szCs w:val="24"/>
        </w:rPr>
        <w:t xml:space="preserve">On the contrary, </w:t>
      </w:r>
      <w:r w:rsidR="00DD7F13" w:rsidRPr="00452E2E">
        <w:rPr>
          <w:szCs w:val="24"/>
        </w:rPr>
        <w:t xml:space="preserve">a </w:t>
      </w:r>
      <w:r w:rsidRPr="00452E2E">
        <w:rPr>
          <w:szCs w:val="24"/>
        </w:rPr>
        <w:t xml:space="preserve">soft model of HRM views workers as human beings with feelings and emotions and whose needs the organization is expected to meet </w:t>
      </w:r>
      <w:r w:rsidRPr="00452E2E">
        <w:rPr>
          <w:szCs w:val="24"/>
        </w:rPr>
        <w:fldChar w:fldCharType="begin" w:fldLock="1"/>
      </w:r>
      <w:r w:rsidRPr="00452E2E">
        <w:rPr>
          <w:szCs w:val="24"/>
        </w:rPr>
        <w:instrText>ADDIN CSL_CITATION { "citationItems" : [ { "id" : "ITEM-1", "itemData" : { "author" : [ { "dropping-particle" : "", "family" : "Beardwell", "given" : "Julie", "non-dropping-particle" : "", "parse-names" : false, "suffix" : "" }, { "dropping-particle" : "", "family" : "Clark", "given" : "Ian", "non-dropping-particle" : "", "parse-names" : false, "suffix" : "" } ], "container-title" : "Human resource management: A contemporary approach", "edition" : "5th ed", "editor" : [ { "dropping-particle" : "", "family" : "Beardwell", "given" : "Julie", "non-dropping-particle" : "", "parse-names" : false, "suffix" : "" }, { "dropping-particle" : "", "family" : "Claydon", "given" : "Tim", "non-dropping-particle" : "", "parse-names" : false, "suffix" : "" } ], "id" : "ITEM-1", "issued" : { "date-parts" : [ [ "2007" ] ] }, "page" : "4-33", "publisher" : "FT/Prentice Hall", "publisher-place" : "Harlow", "title" : "An introduction to human resource management", "type" : "chapter" }, "uris" : [ "http://www.mendeley.com/documents/?uuid=4fe7b6eb-ad0f-401a-9e47-1744cccffef2" ] } ], "mendeley" : { "formattedCitation" : "(Beardwell &amp; Clark 2007)", "manualFormatting" : "(Beardwell &amp; Clark, 2007)", "plainTextFormattedCitation" : "(Beardwell &amp; Clark 2007)", "previouslyFormattedCitation" : "(Beardwell &amp; Clark 2007)" }, "properties" : { "noteIndex" : 0 }, "schema" : "https://github.com/citation-style-language/schema/raw/master/csl-citation.json" }</w:instrText>
      </w:r>
      <w:r w:rsidRPr="00452E2E">
        <w:rPr>
          <w:szCs w:val="24"/>
        </w:rPr>
        <w:fldChar w:fldCharType="separate"/>
      </w:r>
      <w:r w:rsidRPr="00452E2E">
        <w:rPr>
          <w:noProof/>
          <w:szCs w:val="24"/>
        </w:rPr>
        <w:t>(Beardwell &amp; Clark, 2007)</w:t>
      </w:r>
      <w:r w:rsidRPr="00452E2E">
        <w:rPr>
          <w:szCs w:val="24"/>
        </w:rPr>
        <w:fldChar w:fldCharType="end"/>
      </w:r>
      <w:r w:rsidRPr="00452E2E">
        <w:rPr>
          <w:szCs w:val="24"/>
        </w:rPr>
        <w:t xml:space="preserve">. Hence, the objective of soft HRM is to engender the commitment of workers to the goals of the organization. The assumption of this model is that the success of the organization depends on the commitment, satisfaction and motivation of workers </w:t>
      </w:r>
      <w:r w:rsidRPr="00452E2E">
        <w:rPr>
          <w:szCs w:val="24"/>
        </w:rPr>
        <w:fldChar w:fldCharType="begin" w:fldLock="1"/>
      </w:r>
      <w:r w:rsidRPr="00452E2E">
        <w:rPr>
          <w:szCs w:val="24"/>
        </w:rPr>
        <w:instrText>ADDIN CSL_CITATION { "citationItems" : [ { "id" : "ITEM-1", "itemData" : { "author" : [ { "dropping-particle" : "", "family" : "Crawshaw", "given" : "J.R.", "non-dropping-particle" : "", "parse-names" : false, "suffix" : "" }, { "dropping-particle" : "", "family" : "Hatch", "given" : "Alastair",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"2-25", "publisher" : "SAGE", "publisher-place" : "London", "title" : "Introduction: Context and challenges for HRM", "type" : "chapter" }, "uris" : [ "http://www.mendeley.com/documents/?uuid=84ce5326-441a-41fd-83ea-4c959ef8be86" ] } ], "mendeley" : { "formattedCitation" : "(Crawshaw &amp; Hatch 2014)", "manualFormatting" : "(Crawshaw &amp; Hatch, 2014)", "plainTextFormattedCitation" : "(Crawshaw &amp; Hatch 2014)", "previouslyFormattedCitation" : "(Crawshaw &amp; Hatch 2014)" }, "properties" : { "noteIndex" : 0 }, "schema" : "https://github.com/citation-style-language/schema/raw/master/csl-citation.json" }</w:instrText>
      </w:r>
      <w:r w:rsidRPr="00452E2E">
        <w:rPr>
          <w:szCs w:val="24"/>
        </w:rPr>
        <w:fldChar w:fldCharType="separate"/>
      </w:r>
      <w:r w:rsidRPr="00452E2E">
        <w:rPr>
          <w:noProof/>
          <w:szCs w:val="24"/>
        </w:rPr>
        <w:t>(Crawshaw &amp; Hatch, 2014)</w:t>
      </w:r>
      <w:r w:rsidRPr="00452E2E">
        <w:rPr>
          <w:szCs w:val="24"/>
        </w:rPr>
        <w:fldChar w:fldCharType="end"/>
      </w:r>
      <w:r w:rsidRPr="00452E2E">
        <w:rPr>
          <w:szCs w:val="24"/>
        </w:rPr>
        <w:t xml:space="preserve">. Nevertheless, the dichotomy between soft and hard HRM is not often clear-cut in reality since employees may encounter both hard and soft versions of HRM at workplace </w:t>
      </w:r>
      <w:r w:rsidRPr="00452E2E">
        <w:rPr>
          <w:szCs w:val="24"/>
        </w:rPr>
        <w:fldChar w:fldCharType="begin" w:fldLock="1"/>
      </w:r>
      <w:r w:rsidRPr="00452E2E">
        <w:rPr>
          <w:szCs w:val="24"/>
        </w:rPr>
        <w:instrText>ADDIN CSL_CITATION { "citationItems" : [ { "id" : "ITEM-1", "itemData" : { "author"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"container-title" : "The Oxford handbook of employment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"ITEM-1", "issued" : { "date-parts" : [ [ "2014" ] ] }, "page" : "1-20", "publisher" : "Oxford University Press", "publisher-place" : "New York", "title" : "Comparative employment systems", "type" : "chapter" }, "uris" : [ "http://www.mendeley.com/documents/?uuid=ad3f875f-66d8-49a6-9fdf-d1f22f2b5b51" ] } ], "mendeley" : { "formattedCitation" : "(Wilkinson et al. 2014)", "manualFormatting" : "(Wilkinson et al., 2014)", "plainTextFormattedCitation" : "(Wilkinson et al. 2014)", "previouslyFormattedCitation" : "(Wilkinson et al. 2014)" }, "properties" : { "noteIndex" : 0 }, "schema" : "https://github.com/citation-style-language/schema/raw/master/csl-citation.json" }</w:instrText>
      </w:r>
      <w:r w:rsidRPr="00452E2E">
        <w:rPr>
          <w:szCs w:val="24"/>
        </w:rPr>
        <w:fldChar w:fldCharType="separate"/>
      </w:r>
      <w:r w:rsidRPr="00452E2E">
        <w:rPr>
          <w:noProof/>
          <w:szCs w:val="24"/>
        </w:rPr>
        <w:t xml:space="preserve">(Wilkinson </w:t>
      </w:r>
      <w:r w:rsidRPr="00452E2E">
        <w:rPr>
          <w:i/>
          <w:noProof/>
          <w:szCs w:val="24"/>
        </w:rPr>
        <w:t>et al</w:t>
      </w:r>
      <w:r w:rsidRPr="00452E2E">
        <w:rPr>
          <w:noProof/>
          <w:szCs w:val="24"/>
        </w:rPr>
        <w:t>., 2014)</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lastRenderedPageBreak/>
        <w:t xml:space="preserve">A major debate in the field of HRM is whether organizations and indeed countries around the world are converging towards a single model of HRM or whether different models are adopted in the management of people in different national contexts </w:t>
      </w:r>
      <w:r w:rsidRPr="00452E2E">
        <w:rPr>
          <w:szCs w:val="24"/>
        </w:rPr>
        <w:fldChar w:fldCharType="begin" w:fldLock="1"/>
      </w:r>
      <w:r w:rsidRPr="00452E2E">
        <w:rPr>
          <w:szCs w:val="24"/>
        </w:rPr>
        <w:instrText>ADDIN CSL_CITATION { "citationItems" : [ { "id" : "ITEM-1", "itemData" : { "abstract" : "TheUS originated notion ofHRMhas been widely accepted across the world \u2013 and also widely criticized. The underlying features of the European economy are different from those of the USA and it is argued that these have led to a different approach to HRM being developed in Europe. Differences in features such as more limited individualism, a greater role for the State, different patterns of consultation and patterns of ownership, are linked to these different practices and have led to more varied patterns of research and a more critical literature. Keywords", "author" : [ { "dropping-particle" : "", "family" : "Brewster", "given" : "Chris", "non-dropping-particle" : "", "parse-names" : false, "suffix" : "" } ], "container-title" : "The International Journal of Human Resource Management", "id" : "ITEM-1", "issue" : "5", "issued" : { "date-parts" : [ [ "2007" ] ] }, "page" : "769-787", "title" : "Comparative HRM: European views and perspectives", "type" : "article-journal", "volume" : "18" }, "uris" : [ "http://www.mendeley.com/documents/?uuid=2eadcb0b-8992-405b-87d6-41610c41b626" ] } ], "mendeley" : { "formattedCitation" : "(Brewster 2007)", "manualFormatting" : "(Brewster, 2007; Brewster &amp; Mayrhofer, 2012)", "plainTextFormattedCitation" : "(Brewster 2007)", "previouslyFormattedCitation" : "(Brewster 2007)" }, "properties" : { "noteIndex" : 0 }, "schema" : "https://github.com/citation-style-language/schema/raw/master/csl-citation.json" }</w:instrText>
      </w:r>
      <w:r w:rsidRPr="00452E2E">
        <w:rPr>
          <w:szCs w:val="24"/>
        </w:rPr>
        <w:fldChar w:fldCharType="separate"/>
      </w:r>
      <w:r w:rsidRPr="00452E2E">
        <w:rPr>
          <w:noProof/>
          <w:szCs w:val="24"/>
        </w:rPr>
        <w:t>(Brewster, 2007; Brewster &amp; Mayrhofer, 2012)</w:t>
      </w:r>
      <w:r w:rsidRPr="00452E2E">
        <w:rPr>
          <w:szCs w:val="24"/>
        </w:rPr>
        <w:fldChar w:fldCharType="end"/>
      </w:r>
      <w:r w:rsidRPr="00452E2E">
        <w:rPr>
          <w:szCs w:val="24"/>
        </w:rPr>
        <w:t xml:space="preserve">. Whilst HRM models originating from the USA assume a universality of HRM (cf. Brewster, 2007), research has indicated that even within the same national context, organizations may adopt different techniques of implementing a particular HR practice </w:t>
      </w:r>
      <w:r w:rsidRPr="00452E2E">
        <w:rPr>
          <w:szCs w:val="24"/>
        </w:rPr>
        <w:fldChar w:fldCharType="begin" w:fldLock="1"/>
      </w:r>
      <w:r w:rsidRPr="00452E2E">
        <w:rPr>
          <w:szCs w:val="24"/>
        </w:rPr>
        <w:instrText>ADDIN CSL_CITATION { "citationItems" : [ { "id" : "ITEM-1", "itemData" : { "abstract" : "There is considerable debate as to the determinants of the human resource policies of human resource management: do they reflect national institutional or cultural realities, emerging common global practices, parent country effects or the dual effects of transnational and national realities? We use an extensive international database to explore these differences, assessing variations in a range of human resource practices. We find new evidence of national differences in the manner in which indigenous firms manage their people, but also evidence of a similarity in practice amongst multinational corporations. In other words, multinational corporations tend to manage their human resources in ways that are distinct from those of their host country; at the same time, country of origin effects seem relatively weak. Whilst there is some evidence of common global practices, sufficient diversity in practice persists to suggest that duality theories may provide the most appropriate explanation. [ABSTRACT FROM AUTHOR]", "author" : [ { "dropping-particle" : "", "family" : "Brewster", "given" : "Chris", "non-dropping-particle" : "", "parse-names" : false, "suffix" : "" }, { "dropping-particle" : "", "family" : "Wood", "given" : "Geoffrey", "non-dropping-particle" : "", "parse-names" : false, "suffix" : "" }, { "dropping-particle" : "", "family" : "Brookes", "given" : "Michael", "non-dropping-particle" : "", "parse-names" : false, "suffix" : "" } ], "container-title" : "British Journal of Management", "id" : "ITEM-1", "issue" : "4", "issued" : { "date-parts" : [ [ "2008" ] ] }, "page" : "320-342", "title" : "Similarity, isomorphism or duality? Recent survey evidence on the human resource management policies of multinational corporations", "type" : "article-journal", "volume" : "19" }, "uris" : [ "http://www.mendeley.com/documents/?uuid=fa4d3562-9a2e-4782-aa4a-ebbd03b1ac30"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"id" : "ITEM-3",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"ITEM-3",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2008; Wood et al. 2011; Brewster et al. 2014)", "manualFormatting" : "(Brewster et al., 2008; Wood et al., 2011; Brewster et al., 2014)", "plainTextFormattedCitation" : "(Brewster et al. 2008; Wood et al. 2011; Brewster et al. 2014)", "previouslyFormattedCitation" : "(Brewster et al. 2008; Wood et al. 2011; Brewster et al. 2014)"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xml:space="preserve">., 2008; Wood </w:t>
      </w:r>
      <w:r w:rsidRPr="00452E2E">
        <w:rPr>
          <w:i/>
          <w:noProof/>
          <w:szCs w:val="24"/>
        </w:rPr>
        <w:t>et al</w:t>
      </w:r>
      <w:r w:rsidRPr="00452E2E">
        <w:rPr>
          <w:noProof/>
          <w:szCs w:val="24"/>
        </w:rPr>
        <w:t xml:space="preserve">., 2011; Brewster </w:t>
      </w:r>
      <w:r w:rsidRPr="00452E2E">
        <w:rPr>
          <w:i/>
          <w:noProof/>
          <w:szCs w:val="24"/>
        </w:rPr>
        <w:t>et al</w:t>
      </w:r>
      <w:r w:rsidRPr="00452E2E">
        <w:rPr>
          <w:noProof/>
          <w:szCs w:val="24"/>
        </w:rPr>
        <w:t>., 2014)</w:t>
      </w:r>
      <w:r w:rsidRPr="00452E2E">
        <w:rPr>
          <w:szCs w:val="24"/>
        </w:rPr>
        <w:fldChar w:fldCharType="end"/>
      </w:r>
      <w:r w:rsidRPr="00452E2E">
        <w:rPr>
          <w:szCs w:val="24"/>
        </w:rPr>
        <w:t xml:space="preserve">.  For instance, whilst it is common for organizations to have recruitment practices, the specific techniques of recruitment may differ from one organization to the other (Wood </w:t>
      </w:r>
      <w:r w:rsidRPr="00452E2E">
        <w:rPr>
          <w:i/>
          <w:szCs w:val="24"/>
        </w:rPr>
        <w:t>et al</w:t>
      </w:r>
      <w:r w:rsidRPr="00452E2E">
        <w:rPr>
          <w:szCs w:val="24"/>
        </w:rPr>
        <w:t xml:space="preserve">., 2011). At the same time, differences in the institutional architecture of nations means that different approaches are used by organizations in managing human resources across national contexts </w:t>
      </w:r>
      <w:r w:rsidRPr="00452E2E">
        <w:rPr>
          <w:szCs w:val="24"/>
        </w:rPr>
        <w:fldChar w:fldCharType="begin" w:fldLock="1"/>
      </w:r>
      <w:r w:rsidRPr="00452E2E">
        <w:rPr>
          <w:szCs w:val="24"/>
        </w:rPr>
        <w:instrText>ADDIN CSL_CITATION { "citationItems" : [ { "id" : "ITEM-1",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"1-23", "publisher" : "Edward Elgar", "publisher-place" : "Cheltenham, UK", "title" : "Comparative human resource management: An introduction", "type" : "chapter" }, "uris" : [ "http://www.mendeley.com/documents/?uuid=3c9bc995-b399-4f2b-920d-18cfbc74a1c0" ] }, { "id" : "ITEM-2",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"ITEM-2",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"(Brewster &amp; Mayrhofer 2012; Wood &amp; Horwitz 2015)", "manualFormatting" : "(Brewster &amp; Mayrhofer, 2012; Wood &amp; Horwitz, 2015)", "plainTextFormattedCitation" : "(Brewster &amp; Mayrhofer 2012; Wood &amp; Horwitz 2015)", "previouslyFormattedCitation" : "(Brewster &amp; Mayrhofer 2012; Wood &amp; Horwitz 2015)" }, "properties" : { "noteIndex" : 0 }, "schema" : "https://github.com/citation-style-language/schema/raw/master/csl-citation.json" }</w:instrText>
      </w:r>
      <w:r w:rsidRPr="00452E2E">
        <w:rPr>
          <w:szCs w:val="24"/>
        </w:rPr>
        <w:fldChar w:fldCharType="separate"/>
      </w:r>
      <w:r w:rsidRPr="00452E2E">
        <w:rPr>
          <w:noProof/>
          <w:szCs w:val="24"/>
        </w:rPr>
        <w:t>(Brewster &amp; Mayrhofer, 2012; Wood &amp; Horwitz, 2015)</w:t>
      </w:r>
      <w:r w:rsidRPr="00452E2E">
        <w:rPr>
          <w:szCs w:val="24"/>
        </w:rPr>
        <w:fldChar w:fldCharType="end"/>
      </w:r>
      <w:r w:rsidRPr="00452E2E">
        <w:rPr>
          <w:szCs w:val="24"/>
        </w:rPr>
        <w:t xml:space="preserve">. For instance, research on HRM in Europe has pointed towards a divergence of HRM approaches </w:t>
      </w:r>
      <w:r w:rsidRPr="00452E2E">
        <w:rPr>
          <w:szCs w:val="24"/>
        </w:rPr>
        <w:fldChar w:fldCharType="begin" w:fldLock="1"/>
      </w:r>
      <w:r w:rsidRPr="00452E2E">
        <w:rPr>
          <w:szCs w:val="24"/>
        </w:rPr>
        <w:instrText>ADDIN CSL_CITATION { "citationItems" : [ { "id" : "ITEM-1", "itemData" : { "DOI" : "10.1016/j.hrmr.2010.09.011", "ISBN" : "1053-4822", "ISSN" : "10534822", "abstract" : "In this paper we explore the notion of convergence in managerial practice as a result of globalization. Focused on convergence at the national level, we offer a more nuanced exposition of convergence than has been evident in previous literature and draw upon a study that empirically analyzes the development of HRM in larger private sector firms in 13 European countries between 1992 and 2004 to examine any evidence of human resource management practices becoming more alike. We find considerable evidence of directional similarity - practices increasing or decreasing in the same way across the countries - but no evidence of final convergence - countries becoming more alike in the way they manage people. The findings have important implications for theories of convergence, theories of HRM, and for practitioners in multinational corporations. ?? 2010 Elsevier Inc.", "author" : [ { "dropping-particle" : "", "family" : "Mayrhofer", "given" : "Wolfgang", "non-dropping-particle" : "", "parse-names" : false, "suffix" : "" }, { "dropping-particle" : "", "family" : "Brewster", "given" : "Chris", "non-dropping-particle" : "", "parse-names" : false, "suffix" : "" }, { "dropping-particle" : "", "family" : "Morley", "given" : "Michael J.", "non-dropping-particle" : "", "parse-names" : false, "suffix" : "" }, { "dropping-particle" : "", "family" : "Ledolter", "given" : "Johannes", "non-dropping-particle" : "", "parse-names" : false, "suffix" : "" } ], "container-title" : "Human Resource Management Review", "id" : "ITEM-1", "issue" : "1", "issued" : { "date-parts" : [ [ "2011" ] ] }, "page" : "50-67", "publisher" : "Elsevier Inc.", "title" : "Hearing a different drummer? Convergence of human resource management in Europe - A longitudinal analysis", "type" : "article-journal", "volume" : "21" }, "uris" : [ "http://www.mendeley.com/documents/?uuid=fe989bd4-3b92-484f-8e26-379179d76108" ] } ], "mendeley" : { "formattedCitation" : "(Mayrhofer et al. 2011)", "manualFormatting" : "(Mayrhofer et al., 2011)", "plainTextFormattedCitation" : "(Mayrhofer et al. 2011)", "previouslyFormattedCitation" : "(Mayrhofer et al. 2011)" }, "properties" : { "noteIndex" : 0 }, "schema" : "https://github.com/citation-style-language/schema/raw/master/csl-citation.json" }</w:instrText>
      </w:r>
      <w:r w:rsidRPr="00452E2E">
        <w:rPr>
          <w:szCs w:val="24"/>
        </w:rPr>
        <w:fldChar w:fldCharType="separate"/>
      </w:r>
      <w:r w:rsidRPr="00452E2E">
        <w:rPr>
          <w:noProof/>
          <w:szCs w:val="24"/>
        </w:rPr>
        <w:t xml:space="preserve">(Mayrhofer </w:t>
      </w:r>
      <w:r w:rsidRPr="00452E2E">
        <w:rPr>
          <w:i/>
          <w:noProof/>
          <w:szCs w:val="24"/>
        </w:rPr>
        <w:t>et al</w:t>
      </w:r>
      <w:r w:rsidRPr="00452E2E">
        <w:rPr>
          <w:noProof/>
          <w:szCs w:val="24"/>
        </w:rPr>
        <w:t>., 2011)</w:t>
      </w:r>
      <w:r w:rsidRPr="00452E2E">
        <w:rPr>
          <w:szCs w:val="24"/>
        </w:rPr>
        <w:fldChar w:fldCharType="end"/>
      </w:r>
      <w:r w:rsidRPr="00452E2E">
        <w:rPr>
          <w:szCs w:val="24"/>
        </w:rPr>
        <w:t xml:space="preserve">. </w:t>
      </w:r>
    </w:p>
    <w:p w:rsidR="003D31ED" w:rsidRPr="00452E2E" w:rsidRDefault="00D03A8E" w:rsidP="00D03A8E">
      <w:pPr>
        <w:spacing w:line="360" w:lineRule="auto"/>
        <w:jc w:val="both"/>
        <w:rPr>
          <w:szCs w:val="24"/>
        </w:rPr>
      </w:pPr>
      <w:r w:rsidRPr="00452E2E">
        <w:rPr>
          <w:szCs w:val="24"/>
        </w:rPr>
        <w:t xml:space="preserve">In Africa, the increased interest in HRM has witnessed a surge in HRM-related studies such that Kamoche </w:t>
      </w:r>
      <w:r w:rsidRPr="00452E2E">
        <w:rPr>
          <w:i/>
          <w:szCs w:val="24"/>
        </w:rPr>
        <w:t>et al</w:t>
      </w:r>
      <w:r w:rsidRPr="00452E2E">
        <w:rPr>
          <w:szCs w:val="24"/>
        </w:rPr>
        <w:t xml:space="preserve">. (2012) recently declared that HRM in Africa is no longer an uncharted territory. However, many authors have pointed out that most studies conducted on HRM in African contexts have utilized cultural frameworks that seek to emphasize differences between African and Anglo-Saxon cultural values </w:t>
      </w:r>
      <w:r w:rsidRPr="00452E2E">
        <w:rPr>
          <w:szCs w:val="24"/>
        </w:rPr>
        <w:fldChar w:fldCharType="begin" w:fldLock="1"/>
      </w:r>
      <w:r w:rsidRPr="00452E2E">
        <w:rPr>
          <w:szCs w:val="24"/>
        </w:rPr>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"id" : "ITEM-2", "itemData" : { "DOI" : "10.1080/09585192.2015.1071546", "ISSN" : "0958-5192", "author" : [ { "dropping-particle" : "", "family" : "Cooke", "given" : "Fang Lee", "non-dropping-particle" : "", "parse-names" : false, "suffix" : "" }, { "dropping-particle" : "", "family" : "Wood", "given" : "Geoffrey", "non-dropping-particle" : "", "parse-names" : false, "suffix" : "" }, { "dropping-particle" : "", "family" : "Horwitz", "given" : "Frank", "non-dropping-particle" : "", "parse-names" : false, "suffix" : "" } ], "container-title" : "The International Journal of Human Resource Management", "id" : "ITEM-2", "issue" : "21", "issued" : { "date-parts" : [ [ "2015" ] ] }, "page" : "2653-2675", "title" : "Multinational firms from emerging economies in Africa: Implications for research and practice in human resource management", "type" : "article-journal", "volume" : "26" }, "uris" : [ "http://www.mendeley.com/documents/?uuid=00b6a1e1-3d15-4bc3-9254-07ad89eb3867" ] }, { "id" : "ITEM-3", "itemData" : { "author" : [ { "dropping-particle" : "", "family" : "Kamoche", "given" : "Ken", "non-dropping-particle" : "", "parse-names" : false, "suffix" : "" }, { "dropping-particle" : "", "family" : "Siebers", "given" : "Lisa QIxun", "non-dropping-particle" : "", "parse-names" : false, "suffix" : "" }, { "dropping-particle" : "", "family" : "Mamman", "given" : "Aminu", "non-dropping-particle" : "", "parse-names" : false, "suffix" : "" }, { "dropping-particle" : "", "family" : "Newenham-Kahindi", "given" : "Aloysius", "non-dropping-particle" : "", "parse-names" : false, "suffix" : "" } ], "container-title" : "Personnel Review", "id" : "ITEM-3", "issue" : "3", "issued" : { "date-parts" : [ [ "2015" ] ] }, "page" : "330-345", "title" : "The dynamics of managing people in the diverse cultural and institutional context of Africa", "type" : "article-journal", "volume" : "44" }, "uris" : [ "http://www.mendeley.com/documents/?uuid=69ad02a9-4a01-42ad-ac07-0a1853df3747" ] } ], "mendeley" : { "formattedCitation" : "(Wood et al. 2011; Cooke et al. 2015; Kamoche et al. 2015)", "manualFormatting" : "(Wood et al., 2011; Cooke et al., 2015; Kamoche et al., 2015)", "plainTextFormattedCitation" : "(Wood et al. 2011; Cooke et al. 2015; Kamoche et al. 2015)", "previouslyFormattedCitation" : "(Wood et al. 2011; Cooke et al. 2015; Kamoche et al. 2015)"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xml:space="preserve">., 2011; Cooke </w:t>
      </w:r>
      <w:r w:rsidRPr="00452E2E">
        <w:rPr>
          <w:i/>
          <w:noProof/>
          <w:szCs w:val="24"/>
        </w:rPr>
        <w:t>et al</w:t>
      </w:r>
      <w:r w:rsidRPr="00452E2E">
        <w:rPr>
          <w:noProof/>
          <w:szCs w:val="24"/>
        </w:rPr>
        <w:t xml:space="preserve">., 2015; Kamoche </w:t>
      </w:r>
      <w:r w:rsidRPr="00452E2E">
        <w:rPr>
          <w:i/>
          <w:noProof/>
          <w:szCs w:val="24"/>
        </w:rPr>
        <w:t>et al</w:t>
      </w:r>
      <w:r w:rsidRPr="00452E2E">
        <w:rPr>
          <w:noProof/>
          <w:szCs w:val="24"/>
        </w:rPr>
        <w:t>., 2015)</w:t>
      </w:r>
      <w:r w:rsidRPr="00452E2E">
        <w:rPr>
          <w:szCs w:val="24"/>
        </w:rPr>
        <w:fldChar w:fldCharType="end"/>
      </w:r>
      <w:r w:rsidRPr="00452E2E">
        <w:rPr>
          <w:szCs w:val="24"/>
        </w:rPr>
        <w:t>. Whilst the influence of culture on management practices has been long established, the diversity in cultural values between and within countries in Africa suggest</w:t>
      </w:r>
      <w:r w:rsidR="00D351D8" w:rsidRPr="00452E2E">
        <w:rPr>
          <w:szCs w:val="24"/>
        </w:rPr>
        <w:t>s</w:t>
      </w:r>
      <w:r w:rsidRPr="00452E2E">
        <w:rPr>
          <w:szCs w:val="24"/>
        </w:rPr>
        <w:t xml:space="preserve"> that HRM may not be understood properly in such contexts through cultural lens </w:t>
      </w:r>
      <w:r w:rsidRPr="00452E2E">
        <w:rPr>
          <w:szCs w:val="24"/>
        </w:rPr>
        <w:fldChar w:fldCharType="begin" w:fldLock="1"/>
      </w:r>
      <w:r w:rsidRPr="00452E2E">
        <w:rPr>
          <w:szCs w:val="24"/>
        </w:rPr>
        <w:instrText>ADDIN CSL_CITATION { "citationItems" : [ { "id" : "ITEM-1", "itemData" : { "author" : [ { "dropping-particle" : "", "family" : "Adeleye", "given" : "I.", "non-dropping-particle" : "", "parse-names" : false, "suffix" : "" } ], "container-title" : "African Journal of Business Management", "id" : "ITEM-1", "issue" : "6", "issued" : { "date-parts" : [ [ "2011" ] ] }, "page" : "2028\u20132039", "title" : "Theorising human resource management in Africa: Beyond cultural relativism", "type" : "article-journal", "volume" : "5" }, "uris" : [ "http://www.mendeley.com/documents/?uuid=b6058017-794b-4523-80e3-eae4db7ca9ff" ] }, { "id" : "ITEM-2",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"495-511", "publisher" : "Edward Elgar", "publisher-place" : "Cheltenham, UK", "title" : "The practice of HRM in Africa in comparative perspective", "type" : "chapter" }, "uris" : [ "http://www.mendeley.com/documents/?uuid=c50d4f41-3d16-4383-bbfc-941b6ffeeb24" ] } ], "mendeley" : { "formattedCitation" : "(Adeleye 2011; Bischoff &amp; Wood 2012)", "manualFormatting" : "(Adeleye, 2011; Bischoff &amp; Wood, 2012)", "plainTextFormattedCitation" : "(Adeleye 2011; Bischoff &amp; Wood 2012)", "previouslyFormattedCitation" : "(Adeleye 2011; Bischoff &amp; Wood 2012)" }, "properties" : { "noteIndex" : 0 }, "schema" : "https://github.com/citation-style-language/schema/raw/master/csl-citation.json" }</w:instrText>
      </w:r>
      <w:r w:rsidRPr="00452E2E">
        <w:rPr>
          <w:szCs w:val="24"/>
        </w:rPr>
        <w:fldChar w:fldCharType="separate"/>
      </w:r>
      <w:r w:rsidRPr="00452E2E">
        <w:rPr>
          <w:noProof/>
          <w:szCs w:val="24"/>
        </w:rPr>
        <w:t>(Adeleye, 2011; Bischoff &amp; Wood, 2012)</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Moreover, research </w:t>
      </w:r>
      <w:r w:rsidR="004B7662" w:rsidRPr="00452E2E">
        <w:rPr>
          <w:szCs w:val="24"/>
        </w:rPr>
        <w:t>within the socio-economic tradition of comparative institutional analysis has shown that compared to cultural factors, institutional factors</w:t>
      </w:r>
      <w:r w:rsidRPr="00452E2E">
        <w:rPr>
          <w:szCs w:val="24"/>
        </w:rPr>
        <w:t xml:space="preserve"> </w:t>
      </w:r>
      <w:r w:rsidR="004B7662" w:rsidRPr="00452E2E">
        <w:rPr>
          <w:szCs w:val="24"/>
        </w:rPr>
        <w:t xml:space="preserve">have more influence on </w:t>
      </w:r>
      <w:r w:rsidR="00D81011" w:rsidRPr="00452E2E">
        <w:rPr>
          <w:szCs w:val="24"/>
        </w:rPr>
        <w:t>the adoption</w:t>
      </w:r>
      <w:r w:rsidR="004B7662" w:rsidRPr="00452E2E">
        <w:rPr>
          <w:szCs w:val="24"/>
        </w:rPr>
        <w:t xml:space="preserve"> of HR practices </w:t>
      </w:r>
      <w:r w:rsidRPr="00452E2E">
        <w:rPr>
          <w:szCs w:val="24"/>
        </w:rPr>
        <w:fldChar w:fldCharType="begin" w:fldLock="1"/>
      </w:r>
      <w:r w:rsidRPr="00452E2E">
        <w:rPr>
          <w:szCs w:val="24"/>
        </w:rPr>
        <w:instrText>ADDIN CSL_CITATION { "citationItems" : [ { "id" : "ITEM-1", "itemData" : { "abstract" : "This paper assesses the relative and joint impact of cultural and institutional factors on firms' use of \u201ccalculative\u201d human resource management practices to determine their separate analytic power. To what extent do institutions and culture structure managerial choice? Previous research has been constrained by not having measures for both cultural and institutional distance. Employing data from 14 European countries taken from the Cranet survey, our findings indicate that institutional, and more specifically, labour relations factors, have more explanatory power than cultural factors.", "author" : [ { "dropping-particle" : "", "family" : "Brookes", "given" : "Michael", "non-dropping-particle" : "", "parse-names" : false, "suffix" : "" }, { "dropping-particle" : "", "family" : "Croucher", "given" : "Richard", "non-dropping-particle" : "", "parse-names" : false, "suffix" : "" }, { "dropping-particle" : "", "family" : "Fenton-O'Creevy", "given" : "Mark", "non-dropping-particle" : "", "parse-names" : false, "suffix" : "" }, { "dropping-particle" : "", "family" : "Gooderham", "given" : "Paul", "non-dropping-particle" : "", "parse-names" : false, "suffix" : "" } ], "container-title" : "Human Resource Management Review", "id" : "ITEM-1", "issued" : { "date-parts" : [ [ "2011" ] ] }, "page" : "68-79", "publisher" : "Elsevier Inc.", "title" : "Measuring competing explanations of human resource management practices through the Cranet survey: Cultural versus institutional explanations", "type" : "article-journal", "volume" : "21" }, "uris" : [ "http://www.mendeley.com/documents/?uuid=13829220-3a0e-44a0-a4c5-ee34ef394d32" ] } ], "mendeley" : { "formattedCitation" : "(Brookes et al. 2011)", "manualFormatting" : "(Brookes et al., 2011)", "plainTextFormattedCitation" : "(Brookes et al. 2011)", "previouslyFormattedCitation" : "(Brookes et al. 2011)" }, "properties" : { "noteIndex" : 0 }, "schema" : "https://github.com/citation-style-language/schema/raw/master/csl-citation.json" }</w:instrText>
      </w:r>
      <w:r w:rsidRPr="00452E2E">
        <w:rPr>
          <w:szCs w:val="24"/>
        </w:rPr>
        <w:fldChar w:fldCharType="separate"/>
      </w:r>
      <w:r w:rsidRPr="00452E2E">
        <w:rPr>
          <w:noProof/>
          <w:szCs w:val="24"/>
        </w:rPr>
        <w:t xml:space="preserve">(Brookes </w:t>
      </w:r>
      <w:r w:rsidRPr="00452E2E">
        <w:rPr>
          <w:i/>
          <w:noProof/>
          <w:szCs w:val="24"/>
        </w:rPr>
        <w:t>et al</w:t>
      </w:r>
      <w:r w:rsidRPr="00452E2E">
        <w:rPr>
          <w:noProof/>
          <w:szCs w:val="24"/>
        </w:rPr>
        <w:t>., 2011)</w:t>
      </w:r>
      <w:r w:rsidRPr="00452E2E">
        <w:rPr>
          <w:szCs w:val="24"/>
        </w:rPr>
        <w:fldChar w:fldCharType="end"/>
      </w:r>
      <w:r w:rsidRPr="00452E2E">
        <w:rPr>
          <w:szCs w:val="24"/>
        </w:rPr>
        <w:t xml:space="preserve">. Hence, there are several calls for researchers to adopt institutional frameworks in a bid to provide a better understanding of HRM in African contexts </w:t>
      </w:r>
      <w:r w:rsidRPr="00452E2E">
        <w:rPr>
          <w:szCs w:val="24"/>
        </w:rPr>
        <w:fldChar w:fldCharType="begin" w:fldLock="1"/>
      </w:r>
      <w:r w:rsidRPr="00452E2E">
        <w:rPr>
          <w:szCs w:val="24"/>
        </w:rPr>
        <w:instrText>ADDIN CSL_CITATION { "citationItems" : [ { "id" : "ITEM-1", "itemData" : { "author" : [ { "dropping-particle" : "", "family" : "Adeleye", "given" : "I.", "non-dropping-particle" : "", "parse-names" : false, "suffix" : "" } ], "container-title" : "African Journal of Business Management", "id" : "ITEM-1", "issue" : "6", "issued" : { "date-parts" : [ [ "2011" ] ] }, "page" : "2028\u20132039", "title" : "Theorising human resource management in Africa: Beyond cultural relativism", "type" : "article-journal", "volume" : "5" }, "uris" : [ "http://www.mendeley.com/documents/?uuid=b6058017-794b-4523-80e3-eae4db7ca9ff" ] }, { "id" : "ITEM-2",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"495-511", "publisher" : "Edward Elgar", "publisher-place" : "Cheltenham, UK", "title" : "The practice of HRM in Africa in comparative perspective", "type" : "chapter" }, "uris" : [ "http://www.mendeley.com/documents/?uuid=c50d4f41-3d16-4383-bbfc-941b6ffeeb24" ] }, { "id" : "ITEM-3", "itemData" : { "DOI" : "10.1080/09585192.2015.1071546", "ISSN" : "0958-5192", "author" : [ { "dropping-particle" : "", "family" : "Cooke", "given" : "Fang Lee", "non-dropping-particle" : "", "parse-names" : false, "suffix" : "" }, { "dropping-particle" : "", "family" : "Wood", "given" : "Geoffrey", "non-dropping-particle" : "", "parse-names" : false, "suffix" : "" }, { "dropping-particle" : "", "family" : "Horwitz", "given" : "Frank", "non-dropping-particle" : "", "parse-names" : false, "suffix" : "" } ], "container-title" : "The International Journal of Human Resource Management", "id" : "ITEM-3", "issue" : "21", "issued" : { "date-parts" : [ [ "2015" ] ] }, "page" : "2653-2675", "title" : "Multinational firms from emerging economies in Africa: Implications for research and practice in human resource management", "type" : "article-journal", "volume" : "26" }, "uris" : [ "http://www.mendeley.com/documents/?uuid=00b6a1e1-3d15-4bc3-9254-07ad89eb3867" ] }, { "id" : "ITEM-4", "itemData" : { "author" : [ { "dropping-particle" : "", "family" : "Kamoche", "given" : "Ken", "non-dropping-particle" : "", "parse-names" : false, "suffix" : "" }, { "dropping-particle" : "", "family" : "Siebers", "given" : "Lisa QIxun", "non-dropping-particle" : "", "parse-names" : false, "suffix" : "" }, { "dropping-particle" : "", "family" : "Mamman", "given" : "Aminu", "non-dropping-particle" : "", "parse-names" : false, "suffix" : "" }, { "dropping-particle" : "", "family" : "Newenham-Kahindi", "given" : "Aloysius", "non-dropping-particle" : "", "parse-names" : false, "suffix" : "" } ], "container-title" : "Personnel Review", "id" : "ITEM-4", "issue" : "3", "issued" : { "date-parts" : [ [ "2015" ] ] }, "page" : "330-345", "title" : "The dynamics of managing people in the diverse cultural and institutional context of Africa", "type" : "article-journal", "volume" : "44" }, "uris" : [ "http://www.mendeley.com/documents/?uuid=69ad02a9-4a01-42ad-ac07-0a1853df3747" ] }, { "id" : "ITEM-5",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w:instrText>
      </w:r>
      <w:r w:rsidRPr="00452E2E">
        <w:rPr>
          <w:szCs w:val="24"/>
          <w:lang w:val="nl-NL"/>
        </w:rPr>
        <w:instrText>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"ITEM-5",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"(Adeleye 2011; Bischoff &amp; Wood 2012; Cooke et al. 2015; Kamoche et al. 2015; Wood et al. 2011)", "manualFormatting" : "(Adeleye, 2011; Wood et al., 2011; Bischoff &amp; Wood, 2012; Cooke et al., 2015; Kamoche et al., 2015)", "plainTextFormattedCitation" : "(Adeleye 2011; Bischoff &amp; Wood 2012; Cooke et al. 2015; Kamoche et al. 2015; Wood et al. 2011)", "previouslyFormattedCitation" : "(Adeleye 2011; Bischoff &amp; Wood 2012; Cooke et al. 2015; Kamoche et al. 2015; Wood et al. 2011)" }, "properties" : { "noteIndex" : 0 }, "schema" : "https://github.com/citation-style-language/schema/raw/master/csl-citation.json" }</w:instrText>
      </w:r>
      <w:r w:rsidRPr="00452E2E">
        <w:rPr>
          <w:szCs w:val="24"/>
        </w:rPr>
        <w:fldChar w:fldCharType="separate"/>
      </w:r>
      <w:r w:rsidRPr="00452E2E">
        <w:rPr>
          <w:noProof/>
          <w:szCs w:val="24"/>
          <w:lang w:val="nl-NL"/>
        </w:rPr>
        <w:t xml:space="preserve">(Adeleye, 2011; Wood </w:t>
      </w:r>
      <w:r w:rsidRPr="00452E2E">
        <w:rPr>
          <w:i/>
          <w:noProof/>
          <w:szCs w:val="24"/>
          <w:lang w:val="nl-NL"/>
        </w:rPr>
        <w:t>et al</w:t>
      </w:r>
      <w:r w:rsidRPr="00452E2E">
        <w:rPr>
          <w:noProof/>
          <w:szCs w:val="24"/>
          <w:lang w:val="nl-NL"/>
        </w:rPr>
        <w:t xml:space="preserve">., 2011; Bischoff &amp; Wood, 2012; Cooke </w:t>
      </w:r>
      <w:r w:rsidRPr="00452E2E">
        <w:rPr>
          <w:i/>
          <w:noProof/>
          <w:szCs w:val="24"/>
          <w:lang w:val="nl-NL"/>
        </w:rPr>
        <w:t>et al</w:t>
      </w:r>
      <w:r w:rsidRPr="00452E2E">
        <w:rPr>
          <w:noProof/>
          <w:szCs w:val="24"/>
          <w:lang w:val="nl-NL"/>
        </w:rPr>
        <w:t xml:space="preserve">., 2015; Kamoche </w:t>
      </w:r>
      <w:r w:rsidRPr="00452E2E">
        <w:rPr>
          <w:i/>
          <w:noProof/>
          <w:szCs w:val="24"/>
          <w:lang w:val="nl-NL"/>
        </w:rPr>
        <w:t>et al</w:t>
      </w:r>
      <w:r w:rsidRPr="00452E2E">
        <w:rPr>
          <w:noProof/>
          <w:szCs w:val="24"/>
          <w:lang w:val="nl-NL"/>
        </w:rPr>
        <w:t>., 2015)</w:t>
      </w:r>
      <w:r w:rsidRPr="00452E2E">
        <w:rPr>
          <w:szCs w:val="24"/>
        </w:rPr>
        <w:fldChar w:fldCharType="end"/>
      </w:r>
      <w:r w:rsidRPr="00452E2E">
        <w:rPr>
          <w:szCs w:val="24"/>
          <w:lang w:val="nl-NL"/>
        </w:rPr>
        <w:t xml:space="preserve">. </w:t>
      </w:r>
      <w:r w:rsidRPr="00452E2E">
        <w:rPr>
          <w:szCs w:val="24"/>
        </w:rPr>
        <w:t xml:space="preserve">This research therefore seeks to examine the nature of </w:t>
      </w:r>
      <w:r w:rsidRPr="00452E2E">
        <w:rPr>
          <w:szCs w:val="24"/>
        </w:rPr>
        <w:lastRenderedPageBreak/>
        <w:t xml:space="preserve">HRM in public and private sector in Nigeria </w:t>
      </w:r>
      <w:r w:rsidR="009D0758" w:rsidRPr="00452E2E">
        <w:rPr>
          <w:szCs w:val="24"/>
        </w:rPr>
        <w:t>as well as</w:t>
      </w:r>
      <w:r w:rsidRPr="00452E2E">
        <w:rPr>
          <w:szCs w:val="24"/>
        </w:rPr>
        <w:t xml:space="preserve"> the effects of HR practices on employee attitudes from an institutional perspective. In the subsequent sections, the various institutional approaches to understanding HRM </w:t>
      </w:r>
      <w:r w:rsidR="00BB615A" w:rsidRPr="00452E2E">
        <w:rPr>
          <w:szCs w:val="24"/>
        </w:rPr>
        <w:t>will</w:t>
      </w:r>
      <w:r w:rsidRPr="00452E2E">
        <w:rPr>
          <w:szCs w:val="24"/>
        </w:rPr>
        <w:t xml:space="preserve"> be discussed, followed by the nature of HR practices.</w:t>
      </w:r>
    </w:p>
    <w:p w:rsidR="00D03A8E" w:rsidRPr="00452E2E" w:rsidRDefault="00D03A8E" w:rsidP="00170224">
      <w:pPr>
        <w:pStyle w:val="Heading3"/>
      </w:pPr>
      <w:bookmarkStart w:id="39" w:name="_Toc465271169"/>
      <w:bookmarkStart w:id="40" w:name="_Toc473808108"/>
      <w:r w:rsidRPr="00452E2E">
        <w:t>2.3 Institutions and HRM</w:t>
      </w:r>
      <w:bookmarkEnd w:id="39"/>
      <w:bookmarkEnd w:id="40"/>
    </w:p>
    <w:p w:rsidR="00D03A8E" w:rsidRPr="00452E2E" w:rsidRDefault="00D03A8E" w:rsidP="00D03A8E">
      <w:pPr>
        <w:spacing w:line="360" w:lineRule="auto"/>
        <w:jc w:val="both"/>
        <w:rPr>
          <w:szCs w:val="24"/>
        </w:rPr>
      </w:pPr>
      <w:r w:rsidRPr="00452E2E">
        <w:rPr>
          <w:szCs w:val="24"/>
        </w:rPr>
        <w:t xml:space="preserve">Institutions have been studied widely in different fields within the social sciences such as sociology, economics, finance, politics, among others </w:t>
      </w:r>
      <w:r w:rsidRPr="00452E2E">
        <w:rPr>
          <w:szCs w:val="24"/>
        </w:rPr>
        <w:fldChar w:fldCharType="begin" w:fldLock="1"/>
      </w:r>
      <w:r w:rsidRPr="00452E2E">
        <w:rPr>
          <w:szCs w:val="24"/>
        </w:rPr>
        <w:instrText>ADDIN CSL_CITATION { "citationItems" : [ { "id" : "ITEM-1", "itemData" : { "ISBN" : "978-0-226-72957-2", "author" : [ { "dropping-particle" : "", "family" : "Porta", "given" : "R", "non-dropping-particle" : "La", "parse-names" : false, "suffix" : "" }, { "dropping-particle" : "", "family" : "Lopez-de-Silanes", "given" : "F", "non-dropping-particle" : "", "parse-names" : false, "suffix" : "" }, { "dropping-particle" : "", "family" : "Shleifer", "given" : "Andrei", "non-dropping-particle" : "", "parse-names" : false, "suffix" : "" }, { "dropping-particle" : "", "family" : "Vishny", "given" : "RW", "non-dropping-particle" : "", "parse-names" : false, "suffix" : "" } ], "container-title" : "Journal of Law, Economics, &amp; Organization", "id" : "ITEM-1", "issue" : "1", "issued" : { "date-parts" : [ [ "1999" ] ] }, "page" : "12-14", "title" : "The quality of government", "type" : "article-journal", "volume" : "15" }, "uris" : [ "http://www.mendeley.com/documents/?uuid=35e5708d-3ad5-4c34-b040-0e56d71a9ddd" ] }, { "id" : "ITEM-2", "itemData" : { "author" : [ { "dropping-particle" : "", "family" : "North", "given" : "D.C.", "non-dropping-particle" : "", "parse-names" : false, "suffix" : "" } ], "id" : "ITEM-2", "issued" : { "date-parts" : [ [ "1990" ] ] }, "publisher" : "Cambridge University Press", "publisher-place" : "Cambridge", "title" : "Institutions, institutional change and economic performance", "type" : "book" }, "uris" : [ "http://www.mendeley.com/documents/?uuid=4747cfe0-6ad9-4ac6-b864-dd96e69b2b71" ] } ], "mendeley" : { "formattedCitation" : "(La Porta et al. 1999; North 1990)", "manualFormatting" : "(DiMaggio &amp; Powell, 1983; North, 1990; La Porta et al., 1999;Whitley, 1999; Hall &amp; Soskice, 2001)", "plainTextFormattedCitation" : "(La Porta et al. 1999; North 1990)", "previouslyFormattedCitation" : "(La Porta et al. 1999; North 1990)" }, "properties" : { "noteIndex" : 0 }, "schema" : "https://github.com/citation-style-language/schema/raw/master/csl-citation.json" }</w:instrText>
      </w:r>
      <w:r w:rsidRPr="00452E2E">
        <w:rPr>
          <w:szCs w:val="24"/>
        </w:rPr>
        <w:fldChar w:fldCharType="separate"/>
      </w:r>
      <w:r w:rsidRPr="00452E2E">
        <w:rPr>
          <w:noProof/>
          <w:szCs w:val="24"/>
        </w:rPr>
        <w:t xml:space="preserve">(DiMaggio &amp; Powell, 1983; North, 1990; La Porta </w:t>
      </w:r>
      <w:r w:rsidRPr="00452E2E">
        <w:rPr>
          <w:i/>
          <w:noProof/>
          <w:szCs w:val="24"/>
        </w:rPr>
        <w:t>et al</w:t>
      </w:r>
      <w:r w:rsidRPr="00452E2E">
        <w:rPr>
          <w:noProof/>
          <w:szCs w:val="24"/>
        </w:rPr>
        <w:t>., 1999;</w:t>
      </w:r>
      <w:r w:rsidR="003327AE" w:rsidRPr="00452E2E">
        <w:rPr>
          <w:noProof/>
          <w:szCs w:val="24"/>
        </w:rPr>
        <w:t xml:space="preserve"> </w:t>
      </w:r>
      <w:r w:rsidRPr="00452E2E">
        <w:rPr>
          <w:noProof/>
          <w:szCs w:val="24"/>
        </w:rPr>
        <w:t>Whitley, 1999; Hall &amp; Soskice, 2001)</w:t>
      </w:r>
      <w:r w:rsidRPr="00452E2E">
        <w:rPr>
          <w:szCs w:val="24"/>
        </w:rPr>
        <w:fldChar w:fldCharType="end"/>
      </w:r>
      <w:r w:rsidRPr="00452E2E">
        <w:rPr>
          <w:szCs w:val="24"/>
        </w:rPr>
        <w:t xml:space="preserve">. However, there is no consensus as to the characteristics of institutions and how they should be defined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"chapter-number" : "1", "container-title" : "Human resource management and the institutional perspective", "editor"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"id" : "ITEM-1", "issued" : { "date-parts" : [ [ "2014" ] ] }, "page" : "1-14", "publisher" : "Routledge", "publisher-place" : "London and New York", "title" : "Institutions and firm level HRM practice", "type" : "chapter" }, "uris" : [ "http://www.mendeley.com/documents/?uuid=ba62f378-933c-4fff-a2e8-63f742ac54d8" ] } ], "mendeley" : { "formattedCitation" : "(Wood, Brewster, et al. 2014)", "manualFormatting" : "(Wood et al., 2012)", "plainTextFormattedCitation" : "(Wood, Brewster, et al. 2014)", "previouslyFormattedCitation" : "(Wood, Brewster, et al. 2014)"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For instance, </w:t>
      </w:r>
      <w:r w:rsidRPr="00452E2E">
        <w:rPr>
          <w:szCs w:val="24"/>
        </w:rPr>
        <w:fldChar w:fldCharType="begin" w:fldLock="1"/>
      </w:r>
      <w:r w:rsidRPr="00452E2E">
        <w:rPr>
          <w:szCs w:val="24"/>
        </w:rPr>
        <w:instrText>ADDIN CSL_CITATION { "citationItems" : [ { "id" : "ITEM-1", "itemData" : { "author" : [ { "dropping-particle" : "", "family" : "North", "given" : "D.C.", "non-dropping-particle" : "", "parse-names" : false, "suffix" : "" } ], "id" : "ITEM-1", "issued" : { "date-parts" : [ [ "1990" ] ] }, "publisher" : "Cambridge University Press", "publisher-place" : "Cambridge", "title" : "Institutions, institutional change and economic performance", "type" : "book" }, "uris" : [ "http://www.mendeley.com/documents/?uuid=4747cfe0-6ad9-4ac6-b864-dd96e69b2b71" ] } ], "mendeley" : { "formattedCitation" : "(North 1990)", "manualFormatting" : "North (1990 p. 3)", "plainTextFormattedCitation" : "(North 1990)", "previouslyFormattedCitation" : "(North 1990)" }, "properties" : { "noteIndex" : 0 }, "schema" : "https://github.com/citation-style-language/schema/raw/master/csl-citation.json" }</w:instrText>
      </w:r>
      <w:r w:rsidRPr="00452E2E">
        <w:rPr>
          <w:szCs w:val="24"/>
        </w:rPr>
        <w:fldChar w:fldCharType="separate"/>
      </w:r>
      <w:r w:rsidRPr="00452E2E">
        <w:rPr>
          <w:noProof/>
          <w:szCs w:val="24"/>
        </w:rPr>
        <w:t>North (1990 p. 3)</w:t>
      </w:r>
      <w:r w:rsidRPr="00452E2E">
        <w:rPr>
          <w:szCs w:val="24"/>
        </w:rPr>
        <w:fldChar w:fldCharType="end"/>
      </w:r>
      <w:r w:rsidRPr="00452E2E">
        <w:rPr>
          <w:szCs w:val="24"/>
        </w:rPr>
        <w:t xml:space="preserve">  defines institutions as “the rules of the game in the society”. From a sociological perspective, “institutions comprise regulative, normative, and cultural-cognitive elements that, together with associated activities and resources, provide stability and meaning to social life” (</w:t>
      </w:r>
      <w:r w:rsidRPr="00452E2E">
        <w:rPr>
          <w:szCs w:val="24"/>
        </w:rPr>
        <w:fldChar w:fldCharType="begin" w:fldLock="1"/>
      </w:r>
      <w:r w:rsidRPr="00452E2E">
        <w:rPr>
          <w:szCs w:val="24"/>
        </w:rPr>
        <w:instrText>ADDIN CSL_CITATION { "citationItems" : [ { "id" : "ITEM-1", "itemData" : { "author" : [ { "dropping-particle" : "", "family" : "Scott", "given" : "W. Richard", "non-dropping-particle" : "", "parse-names" : false, "suffix" : "" } ], "edition" : "4th", "id" : "ITEM-1", "issued" : { "date-parts" : [ [ "2014" ] ] }, "publisher" : "SAGE", "publisher-place" : "Los Angeles", "title" : "Institutions and organizations: Ideas, interests, and identities", "type" : "book" }, "uris" : [ "http://www.mendeley.com/documents/?uuid=cd341672-bf37-41bb-bdfb-cad2a361137f" ] } ], "mendeley" : { "formattedCitation" : "(Scott 2014)", "manualFormatting" : "Scott 2014, p. 56)", "plainTextFormattedCitation" : "(Scott 2014)", "previouslyFormattedCitation" : "(Scott 2014)" }, "properties" : { "noteIndex" : 0 }, "schema" : "https://github.com/citation-style-language/schema/raw/master/csl-citation.json" }</w:instrText>
      </w:r>
      <w:r w:rsidRPr="00452E2E">
        <w:rPr>
          <w:szCs w:val="24"/>
        </w:rPr>
        <w:fldChar w:fldCharType="separate"/>
      </w:r>
      <w:r w:rsidRPr="00452E2E">
        <w:rPr>
          <w:noProof/>
          <w:szCs w:val="24"/>
        </w:rPr>
        <w:t>Scott 2014, p. 56)</w:t>
      </w:r>
      <w:r w:rsidRPr="00452E2E">
        <w:rPr>
          <w:szCs w:val="24"/>
        </w:rPr>
        <w:fldChar w:fldCharType="end"/>
      </w:r>
      <w:r w:rsidRPr="00452E2E">
        <w:rPr>
          <w:szCs w:val="24"/>
        </w:rPr>
        <w:t xml:space="preserve">. From a multidisciplinary standpoint, Wood </w:t>
      </w:r>
      <w:r w:rsidRPr="00452E2E">
        <w:rPr>
          <w:i/>
          <w:szCs w:val="24"/>
        </w:rPr>
        <w:t>et al</w:t>
      </w:r>
      <w:r w:rsidRPr="00452E2E">
        <w:rPr>
          <w:szCs w:val="24"/>
        </w:rPr>
        <w:t>. (2014</w:t>
      </w:r>
      <w:r w:rsidRPr="00452E2E">
        <w:rPr>
          <w:i/>
          <w:szCs w:val="24"/>
        </w:rPr>
        <w:t>a</w:t>
      </w:r>
      <w:r w:rsidRPr="00452E2E">
        <w:rPr>
          <w:szCs w:val="24"/>
        </w:rPr>
        <w:t xml:space="preserve">, p. 2) provide an embracing definition of institutions as “structural societal features that mould social and economic conduct in a manner that goes beyond the doings of a single individual or collective”. Institutions are essential in shaping the conduct of individuals and organizations in the society. There are different frameworks for studying institutions and the way they relate to HRM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Wood et al., 2014a)",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xml:space="preserve">., 2012; Wood </w:t>
      </w:r>
      <w:r w:rsidRPr="00452E2E">
        <w:rPr>
          <w:i/>
          <w:noProof/>
          <w:szCs w:val="24"/>
        </w:rPr>
        <w:t>et al</w:t>
      </w:r>
      <w:r w:rsidRPr="00452E2E">
        <w:rPr>
          <w:noProof/>
          <w:szCs w:val="24"/>
        </w:rPr>
        <w:t>., 2014</w:t>
      </w:r>
      <w:r w:rsidRPr="00452E2E">
        <w:rPr>
          <w:i/>
          <w:noProof/>
          <w:szCs w:val="24"/>
        </w:rPr>
        <w:t>a</w:t>
      </w:r>
      <w:r w:rsidRPr="00452E2E">
        <w:rPr>
          <w:noProof/>
          <w:szCs w:val="24"/>
        </w:rPr>
        <w:t>)</w:t>
      </w:r>
      <w:r w:rsidRPr="00452E2E">
        <w:rPr>
          <w:szCs w:val="24"/>
        </w:rPr>
        <w:fldChar w:fldCharType="end"/>
      </w:r>
      <w:r w:rsidRPr="00452E2E">
        <w:rPr>
          <w:szCs w:val="24"/>
        </w:rPr>
        <w:t>. Whilst each framework obviously has strengths and weaknesses, it has been suggested that a combination of different perspectives is appropriate in order to understand institutions through different lenses and how this affect</w:t>
      </w:r>
      <w:r w:rsidR="007F0BD3" w:rsidRPr="00452E2E">
        <w:rPr>
          <w:szCs w:val="24"/>
        </w:rPr>
        <w:t>s</w:t>
      </w:r>
      <w:r w:rsidRPr="00452E2E">
        <w:rPr>
          <w:szCs w:val="24"/>
        </w:rPr>
        <w:t xml:space="preserve"> HRM </w:t>
      </w:r>
      <w:r w:rsidRPr="00452E2E">
        <w:rPr>
          <w:szCs w:val="24"/>
        </w:rPr>
        <w:fldChar w:fldCharType="begin" w:fldLock="1"/>
      </w:r>
      <w:r w:rsidRPr="00452E2E">
        <w:rPr>
          <w:szCs w:val="24"/>
        </w:rPr>
        <w:instrText>ADDIN CSL_CITATION { "citationItems" : [ { "id" : "ITEM-1", "itemData" : { "author" : [ { "dropping-particle" : "", "family" : "Burbach", "given" : "R", "non-dropping-particle" : "", "parse-names" : false, "suffix" : "" }, { "dropping-particle" : "", "family" : "Royle", "given" : "T", "non-dropping-particle" : "", "parse-names" : false, "suffix" : "" } ], "container-title" : "Employee Relations", "id" : "ITEM-1", "issue" : "4", "issued" : { "date-parts" : [ [ "2014" ] ] }, "page" : "354 \u2013 375", "title" : "Institutional determinants of e-HRM diffusion success", "type" : "article-journal", "volume" : "36" }, "uris" : [ "http://www.mendeley.com/documents/?uuid=d6fcef05-3917-44ff-9094-37c0cc3630ad" ] } ], "mendeley" : { "formattedCitation" : "(R Burbach &amp; Royle 2014)", "manualFormatting" : "(Burbach &amp; Royle, 2014)", "plainTextFormattedCitation" : "(R Burbach &amp; Royle 2014)", "previouslyFormattedCitation" : "(R Burbach &amp; Royle 2014)" }, "properties" : { "noteIndex" : 0 }, "schema" : "https://github.com/citation-style-language/schema/raw/master/csl-citation.json" }</w:instrText>
      </w:r>
      <w:r w:rsidRPr="00452E2E">
        <w:rPr>
          <w:szCs w:val="24"/>
        </w:rPr>
        <w:fldChar w:fldCharType="separate"/>
      </w:r>
      <w:r w:rsidRPr="00452E2E">
        <w:rPr>
          <w:noProof/>
          <w:szCs w:val="24"/>
        </w:rPr>
        <w:t>(Burbach &amp; Royle, 2014)</w:t>
      </w:r>
      <w:r w:rsidRPr="00452E2E">
        <w:rPr>
          <w:szCs w:val="24"/>
        </w:rPr>
        <w:fldChar w:fldCharType="end"/>
      </w:r>
      <w:r w:rsidRPr="00452E2E">
        <w:rPr>
          <w:szCs w:val="24"/>
        </w:rPr>
        <w:t xml:space="preserve">. </w:t>
      </w:r>
      <w:r w:rsidR="00DB42A6" w:rsidRPr="00452E2E">
        <w:rPr>
          <w:szCs w:val="24"/>
        </w:rPr>
        <w:t>V</w:t>
      </w:r>
      <w:r w:rsidRPr="00452E2E">
        <w:rPr>
          <w:szCs w:val="24"/>
        </w:rPr>
        <w:t xml:space="preserve">arious institutional approaches to understanding HRM are discussed in the sub-sections below.  </w:t>
      </w:r>
    </w:p>
    <w:p w:rsidR="00D03A8E" w:rsidRPr="00452E2E" w:rsidRDefault="00D03A8E" w:rsidP="00D03A8E">
      <w:pPr>
        <w:pStyle w:val="Heading4"/>
      </w:pPr>
      <w:bookmarkStart w:id="41" w:name="_Toc473808109"/>
      <w:r w:rsidRPr="00452E2E">
        <w:t>2.3.1 Economic Perspective</w:t>
      </w:r>
      <w:bookmarkEnd w:id="41"/>
    </w:p>
    <w:p w:rsidR="00D03A8E" w:rsidRPr="00452E2E" w:rsidRDefault="00D03A8E" w:rsidP="00D03A8E">
      <w:pPr>
        <w:spacing w:line="360" w:lineRule="auto"/>
        <w:jc w:val="both"/>
        <w:rPr>
          <w:szCs w:val="24"/>
        </w:rPr>
      </w:pPr>
      <w:r w:rsidRPr="00452E2E">
        <w:rPr>
          <w:szCs w:val="24"/>
        </w:rPr>
        <w:t xml:space="preserve">The economic perspective of institutions which is embedded in private property rights views individuals and firms as rational actors, and assumes that the role of institutions is primarily to protect private property, by providing incentives and disincentives to firms </w:t>
      </w:r>
      <w:r w:rsidRPr="00452E2E">
        <w:rPr>
          <w:szCs w:val="24"/>
        </w:rPr>
        <w:fldChar w:fldCharType="begin" w:fldLock="1"/>
      </w:r>
      <w:r w:rsidRPr="00452E2E">
        <w:rPr>
          <w:szCs w:val="24"/>
        </w:rPr>
        <w:instrText>ADDIN CSL_CITATION { "citationItems" : [ { "id" : "ITEM-1", "itemData" : { "author" : [ { "dropping-particle" : "", "family" : "North", "given" : "D.C.", "non-dropping-particle" : "", "parse-names" : false, "suffix" : "" } ], "id" : "ITEM-1", "issued" : { "date-parts" : [ [ "1990" ] ] }, "publisher" : "Cambridge University Press", "publisher-place" : "Cambridge", "title" : "Institutions, institutional change and economic performance", "type" : "book" }, "uris" : [ "http://www.mendeley.com/documents/?uuid=4747cfe0-6ad9-4ac6-b864-dd96e69b2b71"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"(North 1990; Wood et al. 2012)", "manualFormatting" : "(North, 1990; cf. Wood et al., 2012)", "plainTextFormattedCitation" : "(North 1990; Wood et al. 2012)", "previouslyFormattedCitation" : "(North 1990;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(North, 1990; cf. Wood </w:t>
      </w:r>
      <w:r w:rsidRPr="00452E2E">
        <w:rPr>
          <w:i/>
          <w:noProof/>
          <w:szCs w:val="24"/>
        </w:rPr>
        <w:t>et al</w:t>
      </w:r>
      <w:r w:rsidR="001A59DD" w:rsidRPr="00452E2E">
        <w:rPr>
          <w:noProof/>
          <w:szCs w:val="24"/>
        </w:rPr>
        <w:t>., 2014</w:t>
      </w:r>
      <w:r w:rsidR="001A59DD" w:rsidRPr="00452E2E">
        <w:rPr>
          <w:i/>
          <w:noProof/>
          <w:szCs w:val="24"/>
        </w:rPr>
        <w:t>a</w:t>
      </w:r>
      <w:r w:rsidRPr="00452E2E">
        <w:rPr>
          <w:noProof/>
          <w:szCs w:val="24"/>
        </w:rPr>
        <w:t>)</w:t>
      </w:r>
      <w:r w:rsidRPr="00452E2E">
        <w:rPr>
          <w:szCs w:val="24"/>
        </w:rPr>
        <w:fldChar w:fldCharType="end"/>
      </w:r>
      <w:r w:rsidRPr="00452E2E">
        <w:rPr>
          <w:szCs w:val="24"/>
        </w:rPr>
        <w:t>. A</w:t>
      </w:r>
      <w:r w:rsidR="00653419" w:rsidRPr="00452E2E">
        <w:rPr>
          <w:szCs w:val="24"/>
        </w:rPr>
        <w:t>ccording to</w:t>
      </w:r>
      <w:r w:rsidRPr="00452E2E">
        <w:rPr>
          <w:szCs w:val="24"/>
        </w:rPr>
        <w:t xml:space="preserve">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"chapter-number" : "1", "container-title" : "Human resource management and the institutional perspective", "editor"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"id" : "ITEM-1", "issued" : { "date-parts" : [ [ "2014" ] ] }, "page" : "1-14", "publisher" : "Routledge", "publisher-place" : "London and New York", "title" : "Institutions and firm level HRM practice", "type" : "chapter" }, "uris" : [ "http://www.mendeley.com/documents/?uuid=ba62f378-933c-4fff-a2e8-63f742ac54d8" ] } ], "mendeley" : { "formattedCitation" : "(Wood, Brewster, et al. 2014)", "manualFormatting" : "Wood et al. (2014a)", "plainTextFormattedCitation" : "(Wood, Brewster, et al. 2014)", "previouslyFormattedCitation" : "(Wood, Brewster, et al. 2014)"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(2014</w:t>
      </w:r>
      <w:r w:rsidRPr="00452E2E">
        <w:rPr>
          <w:i/>
          <w:noProof/>
          <w:szCs w:val="24"/>
        </w:rPr>
        <w:t>a</w:t>
      </w:r>
      <w:r w:rsidRPr="00452E2E">
        <w:rPr>
          <w:noProof/>
          <w:szCs w:val="24"/>
        </w:rPr>
        <w:t>)</w:t>
      </w:r>
      <w:r w:rsidRPr="00452E2E">
        <w:rPr>
          <w:szCs w:val="24"/>
        </w:rPr>
        <w:fldChar w:fldCharType="end"/>
      </w:r>
      <w:r w:rsidRPr="00452E2E">
        <w:rPr>
          <w:szCs w:val="24"/>
        </w:rPr>
        <w:t>, the proponents of this ideology assume that nations with strong property rights will economically outperform those with weak property rights</w:t>
      </w:r>
      <w:r w:rsidR="00843EDD" w:rsidRPr="00452E2E">
        <w:rPr>
          <w:szCs w:val="24"/>
        </w:rPr>
        <w:t>.</w:t>
      </w:r>
      <w:r w:rsidRPr="00452E2E">
        <w:rPr>
          <w:szCs w:val="24"/>
        </w:rPr>
        <w:t xml:space="preserve"> </w:t>
      </w:r>
      <w:r w:rsidRPr="00452E2E">
        <w:rPr>
          <w:szCs w:val="24"/>
          <w:lang w:val="it-IT"/>
        </w:rPr>
        <w:t xml:space="preserve"> </w:t>
      </w:r>
      <w:r w:rsidRPr="00452E2E">
        <w:rPr>
          <w:szCs w:val="24"/>
        </w:rPr>
        <w:t xml:space="preserve">The economic perspective of institutions is ingrained in neo-liberalism as </w:t>
      </w:r>
      <w:r w:rsidRPr="00452E2E">
        <w:rPr>
          <w:szCs w:val="24"/>
        </w:rPr>
        <w:lastRenderedPageBreak/>
        <w:t xml:space="preserve">espoused by Washington-based bodies such as IMF and the World Bank who seek to prescribe the ordering of economies  across the world </w:t>
      </w:r>
      <w:r w:rsidRPr="00452E2E">
        <w:rPr>
          <w:szCs w:val="24"/>
        </w:rPr>
        <w:fldChar w:fldCharType="begin" w:fldLock="1"/>
      </w:r>
      <w:r w:rsidRPr="00452E2E">
        <w:rPr>
          <w:szCs w:val="24"/>
        </w:rPr>
        <w:instrText>ADDIN CSL_CITATION { "citationItems" : [ { "id" : "ITEM-1", "itemData" : { "author" : [ { "dropping-particle" : "", "family" : "Dardot", "given" : "P.", "non-dropping-particle" : "", "parse-names" : false, "suffix" : "" }, { "dropping-particle" : "", "family" : "Laval", "given" : "C.", "non-dropping-particle" : "", "parse-names" : false, "suffix" : "" } ], "id" : "ITEM-1", "issued" : { "date-parts" : [ [ "2013" ] ] }, "publisher" : "Verso", "publisher-place" : "London", "title" : "The new way of the world: On neoliberal society", "type" : "book" }, "uris" : [ "http://www.mendeley.com/documents/?uuid=bb3afa2d-6c13-446d-a270-db32efb66685" ] }, { "id" : "ITEM-2", "itemData" : { "author" : [ { "dropping-particle" : "", "family" : "Peck", "given" : "J.", "non-dropping-particle" : "", "parse-names" : false, "suffix" : "" } ], "id" : "ITEM-2", "issued" : { "date-parts" : [ [ "2010" ] ] }, "publisher" : "Oxford University Press", "publisher-place" : "Oxford", "title" : "Constructions of neoliberalism", "type" : "book" }, "uris" : [ "http://www.mendeley.com/documents/?uuid=0bf7ae7b-5c7e-49da-b7c9-6d79699f4583" ] } ], "mendeley" : { "formattedCitation" : "(Dardot &amp; Laval 2013; Peck 2010)", "manualFormatting" : "(Peck, 2010; Dardot &amp; Laval, 2013)", "plainTextFormattedCitation" : "(Dardot &amp; Laval 2013; Peck 2010)", "previouslyFormattedCitation" : "(Dardot &amp; Laval 2013; Peck 2010)" }, "properties" : { "noteIndex" : 0 }, "schema" : "https://github.com/citation-style-language/schema/raw/master/csl-citation.json" }</w:instrText>
      </w:r>
      <w:r w:rsidRPr="00452E2E">
        <w:rPr>
          <w:szCs w:val="24"/>
        </w:rPr>
        <w:fldChar w:fldCharType="separate"/>
      </w:r>
      <w:r w:rsidRPr="00452E2E">
        <w:rPr>
          <w:noProof/>
          <w:szCs w:val="24"/>
        </w:rPr>
        <w:t>(Peck, 2010; Dardot &amp; Laval, 2013</w:t>
      </w:r>
      <w:r w:rsidR="005D496B" w:rsidRPr="00452E2E">
        <w:rPr>
          <w:noProof/>
          <w:szCs w:val="24"/>
        </w:rPr>
        <w:t xml:space="preserve">; Wood </w:t>
      </w:r>
      <w:r w:rsidR="005D496B" w:rsidRPr="00452E2E">
        <w:rPr>
          <w:i/>
          <w:noProof/>
          <w:szCs w:val="24"/>
        </w:rPr>
        <w:t>et al.,</w:t>
      </w:r>
      <w:r w:rsidR="005D496B" w:rsidRPr="00452E2E">
        <w:rPr>
          <w:noProof/>
          <w:szCs w:val="24"/>
        </w:rPr>
        <w:t xml:space="preserve"> 2014</w:t>
      </w:r>
      <w:r w:rsidR="005D496B" w:rsidRPr="00452E2E">
        <w:rPr>
          <w:i/>
          <w:noProof/>
          <w:szCs w:val="24"/>
        </w:rPr>
        <w:t>a</w:t>
      </w:r>
      <w:r w:rsidRPr="00452E2E">
        <w:rPr>
          <w:noProof/>
          <w:szCs w:val="24"/>
        </w:rPr>
        <w:t>)</w:t>
      </w:r>
      <w:r w:rsidRPr="00452E2E">
        <w:rPr>
          <w:szCs w:val="24"/>
        </w:rPr>
        <w:fldChar w:fldCharType="end"/>
      </w:r>
      <w:r w:rsidRPr="00452E2E">
        <w:rPr>
          <w:szCs w:val="24"/>
        </w:rPr>
        <w:t xml:space="preserve">. </w:t>
      </w:r>
    </w:p>
    <w:p w:rsidR="00D03A8E" w:rsidRPr="00452E2E" w:rsidRDefault="00E84383" w:rsidP="00D03A8E">
      <w:pPr>
        <w:spacing w:line="360" w:lineRule="auto"/>
        <w:jc w:val="both"/>
        <w:rPr>
          <w:szCs w:val="24"/>
        </w:rPr>
      </w:pPr>
      <w:r w:rsidRPr="00452E2E">
        <w:rPr>
          <w:szCs w:val="24"/>
        </w:rPr>
        <w:t>As noted by Wood and colleagues, t</w:t>
      </w:r>
      <w:r w:rsidR="00D03A8E" w:rsidRPr="00452E2E">
        <w:rPr>
          <w:szCs w:val="24"/>
        </w:rPr>
        <w:t xml:space="preserve">he implication of property rights on HRM is that, strong property rights favour the rights of owners against those of workers, with the flawed belief that economic efficiency of firms can only be achieved when the rights of workers are subdued </w:t>
      </w:r>
      <w:r w:rsidR="00D03A8E" w:rsidRPr="00452E2E">
        <w:rPr>
          <w:szCs w:val="24"/>
        </w:rPr>
        <w:fldChar w:fldCharType="begin" w:fldLock="1"/>
      </w:r>
      <w:r w:rsidR="00D03A8E"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"id" : "ITEM-2", "itemData" : { "author"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"chapter-number" : "1", "container-title" : "Human resource management and the institutional perspective", "editor"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"id" : "ITEM-2", "issued" : { "date-parts" : [ [ "2014" ] ] }, "page" : "1-14", "publisher" : "Routledge", "publisher-place" : "London and New York", "title" : "Institutions and firm level HRM practice", "type" : "chapter" }, "uris" : [ "http://www.mendeley.com/documents/?uuid=ba62f378-933c-4fff-a2e8-63f742ac54d8" ] } ], "mendeley" : { "formattedCitation" : "(Wood et al. 2012; Wood, Brewster, et al. 2014)", "manualFormatting" : "(Wood et al., 2012; Wood, et al., 2014a)", "plainTextFormattedCitation" : "(Wood et al. 2012; Wood, Brewster, et al. 2014)", "previouslyFormattedCitation" : "(Wood et al. 2012; Wood, Brewster, et al. 2014)"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(Wood </w:t>
      </w:r>
      <w:r w:rsidR="00D03A8E" w:rsidRPr="00452E2E">
        <w:rPr>
          <w:i/>
          <w:noProof/>
          <w:szCs w:val="24"/>
        </w:rPr>
        <w:t>et al</w:t>
      </w:r>
      <w:r w:rsidR="00D03A8E" w:rsidRPr="00452E2E">
        <w:rPr>
          <w:noProof/>
          <w:szCs w:val="24"/>
        </w:rPr>
        <w:t xml:space="preserve">., 2012; Wood, </w:t>
      </w:r>
      <w:r w:rsidR="00D03A8E" w:rsidRPr="00452E2E">
        <w:rPr>
          <w:i/>
          <w:noProof/>
          <w:szCs w:val="24"/>
        </w:rPr>
        <w:t>et al</w:t>
      </w:r>
      <w:r w:rsidR="00D03A8E" w:rsidRPr="00452E2E">
        <w:rPr>
          <w:noProof/>
          <w:szCs w:val="24"/>
        </w:rPr>
        <w:t>., 2014</w:t>
      </w:r>
      <w:r w:rsidR="00D03A8E" w:rsidRPr="00452E2E">
        <w:rPr>
          <w:i/>
          <w:noProof/>
          <w:szCs w:val="24"/>
        </w:rPr>
        <w:t>a</w:t>
      </w:r>
      <w:r w:rsidR="00D03A8E" w:rsidRPr="00452E2E">
        <w:rPr>
          <w:noProof/>
          <w:szCs w:val="24"/>
        </w:rPr>
        <w:t>)</w:t>
      </w:r>
      <w:r w:rsidR="00D03A8E" w:rsidRPr="00452E2E">
        <w:rPr>
          <w:szCs w:val="24"/>
        </w:rPr>
        <w:fldChar w:fldCharType="end"/>
      </w:r>
      <w:r w:rsidR="00D03A8E" w:rsidRPr="00452E2E">
        <w:rPr>
          <w:szCs w:val="24"/>
        </w:rPr>
        <w:t xml:space="preserve">. The assumption is that systems with weak investor protection and strong workers’ rights provide a breeding ground for inefficiency since </w:t>
      </w:r>
      <w:r w:rsidR="00904C23" w:rsidRPr="00452E2E">
        <w:rPr>
          <w:szCs w:val="24"/>
        </w:rPr>
        <w:t xml:space="preserve">it is presumed that </w:t>
      </w:r>
      <w:r w:rsidR="00D03A8E" w:rsidRPr="00452E2E">
        <w:rPr>
          <w:szCs w:val="24"/>
        </w:rPr>
        <w:t xml:space="preserve">managers and employees, being rational actors, are more likely to maximize their gains to the detriment of owners </w:t>
      </w:r>
      <w:r w:rsidR="00D03A8E" w:rsidRPr="00452E2E">
        <w:rPr>
          <w:szCs w:val="24"/>
        </w:rPr>
        <w:fldChar w:fldCharType="begin" w:fldLock="1"/>
      </w:r>
      <w:r w:rsidR="00D03A8E" w:rsidRPr="00452E2E">
        <w:rPr>
          <w:szCs w:val="24"/>
        </w:rPr>
        <w:instrText>ADDIN CSL_CITATION { "citationItems" : [ { "id" : "ITEM-1", "itemData" : { "author" : [ { "dropping-particle" : "", "family" : "Botero", "given" : "J.", "non-dropping-particle" : "", "parse-names" : false, "suffix" : "" }, { "dropping-particle" : "", "family" : "Djankov", "given" : "S.", "non-dropping-particle" : "", "parse-names" : false, "suffix" : "" }, { "dropping-particle" : "", "family" : "Porta", "given" : "R.", "non-dropping-particle" : "La", "parse-names" : false, "suffix" : "" }, { "dropping-particle" : "", "family" : "Lopez-de-Silanes", "given" : "F", "non-dropping-particle" : "", "parse-names" : false, "suffix" : "" } ], "container-title" : "The Quarterly Journal of Economics", "id" : "ITEM-1", "issue" : "4", "issued" : { "date-parts" : [ [ "2004" ] ] }, "page" : "1339-1382", "title" : "The regulation of labor", "type" : "article-journal", "volume" : "119" }, "uris" : [ "http://www.mendeley.com/documents/?uuid=5bb92589-5924-4fb9-a5e8-079f05991a14" ] }, { "id" : "ITEM-2", "itemData" : { "author" : [ { "dropping-particle" : "", "family" : "Porta", "given" : "R.", "non-dropping-particle" : "La", "parse-names" : false, "suffix" : "" }, { "dropping-particle" : "", "family" : "Lopez-de-Silanes", "given" : "F", "non-dropping-particle" : "", "parse-names" : false, "suffix" : "" }, { "dropping-particle" : "", "family" : "Shleifer", "given" : "Andrei", "non-dropping-particle" : "", "parse-names" : false, "suffix" : "" } ], "container-title" : "Journal of Economic Literature", "id" : "ITEM-2", "issue" : "2", "issued" : { "date-parts" : [ [ "2008" ] ] }, "page" : "285-332", "title" : "The economic consequences of legal origins", "type" : "article-journal", "volume" : "46" }, "uris" : [ "http://www.mendeley.com/documents/?uuid=3933ba3a-16db-492f-bb81-c9ab9234751e" ] } ], "mendeley" : { "formattedCitation" : "(Botero et al. 2004; La Porta et al. 2008)", "manualFormatting" : "(Botero et al., 2004; La Porta et al., 2008; Wood et al., 2014a)", "plainTextFormattedCitation" : "(Botero et al. 2004; La Porta et al. 2008)", "previouslyFormattedCitation" : "(Botero et al. 2004; La Porta et al. 2008)"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(Botero </w:t>
      </w:r>
      <w:r w:rsidR="00D03A8E" w:rsidRPr="00452E2E">
        <w:rPr>
          <w:i/>
          <w:noProof/>
          <w:szCs w:val="24"/>
        </w:rPr>
        <w:t>et al</w:t>
      </w:r>
      <w:r w:rsidR="00D03A8E" w:rsidRPr="00452E2E">
        <w:rPr>
          <w:noProof/>
          <w:szCs w:val="24"/>
        </w:rPr>
        <w:t xml:space="preserve">., 2004; La Porta </w:t>
      </w:r>
      <w:r w:rsidR="00D03A8E" w:rsidRPr="00452E2E">
        <w:rPr>
          <w:i/>
          <w:noProof/>
          <w:szCs w:val="24"/>
        </w:rPr>
        <w:t>et al</w:t>
      </w:r>
      <w:r w:rsidR="00D03A8E" w:rsidRPr="00452E2E">
        <w:rPr>
          <w:noProof/>
          <w:szCs w:val="24"/>
        </w:rPr>
        <w:t xml:space="preserve">., 2008; Wood </w:t>
      </w:r>
      <w:r w:rsidR="00D03A8E" w:rsidRPr="00452E2E">
        <w:rPr>
          <w:i/>
          <w:noProof/>
          <w:szCs w:val="24"/>
        </w:rPr>
        <w:t>et al</w:t>
      </w:r>
      <w:r w:rsidR="00D03A8E" w:rsidRPr="00452E2E">
        <w:rPr>
          <w:noProof/>
          <w:szCs w:val="24"/>
        </w:rPr>
        <w:t>., 2014</w:t>
      </w:r>
      <w:r w:rsidR="00D03A8E" w:rsidRPr="00452E2E">
        <w:rPr>
          <w:i/>
          <w:noProof/>
          <w:szCs w:val="24"/>
        </w:rPr>
        <w:t>a</w:t>
      </w:r>
      <w:r w:rsidR="00D03A8E" w:rsidRPr="00452E2E">
        <w:rPr>
          <w:noProof/>
          <w:szCs w:val="24"/>
        </w:rPr>
        <w:t>)</w:t>
      </w:r>
      <w:r w:rsidR="00D03A8E" w:rsidRPr="00452E2E">
        <w:rPr>
          <w:szCs w:val="24"/>
        </w:rPr>
        <w:fldChar w:fldCharType="end"/>
      </w:r>
      <w:r w:rsidR="00D03A8E" w:rsidRPr="00452E2E">
        <w:rPr>
          <w:szCs w:val="24"/>
        </w:rPr>
        <w:t xml:space="preserve">. Thus, in contexts where there is strong property rights and weaker employees’ rights, the emphasis is on maximising the wealth of shareholders, to the detriment of workers’ well-being </w:t>
      </w:r>
      <w:r w:rsidR="00D03A8E" w:rsidRPr="00452E2E">
        <w:rPr>
          <w:szCs w:val="24"/>
        </w:rPr>
        <w:fldChar w:fldCharType="begin" w:fldLock="1"/>
      </w:r>
      <w:r w:rsidR="00D03A8E" w:rsidRPr="00452E2E">
        <w:rPr>
          <w:szCs w:val="24"/>
        </w:rPr>
        <w:instrText>ADDIN CSL_CITATION { "citationItems" : [ { "id" : "ITEM-1", "itemData" : { "author" : [ { "dropping-particle" : "", "family" : "Hollinshead", "given" : "Graham", "non-dropping-particle" : "", "parse-names" : false, "suffix" : "" } ], "id" : "ITEM-1", "issued" : { "date-parts" : [ [ "2010" ] ] }, "publisher" : "McGraw-Hill", "title" : "International and Comparative Human Resource Management", "type" : "book" }, "uris" : [ "http://www.mendeley.com/documents/?uuid=2d576b9b-f202-41c8-99f1-83e8948ad9aa" ] } ], "mendeley" : { "formattedCitation" : "(Hollinshead 2010)", "manualFormatting" : "(Hollinshead, 2010; Wood et al., 2014a)", "plainTextFormattedCitation" : "(Hollinshead 2010)", "previouslyFormattedCitation" : "(Hollinshead 2010)"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(Hollinshead, 2010; Wood </w:t>
      </w:r>
      <w:r w:rsidR="00D03A8E" w:rsidRPr="00452E2E">
        <w:rPr>
          <w:i/>
          <w:noProof/>
          <w:szCs w:val="24"/>
        </w:rPr>
        <w:t>et al</w:t>
      </w:r>
      <w:r w:rsidR="00D03A8E" w:rsidRPr="00452E2E">
        <w:rPr>
          <w:noProof/>
          <w:szCs w:val="24"/>
        </w:rPr>
        <w:t>., 2014</w:t>
      </w:r>
      <w:r w:rsidR="00D03A8E" w:rsidRPr="00452E2E">
        <w:rPr>
          <w:i/>
          <w:noProof/>
          <w:szCs w:val="24"/>
        </w:rPr>
        <w:t>a</w:t>
      </w:r>
      <w:r w:rsidR="00D03A8E" w:rsidRPr="00452E2E">
        <w:rPr>
          <w:noProof/>
          <w:szCs w:val="24"/>
        </w:rPr>
        <w:t>)</w:t>
      </w:r>
      <w:r w:rsidR="00D03A8E" w:rsidRPr="00452E2E">
        <w:rPr>
          <w:szCs w:val="24"/>
        </w:rPr>
        <w:fldChar w:fldCharType="end"/>
      </w:r>
      <w:r w:rsidR="00D03A8E" w:rsidRPr="00452E2E">
        <w:rPr>
          <w:szCs w:val="24"/>
        </w:rPr>
        <w:t xml:space="preserve">. Employees are therefore considered as resources that can be used and disposed, which is reflected in the adoption of short term, low value-added HRM approaches </w:t>
      </w:r>
      <w:r w:rsidR="00D03A8E" w:rsidRPr="00452E2E">
        <w:rPr>
          <w:szCs w:val="24"/>
        </w:rPr>
        <w:fldChar w:fldCharType="begin" w:fldLock="1"/>
      </w:r>
      <w:r w:rsidR="00D03A8E" w:rsidRPr="00452E2E">
        <w:rPr>
          <w:szCs w:val="24"/>
        </w:rPr>
        <w:instrText>ADDIN CSL_CITATION { "citationItems" : [ { "id" : "ITEM-1", "itemData" : { "author" : [ { "dropping-particle" : "", "family" : "Hollinshead", "given" : "Graham", "non-dropping-particle" : "", "parse-names" : false, "suffix" : "" } ], "id" : "ITEM-1", "issued" : { "date-parts" : [ [ "2010" ] ] }, "publisher" : "McGraw-Hill", "title" : "International and Comparative Human Resource Management", "type" : "book" }, "uris" : [ "http://www.mendeley.com/documents/?uuid=2d576b9b-f202-41c8-99f1-83e8948ad9aa" ] }, { "id" : "ITEM-2", "itemData" : { "author" : [ { "dropping-particle" : "", "family" : "Wood", "given" : "Geoffrey", "non-dropping-particle" : "", "parse-names" : false, "suffix" : "" }, { "dropping-particle" : "", "family" : "Mazouz", "given" : "Khelifa", "non-dropping-particle" : "", "parse-names" : false, "suffix" : "" }, { "dropping-particle" : "", "family" : "Yin", "given" : "Shuxing", "non-dropping-particle" : "", "parse-names" : false, "suffix" : "" }, { "dropping-particle" : "", "family" : "Cheah", "given" : "Jeremy Eng-Tuck", "non-dropping-particle" : "", "parse-names" : false, "suffix" : "" } ], "container-title" : "Human Resource Management", "id" : "ITEM-2", "issue" : "1", "issued" : { "date-parts" : [ [ "2014" ] ] }, "page" : "179-201", "title" : "Foreign direct investment from emerging markets to Africa: The HRM context", "type" : "article-journal", "volume" : "53" }, "uris" : [ "http://www.mendeley.com/documents/?uuid=95e88070-2673-45e4-965e-85cf438e7148" ] } ], "mendeley" : { "formattedCitation" : "(Hollinshead 2010; Wood, Mazouz, et al. 2014)", "manualFormatting" : "(Hollinshead 2010; Wood et al. 2014b)", "plainTextFormattedCitation" : "(Hollinshead 2010; Wood, Mazouz, et al. 2014)", "previouslyFormattedCitation" : "(Hollinshead 2010; Wood, Mazouz, et al. 2014)"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(Hollinshead 2010; Wood </w:t>
      </w:r>
      <w:r w:rsidR="00D03A8E" w:rsidRPr="00452E2E">
        <w:rPr>
          <w:i/>
          <w:noProof/>
          <w:szCs w:val="24"/>
        </w:rPr>
        <w:t>et al</w:t>
      </w:r>
      <w:r w:rsidR="00D03A8E" w:rsidRPr="00452E2E">
        <w:rPr>
          <w:noProof/>
          <w:szCs w:val="24"/>
        </w:rPr>
        <w:t>. 2014</w:t>
      </w:r>
      <w:r w:rsidR="00D03A8E" w:rsidRPr="00452E2E">
        <w:rPr>
          <w:i/>
          <w:noProof/>
          <w:szCs w:val="24"/>
        </w:rPr>
        <w:t>b</w:t>
      </w:r>
      <w:r w:rsidR="00D03A8E" w:rsidRPr="00452E2E">
        <w:rPr>
          <w:noProof/>
          <w:szCs w:val="24"/>
        </w:rPr>
        <w:t>)</w:t>
      </w:r>
      <w:r w:rsidR="00D03A8E" w:rsidRPr="00452E2E">
        <w:rPr>
          <w:szCs w:val="24"/>
        </w:rPr>
        <w:fldChar w:fldCharType="end"/>
      </w:r>
      <w:r w:rsidR="00D03A8E" w:rsidRPr="00452E2E">
        <w:rPr>
          <w:szCs w:val="24"/>
        </w:rPr>
        <w:t>.</w:t>
      </w:r>
    </w:p>
    <w:p w:rsidR="00A74BFC" w:rsidRPr="00452E2E" w:rsidRDefault="00D03A8E" w:rsidP="00A74BFC">
      <w:pPr>
        <w:spacing w:line="360" w:lineRule="auto"/>
        <w:jc w:val="both"/>
        <w:rPr>
          <w:szCs w:val="24"/>
        </w:rPr>
      </w:pPr>
      <w:r w:rsidRPr="00452E2E">
        <w:rPr>
          <w:szCs w:val="24"/>
        </w:rPr>
        <w:t xml:space="preserve">In providing the institutional basis for property rights, </w:t>
      </w:r>
      <w:r w:rsidRPr="00452E2E">
        <w:rPr>
          <w:szCs w:val="24"/>
        </w:rPr>
        <w:fldChar w:fldCharType="begin" w:fldLock="1"/>
      </w:r>
      <w:r w:rsidRPr="00452E2E">
        <w:rPr>
          <w:szCs w:val="24"/>
        </w:rPr>
        <w:instrText>ADDIN CSL_CITATION { "citationItems" : [ { "id" : "ITEM-1", "itemData" : { "ISBN" : "978-0-226-72957-2", "author" : [ { "dropping-particle" : "", "family" : "Porta", "given" : "R", "non-dropping-particle" : "La", "parse-names" : false, "suffix" : "" }, { "dropping-particle" : "", "family" : "Lopez-de-Silanes", "given" : "F", "non-dropping-particle" : "", "parse-names" : false, "suffix" : "" }, { "dropping-particle" : "", "family" : "Shleifer", "given" : "Andrei", "non-dropping-particle" : "", "parse-names" : false, "suffix" : "" }, { "dropping-particle" : "", "family" : "Vishny", "given" : "RW", "non-dropping-particle" : "", "parse-names" : false, "suffix" : "" } ], "container-title" : "Journal of Law, Economics, &amp; Organization", "id" : "ITEM-1", "issue" : "1", "issued" : { "date-parts" : [ [ "1999" ] ] }, "page" : "12-14", "title" : "The quality of government", "type" : "article-journal", "volume" : "15" }, "uris" : [ "http://www.mendeley.com/documents/?uuid=35e5708d-3ad5-4c34-b040-0e56d71a9ddd" ] } ], "mendeley" : { "formattedCitation" : "(La Porta et al. 1999)", "manualFormatting" : "La Porta et al. (1999)", "plainTextFormattedCitation" : "(La Porta et al. 1999)", "previouslyFormattedCitation" : "(La Porta et al. 1999)" }, "properties" : { "noteIndex" : 0 }, "schema" : "https://github.com/citation-style-language/schema/raw/master/csl-citation.json" }</w:instrText>
      </w:r>
      <w:r w:rsidRPr="00452E2E">
        <w:rPr>
          <w:szCs w:val="24"/>
        </w:rPr>
        <w:fldChar w:fldCharType="separate"/>
      </w:r>
      <w:r w:rsidRPr="00452E2E">
        <w:rPr>
          <w:noProof/>
          <w:szCs w:val="24"/>
        </w:rPr>
        <w:t xml:space="preserve">La Porta </w:t>
      </w:r>
      <w:r w:rsidRPr="00452E2E">
        <w:rPr>
          <w:i/>
          <w:noProof/>
          <w:szCs w:val="24"/>
        </w:rPr>
        <w:t>et al</w:t>
      </w:r>
      <w:r w:rsidRPr="00452E2E">
        <w:rPr>
          <w:noProof/>
          <w:szCs w:val="24"/>
        </w:rPr>
        <w:t>. (1999)</w:t>
      </w:r>
      <w:r w:rsidRPr="00452E2E">
        <w:rPr>
          <w:szCs w:val="24"/>
        </w:rPr>
        <w:fldChar w:fldCharType="end"/>
      </w:r>
      <w:r w:rsidRPr="00452E2E">
        <w:rPr>
          <w:szCs w:val="24"/>
        </w:rPr>
        <w:t xml:space="preserve"> theorized that the difference between contexts with strong and weak property rights was based on their legal origins (Wood </w:t>
      </w:r>
      <w:r w:rsidRPr="00452E2E">
        <w:rPr>
          <w:i/>
          <w:szCs w:val="24"/>
        </w:rPr>
        <w:t>et al</w:t>
      </w:r>
      <w:r w:rsidRPr="00452E2E">
        <w:rPr>
          <w:szCs w:val="24"/>
        </w:rPr>
        <w:t>., 2012). Pointedly, they argue that common law systems support strong property rights as opposed to civil law systems where property rights are weak; suggest</w:t>
      </w:r>
      <w:r w:rsidR="008C2283" w:rsidRPr="00452E2E">
        <w:rPr>
          <w:szCs w:val="24"/>
        </w:rPr>
        <w:t>ing</w:t>
      </w:r>
      <w:r w:rsidRPr="00452E2E">
        <w:rPr>
          <w:szCs w:val="24"/>
        </w:rPr>
        <w:t xml:space="preserve"> that countries with common law systems will have superior economic performance compared to countries with civil law systems </w:t>
      </w:r>
      <w:r w:rsidRPr="00452E2E">
        <w:rPr>
          <w:szCs w:val="24"/>
        </w:rPr>
        <w:fldChar w:fldCharType="begin" w:fldLock="1"/>
      </w:r>
      <w:r w:rsidRPr="00452E2E">
        <w:rPr>
          <w:szCs w:val="24"/>
        </w:rPr>
        <w:instrText>ADDIN CSL_CITATION { "citationItems" : [ { "id" : "ITEM-1", "itemData" : { "author" : [ { "dropping-particle" : "", "family" : "Botero", "given" : "J.", "non-dropping-particle" : "", "parse-names" : false, "suffix" : "" }, { "dropping-particle" : "", "family" : "Djankov", "given" : "S.", "non-dropping-particle" : "", "parse-names" : false, "suffix" : "" }, { "dropping-particle" : "", "family" : "Porta", "given" : "R.", "non-dropping-particle" : "La", "parse-names" : false, "suffix" : "" }, { "dropping-particle" : "", "family" : "Lopez-de-Silanes", "given" : "F", "non-dropping-particle" : "", "parse-names" : false, "suffix" : "" } ], "container-title" : "The Quarterly Journal of Economics", "id" : "ITEM-1", "issue" : "4", "issued" : { "date-parts" : [ [ "2004" ] ] }, "page" : "1339-1382", "title" : "The regulation of labor", "type" : "article-journal", "volume" : "119" }, "uris" : [ "http://www.mendeley.com/documents/?uuid=5bb92589-5924-4fb9-a5e8-079f05991a14" ] }, { "id" : "ITEM-2", "itemData" : { "ISBN" : "978-0-226-72957-2", "author" : [ { "dropping-particle" : "", "family" : "Porta", "given" : "R", "non-dropping-particle" : "La", "parse-names" : false, "suffix" : "" }, { "dropping-particle" : "", "family" : "Lopez-de-Silanes", "given" : "F", "non-dropping-particle" : "", "parse-names" : false, "suffix" : "" }, { "dropping-particle" : "", "family" : "Shleifer", "given" : "Andrei", "non-dropping-particle" : "", "parse-names" : false, "suffix" : "" }, { "dropping-particle" : "", "family" : "Vishny", "given" : "RW", "non-dropping-particle" : "", "parse-names" : false, "suffix" : "" } ], "container-title" : "Journal of Law, Economics, &amp; Organization", "id" : "ITEM-2", "issue" : "1", "issued" : { "date-parts" : [ [ "1999" ] ] }, "page" : "12-14", "title" : "The quality of government", "type" : "article-journal", "volume" : "15" }, "uris" : [ "http://www.mendeley.com/documents/?uuid=35e5708d-3ad5-4c34-b040-0e56d71a9ddd" ] }, { "id" : "ITEM-3", "itemData" : { "DOI" : "10.1016/S0304-405X(00)00065-9", "ISBN" : "0304-405X", "ISSN" : "0304405X", "PMID" : "10991728", "abstract" : "Recent research has documented large differences among countries in ownership concentration in publicly traded firms, in the breadth and depth of capital markets, in dividend policies, and in the access of firms to external finance. A common element to the explanations of these differences is how well investors, both shareholders and creditors, are protected by law from expropriation by the managers and controlling shareholders of firms. We describe the differences in laws and the effectiveness of their enforcement across countries, discuss the possible origins of these differences, summarize their consequences, and assess potential strategies of corporate governance reform. We argue that the legal approach is a more fruitful way to understand corporate governance and its reform than the conventional distinction between bank-center</w:instrText>
      </w:r>
      <w:r w:rsidRPr="00452E2E">
        <w:rPr>
          <w:szCs w:val="24"/>
          <w:lang w:val="it-IT"/>
        </w:rPr>
        <w:instrText>ed and market-centered financial systems.", "author" : [ { "dropping-particle" : "", "family" : "Porta", "given" : "R", "non-dropping-particle" : "La", "parse-names" : false, "suffix" : "" }, { "dropping-particle" : "", "family" : "Lopez-de-Silanes", "given" : "F", "non-dropping-particle" : "", "parse-names" : false, "suffix" : "" }, { "dropping-particle" : "", "family" : "Shleifer", "given" : "Andrei", "non-dropping-particle" : "", "parse-names" : false, "suffix" : "" }, { "dropping-particle" : "", "family" : "Vishny", "given" : "RW", "non-dropping-particle" : "", "parse-names" : false, "suffix" : "" } ], "container-title" : "Journal of Financial Economics", "id" : "ITEM-3", "issue" : "1-2", "issued" : { "date-parts" : [ [ "2000" ] ] }, "page" : "3-27", "title" : "Investor protection and corporate governance", "type" : "article-journal", "volume" : "58" }, "uris" : [ "http://www.mendeley.com/documents/?uuid=08929fa2-2d8a-4878-80dd-171c37bd2c96" ] } ], "mendeley" : { "formattedCitation" : "(Botero et al. 2004; La Porta et al. 1999; La Porta et al. 2000)", "manualFormatting" : "(La Porta et al., 1999; 2000; Botero et al. 2004; La Porta et al., 2008)", "plainTextFormattedCitation" : "(Botero et al. 2004; La Porta et al. 1999; La Porta et al. 2000)", "previouslyFormattedCitation" : "(Botero et al. 2004; La Porta et al. 1999; La Porta et al. 2000)" }, "properties" : { "noteIndex" : 0 }, "schema" : "https://github.com/citation-style-language/schema/raw/master/csl-citation.json" }</w:instrText>
      </w:r>
      <w:r w:rsidRPr="00452E2E">
        <w:rPr>
          <w:szCs w:val="24"/>
        </w:rPr>
        <w:fldChar w:fldCharType="separate"/>
      </w:r>
      <w:r w:rsidRPr="00452E2E">
        <w:rPr>
          <w:noProof/>
          <w:szCs w:val="24"/>
          <w:lang w:val="it-IT"/>
        </w:rPr>
        <w:t xml:space="preserve">(La Porta </w:t>
      </w:r>
      <w:r w:rsidRPr="00452E2E">
        <w:rPr>
          <w:i/>
          <w:noProof/>
          <w:szCs w:val="24"/>
          <w:lang w:val="it-IT"/>
        </w:rPr>
        <w:t>et al</w:t>
      </w:r>
      <w:r w:rsidRPr="00452E2E">
        <w:rPr>
          <w:noProof/>
          <w:szCs w:val="24"/>
          <w:lang w:val="it-IT"/>
        </w:rPr>
        <w:t xml:space="preserve">., 1999; 2000; Botero </w:t>
      </w:r>
      <w:r w:rsidRPr="00452E2E">
        <w:rPr>
          <w:i/>
          <w:noProof/>
          <w:szCs w:val="24"/>
          <w:lang w:val="it-IT"/>
        </w:rPr>
        <w:t>et al</w:t>
      </w:r>
      <w:r w:rsidRPr="00452E2E">
        <w:rPr>
          <w:noProof/>
          <w:szCs w:val="24"/>
          <w:lang w:val="it-IT"/>
        </w:rPr>
        <w:t xml:space="preserve">. 2004; La Porta </w:t>
      </w:r>
      <w:r w:rsidRPr="00452E2E">
        <w:rPr>
          <w:i/>
          <w:noProof/>
          <w:szCs w:val="24"/>
          <w:lang w:val="it-IT"/>
        </w:rPr>
        <w:t>et al</w:t>
      </w:r>
      <w:r w:rsidRPr="00452E2E">
        <w:rPr>
          <w:noProof/>
          <w:szCs w:val="24"/>
          <w:lang w:val="it-IT"/>
        </w:rPr>
        <w:t>., 2008)</w:t>
      </w:r>
      <w:r w:rsidRPr="00452E2E">
        <w:rPr>
          <w:szCs w:val="24"/>
        </w:rPr>
        <w:fldChar w:fldCharType="end"/>
      </w:r>
      <w:r w:rsidRPr="00452E2E">
        <w:rPr>
          <w:szCs w:val="24"/>
          <w:lang w:val="it-IT"/>
        </w:rPr>
        <w:t xml:space="preserve">. </w:t>
      </w:r>
      <w:r w:rsidRPr="00452E2E">
        <w:rPr>
          <w:szCs w:val="24"/>
        </w:rPr>
        <w:t xml:space="preserve">They </w:t>
      </w:r>
      <w:r w:rsidR="00912D00" w:rsidRPr="00452E2E">
        <w:rPr>
          <w:szCs w:val="24"/>
        </w:rPr>
        <w:t xml:space="preserve">further </w:t>
      </w:r>
      <w:r w:rsidRPr="00452E2E">
        <w:rPr>
          <w:szCs w:val="24"/>
        </w:rPr>
        <w:t xml:space="preserve">argue that stronger rights of workers will erode the profit maximization potential of firms, and will in turn </w:t>
      </w:r>
      <w:r w:rsidR="00811D22" w:rsidRPr="00452E2E">
        <w:rPr>
          <w:szCs w:val="24"/>
        </w:rPr>
        <w:t>discourage firms from investing</w:t>
      </w:r>
      <w:r w:rsidR="0012096F" w:rsidRPr="00452E2E">
        <w:rPr>
          <w:szCs w:val="24"/>
        </w:rPr>
        <w:t>,</w:t>
      </w:r>
      <w:r w:rsidRPr="00452E2E">
        <w:rPr>
          <w:szCs w:val="24"/>
        </w:rPr>
        <w:t xml:space="preserve"> </w:t>
      </w:r>
      <w:r w:rsidR="00811D22" w:rsidRPr="00452E2E">
        <w:rPr>
          <w:szCs w:val="24"/>
        </w:rPr>
        <w:t xml:space="preserve">thereby </w:t>
      </w:r>
      <w:r w:rsidRPr="00452E2E">
        <w:rPr>
          <w:szCs w:val="24"/>
        </w:rPr>
        <w:t xml:space="preserve">resulting </w:t>
      </w:r>
      <w:r w:rsidR="00811D22" w:rsidRPr="00452E2E">
        <w:rPr>
          <w:szCs w:val="24"/>
        </w:rPr>
        <w:t>in</w:t>
      </w:r>
      <w:r w:rsidRPr="00452E2E">
        <w:rPr>
          <w:szCs w:val="24"/>
        </w:rPr>
        <w:t xml:space="preserve"> </w:t>
      </w:r>
      <w:r w:rsidR="00FF0B4A" w:rsidRPr="00452E2E">
        <w:rPr>
          <w:szCs w:val="24"/>
        </w:rPr>
        <w:t>lesser</w:t>
      </w:r>
      <w:r w:rsidRPr="00452E2E">
        <w:rPr>
          <w:szCs w:val="24"/>
        </w:rPr>
        <w:t xml:space="preserve"> employment opportunities </w:t>
      </w:r>
      <w:r w:rsidRPr="00452E2E">
        <w:rPr>
          <w:szCs w:val="24"/>
        </w:rPr>
        <w:fldChar w:fldCharType="begin" w:fldLock="1"/>
      </w:r>
      <w:r w:rsidRPr="00452E2E">
        <w:rPr>
          <w:szCs w:val="24"/>
        </w:rPr>
        <w:instrText>ADDIN CSL_CITATION { "citationItems" : [ { "id" : "ITEM-1", "itemData" : { "author" : [ { "dropping-particle" : "", "family" : "Botero", "given" : "J.", "non-dropping-particle" : "", "parse-names" : false, "suffix" : "" }, { "dropping-particle" : "", "family" : "Djankov", "given" : "S.", "non-dropping-particle" : "", "parse-names" : false, "suffix" : "" }, { "dropping-particle" : "", "family" : "Porta", "given" : "R.", "non-dropping-particle" : "La", "parse-names" : false, "suffix" : "" }, { "dropping-particle" : "", "family" : "Lopez-de-Silanes", "given" : "F", "non-dropping-particle" : "", "parse-names" : false, "suffix" : "" } ], "container-title" : "The Quarterly Journal of Economics", "id" : "ITEM-1", "issue" : "4", "issued" : { "date-parts" : [ [ "2004" ] ] }, "page" : "1339-1382", "title" : "The regulation of labor", "type" : "article-journal", "volume" : "119" }, "uris" : [ "http://www.mendeley.com/documents/?uuid=5bb92589-5924-4fb9-a5e8-079f05991a14" ] } ], "mendeley" : { "formattedCitation" : "(Botero et al. 2004)", "manualFormatting" : "(Botero et al., 2004; La Porta et al., 2008; cf. Wood et al., 2014b)", "plainTextFormattedCitation" : "(Botero et al. 2004)", "previouslyFormattedCitation" : "(Botero et al. 2004)" }, "properties" : { "noteIndex" : 0 }, "schema" : "https://github.com/citation-style-language/schema/raw/master/csl-citation.json" }</w:instrText>
      </w:r>
      <w:r w:rsidRPr="00452E2E">
        <w:rPr>
          <w:szCs w:val="24"/>
        </w:rPr>
        <w:fldChar w:fldCharType="separate"/>
      </w:r>
      <w:r w:rsidRPr="00452E2E">
        <w:rPr>
          <w:noProof/>
          <w:szCs w:val="24"/>
        </w:rPr>
        <w:t xml:space="preserve">(Botero </w:t>
      </w:r>
      <w:r w:rsidRPr="00452E2E">
        <w:rPr>
          <w:i/>
          <w:noProof/>
          <w:szCs w:val="24"/>
        </w:rPr>
        <w:t>et al</w:t>
      </w:r>
      <w:r w:rsidRPr="00452E2E">
        <w:rPr>
          <w:noProof/>
          <w:szCs w:val="24"/>
        </w:rPr>
        <w:t xml:space="preserve">., 2004; La Porta </w:t>
      </w:r>
      <w:r w:rsidRPr="00452E2E">
        <w:rPr>
          <w:i/>
          <w:noProof/>
          <w:szCs w:val="24"/>
        </w:rPr>
        <w:t>et al</w:t>
      </w:r>
      <w:r w:rsidRPr="00452E2E">
        <w:rPr>
          <w:noProof/>
          <w:szCs w:val="24"/>
        </w:rPr>
        <w:t xml:space="preserve">., 2008; cf. Wood </w:t>
      </w:r>
      <w:r w:rsidRPr="00452E2E">
        <w:rPr>
          <w:i/>
          <w:noProof/>
          <w:szCs w:val="24"/>
        </w:rPr>
        <w:t>et al</w:t>
      </w:r>
      <w:r w:rsidRPr="00452E2E">
        <w:rPr>
          <w:noProof/>
          <w:szCs w:val="24"/>
        </w:rPr>
        <w:t>., 2014</w:t>
      </w:r>
      <w:r w:rsidRPr="00452E2E">
        <w:rPr>
          <w:i/>
          <w:noProof/>
          <w:szCs w:val="24"/>
        </w:rPr>
        <w:t>b</w:t>
      </w:r>
      <w:r w:rsidRPr="00452E2E">
        <w:rPr>
          <w:noProof/>
          <w:szCs w:val="24"/>
        </w:rPr>
        <w:t>)</w:t>
      </w:r>
      <w:r w:rsidRPr="00452E2E">
        <w:rPr>
          <w:szCs w:val="24"/>
        </w:rPr>
        <w:fldChar w:fldCharType="end"/>
      </w:r>
      <w:r w:rsidRPr="00452E2E">
        <w:rPr>
          <w:szCs w:val="24"/>
        </w:rPr>
        <w:t xml:space="preserve">. As Wood </w:t>
      </w:r>
      <w:r w:rsidRPr="00452E2E">
        <w:rPr>
          <w:i/>
          <w:szCs w:val="24"/>
        </w:rPr>
        <w:t>et al</w:t>
      </w:r>
      <w:r w:rsidRPr="00452E2E">
        <w:rPr>
          <w:szCs w:val="24"/>
        </w:rPr>
        <w:t xml:space="preserve"> (2014</w:t>
      </w:r>
      <w:r w:rsidRPr="00452E2E">
        <w:rPr>
          <w:i/>
          <w:szCs w:val="24"/>
        </w:rPr>
        <w:t>b</w:t>
      </w:r>
      <w:r w:rsidRPr="00452E2E">
        <w:rPr>
          <w:szCs w:val="24"/>
        </w:rPr>
        <w:t xml:space="preserve">) observe, it is based on this </w:t>
      </w:r>
      <w:r w:rsidR="00D86FD4" w:rsidRPr="00452E2E">
        <w:rPr>
          <w:szCs w:val="24"/>
        </w:rPr>
        <w:t>premise</w:t>
      </w:r>
      <w:r w:rsidRPr="00452E2E">
        <w:rPr>
          <w:szCs w:val="24"/>
        </w:rPr>
        <w:t xml:space="preserve"> that the World Bank and </w:t>
      </w:r>
      <w:r w:rsidR="00DF1D6E" w:rsidRPr="00452E2E">
        <w:rPr>
          <w:szCs w:val="24"/>
        </w:rPr>
        <w:t xml:space="preserve">the </w:t>
      </w:r>
      <w:r w:rsidRPr="00452E2E">
        <w:rPr>
          <w:szCs w:val="24"/>
        </w:rPr>
        <w:t xml:space="preserve">IMF </w:t>
      </w:r>
      <w:r w:rsidR="00DF1D6E" w:rsidRPr="00452E2E">
        <w:rPr>
          <w:szCs w:val="24"/>
        </w:rPr>
        <w:t>force</w:t>
      </w:r>
      <w:r w:rsidRPr="00452E2E">
        <w:rPr>
          <w:szCs w:val="24"/>
        </w:rPr>
        <w:t xml:space="preserve"> developing countries to weaken labour legislation in order to attract foreign direct investment (FDI). </w:t>
      </w:r>
    </w:p>
    <w:p w:rsidR="00A74BFC" w:rsidRPr="00452E2E" w:rsidRDefault="00A74BFC" w:rsidP="00D03A8E">
      <w:pPr>
        <w:spacing w:line="360" w:lineRule="auto"/>
        <w:jc w:val="both"/>
      </w:pPr>
      <w:r w:rsidRPr="00452E2E">
        <w:lastRenderedPageBreak/>
        <w:t xml:space="preserve">In the particular case of Africa, Acemoglu </w:t>
      </w:r>
      <w:r w:rsidRPr="00452E2E">
        <w:rPr>
          <w:i/>
        </w:rPr>
        <w:t>et al</w:t>
      </w:r>
      <w:r w:rsidRPr="00452E2E">
        <w:t>. (2012) suggest that the extent to which private property is protected in African economies is influence</w:t>
      </w:r>
      <w:r w:rsidR="0096666C" w:rsidRPr="00452E2E">
        <w:t>d by the legacies of colonializtion</w:t>
      </w:r>
      <w:r w:rsidRPr="00452E2E">
        <w:t xml:space="preserve"> in Africa</w:t>
      </w:r>
      <w:r w:rsidR="00530904" w:rsidRPr="00452E2E">
        <w:t xml:space="preserve"> (Cooke </w:t>
      </w:r>
      <w:r w:rsidR="00530904" w:rsidRPr="00452E2E">
        <w:rPr>
          <w:i/>
        </w:rPr>
        <w:t>et al</w:t>
      </w:r>
      <w:r w:rsidR="00530904" w:rsidRPr="00452E2E">
        <w:t>., 2015)</w:t>
      </w:r>
      <w:r w:rsidRPr="00452E2E">
        <w:t>. They argue that due to the high incidence of tropical diseases and unfavourable weather conditions in West Africa, the Europeans were less interested in settling in West Africa compared to Eastern and Southern African regions where favourable weather conditions resulted in high European settlement</w:t>
      </w:r>
      <w:r w:rsidR="00530904" w:rsidRPr="00452E2E">
        <w:t xml:space="preserve"> (Acemoglu </w:t>
      </w:r>
      <w:r w:rsidR="00530904" w:rsidRPr="00452E2E">
        <w:rPr>
          <w:i/>
        </w:rPr>
        <w:t>et al</w:t>
      </w:r>
      <w:r w:rsidR="00530904" w:rsidRPr="00452E2E">
        <w:t>., 2012)</w:t>
      </w:r>
      <w:r w:rsidRPr="00452E2E">
        <w:t xml:space="preserve">. As a result, this led to the establishment of strong institutions that were aimed at protecting the rights of European settlers in Eastern and Southern African regions (Acemoglu </w:t>
      </w:r>
      <w:r w:rsidRPr="00452E2E">
        <w:rPr>
          <w:i/>
        </w:rPr>
        <w:t>et al</w:t>
      </w:r>
      <w:r w:rsidRPr="00452E2E">
        <w:t xml:space="preserve">., 2012). This is in contrast to the Western African region where less attention was given to the construction of institutions (Acemoglu </w:t>
      </w:r>
      <w:r w:rsidRPr="00452E2E">
        <w:rPr>
          <w:i/>
        </w:rPr>
        <w:t>et al</w:t>
      </w:r>
      <w:r w:rsidRPr="00452E2E">
        <w:t xml:space="preserve">., 2012). Thus, this has resulted in stronger protection of private property in East and South Africa after the colonial period (Acemoglu </w:t>
      </w:r>
      <w:r w:rsidRPr="00452E2E">
        <w:rPr>
          <w:i/>
        </w:rPr>
        <w:t>et al</w:t>
      </w:r>
      <w:r w:rsidRPr="00452E2E">
        <w:t xml:space="preserve">., 2012; Cooke </w:t>
      </w:r>
      <w:r w:rsidRPr="00452E2E">
        <w:rPr>
          <w:i/>
        </w:rPr>
        <w:t>et al</w:t>
      </w:r>
      <w:r w:rsidRPr="00452E2E">
        <w:t xml:space="preserve">., 2015). This would suggest that compared to the Western region, the Eastern and Southern African regions will be more attractive to FDI due to the emphasis on stronger rights of owners and </w:t>
      </w:r>
      <w:r w:rsidR="00A66ED5" w:rsidRPr="00452E2E">
        <w:t xml:space="preserve">in turn </w:t>
      </w:r>
      <w:r w:rsidR="000D061B" w:rsidRPr="00452E2E">
        <w:t xml:space="preserve">will </w:t>
      </w:r>
      <w:r w:rsidR="00A66ED5" w:rsidRPr="00452E2E">
        <w:t>result in</w:t>
      </w:r>
      <w:r w:rsidRPr="00452E2E">
        <w:t xml:space="preserve"> superior economic performance of these regions (Acemoglu </w:t>
      </w:r>
      <w:r w:rsidRPr="00452E2E">
        <w:rPr>
          <w:i/>
        </w:rPr>
        <w:t>et al</w:t>
      </w:r>
      <w:r w:rsidRPr="00452E2E">
        <w:t xml:space="preserve">., 2012). </w:t>
      </w:r>
    </w:p>
    <w:p w:rsidR="00D03A8E" w:rsidRPr="00452E2E" w:rsidRDefault="003B5CFC" w:rsidP="00D03A8E">
      <w:pPr>
        <w:spacing w:line="360" w:lineRule="auto"/>
        <w:jc w:val="both"/>
        <w:rPr>
          <w:szCs w:val="24"/>
        </w:rPr>
      </w:pPr>
      <w:r w:rsidRPr="00452E2E">
        <w:rPr>
          <w:szCs w:val="24"/>
        </w:rPr>
        <w:t>However, in</w:t>
      </w:r>
      <w:r w:rsidR="00D03A8E" w:rsidRPr="00452E2E">
        <w:rPr>
          <w:szCs w:val="24"/>
        </w:rPr>
        <w:t xml:space="preserve"> research </w:t>
      </w:r>
      <w:r w:rsidRPr="00452E2E">
        <w:rPr>
          <w:szCs w:val="24"/>
        </w:rPr>
        <w:t xml:space="preserve">aiming </w:t>
      </w:r>
      <w:r w:rsidR="00D03A8E" w:rsidRPr="00452E2E">
        <w:rPr>
          <w:szCs w:val="24"/>
        </w:rPr>
        <w:t xml:space="preserve">to assess the determinants of FDI inflows to Africa, Wood </w:t>
      </w:r>
      <w:r w:rsidR="00D03A8E" w:rsidRPr="00452E2E">
        <w:rPr>
          <w:i/>
          <w:szCs w:val="24"/>
        </w:rPr>
        <w:t>et al</w:t>
      </w:r>
      <w:r w:rsidR="00D03A8E" w:rsidRPr="00452E2E">
        <w:rPr>
          <w:szCs w:val="24"/>
        </w:rPr>
        <w:t>. (2014</w:t>
      </w:r>
      <w:r w:rsidR="00D03A8E" w:rsidRPr="00452E2E">
        <w:rPr>
          <w:i/>
          <w:szCs w:val="24"/>
        </w:rPr>
        <w:t>b</w:t>
      </w:r>
      <w:r w:rsidR="00D03A8E" w:rsidRPr="00452E2E">
        <w:rPr>
          <w:szCs w:val="24"/>
        </w:rPr>
        <w:t xml:space="preserve">) found that weaker investor protection and stronger employees’ rights </w:t>
      </w:r>
      <w:r w:rsidR="009C5651" w:rsidRPr="00452E2E">
        <w:rPr>
          <w:szCs w:val="24"/>
        </w:rPr>
        <w:t>did not discourage</w:t>
      </w:r>
      <w:r w:rsidR="00D03A8E" w:rsidRPr="00452E2E">
        <w:rPr>
          <w:szCs w:val="24"/>
        </w:rPr>
        <w:t xml:space="preserve"> MNCs from both emerging and mature markets </w:t>
      </w:r>
      <w:r w:rsidRPr="00452E2E">
        <w:rPr>
          <w:szCs w:val="24"/>
        </w:rPr>
        <w:t>from</w:t>
      </w:r>
      <w:r w:rsidR="00D03A8E" w:rsidRPr="00452E2E">
        <w:rPr>
          <w:szCs w:val="24"/>
        </w:rPr>
        <w:t xml:space="preserve"> invest</w:t>
      </w:r>
      <w:r w:rsidRPr="00452E2E">
        <w:rPr>
          <w:szCs w:val="24"/>
        </w:rPr>
        <w:t>ing</w:t>
      </w:r>
      <w:r w:rsidR="00D03A8E" w:rsidRPr="00452E2E">
        <w:rPr>
          <w:szCs w:val="24"/>
        </w:rPr>
        <w:t xml:space="preserve"> in </w:t>
      </w:r>
      <w:r w:rsidR="00076329" w:rsidRPr="00452E2E">
        <w:rPr>
          <w:szCs w:val="24"/>
        </w:rPr>
        <w:t xml:space="preserve">any part of </w:t>
      </w:r>
      <w:r w:rsidR="00D03A8E" w:rsidRPr="00452E2E">
        <w:rPr>
          <w:szCs w:val="24"/>
        </w:rPr>
        <w:t xml:space="preserve">Africa. Thus, the claim that the legal system and indeed stronger rights of owners </w:t>
      </w:r>
      <w:r w:rsidR="0090470F" w:rsidRPr="00452E2E">
        <w:rPr>
          <w:szCs w:val="24"/>
        </w:rPr>
        <w:t>as</w:t>
      </w:r>
      <w:r w:rsidR="00D03A8E" w:rsidRPr="00452E2E">
        <w:rPr>
          <w:szCs w:val="24"/>
        </w:rPr>
        <w:t xml:space="preserve"> a basis for economic performance of firms and nations </w:t>
      </w:r>
      <w:r w:rsidR="00944346" w:rsidRPr="00452E2E">
        <w:rPr>
          <w:szCs w:val="24"/>
        </w:rPr>
        <w:t>is</w:t>
      </w:r>
      <w:r w:rsidR="00D03A8E" w:rsidRPr="00452E2E">
        <w:rPr>
          <w:szCs w:val="24"/>
        </w:rPr>
        <w:t xml:space="preserve"> </w:t>
      </w:r>
      <w:r w:rsidR="00944346" w:rsidRPr="00452E2E">
        <w:rPr>
          <w:szCs w:val="24"/>
        </w:rPr>
        <w:t>unfounded</w:t>
      </w:r>
      <w:r w:rsidR="00D03A8E" w:rsidRPr="00452E2E">
        <w:rPr>
          <w:szCs w:val="24"/>
        </w:rPr>
        <w:t xml:space="preserve"> </w:t>
      </w:r>
      <w:r w:rsidR="00D03A8E" w:rsidRPr="00452E2E">
        <w:rPr>
          <w:szCs w:val="24"/>
        </w:rPr>
        <w:fldChar w:fldCharType="begin" w:fldLock="1"/>
      </w:r>
      <w:r w:rsidR="00D03A8E" w:rsidRPr="00452E2E">
        <w:rPr>
          <w:szCs w:val="24"/>
        </w:rPr>
        <w:instrText>ADDIN CSL_CITATION { "citationItems" : [ { "id" : "ITEM-1", "itemData" : { "author" : [ { "dropping-particle" : "", "family" : "Wood", "given" : "Geoffrey", "non-dropping-particle" : "", "parse-names" : false, "suffix" : "" }, { "dropping-particle" : "", "family" : "Mazouz", "given" : "Khelifa", "non-dropping-particle" : "", "parse-names" : false, "suffix" : "" }, { "dropping-particle" : "", "family" : "Yin", "given" : "Shuxing", "non-dropping-particle" : "", "parse-names" : false, "suffix" : "" }, { "dropping-particle" : "", "family" : "Cheah", "given" : "Jeremy Eng-Tuck", "non-dropping-particle" : "", "parse-names" : false, "suffix" : "" } ], "container-title" : "Human Resource Management", "id" : "ITEM-1", "issue" : "1", "issued" : { "date-parts" : [ [ "2014" ] ] }, "page" : "179-201", "title" : "Foreign direct investment from emerging markets to Africa: The HRM context", "type" : "article-journal", "volume" : "53" }, "uris" : [ "http://www.mendeley.com/documents/?uuid=95e88070-2673-45e4-965e-85cf438e7148" ] }, { "id" : "ITEM-2", "itemData" : { "author"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"chapter-number" : "1", "container-title" : "Human resource management and the institutional perspective", "editor"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"id" : "ITEM-2", "issued" : { "date-parts" : [ [ "2014" ] ] }, "page" : "1-14", "publisher" : "Routledge", "publisher-place" : "London and New York", "title" : "Institutions and firm level HRM practice", "type" : "chapter" }, "uris" : [ "http://www.mendeley.com/documents/?uuid=ba62f378-933c-4fff-a2e8-63f742ac54d8" ] } ], "mendeley" : { "formattedCitation" : "(Wood, Mazouz, et al. 2014; Wood, Brewster, et al. 2014)", "manualFormatting" : "(Wood et al., 2014a; Wood et al., 2014b)", "plainTextFormattedCitation" : "(Wood, Mazouz, et al. 2014; Wood, Bre</w:instrText>
      </w:r>
      <w:r w:rsidR="00D03A8E" w:rsidRPr="00452E2E">
        <w:rPr>
          <w:szCs w:val="24"/>
          <w:lang w:val="fr-FR"/>
        </w:rPr>
        <w:instrText>wster, et al. 2014)", "previouslyFormattedCitation" : "(Wood, Mazouz, et al. 2014; Wood, Brewster, et al. 2014)" }, "properties" : { "noteIndex" : 0 }, "schema" : "https://github.com/citation-style-language/schema/raw/master/csl-citation.json" }</w:instrText>
      </w:r>
      <w:r w:rsidR="00D03A8E" w:rsidRPr="00452E2E">
        <w:rPr>
          <w:szCs w:val="24"/>
        </w:rPr>
        <w:fldChar w:fldCharType="separate"/>
      </w:r>
      <w:r w:rsidR="00D03A8E" w:rsidRPr="00452E2E">
        <w:rPr>
          <w:noProof/>
          <w:szCs w:val="24"/>
          <w:lang w:val="fr-FR"/>
        </w:rPr>
        <w:t xml:space="preserve">(Wood </w:t>
      </w:r>
      <w:r w:rsidR="00D03A8E" w:rsidRPr="00452E2E">
        <w:rPr>
          <w:i/>
          <w:noProof/>
          <w:szCs w:val="24"/>
          <w:lang w:val="fr-FR"/>
        </w:rPr>
        <w:t>et al</w:t>
      </w:r>
      <w:r w:rsidR="00D03A8E" w:rsidRPr="00452E2E">
        <w:rPr>
          <w:noProof/>
          <w:szCs w:val="24"/>
          <w:lang w:val="fr-FR"/>
        </w:rPr>
        <w:t xml:space="preserve">., 2014a; Wood </w:t>
      </w:r>
      <w:r w:rsidR="00D03A8E" w:rsidRPr="00452E2E">
        <w:rPr>
          <w:i/>
          <w:noProof/>
          <w:szCs w:val="24"/>
          <w:lang w:val="fr-FR"/>
        </w:rPr>
        <w:t>et al</w:t>
      </w:r>
      <w:r w:rsidR="00D03A8E" w:rsidRPr="00452E2E">
        <w:rPr>
          <w:noProof/>
          <w:szCs w:val="24"/>
          <w:lang w:val="fr-FR"/>
        </w:rPr>
        <w:t>., 2014b)</w:t>
      </w:r>
      <w:r w:rsidR="00D03A8E" w:rsidRPr="00452E2E">
        <w:rPr>
          <w:szCs w:val="24"/>
        </w:rPr>
        <w:fldChar w:fldCharType="end"/>
      </w:r>
      <w:r w:rsidR="00D03A8E" w:rsidRPr="00452E2E">
        <w:rPr>
          <w:szCs w:val="24"/>
          <w:lang w:val="fr-FR"/>
        </w:rPr>
        <w:t xml:space="preserve">. </w:t>
      </w:r>
      <w:r w:rsidR="00D03A8E" w:rsidRPr="00452E2E">
        <w:rPr>
          <w:szCs w:val="24"/>
        </w:rPr>
        <w:t xml:space="preserve">Recently, </w:t>
      </w:r>
      <w:r w:rsidR="00D03A8E" w:rsidRPr="00452E2E">
        <w:rPr>
          <w:szCs w:val="24"/>
        </w:rPr>
        <w:fldChar w:fldCharType="begin" w:fldLock="1"/>
      </w:r>
      <w:r w:rsidR="00D03A8E" w:rsidRPr="00452E2E">
        <w:rPr>
          <w:szCs w:val="24"/>
        </w:rPr>
        <w:instrText>ADDIN CSL_CITATION { "citationItems" : [ { "id" : "ITEM-1", "itemData" : { "author" : [ { "dropping-particle" : "", "family" : "Johnson", "given" : "Phil", "non-dropping-particle" : "", "parse-names" : false, "suffix" : "" }, { "dropping-particle" : "", "family" : "Brookes", "given" : "Michael", "non-dropping-particle" : "", "parse-names" : false, "suffix" : "" }, { "dropping-particle" : "", "family" : "Wood", "given" : "Geoffrey", "non-dropping-particle" : "", "parse-names" : false, "suffix" : "" }, { "dropping-particle" : "", "family" : "Brewster", "given" : "Chris", "non-dropping-particle" : "", "parse-names" : false, "suffix" : "" } ], "container-title" : "Sociology", "id" : "ITEM-1", "issued" : { "date-parts" : [ [ "2015" ] ] }, "page" : "1-20", "title" : "Legal origin and social solidarity: The continued relevance of Durkheim to comparative institutional analysis", "type" : "article-journal" }, "uris" : [ "http://www.mendeley.com/documents/?uuid=dd615919-4679-479b-9d31-5c82781cb0bc" ] } ], "mendeley" : { "formattedCitation" : "(Johnson et al. 2015)", "manualFormatting" : "Johnson et al. (2015)", "plainTextFormattedCitation" : "(Johnson et al. 2015)", "previouslyFormattedCitation" : "(Johnson et al. 2015)"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Johnson </w:t>
      </w:r>
      <w:r w:rsidR="00D03A8E" w:rsidRPr="00452E2E">
        <w:rPr>
          <w:i/>
          <w:noProof/>
          <w:szCs w:val="24"/>
        </w:rPr>
        <w:t>et al</w:t>
      </w:r>
      <w:r w:rsidR="00D03A8E" w:rsidRPr="00452E2E">
        <w:rPr>
          <w:noProof/>
          <w:szCs w:val="24"/>
        </w:rPr>
        <w:t>. (2015)</w:t>
      </w:r>
      <w:r w:rsidR="00D03A8E" w:rsidRPr="00452E2E">
        <w:rPr>
          <w:szCs w:val="24"/>
        </w:rPr>
        <w:fldChar w:fldCharType="end"/>
      </w:r>
      <w:r w:rsidR="00D03A8E" w:rsidRPr="00452E2E">
        <w:rPr>
          <w:szCs w:val="24"/>
        </w:rPr>
        <w:t xml:space="preserve"> explored the relationship between legal origins and social solidarity and found that certain types of civil law system were associated with higher levels of social capital and better welfare state provision. However, they concluded that the relationship between legal origins and societal outcomes is more complex than the simplistic approach of La Porta and colleagues and more in line with the literature on varieties of capitalism (Johnson </w:t>
      </w:r>
      <w:r w:rsidR="00D03A8E" w:rsidRPr="00452E2E">
        <w:rPr>
          <w:i/>
          <w:szCs w:val="24"/>
        </w:rPr>
        <w:t>et al</w:t>
      </w:r>
      <w:r w:rsidR="00D03A8E" w:rsidRPr="00452E2E">
        <w:rPr>
          <w:szCs w:val="24"/>
        </w:rPr>
        <w:t xml:space="preserve">., 2015). The literature on varieties of capitalism </w:t>
      </w:r>
      <w:r w:rsidR="004B7106" w:rsidRPr="00452E2E">
        <w:rPr>
          <w:szCs w:val="24"/>
        </w:rPr>
        <w:t>will</w:t>
      </w:r>
      <w:r w:rsidR="00D03A8E" w:rsidRPr="00452E2E">
        <w:rPr>
          <w:szCs w:val="24"/>
        </w:rPr>
        <w:t xml:space="preserve"> be discussed </w:t>
      </w:r>
      <w:r w:rsidR="00977CE2" w:rsidRPr="00452E2E">
        <w:rPr>
          <w:szCs w:val="24"/>
        </w:rPr>
        <w:t>in later sections of this chapter</w:t>
      </w:r>
      <w:r w:rsidR="00D03A8E" w:rsidRPr="00452E2E">
        <w:rPr>
          <w:szCs w:val="24"/>
        </w:rPr>
        <w:t xml:space="preserve">. </w:t>
      </w:r>
    </w:p>
    <w:p w:rsidR="003F2E5F" w:rsidRPr="00452E2E" w:rsidRDefault="00D03A8E" w:rsidP="00D03A8E">
      <w:pPr>
        <w:spacing w:line="360" w:lineRule="auto"/>
        <w:jc w:val="both"/>
        <w:rPr>
          <w:szCs w:val="24"/>
        </w:rPr>
      </w:pPr>
      <w:r w:rsidRPr="00452E2E">
        <w:rPr>
          <w:szCs w:val="24"/>
        </w:rPr>
        <w:lastRenderedPageBreak/>
        <w:t xml:space="preserve">Apart from the legal origins thesis, differences in electoral systems </w:t>
      </w:r>
      <w:r w:rsidRPr="00452E2E">
        <w:rPr>
          <w:szCs w:val="24"/>
        </w:rPr>
        <w:fldChar w:fldCharType="begin" w:fldLock="1"/>
      </w:r>
      <w:r w:rsidRPr="00452E2E">
        <w:rPr>
          <w:szCs w:val="24"/>
        </w:rPr>
        <w:instrText>ADDIN CSL_CITATION { "citationItems" : [ { "id" : "ITEM-1", "itemData" : { "author" : [ { "dropping-particle" : "", "family" : "Pagano", "given" : "M.", "non-dropping-particle" : "", "parse-names" : false, "suffix" : "" }, { "dropping-particle" : "", "family" : "Volpin", "given" : "P.", "non-dropping-particle" : "", "parse-names" : false, "suffix" : "" } ], "container-title" : "American Economic Review", "id" : "ITEM-1", "issue" : "4", "issued" : { "date-parts" : [ [ "2005" ] ] }, "page" : "1005-1030", "title" : "The political economy of corporate governance", "type" : "article-journal", "volume" : "95" }, "uris" : [ "http://www.mendeley.com/documents/?uuid=cdfa9aa1-6a2d-45ea-af02-9642a203402e" ] } ], "mendeley" : { "formattedCitation" : "(Pagano &amp; Volpin 2005)", "manualFormatting" : "(Pagano &amp; Volpin, 2005)", "plainTextFormattedCitation" : "(Pagano &amp; Volpin 2005)", "previouslyFormattedCitation" : "(Pagano &amp; Volpin 2005)" }, "properties" : { "noteIndex" : 0 }, "schema" : "https://github.com/citation-style-language/schema/raw/master/csl-citation.json" }</w:instrText>
      </w:r>
      <w:r w:rsidRPr="00452E2E">
        <w:rPr>
          <w:szCs w:val="24"/>
        </w:rPr>
        <w:fldChar w:fldCharType="separate"/>
      </w:r>
      <w:r w:rsidRPr="00452E2E">
        <w:rPr>
          <w:noProof/>
          <w:szCs w:val="24"/>
        </w:rPr>
        <w:t>(Pagano &amp; Volpin, 2005)</w:t>
      </w:r>
      <w:r w:rsidRPr="00452E2E">
        <w:rPr>
          <w:szCs w:val="24"/>
        </w:rPr>
        <w:fldChar w:fldCharType="end"/>
      </w:r>
      <w:r w:rsidRPr="00452E2E">
        <w:rPr>
          <w:szCs w:val="24"/>
        </w:rPr>
        <w:t xml:space="preserve"> and political party ideologies </w:t>
      </w:r>
      <w:r w:rsidRPr="00452E2E">
        <w:rPr>
          <w:szCs w:val="24"/>
        </w:rPr>
        <w:fldChar w:fldCharType="begin" w:fldLock="1"/>
      </w:r>
      <w:r w:rsidRPr="00452E2E">
        <w:rPr>
          <w:szCs w:val="24"/>
        </w:rPr>
        <w:instrText>ADDIN CSL_CITATION { "citationItems" : [ { "id" : "ITEM-1", "itemData" : { "author" : [ { "dropping-particle" : "", "family" : "Roe", "given" : "M.", "non-dropping-particle" : "", "parse-names" : false, "suffix" : "" } ], "id" : "ITEM-1", "issued" : { "date-parts" : [ [ "2003" ] ] }, "publisher" : "Oxford University Press", "publisher-place" : "Oxford", "title" : "Political determinants of corporate governance", "type" : "book" }, "uris" : [ "http://www.mendeley.com/documents/?uuid=137015db-665a-4373-ba53-4fd54826214d" ] } ], "mendeley" : { "formattedCitation" : "(Roe 2003)", "manualFormatting" : "(Roe, 2003)", "plainTextFormattedCitation" : "(Roe 2003)", "previouslyFormattedCitation" : "(Roe 2003)" }, "properties" : { "noteIndex" : 0 }, "schema" : "https://github.com/citation-style-language/schema/raw/master/csl-citation.json" }</w:instrText>
      </w:r>
      <w:r w:rsidRPr="00452E2E">
        <w:rPr>
          <w:szCs w:val="24"/>
        </w:rPr>
        <w:fldChar w:fldCharType="separate"/>
      </w:r>
      <w:r w:rsidRPr="00452E2E">
        <w:rPr>
          <w:noProof/>
          <w:szCs w:val="24"/>
        </w:rPr>
        <w:t>(Roe, 2003)</w:t>
      </w:r>
      <w:r w:rsidRPr="00452E2E">
        <w:rPr>
          <w:szCs w:val="24"/>
        </w:rPr>
        <w:fldChar w:fldCharType="end"/>
      </w:r>
      <w:r w:rsidRPr="00452E2E">
        <w:rPr>
          <w:szCs w:val="24"/>
        </w:rPr>
        <w:t xml:space="preserve"> have been identified as also providing the basis for national variations in private property rights (Wood </w:t>
      </w:r>
      <w:r w:rsidRPr="00452E2E">
        <w:rPr>
          <w:i/>
          <w:szCs w:val="24"/>
        </w:rPr>
        <w:t>et al</w:t>
      </w:r>
      <w:r w:rsidRPr="00452E2E">
        <w:rPr>
          <w:szCs w:val="24"/>
        </w:rPr>
        <w:t xml:space="preserve">., 2012).  Regarding electoral systems, </w:t>
      </w:r>
      <w:r w:rsidRPr="00452E2E">
        <w:rPr>
          <w:szCs w:val="24"/>
        </w:rPr>
        <w:fldChar w:fldCharType="begin" w:fldLock="1"/>
      </w:r>
      <w:r w:rsidR="001E5F68" w:rsidRPr="00452E2E">
        <w:rPr>
          <w:szCs w:val="24"/>
        </w:rPr>
        <w:instrText>ADDIN CSL_CITATION { "citationItems" : [ { "id" : "ITEM-1", "itemData" : { "author" : [ { "dropping-particle" : "", "family" : "Pagano", "given" : "M.", "non-dropping-particle" : "", "parse-names" : false, "suffix" : "" }, { "dropping-particle" : "", "family" : "Volpin", "given" : "P.", "non-dropping-particle" : "", "parse-names" : false, "suffix" : "" } ], "container-title" : "American Economic Review", "id" : "ITEM-1", "issue" : "4", "issued" : { "date-parts" : [ [ "2005" ] ] }, "page" : "1005-1030", "title" : "The political economy of corporate governance", "type" : "article-journal", "volume" : "95" }, "uris" : [ "http://www.mendeley.com/documents/?uuid=cdfa9aa1-6a2d-45ea-af02-9642a203402e" ] } ], "mendeley" : { "formattedCitation" : "(Pagano &amp; Volpin 2005)", "manualFormatting" : "Pagano &amp; Volpin (2005)", "plainTextFormattedCitation" : "(Pagano &amp; Volpin 2005)", "previouslyFormattedCitation" : "(Pagano &amp; Volpin 2005)" }, "properties" : { "noteIndex" : 0 }, "schema" : "https://github.com/citation-style-language/schema/raw/master/csl-citation.json" }</w:instrText>
      </w:r>
      <w:r w:rsidRPr="00452E2E">
        <w:rPr>
          <w:szCs w:val="24"/>
        </w:rPr>
        <w:fldChar w:fldCharType="separate"/>
      </w:r>
      <w:r w:rsidRPr="00452E2E">
        <w:rPr>
          <w:noProof/>
          <w:szCs w:val="24"/>
        </w:rPr>
        <w:t xml:space="preserve">Pagano </w:t>
      </w:r>
      <w:r w:rsidR="00535592" w:rsidRPr="00452E2E">
        <w:rPr>
          <w:noProof/>
          <w:szCs w:val="24"/>
        </w:rPr>
        <w:t>&amp;</w:t>
      </w:r>
      <w:r w:rsidRPr="00452E2E">
        <w:rPr>
          <w:noProof/>
          <w:szCs w:val="24"/>
        </w:rPr>
        <w:t xml:space="preserve"> Volpin (2005)</w:t>
      </w:r>
      <w:r w:rsidRPr="00452E2E">
        <w:rPr>
          <w:szCs w:val="24"/>
        </w:rPr>
        <w:fldChar w:fldCharType="end"/>
      </w:r>
      <w:r w:rsidRPr="00452E2E">
        <w:rPr>
          <w:szCs w:val="24"/>
        </w:rPr>
        <w:t xml:space="preserve"> suggest that employers’ rights are stronger and workers’ rights are weaker in countries with first-past-the-post electoral systems, whilst the reverse is the case in countries with proportional representation systems (</w:t>
      </w:r>
      <w:r w:rsidR="001E5F68" w:rsidRPr="00452E2E">
        <w:rPr>
          <w:szCs w:val="24"/>
        </w:rPr>
        <w:t xml:space="preserve">cf. </w:t>
      </w:r>
      <w:r w:rsidRPr="00452E2E">
        <w:rPr>
          <w:szCs w:val="24"/>
        </w:rPr>
        <w:t xml:space="preserve">Wood </w:t>
      </w:r>
      <w:r w:rsidRPr="00452E2E">
        <w:rPr>
          <w:i/>
          <w:szCs w:val="24"/>
        </w:rPr>
        <w:t>et al</w:t>
      </w:r>
      <w:r w:rsidRPr="00452E2E">
        <w:rPr>
          <w:szCs w:val="24"/>
        </w:rPr>
        <w:t xml:space="preserve">., 2012; 2014a). As with political party ideologies, it has been suggested that the ideology of the ruling political party determines the relationship between workers and owners </w:t>
      </w:r>
      <w:r w:rsidRPr="00452E2E">
        <w:rPr>
          <w:szCs w:val="24"/>
        </w:rPr>
        <w:fldChar w:fldCharType="begin" w:fldLock="1"/>
      </w:r>
      <w:r w:rsidRPr="00452E2E">
        <w:rPr>
          <w:szCs w:val="24"/>
        </w:rPr>
        <w:instrText>ADDIN CSL_CITATION { "citationItems" : [ { "id" : "ITEM-1", "itemData" : { "author" : [ { "dropping-particle" : "", "family" : "Roe", "given" : "M.", "non-dropping-particle" : "", "parse-names" : false, "suffix" : "" } ], "id" : "ITEM-1", "issued" : { "date-parts" : [ [ "2003" ] ] }, "publisher" : "Oxford University Press", "publisher-place" : "Oxford", "title" : "Political determinants of corporate governance", "type" : "book" }, "uris" : [ "http://www.mendeley.com/documents/?uuid=137015db-665a-4373-ba53-4fd54826214d"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"(Roe 2003; Wood et al. 2012)", "manualFormatting" : "(Roe, 2003)", "plainTextFormattedCitation" : "(Roe 2003; Wood et al. 2012)", "previouslyFormattedCitation" : "(Roe 2003; Wood et al. 2012)" }, "properties" : { "noteIndex" : 0 }, "schema" : "https://github.com/citation-style-language/schema/raw/master/csl-citation.json" }</w:instrText>
      </w:r>
      <w:r w:rsidRPr="00452E2E">
        <w:rPr>
          <w:szCs w:val="24"/>
        </w:rPr>
        <w:fldChar w:fldCharType="separate"/>
      </w:r>
      <w:r w:rsidRPr="00452E2E">
        <w:rPr>
          <w:noProof/>
          <w:szCs w:val="24"/>
        </w:rPr>
        <w:t>(Roe, 2003)</w:t>
      </w:r>
      <w:r w:rsidRPr="00452E2E">
        <w:rPr>
          <w:szCs w:val="24"/>
        </w:rPr>
        <w:fldChar w:fldCharType="end"/>
      </w:r>
      <w:r w:rsidRPr="00452E2E">
        <w:rPr>
          <w:szCs w:val="24"/>
        </w:rPr>
        <w:t xml:space="preserve">. Whilst right wing political parties are associated with stronger rights of employers and weaker employees’ rights, left-wing political parties are more likely to have stronger employees’ rights and weaker employers’ rights </w:t>
      </w:r>
      <w:r w:rsidRPr="00452E2E">
        <w:rPr>
          <w:szCs w:val="24"/>
        </w:rPr>
        <w:fldChar w:fldCharType="begin" w:fldLock="1"/>
      </w:r>
      <w:r w:rsidR="005D496B" w:rsidRPr="00452E2E">
        <w:rPr>
          <w:szCs w:val="24"/>
        </w:rPr>
        <w:instrText>ADDIN CSL_CITATION { "citationItems" : [ { "id" : "ITEM-1", "itemData" : { "author" : [ { "dropping-particle" : "", "family" : "Roe", "given" : "M.", "non-dropping-particle" : "", "parse-names" : false, "suffix" : "" } ], "id" : "ITEM-1", "issued" : { "date-parts" : [ [ "2003" ] ] }, "publisher" : "Oxford University Press", "publisher-place" : "Oxford", "title" : "Political determinants of corporate governance", "type" : "book" }, "uris" : [ "http://www.mendeley.com/documents/?uuid=137015db-665a-4373-ba53-4fd54826214d" ] } ], "mendeley" : { "formattedCitation" : "(Roe 2003)", "manualFormatting" : "(Roe, 2003; cf. Wood et al., 2012)", "plainTextFormattedCitation" : "(Roe 2003)", "previouslyFormattedCitation" : "(Roe 2003)" }, "properties" : { "noteIndex" : 0 }, "schema" : "https://github.com/citation-style-language/schema/raw/master/csl-citation.json" }</w:instrText>
      </w:r>
      <w:r w:rsidRPr="00452E2E">
        <w:rPr>
          <w:szCs w:val="24"/>
        </w:rPr>
        <w:fldChar w:fldCharType="separate"/>
      </w:r>
      <w:r w:rsidRPr="00452E2E">
        <w:rPr>
          <w:noProof/>
          <w:szCs w:val="24"/>
        </w:rPr>
        <w:t xml:space="preserve">(Roe, 2003; </w:t>
      </w:r>
      <w:r w:rsidR="002D7573" w:rsidRPr="00452E2E">
        <w:rPr>
          <w:noProof/>
          <w:szCs w:val="24"/>
        </w:rPr>
        <w:t xml:space="preserve">cf. </w:t>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Although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"chapter-number" : "1", "container-title" : "Human resource management and the institutional perspective", "editor"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"id" : "ITEM-1", "issued" : { "date-parts" : [ [ "2014" ] ] }, "page" : "1-14", "publisher" : "Routledge", "publisher-place" : "London and New York", "title" : "Institutions and firm level HRM practice", "type" : "chapter" }, "uris" : [ "http://www.mendeley.com/documents/?uuid=ba62f378-933c-4fff-a2e8-63f742ac54d8" ] } ], "mendeley" : { "formattedCitation" : "(Wood, Brewster, et al. 2014)", "manualFormatting" : "Wood et al. (2014a)", "plainTextFormattedCitation" : "(Wood, Brewster, et al. 2014)", "previouslyFormattedCitation" : "(Wood, Brewster, et al. 2014)"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(2014a)</w:t>
      </w:r>
      <w:r w:rsidRPr="00452E2E">
        <w:rPr>
          <w:szCs w:val="24"/>
        </w:rPr>
        <w:fldChar w:fldCharType="end"/>
      </w:r>
      <w:r w:rsidRPr="00452E2E">
        <w:rPr>
          <w:szCs w:val="24"/>
        </w:rPr>
        <w:t xml:space="preserve"> suggest that political party ideology may not affect HRM practice more broadly, they made reference to the research by </w:t>
      </w:r>
      <w:r w:rsidRPr="00452E2E">
        <w:rPr>
          <w:szCs w:val="24"/>
        </w:rPr>
        <w:fldChar w:fldCharType="begin" w:fldLock="1"/>
      </w:r>
      <w:r w:rsidRPr="00452E2E">
        <w:rPr>
          <w:szCs w:val="24"/>
        </w:rPr>
        <w:instrText>ADDIN CSL_CITATION { "citationItems" : [ { "id" : "ITEM-1", "itemData" : { "abstract" : "Although there is now a sizeable body of academic literature that tries to explain cross-country differences in terms of corporate control, capital market development, investor protection and politics, there is as yet very little literature on the degrees of protection accorded to other corporate stakeholders such as employees, based on a systematic comparison of firm level evidence. We find that both theories of legal origin and the varieties of capitalism approach are poor predictors of the relative propensity of firms to make redundancies in different settings. However, the political orientation of the government in place and even more so the nature of the electoral system are relatively good explanators of this propensity. In other words, political structures and outcomes matter more than more rigid institutional features such as legal origin. We explore the reasons for this, drawing out the implications for both theory and practice. ?? 2013 Elsevier Ltd.",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"container-title" : "International Business Review", "id" : "ITEM-1", "issue" : "6", "issued" : { "date-parts" : [ [ "2013" ] ] }, "page" : "1051-1067", "publisher" : "Elsevier Ltd", "title" : "The effects of the national setting on employment practice: The case of downsizing", "type" : "article-journal", "volume" : "22" }, "uris" : [ "http://www.mendeley.com/documents/?uuid=b17356a6-10e1-4124-88e8-a1572f194a6d" ] } ], "mendeley" : { "formattedCitation" : "(Goergen et al. 2013)", "manualFormatting" : "Goergen et al. (2013)", "plainTextFormattedCitation" : "(Goergen et al. 2013)", "previouslyFormattedCitation" : "(Goergen et al. 2013)" }, "properties" : { "noteIndex" : 0 }, "schema" : "https://github.com/citation-style-language/schema/raw/master/csl-citation.json" }</w:instrText>
      </w:r>
      <w:r w:rsidRPr="00452E2E">
        <w:rPr>
          <w:szCs w:val="24"/>
        </w:rPr>
        <w:fldChar w:fldCharType="separate"/>
      </w:r>
      <w:r w:rsidRPr="00452E2E">
        <w:rPr>
          <w:noProof/>
          <w:szCs w:val="24"/>
        </w:rPr>
        <w:t xml:space="preserve">Goergen </w:t>
      </w:r>
      <w:r w:rsidRPr="00452E2E">
        <w:rPr>
          <w:i/>
          <w:noProof/>
          <w:szCs w:val="24"/>
        </w:rPr>
        <w:t>et al</w:t>
      </w:r>
      <w:r w:rsidRPr="00452E2E">
        <w:rPr>
          <w:noProof/>
          <w:szCs w:val="24"/>
        </w:rPr>
        <w:t>. (2013)</w:t>
      </w:r>
      <w:r w:rsidRPr="00452E2E">
        <w:rPr>
          <w:szCs w:val="24"/>
        </w:rPr>
        <w:fldChar w:fldCharType="end"/>
      </w:r>
      <w:r w:rsidRPr="00452E2E">
        <w:rPr>
          <w:szCs w:val="24"/>
        </w:rPr>
        <w:t xml:space="preserve"> to acknowledge that some practices such as downsizing may be </w:t>
      </w:r>
      <w:r w:rsidR="00A53231" w:rsidRPr="00452E2E">
        <w:rPr>
          <w:szCs w:val="24"/>
        </w:rPr>
        <w:t xml:space="preserve">more </w:t>
      </w:r>
      <w:r w:rsidRPr="00452E2E">
        <w:rPr>
          <w:szCs w:val="24"/>
        </w:rPr>
        <w:t xml:space="preserve">common under right wing governments than left wing governments. </w:t>
      </w:r>
    </w:p>
    <w:p w:rsidR="00D03A8E" w:rsidRPr="00452E2E" w:rsidRDefault="00D03A8E" w:rsidP="00D03A8E">
      <w:pPr>
        <w:spacing w:line="360" w:lineRule="auto"/>
        <w:jc w:val="both"/>
        <w:rPr>
          <w:szCs w:val="24"/>
        </w:rPr>
      </w:pPr>
      <w:r w:rsidRPr="00452E2E">
        <w:rPr>
          <w:szCs w:val="24"/>
        </w:rPr>
        <w:t xml:space="preserve">Nevertheless, whilst political party ideology can be easily discerned in advanced democracies, in less developed democracies such as Nigeria, political parties, often, do not have clear-cut ideologies </w:t>
      </w:r>
      <w:r w:rsidRPr="00452E2E">
        <w:rPr>
          <w:szCs w:val="24"/>
        </w:rPr>
        <w:fldChar w:fldCharType="begin" w:fldLock="1"/>
      </w:r>
      <w:r w:rsidRPr="00452E2E">
        <w:rPr>
          <w:szCs w:val="24"/>
        </w:rPr>
        <w:instrText>ADDIN CSL_CITATION { "citationItems" : [ { "id" : "ITEM-1", "itemData" : { "author" : [ { "dropping-particle" : "", "family" : "Kura", "given" : "Sulaiman Y.", "non-dropping-particle" : "", "parse-names" : false, "suffix" : "" } ], "container-title" : "Journal of Sustainable Development in Africa", "id" : "ITEM-1", "issue" : "6", "issued" : { "date-parts" : [ [ "2011" ] ] }, "page" : "268-298", "title" : "Political parties and democracy in Nigeria: candidate selection, campaign and party financing in people's democratic party", "type" : "article-journal", "volume" : "13" }, "uris" : [ "http://www.mendeley.com/documents/?uuid=2a029593-4e28-4516-9282-949932afc6d8" ] } ], "mendeley" : { "formattedCitation" : "(Kura 2011)", "manualFormatting" : "(Kura, 2011)", "plainTextFormattedCitation" : "(Kura 2011)", "previouslyFormattedCitation" : "(Kura 2011)" }, "properties" : { "noteIndex" : 0 }, "schema" : "https://github.com/citation-style-language/schema/raw/master/csl-citation.json" }</w:instrText>
      </w:r>
      <w:r w:rsidRPr="00452E2E">
        <w:rPr>
          <w:szCs w:val="24"/>
        </w:rPr>
        <w:fldChar w:fldCharType="separate"/>
      </w:r>
      <w:r w:rsidRPr="00452E2E">
        <w:rPr>
          <w:noProof/>
          <w:szCs w:val="24"/>
        </w:rPr>
        <w:t>(Kura, 2011)</w:t>
      </w:r>
      <w:r w:rsidRPr="00452E2E">
        <w:rPr>
          <w:szCs w:val="24"/>
        </w:rPr>
        <w:fldChar w:fldCharType="end"/>
      </w:r>
      <w:r w:rsidRPr="00452E2E">
        <w:rPr>
          <w:szCs w:val="24"/>
        </w:rPr>
        <w:t xml:space="preserve">. Instead, political parties in Nigeria may only represent platforms to gain control of government. In such a context, the policies of government, including those relating to property rights, may not necessarily be driven by a guiding political ideology, but may be influenced by a few oligarchs that bankroll electioneering campaigns. These oligarchs, in alliance with ‘external vested interests’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"plainTextFormattedCitation" : "(Wood &amp; Frynas 2006)", "previouslyFormattedCitation" : "(Wood &amp; Frynas 2006)" }, "properties" : { "noteIndex" : 0 }, "schema" : "https://github.com/citation-style-language/schema/raw/master/csl-citation.json" }</w:instrText>
      </w:r>
      <w:r w:rsidRPr="00452E2E">
        <w:rPr>
          <w:szCs w:val="24"/>
        </w:rPr>
        <w:fldChar w:fldCharType="separate"/>
      </w:r>
      <w:r w:rsidRPr="00452E2E">
        <w:rPr>
          <w:noProof/>
          <w:szCs w:val="24"/>
        </w:rPr>
        <w:t>(Wood &amp; Frynas, 2006)</w:t>
      </w:r>
      <w:r w:rsidRPr="00452E2E">
        <w:rPr>
          <w:szCs w:val="24"/>
        </w:rPr>
        <w:fldChar w:fldCharType="end"/>
      </w:r>
      <w:r w:rsidRPr="00452E2E">
        <w:rPr>
          <w:szCs w:val="24"/>
        </w:rPr>
        <w:t xml:space="preserve"> will favour stronger property rights and weaker workers’ rights. The sociological new institutionalism shall be the focus of the next section.</w:t>
      </w:r>
    </w:p>
    <w:p w:rsidR="00D03A8E" w:rsidRPr="00452E2E" w:rsidRDefault="00D03A8E" w:rsidP="00D03A8E">
      <w:pPr>
        <w:pStyle w:val="Heading4"/>
      </w:pPr>
      <w:bookmarkStart w:id="42" w:name="_Toc473808110"/>
      <w:r w:rsidRPr="00452E2E">
        <w:t>2.3.2 New Institutionalism</w:t>
      </w:r>
      <w:bookmarkEnd w:id="42"/>
    </w:p>
    <w:p w:rsidR="00D03A8E" w:rsidRPr="00452E2E" w:rsidRDefault="00D03A8E" w:rsidP="00D03A8E">
      <w:pPr>
        <w:spacing w:line="360" w:lineRule="auto"/>
        <w:jc w:val="both"/>
        <w:rPr>
          <w:szCs w:val="24"/>
        </w:rPr>
      </w:pPr>
      <w:r w:rsidRPr="00452E2E">
        <w:rPr>
          <w:szCs w:val="24"/>
        </w:rPr>
        <w:t xml:space="preserve">New institutionalism is a sociological approach for understanding organizational behaviour which provides insights </w:t>
      </w:r>
      <w:r w:rsidR="00934F0C" w:rsidRPr="00452E2E">
        <w:rPr>
          <w:szCs w:val="24"/>
        </w:rPr>
        <w:t>into</w:t>
      </w:r>
      <w:r w:rsidRPr="00452E2E">
        <w:rPr>
          <w:szCs w:val="24"/>
        </w:rPr>
        <w:t xml:space="preserve"> how organizations are embedded in their institutional environments, and how the institutional environment in turn shape the practices of organizations </w:t>
      </w:r>
      <w:r w:rsidRPr="00452E2E">
        <w:rPr>
          <w:szCs w:val="24"/>
        </w:rPr>
        <w:fldChar w:fldCharType="begin" w:fldLock="1"/>
      </w:r>
      <w:r w:rsidRPr="00452E2E">
        <w:rPr>
          <w:szCs w:val="24"/>
        </w:rPr>
        <w:instrText>ADDIN CSL_CITATION { "citationItems" : [ { "id" : "ITEM-1", "itemData" : { "author" : [ { "dropping-particle" : "", "family" : "DiMaggio", "given" : "P.J.", "non-dropping-particle" : "", "parse-names" : false, "suffix" : "" }, { "dropping-particle" : "", "family" : "Powell", "given" : "W.W.", "non-dropping-particle" : "", "parse-names" : false, "suffix" : "" } ], "container-title" : "American Sociological Review", "id" : "ITEM-1", "issue" : "2", "issued" : { "date-parts" : [ [ "1983" ] ] }, "page" : "147-160", "title" : "The iron cage revisited: Institutional isomorphism and collective rationality in organizational fields", "type" : "article-journal", "volume" : "48" }, "uris" : [ "http://www.mendeley.com/documents/?uuid=173aaf26-bb0f-440b-9525-ae2f5aa9b9fc" ] }, { "id" : "ITEM-2", "itemData" : { "DOI" : "10.1108/ER-07-2013-0088", "ISBN" : "0263557091093", "ISSN" : "01425455", "abstract" : "Purpose: Up to now, there has been little research on the impact of the external environment on recruitment practices of organizations, and in part it lags behind practice. The purpose of this paper is to rectify this by studying recent changes in recruitment practices of Danish organizations and the adoption of e-recruitment from a macro organizational perspective. Design/methodology/approach: The study employs new institutional theory as a theoretical lens in order to understand how external pressures impact upon recruitment professionals and their practices. The empirical part is based on interpretive methods and the inductive analysis of data. The data were collected from a number of sources, such as exploratory interviews, observations, web sites, and other secondary material from 2008 to 2013. Findings: The findings indicate that recruitment practices are strongly influenced by changes stemming from functional and social pressures of the wider society, such as the labour market and the penetration of the internet into Danish society. That is reflected in the widespread use of digital HRM in general, and e-recruitment in particular. The study concludes that the recruitment field has transformed and reviewed its practices to a great extent due to the changes in how individuals search for employment and expect to be hired. Research limitations/implications: The empirical part of this study is limited to Denmark, and its economic, social, and cultural domains, yet the research design can be applied elsewhere. Originality/value: The paper contributes to a better understanding of HRM in context, the pressures and mechanisms for adoption of new recruitment practices, and more specifically the rationale for adopting e-recruitment practices. Additionally, it offers a novel research framework for future research on recruitment from the neoinstitutional perspective. \u00a9 Emerald Group Publishing Limited.", "author" : [ { "dropping-particle" : "", "family" : "Holm", "given" : "A.", "non-dropping-particle" : "", "parse-names" : false, "suffix" : "" } ], "container-title" : "Employee Relations", "id" : "ITEM-2", "issue" : "4", "issued" : { "date-parts" : [ [ "2014" ] ] }, "page" : "432-455", "title" : "Institutional context and e-recruitment practices of Danish organizations", "type" : "article-journal", "volume" : "36" }, "uris" : [ "http://www.mendeley.com/documents/?uuid=82dac40a-9e41-4c5a-a80e-259a373fab17" ] }, { "id" : "ITEM-3",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"ITEM-3", "issued" : { "date-parts" : [ [ "2007" ] ] }, "page" : "166-184", "publisher" : "Oxford University Press", "publisher-place" : "New York", "title" : "HRM and societal embeddedness", "type" : "chapter" }, "uris" : [ "http://www.mendeley.com/documents/?uuid=bc50bffa-b076-4ece-b963-52ac09293458" ] }, { "id" : "ITEM-4", "itemData" : { "author" : [ { "dropping-particle" : "", "family" : "Scott", "given" : "W. Richard", "non-dropping-particle" : "", "parse-names" : false, "suffix" : "" } ], "edition" : "4th", "id" : "ITEM-4", "issued" : { "date-parts" : [ [ "2014" ] ] }, "publisher" : "SAGE", "publisher-place" : "Los Angeles", "title" : "Institutions and organizations: Ideas, interests, and identities", "type" : "book" }, "uris" : [ "http://www.mendeley.com/documents/?uuid=cd341672-bf37-41bb-bdfb-cad2a361137f" ] } ], "mendeley" : { "formattedCitation" : "(DiMaggio &amp; Powell 1983; Holm 2014; Paauwe &amp; Boselie 2007; Scott 2014)", "manualFormatting" : "(DiMaggio &amp; Powell, 1983; Paauwe &amp; Boselie, 2007; Holm, 2014; Scott, 2014)", "plainTextFormattedCitation" : "(DiMaggio &amp; Powell 1983; Holm 2014; Paauwe &amp; Boselie 2007; Scott 2014)", "previouslyFormattedCitation" : "(DiMaggio &amp; Powell 1983; Holm 2014; Paauwe &amp; Boselie 2007; Scott 2014)" }, "properties" : { "noteIndex" : 0 }, "schema" : "https://github.com/citation-style-language/schema/raw/master/csl-citation.json" }</w:instrText>
      </w:r>
      <w:r w:rsidRPr="00452E2E">
        <w:rPr>
          <w:szCs w:val="24"/>
        </w:rPr>
        <w:fldChar w:fldCharType="separate"/>
      </w:r>
      <w:r w:rsidRPr="00452E2E">
        <w:rPr>
          <w:noProof/>
          <w:szCs w:val="24"/>
        </w:rPr>
        <w:t xml:space="preserve">(DiMaggio &amp; Powell, 1983; Paauwe &amp; Boselie, </w:t>
      </w:r>
      <w:r w:rsidRPr="00452E2E">
        <w:rPr>
          <w:noProof/>
          <w:szCs w:val="24"/>
        </w:rPr>
        <w:lastRenderedPageBreak/>
        <w:t>2007; Holm, 2014; Scott, 2014)</w:t>
      </w:r>
      <w:r w:rsidRPr="00452E2E">
        <w:rPr>
          <w:szCs w:val="24"/>
        </w:rPr>
        <w:fldChar w:fldCharType="end"/>
      </w:r>
      <w:r w:rsidRPr="00452E2E">
        <w:rPr>
          <w:szCs w:val="24"/>
        </w:rPr>
        <w:t xml:space="preserve">.  It is a theory for explaining social structure and processes in organizations which emphasize that organizations adapt to their institutional environments in order to gain legitimacy and stand a chance of survival </w:t>
      </w:r>
      <w:r w:rsidRPr="00452E2E">
        <w:rPr>
          <w:szCs w:val="24"/>
        </w:rPr>
        <w:fldChar w:fldCharType="begin" w:fldLock="1"/>
      </w:r>
      <w:r w:rsidRPr="00452E2E">
        <w:rPr>
          <w:szCs w:val="24"/>
        </w:rPr>
        <w:instrText>ADDIN CSL_CITATION { "citationItems" : [ { "id" : "ITEM-1", "itemData" : { "DOI" : "10.1086/226550", "ISBN" : "0226677087", "ISSN" : "0002-9602", "PMID" : "11343720", "abstract" : "Many formal organizational structures arise as reflections of ratio- nalized institutional rules. The elaboration of such rules in modern states and societies accounts in part for the expansion and increased complexity of formal organizational structures. Institutional rules function as myths which organizations incorporate, gaining legitimacy, resources, stability, and enhanced survival prospects. Organizations whose structures become isomorphic with the myths of the institu- tional environment-in contrast with those primarily structured by the demands of technical production and exchange-decrease internal coordination and control in order to maintain legitimacy. Structures are decoupled from each other and from ongoing activities. In place of coordination, inspection, and evaluation, a logic of confidence and good faith is employed.", "author" : [ { "dropping-particle" : "", "family" : "Meyer", "given" : "John W.", "non-dropping-particle" : "", "parse-names" : false, "suffix" : "" }, { "dropping-particle" : "", "family" : "Rowan", "given" : "Brian", "non-dropping-particle" : "", "parse-names" : false, "suffix" : "" } ], "container-title" : "American Journal of Sociology", "id" : "ITEM-1", "issue" : "2", "issued" : { "date-parts" : [ [ "1977" ] ] }, "page" : "340", "title" : "Institutionalized Organizations: Formal Structure as Myth and Ceremony", "type" : "article-journal", "volume" : "83" }, "uris" : [ "http://www.mendeley.com/documents/?uuid=9e309264-07f5-439a-9e78-407171dc39ac" ] }, { "id" : "ITEM-2", "itemData" : { "author" : [ { "dropping-particle" : "", "family" : "Scott", "given" : "W. Richard", "non-dropping-particle" : "", "parse-names" : false, "suffix" : "" } ], "edition" : "4th", "id" : "ITEM-2", "issued" : { "date-parts" : [ [ "2014" ] ] }, "publisher" : "SAGE", "publisher-place" : "Los Angeles", "title" : "Institutions and organizations: Ideas, interests, and identities", "type" : "book" }, "uris" : [ "http://www.mendeley.com/documents/?uuid=cd341672-bf37-41bb-bdfb-cad2a361137f" ] } ], "mendeley" : { "formattedCitation" : "(Meyer &amp; Rowan 1977; Scott 2014)", "manualFormatting" : "(Meyer &amp; Rowan, 1977; Scott, 2014)", "plainTextFormattedCitation" : "(Meyer &amp; Rowan 1977; Scott 2014)", "previouslyFormattedCitation" : "(Meyer &amp; Rowan 1977; Scott 2014)" }, "properties" : { "noteIndex" : 0 }, "schema" : "https://github.com/citation-style-language/schema/raw/master/csl-citation.json" }</w:instrText>
      </w:r>
      <w:r w:rsidRPr="00452E2E">
        <w:rPr>
          <w:szCs w:val="24"/>
        </w:rPr>
        <w:fldChar w:fldCharType="separate"/>
      </w:r>
      <w:r w:rsidRPr="00452E2E">
        <w:rPr>
          <w:noProof/>
          <w:szCs w:val="24"/>
        </w:rPr>
        <w:t>(Meyer &amp; Rowan, 1977; Scott, 2014)</w:t>
      </w:r>
      <w:r w:rsidRPr="00452E2E">
        <w:rPr>
          <w:szCs w:val="24"/>
        </w:rPr>
        <w:fldChar w:fldCharType="end"/>
      </w:r>
      <w:r w:rsidRPr="00452E2E">
        <w:rPr>
          <w:szCs w:val="24"/>
        </w:rPr>
        <w:t xml:space="preserve">. Since organizations do not operate in a vacuum, they encounter pressures in the form of rules, beliefs, norms and the professions </w:t>
      </w:r>
      <w:r w:rsidRPr="00452E2E">
        <w:rPr>
          <w:szCs w:val="24"/>
        </w:rPr>
        <w:fldChar w:fldCharType="begin" w:fldLock="1"/>
      </w:r>
      <w:r w:rsidRPr="00452E2E">
        <w:rPr>
          <w:szCs w:val="24"/>
        </w:rPr>
        <w:instrText>ADDIN CSL_CITATION { "citationItems" : [ { "id" : "ITEM-1", "itemData" : { "author" : [ { "dropping-particle" : "", "family" : "DiMaggio", "given" : "P.J.", "non-dropping-particle" : "", "parse-names" : false, "suffix" : "" }, { "dropping-particle" : "", "family" : "Powell", "given" : "W.W.", "non-dropping-particle" : "", "parse-names" : false, "suffix" : "" } ], "container-title" : "The new institutionalism in organizational analysis", "editor" : [ { "dropping-particle" : "", "family" : "Powell", "given" : "W.W.", "non-dropping-particle" : "", "parse-names" : false, "suffix" : "" }, { "dropping-particle" : "", "family" : "DiMaggio", "given" : "P.J.", "non-dropping-particle" : "", "parse-names" : false, "suffix" : "" } ], "id" : "ITEM-1", "issued" : { "date-parts" : [ [ "1991" ] ] }, "page" : "63-82", "publisher" : "The University of Chicago Press", "publisher-place" : "Chicago", "title" : "The iron cage revisited: Institutional isomorphism and collective rationality in organizational fields", "type" : "chapter" }, "uris" : [ "http://www.mendeley.com/documents/?uuid=2143ff26-3070-4d84-93cc-00287500845d" ] }, { "id" : "ITEM-2", "itemData" : { "DOI" : "10.1177/0170840607088151", "ISBN" : "0170-8406", "ISSN" : "0170-8406", "PMID" : "31323064", "abstract" : "More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 "author" : [ { "dropping-particle" : "", "family" : "Scott", "given" : "W Richard", "non-dropping-particle" : "", "parse-names" : false, "suffix" : "" } ], "container-title" : "Organization Studies", "id" : "ITEM-2", "issue" : "2", "issued" : { "date-parts" : [ [ "2008" ] ] }, "page" : "219-238", "title" : "Lords of the dance: Professionals as institutional agents", "type" : "article-journal", "volume" : "29" }, "uris" : [ "http://www.mendeley.com/documents/?uuid=3b308596-fa69-4ec9-a07f-0484f3ad4337" ] } ], "mendeley" : { "formattedCitation" : "(DiMaggio &amp; Powell 1991; Scott 2008)", "manualFormatting" : "to conform to their wider institutional environments (DiMaggio &amp; Powell, 1991; Scott, 2008)", "plainTextFormattedCitation" : "(DiMaggio &amp; Powell 1991; Scott 2008)", "previouslyFormattedCitation" : "(DiMaggio &amp; Powell 1991; Scott 2008)" }, "properties" : { "noteIndex" : 0 }, "schema" : "https://github.com/citation-style-language/schema/raw/master/csl-citation.json" }</w:instrText>
      </w:r>
      <w:r w:rsidRPr="00452E2E">
        <w:rPr>
          <w:szCs w:val="24"/>
        </w:rPr>
        <w:fldChar w:fldCharType="separate"/>
      </w:r>
      <w:r w:rsidRPr="00452E2E">
        <w:rPr>
          <w:noProof/>
          <w:szCs w:val="24"/>
        </w:rPr>
        <w:t>to conform to their wider institutional environments (DiMaggio &amp; Powell, 1991; Scott, 2008)</w:t>
      </w:r>
      <w:r w:rsidRPr="00452E2E">
        <w:rPr>
          <w:szCs w:val="24"/>
        </w:rPr>
        <w:fldChar w:fldCharType="end"/>
      </w:r>
      <w:r w:rsidRPr="00452E2E">
        <w:rPr>
          <w:szCs w:val="24"/>
        </w:rPr>
        <w:t xml:space="preserve">. This suggests that some organizational actions and processes are not only influenced by the need to be efficient but also by the need to be legitimate </w:t>
      </w:r>
      <w:r w:rsidRPr="00452E2E">
        <w:rPr>
          <w:szCs w:val="24"/>
        </w:rPr>
        <w:fldChar w:fldCharType="begin" w:fldLock="1"/>
      </w:r>
      <w:r w:rsidRPr="00452E2E">
        <w:rPr>
          <w:szCs w:val="24"/>
        </w:rPr>
        <w:instrText>ADDIN CSL_CITATION { "citationItems" : [ { "id" : "ITEM-1", "itemData" : { "author" : [ { "dropping-particle" : "", "family" : "Scott", "given" : "W. Richard", "non-dropping-particle" : "", "parse-names" : false, "suffix" : "" } ], "edition" : "4th", "id" : "ITEM-1", "issued" : { "date-parts" : [ [ "2014" ] ] }, "publisher" : "SAGE", "publisher-place" : "Los Angeles", "title" : "Institutions and organizations: Ideas, interests, and identities", "type" : "book" }, "uris" : [ "http://www.mendeley.com/documents/?uuid=cd341672-bf37-41bb-bdfb-cad2a361137f" ] } ], "mendeley" : { "formattedCitation" : "(Scott 2014)", "manualFormatting" : "(Scott, 2014)", "plainTextFormattedCitation" : "(Scott 2014)", "previouslyFormattedCitation" : "(Scott 2014)" }, "properties" : { "noteIndex" : 0 }, "schema" : "https://github.com/citation-style-language/schema/raw/master/csl-citation.json" }</w:instrText>
      </w:r>
      <w:r w:rsidRPr="00452E2E">
        <w:rPr>
          <w:szCs w:val="24"/>
        </w:rPr>
        <w:fldChar w:fldCharType="separate"/>
      </w:r>
      <w:r w:rsidRPr="00452E2E">
        <w:rPr>
          <w:noProof/>
          <w:szCs w:val="24"/>
        </w:rPr>
        <w:t>(Scott, 2014)</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The need for legitimacy may compel organizations to abandon the most effective and efficient choices in pursuit of least effective and efficient ones (Boon </w:t>
      </w:r>
      <w:r w:rsidRPr="00452E2E">
        <w:rPr>
          <w:i/>
          <w:szCs w:val="24"/>
        </w:rPr>
        <w:t>et al</w:t>
      </w:r>
      <w:r w:rsidRPr="00452E2E">
        <w:rPr>
          <w:szCs w:val="24"/>
        </w:rPr>
        <w:t xml:space="preserve">., 2009). However, legitimacy enhances long term survival of organizations since it enables them </w:t>
      </w:r>
      <w:r w:rsidR="008B036C" w:rsidRPr="00452E2E">
        <w:rPr>
          <w:szCs w:val="24"/>
        </w:rPr>
        <w:t xml:space="preserve">to </w:t>
      </w:r>
      <w:r w:rsidRPr="00452E2E">
        <w:rPr>
          <w:szCs w:val="24"/>
        </w:rPr>
        <w:t xml:space="preserve">obtain quality resources from key stakeholders such </w:t>
      </w:r>
      <w:r w:rsidR="008B036C" w:rsidRPr="00452E2E">
        <w:rPr>
          <w:szCs w:val="24"/>
        </w:rPr>
        <w:t xml:space="preserve">as </w:t>
      </w:r>
      <w:r w:rsidRPr="00452E2E">
        <w:rPr>
          <w:szCs w:val="24"/>
        </w:rPr>
        <w:t xml:space="preserve">customers, suppliers, employees, and regulatory agencies </w:t>
      </w:r>
      <w:r w:rsidRPr="00452E2E">
        <w:rPr>
          <w:szCs w:val="24"/>
        </w:rPr>
        <w:fldChar w:fldCharType="begin" w:fldLock="1"/>
      </w:r>
      <w:r w:rsidRPr="00452E2E">
        <w:rPr>
          <w:szCs w:val="24"/>
        </w:rPr>
        <w:instrText>ADDIN CSL_CITATION { "citationItems" : [ { "id" : "ITEM-1", "itemData" : { "author" : [ { "dropping-particle" : "", "family" : "Deephouse", "given" : "D.L.", "non-dropping-particle" : "", "parse-names" : false, "suffix" : "" } ], "container-title" : "Strategic Management Journal", "id" : "ITEM-1", "issue" : "2", "issued" : { "date-parts" : [ [ "1999" ] ] }, "page" : "147-66", "title" : "To be different, or to be the same? It's a question (and theory) of strategic balance", "type" : "article-journal", "volume" : "20" }, "uris" : [ "http://www.mendeley.com/documents/?uuid=6dcfbecd-dbc0-4e4e-879c-2205933158f6" ] } ], "mendeley" : { "formattedCitation" : "(Deephouse 1999)", "manualFormatting" : "(Deephouse, 1999)", "plainTextFormattedCitation" : "(Deephouse 1999)", "previouslyFormattedCitation" : "(Deephouse 1999)" }, "properties" : { "noteIndex" : 0 }, "schema" : "https://github.com/citation-style-language/schema/raw/master/csl-citation.json" }</w:instrText>
      </w:r>
      <w:r w:rsidRPr="00452E2E">
        <w:rPr>
          <w:szCs w:val="24"/>
        </w:rPr>
        <w:fldChar w:fldCharType="separate"/>
      </w:r>
      <w:r w:rsidRPr="00452E2E">
        <w:rPr>
          <w:noProof/>
          <w:szCs w:val="24"/>
        </w:rPr>
        <w:t>(Deephouse, 1999)</w:t>
      </w:r>
      <w:r w:rsidRPr="00452E2E">
        <w:rPr>
          <w:szCs w:val="24"/>
        </w:rPr>
        <w:fldChar w:fldCharType="end"/>
      </w:r>
      <w:r w:rsidRPr="00452E2E">
        <w:rPr>
          <w:szCs w:val="24"/>
        </w:rPr>
        <w:t xml:space="preserve">. In fact, it is these stakeholders that determine whether or not an organization is legitimate </w:t>
      </w:r>
      <w:r w:rsidRPr="00452E2E">
        <w:rPr>
          <w:szCs w:val="24"/>
        </w:rPr>
        <w:fldChar w:fldCharType="begin" w:fldLock="1"/>
      </w:r>
      <w:r w:rsidRPr="00452E2E">
        <w:rPr>
          <w:szCs w:val="24"/>
        </w:rPr>
        <w:instrText>ADDIN CSL_CITATION { "citationItems" : [ { "id" : "ITEM-1", "itemData" : { "abstract" : "Purpose \u2013 Research in strategic human resource management (HRM) has focused mainly on the effects of HRM practices or systems on organizational effectiveness. However, institutional theory argues that besides being financially successful, organizations also need legitimacy to survive.Owingto the tension between competitive and institutional pressures, organizations balance between the degree of conformity and the degree of differentiation from competitors regarding HRM. The purpose of this paper is to address how institutional pressures help shape HRM. Design/methodology/approach \u2013 Using the concepts of leeway, human agency and strategic choice, differences in three types of institutional fit are highlighted: innovative, conformist and deviant. A comparative case study approach is used in order to illustrate the framework, using document analysis and 43 interviews in three organizations in The Netherlands. Findings \u2013 This paper shows how balancing competitive and institutional pressures in organizations affects HRM. The cases illustrate the proposed theoretical framework, showing leeway, human agency, strategic choice and the nature of institutional fit.Theorganizations each illustrate a type of institutional fit. Moreover, not the institutional context itself, but the organization\u2019s response seems to make a difference for the nature of institutional fit. Originality/value \u2013 While previous studies focus on the effects of HRM on organizational effectiveness, this paper examines how the balance between competitive and institutional pressures affectsHRMand aims toshow that institutional fit can contribute to strategicHRMby providing insight in this more balanced goal setting of organizations.", "author" : [ { "dropping-particle" : "", "family" : "Boon", "given" : "Corine", "non-dropping-particle" : "", "parse-names" : false, "suffix" : "" }, { "dropping-particle" : "", "family" : "Paauwe", "given" : "Jaap", "non-dropping-particle" : "", "parse-names" : false, "suffix" : "" }, { "dropping-particle" : "", "family" : "Boselie", "given" : "Paul", "non-dropping-particle" : "", "parse-names" : false, "suffix" : "" }, { "dropping-particle" : "", "family" : "Hartog", "given" : "Deane", "non-dropping-particle" : "Den", "parse-names" : false, "suffix" : "" } ], "container-title" : "Personnel Review", "id" : "ITEM-1", "issue" : "5", "issued" : { "date-parts" : [ [ "2009" ] ] }, "page" : "492-508", "title" : "Institutional pressures and HRM: Developing institutional fit", "type" : "article-journal", "volume" : "38" }, "uris" : [ "http://www.mendeley.com/documents/?uuid=d7f5441f-2750-48bc-ac06-5b21ceb45e58" ] } ], "mendeley" : { "formattedCitation" : "(Boon et al. 2009)", "manualFormatting" : "(Boon et al., 2009)", "plainTextFormattedCitation" : "(Boon et al. 2009)", "previouslyFormattedCitation" : "(Boon et al. 2009)" }, "properties" : { "noteIndex" : 0 }, "schema" : "https://github.com/citation-style-language/schema/raw/master/csl-citation.json" }</w:instrText>
      </w:r>
      <w:r w:rsidRPr="00452E2E">
        <w:rPr>
          <w:szCs w:val="24"/>
        </w:rPr>
        <w:fldChar w:fldCharType="separate"/>
      </w:r>
      <w:r w:rsidRPr="00452E2E">
        <w:rPr>
          <w:noProof/>
          <w:szCs w:val="24"/>
        </w:rPr>
        <w:t xml:space="preserve">(Boon </w:t>
      </w:r>
      <w:r w:rsidRPr="00452E2E">
        <w:rPr>
          <w:i/>
          <w:noProof/>
          <w:szCs w:val="24"/>
        </w:rPr>
        <w:t>et al</w:t>
      </w:r>
      <w:r w:rsidRPr="00452E2E">
        <w:rPr>
          <w:noProof/>
          <w:szCs w:val="24"/>
        </w:rPr>
        <w:t>., 2009)</w:t>
      </w:r>
      <w:r w:rsidRPr="00452E2E">
        <w:rPr>
          <w:szCs w:val="24"/>
        </w:rPr>
        <w:fldChar w:fldCharType="end"/>
      </w:r>
      <w:r w:rsidRPr="00452E2E">
        <w:rPr>
          <w:szCs w:val="24"/>
        </w:rPr>
        <w:t xml:space="preserve">. Therefore, new institutionalism suggests that organizational practices are not only informed by market forces but also as a result of institutionalization </w:t>
      </w:r>
      <w:r w:rsidRPr="00452E2E">
        <w:rPr>
          <w:szCs w:val="24"/>
        </w:rPr>
        <w:fldChar w:fldCharType="begin" w:fldLock="1"/>
      </w:r>
      <w:r w:rsidRPr="00452E2E">
        <w:rPr>
          <w:szCs w:val="24"/>
        </w:rPr>
        <w:instrText>ADDIN CSL_CITATION { "citationItems" : [ { "id" : "ITEM-1", "itemData" : { "DOI" : "10.1086/226550", "ISBN" : "0226677087", "ISSN" : "0002-9602", "PMID" : "11343720", "abstract" : "Many formal organizational structures arise as reflections of ratio- nalized institutional rules. The elaboration of such rules in modern states and societies accounts in part for the expansion and increased complexity of formal organizational structures. Institutional rules function as myths which organizations incorporate, gaining legitimacy, resources, stability, and enhanced survival prospects. Organizations whose structures become isomorphic with the myths of the institu- tional environment-in contrast with those primarily structured by the demands of technical production and exchange-decrease internal coordination and control in order to maintain legitimacy. Structures are decoupled from each other and from ongoing activities. In place of coordination, inspection, and evaluation, a logic of confidence and good faith is employed.", "author" : [ { "dropping-particle" : "", "family" : "Meyer", "given" : "John W.", "non-dropping-particle" : "", "parse-names" : false, "suffix" : "" }, { "dropping-particle" : "", "family" : "Rowan", "given" : "Brian", "non-dropping-particle" : "", "parse-names" : false, "suffix" : "" } ], "container-title" : "American Journal of Sociology", "id" : "ITEM-1", "issue" : "2", "issued" : { "date-parts" : [ [ "1977" ] ] }, "page" : "340", "title" : "Institutionalized Organizations: Formal Structure as Myth and Ceremony", "type" : "article-journal", "volume" : "83" }, "uris" : [ "http://www.mendeley.com/documents/?uuid=9e309264-07f5-439a-9e78-407171dc39ac" ] }, { "id" : "ITEM-2", "itemData" : { "DOI" : "10.1111/j.1748-8583.2003.tb00098.x", "ISBN" : "09545395", "ISSN" : "0954-5395", "PMID" : "10927598", "abstract" : "One of the more fundamental aspects of the ongoing debate about the added value of HRM relates to `best practice versus `best-fit. Best practice suggests the universal success of certain HR practices, while best-fit acknowledges the relevant impact of contextual factors. We argue that differences in embeddedness and in institutional settings between, for example, countries affect the nature of HRM. To understand this phenomenon, we are in need of additional theory. In this article we will use the theory of new institutionalism as a better way to understand the shaping of HR policies and practices in different settings. After a concise review of the latest debates in the area of strategic HRM, in which the resource-based view is the dominant perspective, we turn to an analysis of HRM in different institutional settings, which suggests the need for additional theory: ie new institutionalism. We offer propositions to explain the impact of different institutional mechanisms, including coercive, normative and mimetic ones, on the shaping of HR policies and practices in organisations. The remainder of the article then focuses on possible implications for practitioners, theoretical implications for future research, and challenges for strategic HRM.", "author" : [ { "dropping-particle" : "", "family" : "Paauwe", "given" : "Jaap", "non-dropping-particle" : "", "parse-names" : false, "suffix" : "" }, { "dropping-particle" : "", "family" : "Boselie", "given" : "Paul", "non-dropping-particle" : "", "parse-names" : false, "suffix" : "" } ], "container-title" : "Human Resource Management Journal", "id" : "ITEM-2", "issue" : "3", "issued" : { "date-parts" : [ [ "2003" ] ] }, "page" : "56-70", "title" : "Relevance of the Institutional Setting", "type" : "article-journal", "volume" : "13" }, "uris" : [ "http://www.mendeley.com/documents/?uuid=61580e75-d6a5-469c-a876-16e247e5ed6e" ] } ], "mendeley" : { "formattedCitation" : "(Meyer &amp; Rowan 1977; Paauwe &amp; Boselie 2003)", "manualFormatting" : "(Meyer &amp; Rowan, 1977; Paauwe &amp; Boselie, 2003)", "plainTextFormattedCitation" : "(Meyer &amp; Rowan 1977; Paauwe &amp; Boselie 2003)", "previouslyFormattedCitation" : "(Meyer &amp; Rowan 1977; Paauwe &amp; Boselie 2003)" }, "properties" : { "noteIndex" : 0 }, "schema" : "https://github.com/citation-style-language/schema/raw/master/csl-citation.json" }</w:instrText>
      </w:r>
      <w:r w:rsidRPr="00452E2E">
        <w:rPr>
          <w:szCs w:val="24"/>
        </w:rPr>
        <w:fldChar w:fldCharType="separate"/>
      </w:r>
      <w:r w:rsidRPr="00452E2E">
        <w:rPr>
          <w:noProof/>
          <w:szCs w:val="24"/>
        </w:rPr>
        <w:t>(Meyer &amp; Rowan, 1977; Paauwe &amp; Boselie, 2003)</w:t>
      </w:r>
      <w:r w:rsidRPr="00452E2E">
        <w:rPr>
          <w:szCs w:val="24"/>
        </w:rPr>
        <w:fldChar w:fldCharType="end"/>
      </w:r>
      <w:r w:rsidRPr="00452E2E">
        <w:rPr>
          <w:szCs w:val="24"/>
        </w:rPr>
        <w:t xml:space="preserve">. Institutionalization has been defined as “the process by which social processes, obligations or actualities come to take on a rule-like status in social thought and action (Meyer &amp; Rowan, 1977, p.341). Consequently, new institutionalism emphasizes the non-rationality of organizational practices as actors conform without thinking to social influences </w:t>
      </w:r>
      <w:r w:rsidRPr="00452E2E">
        <w:rPr>
          <w:szCs w:val="24"/>
        </w:rPr>
        <w:fldChar w:fldCharType="begin" w:fldLock="1"/>
      </w:r>
      <w:r w:rsidRPr="00452E2E">
        <w:rPr>
          <w:szCs w:val="24"/>
        </w:rPr>
        <w:instrText>ADDIN CSL_CITATION { "citationItems" : [ { "id" : "ITEM-1", "itemData" : { "DOI" : "10.1086/226550", "ISBN" : "0226677087", "ISSN" : "0002-9602", "PMID" : "11343720", "abstract" : "Many formal organizational structures arise as reflections of ratio- nalized institutional rules. The elaboration of such rules in modern states and societies accounts in part for the expansion and increased complexity of formal organizational structures. Institutional rules function as myths which organizations incorporate, gaining legitimacy, resources, stability, and enhanced survival prospects. Organizations whose structures become isomorphic with the myths of the institu- tional environment-in contrast with those primarily structured by the demands of technical production and exchange-decrease internal coordination and control in order to maintain legitimacy. Structures are decoupled from each other and from ongoing activities. In place of coordination, inspection, and evaluation, a logic of confidence and good faith is employed.", "author" : [ { "dropping-particle" : "", "family" : "Meyer", "given" : "John W.", "non-dropping-particle" : "", "parse-names" : false, "suffix" : "" }, { "dropping-particle" : "", "family" : "Rowan", "given" : "Brian", "non-dropping-particle" : "", "parse-names" : false, "suffix" : "" } ], "container-title" : "American Journal of Sociology", "id" : "ITEM-1", "issue" : "2", "issued" : { "date-parts" : [ [ "1977" ] ] }, "page" : "340", "title" : "Institutionalized Organizations: Formal Structure as Myth and Ceremony", "type" : "article-journal", "volume" : "83" }, "uris" : [ "http://www.mendeley.com/documents/?uuid=9e309264-07f5-439a-9e78-407171dc39ac" ] }, { "id" : "ITEM-2",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"ITEM-2", "issued" : { "date-parts" : [ [ "2007" ] ] }, "page" : "166-184", "publisher" : "Oxford University Press", "publisher-place" : "New York", "title" : "HRM and societal embeddedness", "type" : "chapter" }, "uris" : [ "http://www.mendeley.com/documents/?uuid=bc50bffa-b076-4ece-b963-52ac09293458" ] } ], "mendeley" : { "formattedCitation" : "(Meyer &amp; Rowan 1977; Paauwe &amp; Boselie 2007)", "manualFormatting" : "(Meyer &amp; Rowan, 1977; Paauwe &amp; Boselie, 2007)", "plainTextFormattedCitation" : "(Meyer &amp; Rowan 1977; Paauwe &amp; Boselie 2007)", "previouslyFormattedCitation" : "(Meyer &amp; Rowan 1977; Paauwe &amp; Boselie 2007)" }, "properties" : { "noteIndex" : 0 }, "schema" : "https://github.com/citation-style-language/schema/raw/master/csl-citation.json" }</w:instrText>
      </w:r>
      <w:r w:rsidRPr="00452E2E">
        <w:rPr>
          <w:szCs w:val="24"/>
        </w:rPr>
        <w:fldChar w:fldCharType="separate"/>
      </w:r>
      <w:r w:rsidRPr="00452E2E">
        <w:rPr>
          <w:noProof/>
          <w:szCs w:val="24"/>
        </w:rPr>
        <w:t>(Meyer &amp; Rowan, 1977; Paauwe &amp; Boselie, 2007)</w:t>
      </w:r>
      <w:r w:rsidRPr="00452E2E">
        <w:rPr>
          <w:szCs w:val="24"/>
        </w:rPr>
        <w:fldChar w:fldCharType="end"/>
      </w:r>
      <w:r w:rsidRPr="00452E2E">
        <w:rPr>
          <w:szCs w:val="24"/>
        </w:rPr>
        <w:t xml:space="preserve">. Thus, new institutionalism challenges the “optimization assumptions of the rational actor models popular in economics” </w:t>
      </w:r>
      <w:r w:rsidRPr="00452E2E">
        <w:rPr>
          <w:szCs w:val="24"/>
        </w:rPr>
        <w:fldChar w:fldCharType="begin" w:fldLock="1"/>
      </w:r>
      <w:r w:rsidRPr="00452E2E">
        <w:rPr>
          <w:szCs w:val="24"/>
        </w:rPr>
        <w:instrText>ADDIN CSL_CITATION { "citationItems" : [ { "id" : "ITEM-1",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"ITEM-1", "issued" : { "date-parts" : [ [ "2007" ] ] }, "page" : "166-184", "publisher" : "Oxford University Press", "publisher-place" : "New York", "title" : "HRM and societal embeddedness", "type" : "chapter" }, "uris" : [ "http://www.mendeley.com/documents/?uuid=bc50bffa-b076-4ece-b963-52ac09293458" ] } ], "mendeley" : { "formattedCitation" : "(Paauwe &amp; Boselie 2007)", "manualFormatting" : "(Paauwe &amp; Boselie, 2007, p. 173)", "plainTextFormattedCitation" : "(Paauwe &amp; Boselie 2007)", "previouslyFormattedCitation" : "(Paauwe &amp; Boselie 2007)" }, "properties" : { "noteIndex" : 0 }, "schema" : "https://github.com/citation-style-language/schema/raw/master/csl-citation.json" }</w:instrText>
      </w:r>
      <w:r w:rsidRPr="00452E2E">
        <w:rPr>
          <w:szCs w:val="24"/>
        </w:rPr>
        <w:fldChar w:fldCharType="separate"/>
      </w:r>
      <w:r w:rsidRPr="00452E2E">
        <w:rPr>
          <w:noProof/>
          <w:szCs w:val="24"/>
        </w:rPr>
        <w:t>(Paauwe &amp; Boselie, 2007, p. 173)</w:t>
      </w:r>
      <w:r w:rsidRPr="00452E2E">
        <w:rPr>
          <w:szCs w:val="24"/>
        </w:rPr>
        <w:fldChar w:fldCharType="end"/>
      </w:r>
      <w:r w:rsidRPr="00452E2E">
        <w:rPr>
          <w:szCs w:val="24"/>
        </w:rPr>
        <w:t xml:space="preserve">. </w:t>
      </w:r>
    </w:p>
    <w:p w:rsidR="006856E0" w:rsidRPr="00452E2E" w:rsidRDefault="00D03A8E" w:rsidP="00D03A8E">
      <w:pPr>
        <w:spacing w:line="360" w:lineRule="auto"/>
        <w:jc w:val="both"/>
        <w:rPr>
          <w:szCs w:val="24"/>
        </w:rPr>
      </w:pPr>
      <w:r w:rsidRPr="00452E2E">
        <w:rPr>
          <w:szCs w:val="24"/>
        </w:rPr>
        <w:t xml:space="preserve">Although new institutionalism is distinct from the economic perspective of institutions </w:t>
      </w:r>
      <w:r w:rsidRPr="00452E2E">
        <w:rPr>
          <w:szCs w:val="24"/>
        </w:rPr>
        <w:fldChar w:fldCharType="begin" w:fldLock="1"/>
      </w:r>
      <w:r w:rsidRPr="00452E2E">
        <w:rPr>
          <w:szCs w:val="24"/>
        </w:rPr>
        <w:instrText>ADDIN CSL_CITATION { "citationItems" : [ { "id" : "ITEM-1", "itemData" : { "author" : [ { "dropping-particle" : "", "family" : "North", "given" : "D.C.", "non-dropping-particle" : "", "parse-names" : false, "suffix" : "" } ], "id" : "ITEM-1", "issued" : { "date-parts" : [ [ "1990" ] ] }, "publisher" : "Cambridge University Press", "publisher-place" : "Cambridge", "title" : "Institutions, institutional change and economic performance", "type" : "book" }, "uris" : [ "http://www.mendeley.com/documents/?uuid=4747cfe0-6ad9-4ac6-b864-dd96e69b2b71" ] } ], "mendeley" : { "formattedCitation" : "(North 1990)", "manualFormatting" : "(North, 1990)", "plainTextFormattedCitation" : "(North 1990)", "previouslyFormattedCitation" : "(North 1990)" }, "properties" : { "noteIndex" : 0 }, "schema" : "https://github.com/citation-style-language/schema/raw/master/csl-citation.json" }</w:instrText>
      </w:r>
      <w:r w:rsidRPr="00452E2E">
        <w:rPr>
          <w:szCs w:val="24"/>
        </w:rPr>
        <w:fldChar w:fldCharType="separate"/>
      </w:r>
      <w:r w:rsidRPr="00452E2E">
        <w:rPr>
          <w:noProof/>
          <w:szCs w:val="24"/>
        </w:rPr>
        <w:t>(North, 1990)</w:t>
      </w:r>
      <w:r w:rsidRPr="00452E2E">
        <w:rPr>
          <w:szCs w:val="24"/>
        </w:rPr>
        <w:fldChar w:fldCharType="end"/>
      </w:r>
      <w:r w:rsidRPr="00452E2E">
        <w:rPr>
          <w:szCs w:val="24"/>
        </w:rPr>
        <w:t xml:space="preserve">, both approaches highlight the homogenization and convergence of organizational practices </w:t>
      </w:r>
      <w:r w:rsidRPr="00452E2E">
        <w:rPr>
          <w:szCs w:val="24"/>
        </w:rPr>
        <w:fldChar w:fldCharType="begin" w:fldLock="1"/>
      </w:r>
      <w:r w:rsidRPr="00452E2E">
        <w:rPr>
          <w:szCs w:val="24"/>
        </w:rPr>
        <w:instrText>ADDIN CSL_CITATION { "citationItems" : [ { "id" : "ITEM-1", "itemData" : { "author" : [ { "dropping-particle" : "", "family" : "DiMaggio", "given" : "P.J.", "non-dropping-particle" : "", "parse-names" : false, "suffix" : "" }, { "dropping-particle" : "", "family" : "Powell", "given" : "W.W.", "non-dropping-particle" : "", "parse-names" : false, "suffix" : "" } ], "container-title" : "American Sociological Review", "id" : "ITEM-1", "issue" : "2", "issued" : { "date-parts" : [ [ "1983" ] ] }, "page" : "147-160", "title" : "The iron cage revisited: Institutional isomorphism and collective rationality in organizational fields", "type" : "article-journal", "volume" : "48" }, "uris" : [ "http://www.mendeley.com/documents/?uuid=173aaf26-bb0f-440b-9525-ae2f5aa9b9fc" ] }, { "id" : "ITEM-2", "itemData" : { "author" : [ { "dropping-particle" : "", "family" : "Scott", "given" : "W. Richard", "non-dropping-particle" : "", "parse-names" : false, "suffix" : "" } ], "edition" : "4th", "id" : "ITEM-2", "issued" : { "date-parts" : [ [ "2014" ] ] }, "publisher" : "SAGE", "publisher-place" : "Los Angeles", "title" : "Institutions and organizations: Ideas, interests, and identities", "type" : "book" }, "uris" : [ "http://www.mendeley.com/documents/?uuid=cd341672-bf37-41bb-bdfb-cad2a361137f" ] } ], "mendeley" : { "formattedCitation" : "(DiMaggio &amp; Powell 1983; Scott 2014)", "manualFormatting" : "(DiMaggio &amp; Powell, 1983, 1991; Scott, 2014)", "plainTextFormattedCitation" : "(DiMaggio &amp; Powell 1983; Scott 2014)", "previouslyFormattedCitation" : "(DiMaggio &amp; Powell 1983; Scott 2014)" }, "properties" : { "noteIndex" : 0 }, "schema" : "https://github.com/citation-style-language/schema/raw/master/csl-citation.json" }</w:instrText>
      </w:r>
      <w:r w:rsidRPr="00452E2E">
        <w:rPr>
          <w:szCs w:val="24"/>
        </w:rPr>
        <w:fldChar w:fldCharType="separate"/>
      </w:r>
      <w:r w:rsidRPr="00452E2E">
        <w:rPr>
          <w:noProof/>
          <w:szCs w:val="24"/>
        </w:rPr>
        <w:t>(DiMaggio &amp; Powell, 1983, 1991; Scott, 2014)</w:t>
      </w:r>
      <w:r w:rsidRPr="00452E2E">
        <w:rPr>
          <w:szCs w:val="24"/>
        </w:rPr>
        <w:fldChar w:fldCharType="end"/>
      </w:r>
      <w:r w:rsidRPr="00452E2E">
        <w:rPr>
          <w:szCs w:val="24"/>
        </w:rPr>
        <w:t xml:space="preserve">. Unsurprisingly, the framework has been widely used in explaining how multinationals transfer practices to different environments in which they operate </w:t>
      </w:r>
      <w:r w:rsidRPr="00452E2E">
        <w:rPr>
          <w:szCs w:val="24"/>
        </w:rPr>
        <w:fldChar w:fldCharType="begin" w:fldLock="1"/>
      </w:r>
      <w:r w:rsidRPr="00452E2E">
        <w:rPr>
          <w:szCs w:val="24"/>
        </w:rPr>
        <w:instrText>ADDIN CSL_CITATION { "citationItems" : [ { "id" : "ITEM-1", "itemData" : { "author" : [ { "dropping-particle" : "", "family" : "Bj\u00f6rkman", "given" : "Ingmar", "non-dropping-particle" : "", "parse-names" : false, "suffix" : "" }, { "dropping-particle" : "", "family" : "Fey", "given" : "C.F.", "non-dropping-particle" : "", "parse-names" : false, "suffix" : "" }, { "dropping-particle" : "", "family" : "Park", "given" : "H.J.", "non-dropping-particle" : "", "parse-names" : false, "suffix" : "" } ], "container-title" : "Journal of International Business Studies", "id" : "ITEM-1", "issue" : "3", "issued" : { "date-parts" : [ [ "2007" ] ] }, "page" : "430-446", "title" : "Institutional theory and MNC subsidiary HRM practices : Evidence from a three-country study", "type" : "article-journal", "volume" : "38" }, "uris" : [ "http://www.mendeley.com/documents/?uuid=e07de43c-9a6e-4e75-bc28-565616c8d2cf" ] }, { "id" : "ITEM-2", "itemData" : { "abstract" : "Purpose: Drawing on institutional theory and existing international business practice transfer and e-HRM models this paper develops an e-HRM diffusion model to ascertain the institutional factors that determine the successful diffusion of e-HRM practices in multinational corporations (MNC). The paper aims to discuss these issues. Design/methodology/approach: The research is based on the analysis of 25 semi-structured interviews with 15 key stakeholders in the German and Irish subsidiaries of a single US-based MNC as well as two interviews with a senior manager in one of its main competitors. Findings: The findings suggest that the successful transfer of e-HRM is mediated by an interchange of various institutional-level factors (external, relational, organizational and individual) within the corporation and its subsidiaries. Successful implementation of e-HRM is synonymous with the successful integration and institutionalization of e-HRM practices in the subsidiaries. Research limitations/implications: As this analysis is founded upon a single case study, it is difficult to make assumptions concerning the broad population of all MNC and their subsidiaries. Further research may be required to test the model and the findings presented in this paper. Practical implications: The findings and the model presented in this paper demonstrate the impact of the institutional context and of key success factors of technology implementation on e-HRM diffusion success. These findings may be of particular relevance to organizations and practitioners who are embarking on an e-HRM installation in an international context. Originality/value: This paper enriches the e-HRM and international management debate by identifying the key institutional factors impacting the diffusion of e-HRM practices in the subsidiaries of an MNC. In addition, the model put forward in the paper shows how these factors interact and how successful e-HRM diffusion can be characterized. \u00a9 Emerald Group Publishing Limited.", "author" : [ { "dropping-particle" : "", "family" : "Burbach", "given" : "Ralf", "non-dropping-particle" : "", "parse-names" : false, "suffix" : "" }, { "dropping-particle" : "", "family" : "Royle", "given" : "Tony", "non-dropping-particle" : "", "parse-names" : false, "suffix" : "" } ], "container-title" : "Employee Relations", "id" : "ITEM-2", "issue" : "4", "issued" : { "date-parts" : [ [ "2014" ] ] }, "page" : "354-375", "title" : "Institutional determinants of e-HRM diffusion success", "type" : "article-journal", "volume" : "36" }, "uris" : [ "http://www.mendeley.com/documents/?uuid=b3816d45-f80b-4578-995d-73e9259e51a3" ] }, { "id" : "ITEM-3", "itemData" : { "author" : [ { "dropping-particle" : "", "family" : "Kostova", "given" : "Tatiana", "non-dropping-particle" : "", "parse-names" : false, "suffix" : "" }, { "dropping-particle" : "", "family" : "Roth", "given" : "Kendall", "non-dropping-particle" : "", "parse-names" : false, "suffix" : "" } ], "container-title" : "The Academy of Management Journal", "id" : "ITEM-3", "issue" : "1", "issued" : { "date-parts" : [ [ "2002" ] ] }, "page" : "215-233", "title" : "Adoption of an organizational practice by subsidiaries of multinational corporations : Institutional and relational effects", "type" : "article-journal", "volume" : "45" }, "uris" : [ "http://www.mendeley.com/documents/?uuid=4d4f8532-086b-4179-970f-7d831f364e8b" ] }, { "id" : "ITEM-4", "itemData" : { "author" : [ { "dropping-particle" : "", "family" : "Kostova", "given" : "Tatiana", "non-dropping-particle" : "", "parse-names" : false, "suffix" : "" }, { "dropping-particle" : "", "family" : "Roth", "given" : "Kendall", "non-dropping-particle" : "", "parse-names" : false, "suffix" : "" }, { "dropping-particle" : "", "family" : "Dacin", "given" : "Tina", "non-dropping-particle" : "", "parse-names" : false, "suffix" : "" } ], "container-title" : "The Academy of Management Review", "id" : "ITEM-4", "issue" : "4", "issued" : { "date-parts" : [ [ "2008" ] ] }, "page" : "994-1006", "title" : "Institutional theory in the study of multinational corporations : A critique and new directions", "type" : "article-journal", "volume" : "33" }, "uris" : [ "http://www.mendeley.com/documents/?uuid=e5176f9f-4a77-4949-ae2d-30365a71a78a" ] } ], "mendeley" : { "formattedCitation" : "(Bj\u00f6rkman et al. 2007; Ralf Burbach &amp; Royle 2014; Kostova &amp; Roth 2002; Kostova et al. 2008)", "manualFormatting" : " Kostova &amp; Roth, 2002; Bj\u00f6rkman et al., 2007; Kostova et al., 2008; Burbach &amp; Royle, 2014)", "plainTextFormattedCitation" : "(Bj\u00f6rkman et al. 2007; Ralf Burbach &amp; Royle 2014; Kostova &amp; Roth 2002; Kostova et al. 2008)", "previouslyFormattedCitation" : "(Bj\u00f6rkman et al. 2007; Ralf Burbach &amp; Royle 2014; Kostova &amp; Roth 2002; Kostova et al. 2008)" }, "properties" : { "noteIndex" : 0 }, "schema" : "https://github.com/citation-style-language/schema/raw/master/csl-citation.json" }</w:instrText>
      </w:r>
      <w:r w:rsidRPr="00452E2E">
        <w:rPr>
          <w:szCs w:val="24"/>
        </w:rPr>
        <w:fldChar w:fldCharType="separate"/>
      </w:r>
      <w:r w:rsidRPr="00452E2E">
        <w:rPr>
          <w:noProof/>
          <w:szCs w:val="24"/>
        </w:rPr>
        <w:t xml:space="preserve"> </w:t>
      </w:r>
      <w:r w:rsidR="006856E0" w:rsidRPr="00452E2E">
        <w:rPr>
          <w:noProof/>
          <w:szCs w:val="24"/>
        </w:rPr>
        <w:t>(</w:t>
      </w:r>
      <w:r w:rsidRPr="00452E2E">
        <w:rPr>
          <w:noProof/>
          <w:szCs w:val="24"/>
        </w:rPr>
        <w:t xml:space="preserve">Kostova &amp; Roth, 2002; Björkman </w:t>
      </w:r>
      <w:r w:rsidRPr="00452E2E">
        <w:rPr>
          <w:i/>
          <w:noProof/>
          <w:szCs w:val="24"/>
        </w:rPr>
        <w:t>et al</w:t>
      </w:r>
      <w:r w:rsidRPr="00452E2E">
        <w:rPr>
          <w:noProof/>
          <w:szCs w:val="24"/>
        </w:rPr>
        <w:t xml:space="preserve">., 2007; Kostova </w:t>
      </w:r>
      <w:r w:rsidRPr="00452E2E">
        <w:rPr>
          <w:i/>
          <w:noProof/>
          <w:szCs w:val="24"/>
        </w:rPr>
        <w:t>et al</w:t>
      </w:r>
      <w:r w:rsidRPr="00452E2E">
        <w:rPr>
          <w:noProof/>
          <w:szCs w:val="24"/>
        </w:rPr>
        <w:t xml:space="preserve">., 2008; </w:t>
      </w:r>
      <w:r w:rsidRPr="00452E2E">
        <w:rPr>
          <w:noProof/>
          <w:szCs w:val="24"/>
        </w:rPr>
        <w:lastRenderedPageBreak/>
        <w:t>Burbach &amp; Royle, 2014)</w:t>
      </w:r>
      <w:r w:rsidRPr="00452E2E">
        <w:rPr>
          <w:szCs w:val="24"/>
        </w:rPr>
        <w:fldChar w:fldCharType="end"/>
      </w:r>
      <w:r w:rsidRPr="00452E2E">
        <w:rPr>
          <w:szCs w:val="24"/>
        </w:rPr>
        <w:t xml:space="preserve">. According to DiMaggio and Powell (1983; 1991), as rational actors attempt to change their organizations, they instead become more similar through the process of isomorphism which has been described as “a constraining process that forces one unit in a population to resemble others that face the same set of environmental conditions” (DiMaggio &amp; Powell, 1991, p.66). </w:t>
      </w:r>
    </w:p>
    <w:p w:rsidR="00D03A8E" w:rsidRPr="00452E2E" w:rsidRDefault="00D03A8E" w:rsidP="00D03A8E">
      <w:pPr>
        <w:spacing w:line="360" w:lineRule="auto"/>
        <w:jc w:val="both"/>
        <w:rPr>
          <w:szCs w:val="24"/>
        </w:rPr>
      </w:pPr>
      <w:r w:rsidRPr="00452E2E">
        <w:rPr>
          <w:szCs w:val="24"/>
        </w:rPr>
        <w:t xml:space="preserve">Thus, according to DiMaggio and Powell, despite differences in their task environment, organizations operating in the same organizational field are likely to adopt similar strategies and practices (including HRM) since they are likely to face similar constraints (Paauwe &amp; Boselie, 2007). They refer to organizational fields as “those organizations that, in the aggregate, constitute a recognized area of institutional life” (DiMaggio &amp; Powell, 1991, p.64). Organizational fields include consumers, suppliers, regulatory agencies, professional bodies, an industry or sector (DiMaggio &amp; Powell, 1991; Scott, 2014). Two types of isomorphism have been identified as competitive and institutional isomorphism (DiMaggio &amp; Powell, 1983; 1991). The former assumes a “system of rationality that emphasizes market competition, niche, change, and fitness measures” and is more appropriate for explaining organizational behaviour in contexts with free and open competition (DiMaggio &amp; Powell, 1991, p.66). Institutional isomorphism, according to DiMaggio and Powell, is more useful for understanding the nature of modern organizations. </w:t>
      </w:r>
    </w:p>
    <w:p w:rsidR="00B1775F" w:rsidRPr="00452E2E" w:rsidRDefault="00D03A8E" w:rsidP="00D03A8E">
      <w:pPr>
        <w:spacing w:line="360" w:lineRule="auto"/>
        <w:jc w:val="both"/>
        <w:rPr>
          <w:szCs w:val="24"/>
        </w:rPr>
      </w:pPr>
      <w:r w:rsidRPr="00452E2E">
        <w:rPr>
          <w:szCs w:val="24"/>
        </w:rPr>
        <w:t xml:space="preserve">DiMaggio </w:t>
      </w:r>
      <w:r w:rsidR="00BC4BA5" w:rsidRPr="00452E2E">
        <w:rPr>
          <w:szCs w:val="24"/>
        </w:rPr>
        <w:t>&amp;</w:t>
      </w:r>
      <w:r w:rsidRPr="00452E2E">
        <w:rPr>
          <w:szCs w:val="24"/>
        </w:rPr>
        <w:t xml:space="preserve"> Powell (1983; 1991) identified three institutional isomorphic mechanisms, namely, coercive, mimetic, and normative isomorphic mechanisms. Coercive mechanisms are pressures, both formal and informal, which organizations encounter from other organizations by virtue of their dependence on them, as well as from the wider societal expectation of appropriate organizational behaviour. Essentially, these institutions wield coercive authority over organizations because of their ability to apply sanctions to organizations if they fail to comply with their demands </w:t>
      </w:r>
      <w:r w:rsidRPr="00452E2E">
        <w:rPr>
          <w:szCs w:val="24"/>
        </w:rPr>
        <w:fldChar w:fldCharType="begin" w:fldLock="1"/>
      </w:r>
      <w:r w:rsidRPr="00452E2E">
        <w:rPr>
          <w:szCs w:val="24"/>
        </w:rPr>
        <w:instrText>ADDIN CSL_CITATION { "citationItems" : [ { "id" : "ITEM-1", "itemData" : { "DOI" : "10.1086/226550", "ISBN" : "0226677087", "ISSN" : "0002-9602", "PMID" : "11343720", "abstract" : "Many formal organizational structures arise as reflections of ratio- nalized institutional rules. The elaboration of such rules in modern states and societies accounts in part for the expansion and increased complexity of formal organizational structures. Institutional rules function as myths which organizations incorporate, gaining legitimacy, resources, stability, and enhanced survival prospects. Organizations whose structures become isomorphic with the myths of the institu- tional environment-in contrast with those primarily structured by the demands of technical production and exchange-decrease internal coordination and control in order to maintain legitimacy. Structures are decoupled from each other and from ongoing activities. In place of coordination, inspection, and evaluation, a logic of confidence and good faith is employed.", "author" : [ { "dropping-particle" : "", "family" : "Meyer", "given" : "John W.", "non-dropping-particle" : "", "parse-names" : false, "suffix" : "" }, { "dropping-particle" : "", "family" : "Rowan", "given" : "Brian", "non-dropping-particle" : "", "parse-names" : false, "suffix" : "" } ], "container-title" : "American Journal of Sociology", "id" : "ITEM-1", "issue" : "2", "issued" : { "date-parts" : [ [ "1977" ] ] }, "page" : "340", "title" : "Institutionalized Organizations: Formal Structure as Myth and Ceremony", "type" : "article-journal", "volume" : "83" }, "uris" : [ "http://www.mendeley.com/documents/?uuid=9e309264-07f5-439a-9e78-407171dc39ac" ] } ], "mendeley" : { "formattedCitation" : "(Meyer &amp; Rowan 1977)", "manualFormatting" : "(Meyer &amp; Rowan, 1977)", "plainTextFormattedCitation" : "(Meyer &amp; Rowan 1977)", "previouslyFormattedCitation" : "(Meyer &amp; Rowan 1977)" }, "properties" : { "noteIndex" : 0 }, "schema" : "https://github.com/citation-style-language/schema/raw/master/csl-citation.json" }</w:instrText>
      </w:r>
      <w:r w:rsidRPr="00452E2E">
        <w:rPr>
          <w:szCs w:val="24"/>
        </w:rPr>
        <w:fldChar w:fldCharType="separate"/>
      </w:r>
      <w:r w:rsidRPr="00452E2E">
        <w:rPr>
          <w:noProof/>
          <w:szCs w:val="24"/>
        </w:rPr>
        <w:t>(Meyer &amp; Rowan, 1977)</w:t>
      </w:r>
      <w:r w:rsidRPr="00452E2E">
        <w:rPr>
          <w:szCs w:val="24"/>
        </w:rPr>
        <w:fldChar w:fldCharType="end"/>
      </w:r>
      <w:r w:rsidRPr="00452E2E">
        <w:rPr>
          <w:szCs w:val="24"/>
        </w:rPr>
        <w:t xml:space="preserve">. Example of coercive institutions include: government, rules and regulations, as well as legislation </w:t>
      </w:r>
      <w:r w:rsidRPr="00452E2E">
        <w:rPr>
          <w:szCs w:val="24"/>
        </w:rPr>
        <w:fldChar w:fldCharType="begin" w:fldLock="1"/>
      </w:r>
      <w:r w:rsidRPr="00452E2E">
        <w:rPr>
          <w:szCs w:val="24"/>
        </w:rPr>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"mendeley" : { "formattedCitation" : "(Boselie et al. 2003)", "manualFormatting" : "(Boselie et al., 2003)", "plainTextFormattedCitation" : "(Boselie et al. 2003)", "previouslyFormattedCitation" : "(Boselie et al. 2003)"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2003)</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On the other hand, DiMaggio and Powell assert that mimetic isomorphism arises from imitation as a result of uncertainty and is common where organizations </w:t>
      </w:r>
      <w:r w:rsidRPr="00452E2E">
        <w:rPr>
          <w:szCs w:val="24"/>
        </w:rPr>
        <w:lastRenderedPageBreak/>
        <w:t xml:space="preserve">operate in an uncertain environment; where the goals of the organization are ambiguous; or where technological change is difficult to comprehend (cf. DiMaggio &amp; Powell, 1983; 1991). Finally, DiMaggio and Powell assert that normative mechanisms emanate from professionalization. This type of isomorphism has been identified as having the strongest influence on the homogenization of organizational practices and include academic institutions and  professional bodies that develop and reproduce organizational practices </w:t>
      </w:r>
      <w:r w:rsidRPr="00452E2E">
        <w:rPr>
          <w:szCs w:val="24"/>
        </w:rPr>
        <w:fldChar w:fldCharType="begin" w:fldLock="1"/>
      </w:r>
      <w:r w:rsidRPr="00452E2E">
        <w:rPr>
          <w:szCs w:val="24"/>
        </w:rPr>
        <w:instrText>ADDIN CSL_CITATION { "citationItems" : [ { "id" : "ITEM-1", "itemData" : { "DOI" : "10.1177/0170840607088151", "ISBN" : "0170-8406", "ISSN" : "0170-8406", "PMID" : "31323064", "abstract" : "More so than other types of social actors, the professions in modern society have assumed leading roles in the creation and tending of institutions. They are the preeminent institutional agents of our time. Different professions work in various ways: some attempt to create general cultural-cognitive frameworks; others to devise normative pre- scriptions to guide behavior; and still others to exercise coercive authority. Also, indi- vidual professionals assume varying roles within their professional community: some concentrate on devising and testing general principles, others transport these ideas to varying communities; and still others work to apply the principles to individual cases. Professions themselves adhere to an institutional model, but this model has undergone important changes over time.", "author" : [ { "dropping-particle" : "", "family" : "Scott", "given" : "W Richard", "non-dropping-particle" : "", "parse-names" : false, "suffix" : "" } ], "container-title" : "Organization Studies", "id" : "ITEM-1", "issue" : "2", "issued" : { "date-parts" : [ [ "2008" ] ] }, "page" : "219-238", "title" : "Lords of the dance: Professionals as institutional agents", "type" : "article-journal", "volume" : "29" }, "uris" : [ "http://www.mendeley.com/documents/?uuid=3b308596-fa69-4ec9-a07f-0484f3ad4337" ] }, { "id" : "ITEM-2", "itemData" : { "author" : [ { "dropping-particle" : "", "family" : "Paauwe", "given" : "Jaap", "non-dropping-particle" : "", "parse-names" : false, "suffix" : "" } ], "id" : "ITEM-2", "issued" : { "date-parts" : [ [ "2004" ] ] }, "publisher" : "Oxford University Press", "publisher-place" : "New York", "title" : "HRM and performance: Achieving long term viability", "type" : "book" }, "uris" : [ "http://www.mendeley.com/documents/?uuid=74f2a13a-a977-4828-a824-dad490a6a04e" ] } ], "mendeley" : { "formattedCitation" : "(Scott 2008; Paauwe 2004)", "manualFormatting" : "(Paauwe, 2004; Scott, 2008)", "plainTextFormattedCitation" : "(Scott 2008; Paauwe 2004)", "previouslyFormattedCitation" : "(Scott 2008; Paauwe 2004)" }, "properties" : { "noteIndex" : 0 }, "schema" : "https://github.com/citation-style-language/schema/raw/master/csl-citation.json" }</w:instrText>
      </w:r>
      <w:r w:rsidRPr="00452E2E">
        <w:rPr>
          <w:szCs w:val="24"/>
        </w:rPr>
        <w:fldChar w:fldCharType="separate"/>
      </w:r>
      <w:r w:rsidRPr="00452E2E">
        <w:rPr>
          <w:noProof/>
          <w:szCs w:val="24"/>
        </w:rPr>
        <w:t>(Paauwe, 2004; Scott, 2008)</w:t>
      </w:r>
      <w:r w:rsidRPr="00452E2E">
        <w:rPr>
          <w:szCs w:val="24"/>
        </w:rPr>
        <w:fldChar w:fldCharType="end"/>
      </w:r>
      <w:r w:rsidRPr="00452E2E">
        <w:rPr>
          <w:szCs w:val="24"/>
        </w:rPr>
        <w:t xml:space="preserve">. </w:t>
      </w:r>
    </w:p>
    <w:p w:rsidR="00A62F7F" w:rsidRPr="00452E2E" w:rsidRDefault="00D03A8E" w:rsidP="00D03A8E">
      <w:pPr>
        <w:spacing w:line="360" w:lineRule="auto"/>
        <w:jc w:val="both"/>
        <w:rPr>
          <w:szCs w:val="24"/>
        </w:rPr>
      </w:pPr>
      <w:r w:rsidRPr="00452E2E">
        <w:rPr>
          <w:szCs w:val="24"/>
        </w:rPr>
        <w:fldChar w:fldCharType="begin" w:fldLock="1"/>
      </w:r>
      <w:r w:rsidRPr="00452E2E">
        <w:rPr>
          <w:szCs w:val="24"/>
        </w:rPr>
        <w:instrText>ADDIN CSL_CITATION { "citationItems" : [ { "id" : "ITEM-1", "itemData" : { "DOI" : "10.1111/j.1748-8583.2003.tb00098.x", "ISBN" : "09545395", "ISSN" : "0954-5395", "PMID" : "10927598", "abstract" : "One of the more fundamental aspects of the ongoing debate about the added value of HRM relates to `best practice versus `best-fit. Best practice suggests the universal success of certain HR practices, while best-fit acknowledges the relevant impact of contextual factors. We argue that differences in embeddedness and in institutional settings between, for example, countries affect the nature of HRM. To understand this phenomenon, we are in need of additional theory. In this article we will use the theory of new institutionalism as a better way to understand the shaping of HR policies and practices in different settings. After a concise review of the latest debates in the area of strategic HRM, in which the resource-based view is the dominant perspective, we turn to an analysis of HRM in different institutional settings, which suggests the need for additional theory: ie new institutionalism. We offer propositions to explain the impact of different institutional mechanisms, including coercive, normative and mimetic ones, on the shaping of HR policies and practices in organisations. The remainder of the article then focuses on possible implications for practitioners, theoretical implications for future research, and challenges for strategic HRM.", "author" : [ { "dropping-particle" : "", "family" : "Paauwe", "given" : "Jaap", "non-dropping-particle" : "", "parse-names" : false, "suffix" : "" }, { "dropping-particle" : "", "family" : "Boselie", "given" : "Paul", "non-dropping-particle" : "", "parse-names" : false, "suffix" : "" } ], "container-title" : "Human Resource Management Journal", "id" : "ITEM-1", "issue" : "3", "issued" : { "date-parts" : [ [ "2003" ] ] }, "page" : "56-70", "title" : "Relevance of the Institutional Setting", "type" : "article-journal", "volume" : "13" }, "uris" : [ "http://www.mendeley.com/documents/?uuid=61580e75-d6a5-469c-a876-16e247e5ed6e" ] } ], "mendeley" : { "formattedCitation" : "(Paauwe &amp; Boselie 2003)", "manualFormatting" : "Paauwe and Boselie (2003)", "plainTextFormattedCitation" : "(Paauwe &amp; Boselie 2003)", "previouslyFormattedCitation" : "(Paauwe &amp; Boselie 2003)" }, "properties" : { "noteIndex" : 0 }, "schema" : "https://github.com/citation-style-language/schema/raw/master/csl-citation.json" }</w:instrText>
      </w:r>
      <w:r w:rsidRPr="00452E2E">
        <w:rPr>
          <w:szCs w:val="24"/>
        </w:rPr>
        <w:fldChar w:fldCharType="separate"/>
      </w:r>
      <w:r w:rsidRPr="00452E2E">
        <w:rPr>
          <w:noProof/>
          <w:szCs w:val="24"/>
        </w:rPr>
        <w:t xml:space="preserve">Paauwe </w:t>
      </w:r>
      <w:r w:rsidR="005D19A7" w:rsidRPr="00452E2E">
        <w:rPr>
          <w:noProof/>
          <w:szCs w:val="24"/>
        </w:rPr>
        <w:t>&amp;</w:t>
      </w:r>
      <w:r w:rsidRPr="00452E2E">
        <w:rPr>
          <w:noProof/>
          <w:szCs w:val="24"/>
        </w:rPr>
        <w:t xml:space="preserve"> Boselie (2003)</w:t>
      </w:r>
      <w:r w:rsidRPr="00452E2E">
        <w:rPr>
          <w:szCs w:val="24"/>
        </w:rPr>
        <w:fldChar w:fldCharType="end"/>
      </w:r>
      <w:r w:rsidRPr="00452E2E">
        <w:rPr>
          <w:szCs w:val="24"/>
        </w:rPr>
        <w:t xml:space="preserve"> have systematically adapted the framework of DiMaggio and Powell to the field of HRM </w:t>
      </w:r>
      <w:r w:rsidRPr="00452E2E">
        <w:rPr>
          <w:szCs w:val="24"/>
        </w:rPr>
        <w:fldChar w:fldCharType="begin" w:fldLock="1"/>
      </w:r>
      <w:r w:rsidRPr="00452E2E">
        <w:rPr>
          <w:szCs w:val="24"/>
        </w:rPr>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"ITEM-2", "itemData" : { "author" : [ { "dropping-particle" : "", "family" : "Paauwe", "given" : "Jaap", "non-dropping-particle" : "", "parse-names" : false, "suffix" : "" } ], "id" : "ITEM-2", "issued" : { "date-parts" : [ [ "2004" ] ] }, "publisher" : "Oxford University Press", "publisher-place" : "New York", "title" : "HRM and performance: Achieving long term viability", "type" : "book" }, "uris" : [ "http://www.mendeley.com/documents/?uuid=74f2a13a-a977-4828-a824-dad490a6a04e" ] }, { "id" : "ITEM-3",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"ITEM-3", "issued" : { "date-parts" : [ [ "2007" ] ] }, "page" : "166-184", "publisher" : "Oxford University Press", "publisher-place" : "New York", "title" : "HRM and societal embeddedness", "type" : "chapter" }, "uris" : [ "http://www.mendeley.com/documents/?uuid=bc50bffa-b076-4ece-b963-52ac09293458" ] } ], "mendeley" : { "formattedCitation" : "(Boselie et al. 2003; Paauwe 2004; Paauwe &amp; Boselie 2007)", "manualFormatting" : "(see also Boselie et al., 2003; Paauwe, 2004; Paauwe &amp; Boselie, 2007)", "plainTextFormattedCitation" : "(Boselie et al. 2003; Paauwe 2004; Paauwe &amp; Boselie 2007)", "previouslyFormattedCitation" : "(Boselie et al. 2003; Paauwe 2004; Paauwe &amp; Boselie 2007)" }, "properties" : { "noteIndex" : 0 }, "schema" : "https://github.com/citation-style-language/schema/raw/master/csl-citation.json" }</w:instrText>
      </w:r>
      <w:r w:rsidRPr="00452E2E">
        <w:rPr>
          <w:szCs w:val="24"/>
        </w:rPr>
        <w:fldChar w:fldCharType="separate"/>
      </w:r>
      <w:r w:rsidRPr="00452E2E">
        <w:rPr>
          <w:noProof/>
          <w:szCs w:val="24"/>
        </w:rPr>
        <w:t xml:space="preserve">(see also Boselie </w:t>
      </w:r>
      <w:r w:rsidRPr="00452E2E">
        <w:rPr>
          <w:i/>
          <w:noProof/>
          <w:szCs w:val="24"/>
        </w:rPr>
        <w:t>et al</w:t>
      </w:r>
      <w:r w:rsidRPr="00452E2E">
        <w:rPr>
          <w:noProof/>
          <w:szCs w:val="24"/>
        </w:rPr>
        <w:t>., 2003; Paauwe, 2004; Paauwe &amp; Boselie, 2007)</w:t>
      </w:r>
      <w:r w:rsidRPr="00452E2E">
        <w:rPr>
          <w:szCs w:val="24"/>
        </w:rPr>
        <w:fldChar w:fldCharType="end"/>
      </w:r>
      <w:r w:rsidRPr="00452E2E">
        <w:rPr>
          <w:szCs w:val="24"/>
        </w:rPr>
        <w:t xml:space="preserve">. They argue that organizations face institutional constraints in the adoption of HRM strategies and practices </w:t>
      </w:r>
      <w:r w:rsidRPr="00452E2E">
        <w:rPr>
          <w:szCs w:val="24"/>
        </w:rPr>
        <w:fldChar w:fldCharType="begin" w:fldLock="1"/>
      </w:r>
      <w:r w:rsidRPr="00452E2E">
        <w:rPr>
          <w:szCs w:val="24"/>
        </w:rPr>
        <w:instrText>ADDIN CSL_CITATION { "citationItems" : [ { "id" : "ITEM-1", "itemData" : { "DOI" : "10.1111/j.1748-8583.2003.tb00098.x", "ISBN" : "09545395", "ISSN" : "0954-5395", "PMID" : "10927598", "abstract" : "One of the more fundamental aspects of the ongoing debate about the added value of HRM relates to `best practice versus `best-fit. Best practice suggests the universal success of certain HR practices, while best-fit acknowledges the relevant impact of contextual factors. We argue that differences in embeddedness and in institutional settings between, for example, countries affect the nature of HRM. To understand this phenomenon, we are in need of additional theory. In this article we will use the theory of new institutionalism as a better way to understand the shaping of HR policies and practices in different settings. After a concise review of the latest debates in the area of strategic HRM, in which the resource-based view is the dominant perspective, we turn to an analysis of HRM in different institutional settings, which suggests the need for additional theory: ie new institutionalism. We offer propositions to explain the impact of different institutional mechanisms, including coercive, normative and mimetic ones, on the shaping of HR policies and practices in organisations. The remainder of the article then focuses on possible implications for practitioners, theoretical implications for future research, and challenges for strategic HRM.", "author" : [ { "dropping-particle" : "", "family" : "Paauwe", "given" : "Jaap", "non-dropping-particle" : "", "parse-names" : false, "suffix" : "" }, { "dropping-particle" : "", "family" : "Boselie", "given" : "Paul", "non-dropping-particle" : "", "parse-names" : false, "suffix" : "" } ], "container-title" : "Human Resource Management Journal", "id" : "ITEM-1", "issue" : "3", "issued" : { "date-parts" : [ [ "2003" ] ] }, "page" : "56-70", "title" : "Relevance of the Institutional Setting", "type" : "article-journal", "volume" : "13" }, "uris" : [ "http://www.mendeley.com/documents/?uuid=61580e75-d6a5-469c-a876-16e247e5ed6e" ] } ], "mendeley" : { "formattedCitation" : "(Paauwe &amp; Boselie 2003)", "manualFormatting" : "(Paauwe &amp; Boselie, 2003)", "plainTextFormattedCitation" : "(Paauwe &amp; Boselie 2003)", "previouslyFormattedCitation" : "(Paauwe &amp; Boselie 2003)" }, "properties" : { "noteIndex" : 0 }, "schema" : "https://github.com/citation-style-language/schema/raw/master/csl-citation.json" }</w:instrText>
      </w:r>
      <w:r w:rsidRPr="00452E2E">
        <w:rPr>
          <w:szCs w:val="24"/>
        </w:rPr>
        <w:fldChar w:fldCharType="separate"/>
      </w:r>
      <w:r w:rsidRPr="00452E2E">
        <w:rPr>
          <w:noProof/>
          <w:szCs w:val="24"/>
        </w:rPr>
        <w:t>(Paauwe &amp; Boselie, 2003)</w:t>
      </w:r>
      <w:r w:rsidRPr="00452E2E">
        <w:rPr>
          <w:szCs w:val="24"/>
        </w:rPr>
        <w:fldChar w:fldCharType="end"/>
      </w:r>
      <w:r w:rsidRPr="00452E2E">
        <w:rPr>
          <w:szCs w:val="24"/>
        </w:rPr>
        <w:t xml:space="preserve">. This implies that HRM practices found in organizations reflect the institutional environment in which they operate </w:t>
      </w:r>
      <w:r w:rsidRPr="00452E2E">
        <w:rPr>
          <w:szCs w:val="24"/>
        </w:rPr>
        <w:fldChar w:fldCharType="begin" w:fldLock="1"/>
      </w:r>
      <w:r w:rsidRPr="00452E2E">
        <w:rPr>
          <w:szCs w:val="24"/>
        </w:rPr>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"mendeley" : { "formattedCitation" : "(Boselie et al. 2003)", "manualFormatting" : "(Boselie et al., 2003)", "plainTextFormattedCitation" : "(Boselie et al. 2003)", "previouslyFormattedCitation" : "(Boselie et al. 2003)"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2003)</w:t>
      </w:r>
      <w:r w:rsidRPr="00452E2E">
        <w:rPr>
          <w:szCs w:val="24"/>
        </w:rPr>
        <w:fldChar w:fldCharType="end"/>
      </w:r>
      <w:r w:rsidRPr="00452E2E">
        <w:rPr>
          <w:szCs w:val="24"/>
        </w:rPr>
        <w:t xml:space="preserve">. For example, Paauwe </w:t>
      </w:r>
      <w:r w:rsidR="001A4796" w:rsidRPr="00452E2E">
        <w:rPr>
          <w:szCs w:val="24"/>
        </w:rPr>
        <w:t>&amp;</w:t>
      </w:r>
      <w:r w:rsidRPr="00452E2E">
        <w:rPr>
          <w:szCs w:val="24"/>
        </w:rPr>
        <w:t xml:space="preserve"> Boselie (2007) note that trade unions play a less significant role in shaping HRM in a liberal market like USA while their role is prominent in a coordinated market like </w:t>
      </w:r>
      <w:r w:rsidR="00B018CF" w:rsidRPr="00452E2E">
        <w:rPr>
          <w:szCs w:val="24"/>
        </w:rPr>
        <w:t xml:space="preserve">the </w:t>
      </w:r>
      <w:r w:rsidRPr="00452E2E">
        <w:rPr>
          <w:szCs w:val="24"/>
        </w:rPr>
        <w:t xml:space="preserve">Netherlands. Whilst institutional pressures limit the leeway organizations have in choosing HRM policies, organizational success is more likely enhanced when there is a balance in HRM policies between internal and institutional demands (cf. Boon </w:t>
      </w:r>
      <w:r w:rsidRPr="00452E2E">
        <w:rPr>
          <w:i/>
          <w:szCs w:val="24"/>
        </w:rPr>
        <w:t>et al</w:t>
      </w:r>
      <w:r w:rsidRPr="00452E2E">
        <w:rPr>
          <w:szCs w:val="24"/>
        </w:rPr>
        <w:t xml:space="preserve">., 2009). </w:t>
      </w:r>
    </w:p>
    <w:p w:rsidR="00D03A8E" w:rsidRPr="00452E2E" w:rsidRDefault="00D03A8E" w:rsidP="00D03A8E">
      <w:pPr>
        <w:spacing w:line="360" w:lineRule="auto"/>
        <w:jc w:val="both"/>
        <w:rPr>
          <w:szCs w:val="24"/>
        </w:rPr>
      </w:pPr>
      <w:r w:rsidRPr="00452E2E">
        <w:rPr>
          <w:szCs w:val="24"/>
        </w:rPr>
        <w:t xml:space="preserve">Hence, coercive mechanisms shaping HRM (depending on the context) will include government regulation, labour legislation, and the role of social partners like trade unions and works council </w:t>
      </w:r>
      <w:r w:rsidRPr="00452E2E">
        <w:rPr>
          <w:szCs w:val="24"/>
        </w:rPr>
        <w:fldChar w:fldCharType="begin" w:fldLock="1"/>
      </w:r>
      <w:r w:rsidRPr="00452E2E">
        <w:rPr>
          <w:szCs w:val="24"/>
        </w:rPr>
        <w:instrText>ADDIN CSL_CITATION { "citationItems" : [ { "id" : "ITEM-1", "itemData" : { "abstract" : "Purpose \u2013 Research in strategic human resource management (HRM) has focused mainly on the effects of HRM practices or systems on organizational effectiveness. However, institutional theory argues that besides being financially successful, organizations also need legitimacy to survive.Owingto the tension between competitive and institutional pressures, organizations balance between the degree of conformity and the degree of differentiation from competitors regarding HRM. The purpose of this paper is to address how institutional pressures help shape HRM. Design/methodology/approach \u2013 Using the concepts of leeway, human agency and strategic choice, differences in three types of institutional fit are highlighted: innovative, conformist and deviant. A comparative case study approach is used in order to illustrate the framework, using document analysis and 43 interviews in three organizations in The Netherlands. Findings \u2013 This paper shows how balancing competitive and institutional pressures in organizations affects HRM. The cases illustrate the proposed theoretical framework, showing leeway, human agency, strategic choice and the nature of institutional fit.Theorganizations each illustrate a type of institutional fit. Moreover, not the institutional context itself, but the organization\u2019s response seems to make a difference for the nature of institutional fit. Originality/value \u2013 While previous studies focus on the effects of HRM on organizational effectiveness, this paper examines how the balance between competitive and institutional pressures affectsHRMand aims toshow that institutional fit can contribute to strategicHRMby providing insight in this more balanced goal setting of organizations.", "author" : [ { "dropping-particle" : "", "family" : "Boon", "given" : "Corine", "non-dropping-particle" : "", "parse-names" : false, "suffix" : "" }, { "dropping-particle" : "", "family" : "Paauwe", "given" : "Jaap", "non-dropping-particle" : "", "parse-names" : false, "suffix" : "" }, { "dropping-particle" : "", "family" : "Boselie", "given" : "Paul", "non-dropping-particle" : "", "parse-names" : false, "suffix" : "" }, { "dropping-particle" : "", "family" : "Hartog", "given" : "Deane", "non-dropping-particle" : "Den", "parse-names" : false, "suffix" : "" } ], "container-title" : "Personnel Review", "id" : "ITEM-1", "issue" : "5", "issued" : { "date-parts" : [ [ "2009" ] ] }, "page" : "492-508", "title" : "Institutional pressures and HRM: Developing institutional fit", "type" : "article-journal", "volume" : "38" }, "uris" : [ "http://www.mendeley.com/documents/?uuid=d7f5441f-2750-48bc-ac06-5b21ceb45e58" ] }, { "id" : "ITEM-2",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"ITEM-2",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"ITEM-3", "itemData" : { "DOI" : "10.1111/j.1748-8583.2003.tb00098.x", "ISBN" : "09545395", "ISSN" : "0954-5395", "PMID" : "10927598", "abstract" : "One of the more fundamental aspects of the ongoing debate about the added value of HRM relates to `best practice versus `best-fit. Best practice suggests the universal success of certain HR practices, while best-fit acknowledges the relevant impact of contextual factors. We argue that differences in embeddedness and in institutional settings between, for example, countries affect the nature of HRM. To understand this phenomenon, we are in need of additional theory. In this article we will use the theory of new institutionalism as a better way to understand the shaping of HR policies and practices in different settings. After a concise review of the latest debates in the area of strategic HRM, in which the resource-based view is the dominant perspective, we turn to an analysis of HRM in different institutional settings, which suggests the need for additional theory: ie new institutionalism. We offer propositions to explain the impact of different institutional mechanisms, including coercive, normative and mimetic ones, on the shaping of HR policies and practices in organisations. The remainder of the article then focuses on possible implications for practitioners, theoretical implications for future research, and challenges for strategic HRM.", "author" : [ { "dropping-particle" : "", "family" : "Paauwe", "given" : "Jaap", "non-dropping-particle" : "", "parse-names" : false, "suffix" : "" }, { "dropping-particle" : "", "family" : "Boselie", "given" : "Paul", "non-dropping-particle" : "", "parse-names" : false, "suffix" : "" } ], "container-title" : "Human Resource Management Journal", "id" : "ITEM-3", "issue" : "3", "issued" : { "date-parts" : [ [ "2003" ] ] }, "page" : "56-70", "title" : "Relevance of the Institutional Setting", "type" : "article-journal", "volume" : "13" }, "uris" : [ "http://www.mendeley.com/documents/?uuid=61580e75-d6a5-469c-a876-16e247e5ed6e" ] } ], "mendeley" : { "formattedCitation" : "(Boon et al. 2009; Boselie et al. 2003; Paauwe &amp; Boselie 2003)", "manualFormatting" : "(Boselie et al. 2003; Paauwe &amp; Boselie, 2003; Boon et al., 2009)", "plainTextFormattedCitation" : "(Boon et al. 2009; Boselie et al. 2003; Paauwe &amp; Boselie 2003)", "previouslyFormattedCitation" : "(Boon et al. 2009; Boselie et al. 2003; Paauwe &amp; Boselie 2003)"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xml:space="preserve">. 2003; Paauwe &amp; Boselie, 2003; Boon </w:t>
      </w:r>
      <w:r w:rsidRPr="00452E2E">
        <w:rPr>
          <w:i/>
          <w:noProof/>
          <w:szCs w:val="24"/>
        </w:rPr>
        <w:t>et al</w:t>
      </w:r>
      <w:r w:rsidRPr="00452E2E">
        <w:rPr>
          <w:noProof/>
          <w:szCs w:val="24"/>
        </w:rPr>
        <w:t>., 2009)</w:t>
      </w:r>
      <w:r w:rsidRPr="00452E2E">
        <w:rPr>
          <w:szCs w:val="24"/>
        </w:rPr>
        <w:fldChar w:fldCharType="end"/>
      </w:r>
      <w:r w:rsidRPr="00452E2E">
        <w:rPr>
          <w:szCs w:val="24"/>
        </w:rPr>
        <w:t xml:space="preserve">. On the other hand, mimetic mechanisms will stem from imitation of HRM strategies of leading organizations when faced with uncertainty or as a result of fashionable fads in the field of management </w:t>
      </w:r>
      <w:r w:rsidRPr="00452E2E">
        <w:rPr>
          <w:szCs w:val="24"/>
        </w:rPr>
        <w:fldChar w:fldCharType="begin" w:fldLock="1"/>
      </w:r>
      <w:r w:rsidRPr="00452E2E">
        <w:rPr>
          <w:szCs w:val="24"/>
        </w:rPr>
        <w:instrText>ADDIN CSL_CITATION { "citationItems" : [ { "id" : "ITEM-1", "itemData" : { "DOI" : "10.1111/j.1748-8583.2003.tb00098.x", "ISBN" : "09545395", "ISSN" : "0954-5395", "PMID" : "10927598", "abstract" : "One of the more fundamental aspects of the ongoing debate about the added value of HRM relates to `best practice versus `best-fit. Best practice suggests the universal success of certain HR practices, while best-fit acknowledges the relevant impact of contextual factors. We argue that differences in embeddedness and in institutional settings between, for example, countries affect the nature of HRM. To understand this phenomenon, we are in need of additional theory. In this article we will use the theory of new institutionalism as a better way to understand the shaping of HR policies and practices in different settings. After a concise review of the latest debates in the area of strategic HRM, in which the resource-based view is the dominant perspective, we turn to an analysis of HRM in different institutional settings, which suggests the need for additional theory: ie new institutionalism. We offer propositions to explain the impact of different institutional mechanisms, including coercive, normative and mimetic ones, on the shaping of HR policies and practices in organisations. The remainder of the article then focuses on possible implications for practitioners, theoretical implications for future research, and challenges for strategic HRM.", "author" : [ { "dropping-particle" : "", "family" : "Paauwe", "given" : "Jaap", "non-dropping-particle" : "", "parse-names" : false, "suffix" : "" }, { "dropping-particle" : "", "family" : "Boselie", "given" : "Paul", "non-dropping-particle" : "", "parse-names" : false, "suffix" : "" } ], "container-title" : "Human Resource Management Journal", "id" : "ITEM-1", "issue" : "3", "issued" : { "date-parts" : [ [ "2003" ] ] }, "page" : "56-70", "title" : "Relevance of the Institutional Setting", "type" : "article-journal", "volume" : "13" }, "uris" : [ "http://www.mendeley.com/documents/?uuid=61580e75-d6a5-469c-a876-16e247e5ed6e" ] }, { "id" : "ITEM-2", "itemData" : { "author" : [ { "dropping-particle" : "", "family" : "Paauwe", "given" : "Jaap", "non-dropping-particle" : "", "parse-names" : false, "suffix" : "" } ], "id" : "ITEM-2", "issued" : { "date-parts" : [ [ "2004" ] ] }, "publisher" : "Oxford University Press", "publisher-place" : "New York", "title" : "HRM and performance: Achieving long term viability", "type" : "book" }, "uris" : [ "http://www.mendeley.com/documents/?uuid=74f2a13a-a977-4828-a824-dad490a6a04e" ] } ], "mendeley" : { "formattedCitation" : "(Paauwe &amp; Boselie 2003; Paauwe 2004)", "manualFormatting" : "(Paauwe &amp; Boselie, 2003; Paauwe, 2004)", "plainTextFormattedCitation" : "(Paauwe &amp; Boselie 2003; Paauwe 2004)", "previouslyFormattedCitation" : "(Paauwe &amp; Boselie 2003; Paauwe 2004)" }, "properties" : { "noteIndex" : 0 }, "schema" : "https://github.com/citation-style-language/schema/raw/master/csl-citation.json" }</w:instrText>
      </w:r>
      <w:r w:rsidRPr="00452E2E">
        <w:rPr>
          <w:szCs w:val="24"/>
        </w:rPr>
        <w:fldChar w:fldCharType="separate"/>
      </w:r>
      <w:r w:rsidRPr="00452E2E">
        <w:rPr>
          <w:noProof/>
          <w:szCs w:val="24"/>
        </w:rPr>
        <w:t>(Paauwe &amp; Boselie, 2003; Paauwe, 2004)</w:t>
      </w:r>
      <w:r w:rsidRPr="00452E2E">
        <w:rPr>
          <w:szCs w:val="24"/>
        </w:rPr>
        <w:fldChar w:fldCharType="end"/>
      </w:r>
      <w:r w:rsidRPr="00452E2E">
        <w:rPr>
          <w:szCs w:val="24"/>
        </w:rPr>
        <w:t xml:space="preserve"> whilst normative mechanisms arise from the influence of professional groupings on HRM strategies and policies </w:t>
      </w:r>
      <w:r w:rsidRPr="00452E2E">
        <w:rPr>
          <w:szCs w:val="24"/>
        </w:rPr>
        <w:fldChar w:fldCharType="begin" w:fldLock="1"/>
      </w:r>
      <w:r w:rsidRPr="00452E2E">
        <w:rPr>
          <w:szCs w:val="24"/>
        </w:rPr>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"ITEM-2",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"ITEM-2", "issued" : { "date-parts" : [ [ "2007" ] ] }, "page" : "166-184", "publisher" : "Oxford University Press", "publisher-place" : "New York", "title" : "HRM and societal embeddedness", "type" : "chapter" }, "uris" : [ "http://www.mendeley.com/documents/?uuid=bc50bffa-b076-4ece-b963-52ac09293458" ] } ], "mendeley" : { "formattedCitation" : "(Boselie et al. 2003; Paauwe &amp; Boselie 2007)", "manualFormatting" : "(Boselie et al., 2003; Paauwe &amp; Boselie, 2007)", "plainTextFormattedCitation" : "(Boselie et al. 2003; Paauwe &amp; Boselie 2007)", "previouslyFormattedCitation" : "(Boselie et al. 2003; Paauwe &amp; Boselie 2007)"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2003; Paauwe &amp; Boselie, 2007)</w:t>
      </w:r>
      <w:r w:rsidRPr="00452E2E">
        <w:rPr>
          <w:szCs w:val="24"/>
        </w:rPr>
        <w:fldChar w:fldCharType="end"/>
      </w:r>
      <w:r w:rsidRPr="00452E2E">
        <w:rPr>
          <w:szCs w:val="24"/>
        </w:rPr>
        <w:t xml:space="preserve">. This indicates the influence of professional networks on HRM practices as highlighted in the development and spread of HRM practices by professional training institutes (Paauwe &amp; Boselie, 2007). The authors found support for their institutional model of HRM  while examining the effect of HRM </w:t>
      </w:r>
      <w:r w:rsidRPr="00452E2E">
        <w:rPr>
          <w:szCs w:val="24"/>
        </w:rPr>
        <w:lastRenderedPageBreak/>
        <w:t xml:space="preserve">on performance in three organizational fields in </w:t>
      </w:r>
      <w:r w:rsidR="00BC250E" w:rsidRPr="00452E2E">
        <w:rPr>
          <w:szCs w:val="24"/>
        </w:rPr>
        <w:t xml:space="preserve">the </w:t>
      </w:r>
      <w:r w:rsidRPr="00452E2E">
        <w:rPr>
          <w:szCs w:val="24"/>
        </w:rPr>
        <w:t xml:space="preserve">Netherlands </w:t>
      </w:r>
      <w:r w:rsidRPr="00452E2E">
        <w:rPr>
          <w:szCs w:val="24"/>
        </w:rPr>
        <w:fldChar w:fldCharType="begin" w:fldLock="1"/>
      </w:r>
      <w:r w:rsidRPr="00452E2E">
        <w:rPr>
          <w:szCs w:val="24"/>
        </w:rPr>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"mendeley" : { "formattedCitation" : "(Boselie et al. 2003)", "manualFormatting" : "(Boselie et al., 2003)", "plainTextFormattedCitation" : "(Boselie et al. 2003)", "previouslyFormattedCitation" : "(Boselie et al. 2003)"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2003)</w:t>
      </w:r>
      <w:r w:rsidRPr="00452E2E">
        <w:rPr>
          <w:szCs w:val="24"/>
        </w:rPr>
        <w:fldChar w:fldCharType="end"/>
      </w:r>
      <w:r w:rsidRPr="00452E2E">
        <w:rPr>
          <w:szCs w:val="24"/>
        </w:rPr>
        <w:t>. Specifically, they found that within the same country, institutional pressures influenced HRM practices in hospitals and local</w:t>
      </w:r>
      <w:r w:rsidR="006D7E79" w:rsidRPr="00452E2E">
        <w:rPr>
          <w:szCs w:val="24"/>
        </w:rPr>
        <w:t xml:space="preserve"> government more than they did i</w:t>
      </w:r>
      <w:r w:rsidRPr="00452E2E">
        <w:rPr>
          <w:szCs w:val="24"/>
        </w:rPr>
        <w:t xml:space="preserve">n hotels </w:t>
      </w:r>
      <w:r w:rsidRPr="00452E2E">
        <w:rPr>
          <w:szCs w:val="24"/>
        </w:rPr>
        <w:fldChar w:fldCharType="begin" w:fldLock="1"/>
      </w:r>
      <w:r w:rsidRPr="00452E2E">
        <w:rPr>
          <w:szCs w:val="24"/>
        </w:rPr>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"mendeley" : { "formattedCitation" : "(Boselie et al. 2003)", "manualFormatting" : "(Boselie et al., 2003)", "plainTextFormattedCitation" : "(Boselie et al. 2003)", "previouslyFormattedCitation" : "(Boselie et al. 2003)"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2003)</w:t>
      </w:r>
      <w:r w:rsidRPr="00452E2E">
        <w:rPr>
          <w:szCs w:val="24"/>
        </w:rPr>
        <w:fldChar w:fldCharType="end"/>
      </w:r>
      <w:r w:rsidRPr="00452E2E">
        <w:rPr>
          <w:szCs w:val="24"/>
        </w:rPr>
        <w:t xml:space="preserve">. </w:t>
      </w:r>
    </w:p>
    <w:p w:rsidR="0081743C" w:rsidRPr="00452E2E" w:rsidRDefault="00D03A8E" w:rsidP="00D03A8E">
      <w:pPr>
        <w:spacing w:line="360" w:lineRule="auto"/>
        <w:jc w:val="both"/>
        <w:rPr>
          <w:szCs w:val="24"/>
        </w:rPr>
      </w:pPr>
      <w:r w:rsidRPr="00452E2E">
        <w:rPr>
          <w:szCs w:val="24"/>
        </w:rPr>
        <w:t xml:space="preserve">Despite the pervasive influence of new institutionalism in explaining organizational behaviour, early writings on the theory were criticised for failing to account for the nature of institutional change </w:t>
      </w:r>
      <w:r w:rsidRPr="00452E2E">
        <w:rPr>
          <w:szCs w:val="24"/>
        </w:rPr>
        <w:fldChar w:fldCharType="begin" w:fldLock="1"/>
      </w:r>
      <w:r w:rsidRPr="00452E2E">
        <w:rPr>
          <w:szCs w:val="24"/>
        </w:rPr>
        <w:instrText>ADDIN CSL_CITATION { "citationItems" : [ { "id" : "ITEM-1", "itemData" : { "abstract" : "Institutional theory has risen to prominence as a popular and powerful explanation for both individ- ual and organizational action. It is a vibrant theory that has heen synthesized and contrasted with a number of other approaches. Although its scope has certainly heen expanded, institutional theory has often been criticized as largely being used to explain hoth the persistence and the homogeneity of phenomena. We helieve that this focus did little to tap the full power or potential of institutional theory. We find, for example, that institutions change over time, are not ttniformly taken-for- granted, have effects that are particularistic, and are challenged as well as hotly contested. Thus, we acknowledge that although institutions serve both to powerfully drive change and to shape the nature of change across levels and contexts, they also themselves change in character and potency over time. It was in this spirit that we put forth a call for papers on the study of institutional theory and institutional change. We also believed that the topic of institutional change has emerged as a cen- tral focus for organizational researchers. Therefore, we sought to provide new understandings of the manner in which institutions are created, trans- formed, and extinguished and the way in which institutional processes interact to affect institu- tional change.", "author" : [ { "dropping-particle" : "", "family" : "Dacin", "given" : "T", "non-dropping-particle" : "", "parse-names" : false, "suffix" : "" }, { "dropping-particle" : "", "family" : "Goodstein", "given" : "J", "non-dropping-particle" : "", "parse-names" : false, "suffix" : "" }, { "dropping-particle" : "", "family" : "Scott", "given" : "W. R.", "non-dropping-particle" : "", "parse-names" : false, "suffix" : "" } ], "container-title" : "Academy of Management Journal", "id" : "ITEM-1", "issue" : "1", "issued" : { "date-parts" : [ [ "2002" ] ] }, "page" : "45-57", "title" : "Institutional theory and institutional change: Introduction to the special research forum", "type" : "article-journal", "volume" : "45" }, "uris" : [ "http://www.mendeley.com/documents/?uuid=1105a162-f6ac-4cc2-bf71-1da62142a64d" ] }, { "id" : "ITEM-2", "itemData" : { "author" : [ { "dropping-particle" : "", "family" : "Oliver", "given" : "Christine", "non-dropping-particle" : "", "parse-names" : false, "suffix" : "" } ], "container-title" : "The Academy of Management Review", "id" : "ITEM-2", "issue" : "1", "issued" : { "date-parts" : [ [ "1991" ] ] }, "page" : "145-179", "title" : "Strategic responses to institutional processes", "type" : "article-journal", "volume" : "16" }, "uris" : [ "http://www.mendeley.com/documents/?uuid=32228e89-e255-4a7f-84f6-934171544d2b" ] } ], "mendeley" : { "formattedCitation" : "(T Dacin et al. 2002; Oliver 1991)", "manualFormatting" : "(Dacin et al., 2002; Oliver 1991)", "plainTextFormattedCitation" : "(T Dacin et al. 2002; Oliver 1991)", "previouslyFormattedCitation" : "(T Dacin et al. 2002; Oliver 1991)" }, "properties" : { "noteIndex" : 0 }, "schema" : "https://github.com/citation-style-language/schema/raw/master/csl-citation.json" }</w:instrText>
      </w:r>
      <w:r w:rsidRPr="00452E2E">
        <w:rPr>
          <w:szCs w:val="24"/>
        </w:rPr>
        <w:fldChar w:fldCharType="separate"/>
      </w:r>
      <w:r w:rsidRPr="00452E2E">
        <w:rPr>
          <w:noProof/>
          <w:szCs w:val="24"/>
        </w:rPr>
        <w:t>(Oliver 1991</w:t>
      </w:r>
      <w:r w:rsidR="009E0402" w:rsidRPr="00452E2E">
        <w:rPr>
          <w:noProof/>
          <w:szCs w:val="24"/>
        </w:rPr>
        <w:t xml:space="preserve">; Dacin </w:t>
      </w:r>
      <w:r w:rsidR="009E0402" w:rsidRPr="00452E2E">
        <w:rPr>
          <w:i/>
          <w:noProof/>
          <w:szCs w:val="24"/>
        </w:rPr>
        <w:t>et al</w:t>
      </w:r>
      <w:r w:rsidR="009E0402" w:rsidRPr="00452E2E">
        <w:rPr>
          <w:noProof/>
          <w:szCs w:val="24"/>
        </w:rPr>
        <w:t>., 2002</w:t>
      </w:r>
      <w:r w:rsidRPr="00452E2E">
        <w:rPr>
          <w:noProof/>
          <w:szCs w:val="24"/>
        </w:rPr>
        <w:t>)</w:t>
      </w:r>
      <w:r w:rsidRPr="00452E2E">
        <w:rPr>
          <w:szCs w:val="24"/>
        </w:rPr>
        <w:fldChar w:fldCharType="end"/>
      </w:r>
      <w:r w:rsidRPr="00452E2E">
        <w:rPr>
          <w:szCs w:val="24"/>
        </w:rPr>
        <w:t>. According to Oliver (1991), since organizations are not passive elements of their institutional environments, they adopt different strategies and tactics to respond to institutional pressures, which may include conforming to, or challenging insti</w:t>
      </w:r>
      <w:r w:rsidR="001432D1" w:rsidRPr="00452E2E">
        <w:rPr>
          <w:szCs w:val="24"/>
        </w:rPr>
        <w:t>tutional requirements. Although</w:t>
      </w:r>
      <w:r w:rsidRPr="00452E2E">
        <w:rPr>
          <w:szCs w:val="24"/>
        </w:rPr>
        <w:t xml:space="preserve"> the ability of an organization to challenge institutional requirements would depend on the internal dynamics of the organization as well as the nature of the external environment in which it operates (Oliver, 1991). </w:t>
      </w:r>
    </w:p>
    <w:p w:rsidR="00D03A8E" w:rsidRPr="00452E2E" w:rsidRDefault="00D03A8E" w:rsidP="00D03A8E">
      <w:pPr>
        <w:spacing w:line="360" w:lineRule="auto"/>
        <w:jc w:val="both"/>
        <w:rPr>
          <w:szCs w:val="24"/>
        </w:rPr>
      </w:pPr>
      <w:r w:rsidRPr="00452E2E">
        <w:rPr>
          <w:szCs w:val="24"/>
        </w:rPr>
        <w:t>As a result of these criticisms, new institutionalists have, over the last decade</w:t>
      </w:r>
      <w:r w:rsidR="00296CC7" w:rsidRPr="00452E2E">
        <w:rPr>
          <w:szCs w:val="24"/>
        </w:rPr>
        <w:t>,</w:t>
      </w:r>
      <w:r w:rsidRPr="00452E2E">
        <w:rPr>
          <w:szCs w:val="24"/>
        </w:rPr>
        <w:t xml:space="preserve"> begun to acknowledge the dynamics of institutional change </w:t>
      </w:r>
      <w:r w:rsidRPr="00452E2E">
        <w:rPr>
          <w:szCs w:val="24"/>
        </w:rPr>
        <w:fldChar w:fldCharType="begin" w:fldLock="1"/>
      </w:r>
      <w:r w:rsidRPr="00452E2E">
        <w:rPr>
          <w:szCs w:val="24"/>
        </w:rPr>
        <w:instrText>ADDIN CSL_CITATION { "citationItems" : [ { "id" : "ITEM-1", "itemData" : { "author" : [ { "dropping-particle" : "", "family" : "Dacin", "given" : "T.", "non-dropping-particle" : "", "parse-names" : false, "suffix" : "" }, { "dropping-particle" : "", "family" : "Goodstein", "given" : "Jerry", "non-dropping-particle" : "", "parse-names" : false, "suffix" : "" }, { "dropping-particle" : "", "family" : "Scott", "given" : "W. Richard", "non-dropping-particle" : "", "parse-names" : false, "suffix" : "" } ], "container-title" : "The Academy of Management Journal", "id" : "ITEM-1", "issue" : "1", "issued" : { "date-parts" : [ [ "2002" ] ] }, "page" : "43-56", "title" : "Institutional theory and institutional change: Introduction to the special research forum", "type" : "article-journal", "volume" : "45" }, "uris" : [ "http://www.mendeley.com/documents/?uuid=cbdb58c8-57ad-47a2-9b47-5d5361f060c6" ] }, { "id" : "ITEM-2", "itemData" : { "DOI" : "10.2307/3069285", "ISBN" : "00014273", "ISSN" : "00014273", "PMID" : "6283393", "abstract" : "This study examines the role of professional associations in a changing, highly insti- tutionalized organizational field and suggests that they play a significant role in legitimating change. A model of institutional change is outlined, of which a key stage is \"theorization,\" the process whereby organizational failings are conceptualized and linked to potential solutions. Regulatory agencies, such as professional associations, play an important role in theorizing change, endorsing local innovations and shaping their diffusion.", "author" : [ { "dropping-particle" : "", "family" : "Greenwood", "given" : "Royston", "non-dropping-particle" : "", "parse-names" : false, "suffix" : "" }, { "dropping-particle" : "", "family" : "Suddaby", "given" : "Roy", "non-dropping-particle" : "", "parse-names" : false, "suffix" : "" }, { "dropping-particle" : "", "family" : "Hinings", "given" : "C. R.", "non-dropping-particle" : "", "parse-names" : false, "suffix" : "" } ], "container-title" : "Academy of Management Journal", "id" : "ITEM-2", "issue" : "1", "issued" : { "date-parts" : [ [ "2002" ] ] }, "page" : "58-80", "title" : "Theorizing change: The role of professional associations in the transformation of institutionalized fields", "type" : "article-journal", "volume" : "45" }, "uris" : [ "http://www.mendeley.com/documents/?uuid=5d27d3c4-fc4e-46ec-ab37-7c77ad69cc1a" ] }, { "id" : "ITEM-3", "itemData" : { "author" : [ { "dropping-particle" : "", "family" : "Hinings", "given" : "C. R.", "non-dropping-particle" : "", "parse-names" : false, "suffix" : "" }, { "dropping-particle" : "", "family" : "Greenwood", "given" : "Royston", "non-dropping-particle" : "", "parse-names" : false, "suffix" : "" }, { "dropping-particle" : "", "family" : "Reay", "given" : "T.", "non-dropping-particle" : "", "parse-names" : false, "suffix" : "" }, { "dropping-particle" : "", "family" : "Suddaby", "given" : "Roy", "non-dropping-particle" : "", "parse-names" : false, "suffix" : "" } ], "container-title" : "Handbook of organizational change and innovation", "editor" : [ { "dropping-particle" : "", "family" : "Poole", "given" : "M.S.", "non-dropping-particle" : "", "parse-names" : false, "suffix" : "" }, { "dropping-particle" : "", "family" : "Ven", "given" : "A.H.", "non-dropping-particle" : "Van De", "parse-names" : false, "suffix" : "" } ], "id" : "ITEM-3", "issued" : { "date-parts" : [ [ "2004" ] ] }, "page" : "304-323", "publisher-place" : "New York", "title" : "Dynamics of change in organizational fields", "type" : "chapter" }, "uris" : [ "http://www.mendeley.com/documents/?uuid=0184219b-5437-4a33-a8b1-efbb2fb1ff38" ] }, { "id" : "ITEM-4", "itemData" : { "DOI" : "10.1080/14697010903549408", "ISBN" : "14697017", "ISSN" : "1469-7017", "PMID" : "48329424", "abstract" : "The study of institutions has a long history, but recent efforts stress the significance of symbolic elements in shaping social life. Although institutional processes and structures operate from the most micro interpersonal level to the most macro transocietal level, most research during the past few decades has concentrated on higher levels, such as the organization field. Institutional scholarship has been strongly influenced by structuration theory and, as a consequence, has given increasing attention to processes of institutional reinforcement and change. Directions of development showing promise include attention to intermediaries in fields, social movement processes, instituted modes of change, and transnational institution-building. The study of institutions has a long history, but recent efforts stress the significance of symbolic elements in shaping social life. Although institutional processes and structures operate from the most micro interpersonal level to the most macro transocietal level, most research during the past few decades has concentrated on higher levels, such as the organization field. Inst</w:instrText>
      </w:r>
      <w:r w:rsidRPr="00452E2E">
        <w:rPr>
          <w:szCs w:val="24"/>
          <w:lang w:val="nl-NL"/>
        </w:rPr>
        <w:instrText>itutional scholarship has been strongly influenced by structuration theory and, as a consequence, has given increasing attention to processes of institutional reinforcement and change. Directions of development showing promise include attention to intermediaries in fields, social movement processes, instituted modes of change, and transnational institution-building.", "author" : [ { "dropping-particle" : "", "family" : "Scott", "given" : "W. Richard", "non-dropping-particle" : "", "parse-names" : false, "suffix" : "" } ], "container-title" : "Journal of Change Management", "id" : "ITEM-4", "issue" : "1", "issued" : { "date-parts" : [ [ "2010" ] ] }, "page" : "5-21", "title" : "Reflections: The past and future of research on institutions and institutional change", "type" : "article-journal", "volume" : "10" }, "uris" : [ "http://www.mendeley.com/documents/?uuid=abae2973-4e11-4617-9caf-3056a3f91e66" ] } ], "mendeley" : { "formattedCitation" : "(T. Dacin et al. 2002; Greenwood et al. 2002; Hinings et al. 2004; Scott 2010)", "manualFormatting" : "(Dacin et al., 2002; Greenwood et al., 2002; Hinings et al., 2004; Scott, 2010)", "plainTextFormattedCitation" : "(T. Dacin et al. 2002; Greenwood et al. 2002; Hinings et al. 2004; Scott 2010)", "previouslyFormattedCitation" : "(T. Dacin et al. 2002; Greenwood et al. 2002; Hinings et al. 2004; Scott 2010)" }, "properties" : { "noteIndex" : 0 }, "schema" : "https://github.com/citation-style-language/schema/raw/master/csl-citation.json" }</w:instrText>
      </w:r>
      <w:r w:rsidRPr="00452E2E">
        <w:rPr>
          <w:szCs w:val="24"/>
        </w:rPr>
        <w:fldChar w:fldCharType="separate"/>
      </w:r>
      <w:r w:rsidRPr="00452E2E">
        <w:rPr>
          <w:noProof/>
          <w:szCs w:val="24"/>
          <w:lang w:val="nl-NL"/>
        </w:rPr>
        <w:t xml:space="preserve">(Dacin </w:t>
      </w:r>
      <w:r w:rsidRPr="00452E2E">
        <w:rPr>
          <w:i/>
          <w:noProof/>
          <w:szCs w:val="24"/>
          <w:lang w:val="nl-NL"/>
        </w:rPr>
        <w:t>et al</w:t>
      </w:r>
      <w:r w:rsidRPr="00452E2E">
        <w:rPr>
          <w:noProof/>
          <w:szCs w:val="24"/>
          <w:lang w:val="nl-NL"/>
        </w:rPr>
        <w:t xml:space="preserve">., 2002; Greenwood </w:t>
      </w:r>
      <w:r w:rsidRPr="00452E2E">
        <w:rPr>
          <w:i/>
          <w:noProof/>
          <w:szCs w:val="24"/>
          <w:lang w:val="nl-NL"/>
        </w:rPr>
        <w:t>et al</w:t>
      </w:r>
      <w:r w:rsidRPr="00452E2E">
        <w:rPr>
          <w:noProof/>
          <w:szCs w:val="24"/>
          <w:lang w:val="nl-NL"/>
        </w:rPr>
        <w:t xml:space="preserve">., 2002; Hinings </w:t>
      </w:r>
      <w:r w:rsidRPr="00452E2E">
        <w:rPr>
          <w:i/>
          <w:noProof/>
          <w:szCs w:val="24"/>
          <w:lang w:val="nl-NL"/>
        </w:rPr>
        <w:t>et al</w:t>
      </w:r>
      <w:r w:rsidRPr="00452E2E">
        <w:rPr>
          <w:noProof/>
          <w:szCs w:val="24"/>
          <w:lang w:val="nl-NL"/>
        </w:rPr>
        <w:t>., 2004; Scott, 2010)</w:t>
      </w:r>
      <w:r w:rsidRPr="00452E2E">
        <w:rPr>
          <w:szCs w:val="24"/>
        </w:rPr>
        <w:fldChar w:fldCharType="end"/>
      </w:r>
      <w:r w:rsidRPr="00452E2E">
        <w:rPr>
          <w:szCs w:val="24"/>
          <w:lang w:val="nl-NL"/>
        </w:rPr>
        <w:t xml:space="preserve">. </w:t>
      </w:r>
      <w:r w:rsidRPr="00452E2E">
        <w:rPr>
          <w:szCs w:val="24"/>
        </w:rPr>
        <w:t xml:space="preserve">For example, Greenwood </w:t>
      </w:r>
      <w:r w:rsidRPr="00452E2E">
        <w:rPr>
          <w:i/>
          <w:szCs w:val="24"/>
        </w:rPr>
        <w:t>et al</w:t>
      </w:r>
      <w:r w:rsidR="00880D9E" w:rsidRPr="00452E2E">
        <w:rPr>
          <w:i/>
          <w:szCs w:val="24"/>
        </w:rPr>
        <w:t>.</w:t>
      </w:r>
      <w:r w:rsidRPr="00452E2E">
        <w:rPr>
          <w:szCs w:val="24"/>
        </w:rPr>
        <w:t xml:space="preserve"> (2002) examined how organizational fields are changed by professional associations whilst Scott (2010, p.18) notes that “while there are signs for increasing homogenization and convergence, equally strong indicators attest to the preservation and development of diversity”. It is this diversity that is responsible for the emergence of ‘heterodox accounts’ (cf. Lane &amp; Wood, 2009; cf. Wood </w:t>
      </w:r>
      <w:r w:rsidRPr="00452E2E">
        <w:rPr>
          <w:i/>
          <w:szCs w:val="24"/>
        </w:rPr>
        <w:t>et al</w:t>
      </w:r>
      <w:r w:rsidRPr="00452E2E">
        <w:rPr>
          <w:szCs w:val="24"/>
        </w:rPr>
        <w:t xml:space="preserve">., 2012) of institutions in the tradition </w:t>
      </w:r>
      <w:r w:rsidR="009739AD" w:rsidRPr="00452E2E">
        <w:rPr>
          <w:szCs w:val="24"/>
        </w:rPr>
        <w:t xml:space="preserve">of </w:t>
      </w:r>
      <w:r w:rsidRPr="00452E2E">
        <w:rPr>
          <w:szCs w:val="24"/>
        </w:rPr>
        <w:t xml:space="preserve">political economy which accentuate differences in institutional contexts between nations, thereby resulting </w:t>
      </w:r>
      <w:r w:rsidR="0074570D" w:rsidRPr="00452E2E">
        <w:rPr>
          <w:szCs w:val="24"/>
        </w:rPr>
        <w:t>in</w:t>
      </w:r>
      <w:r w:rsidRPr="00452E2E">
        <w:rPr>
          <w:szCs w:val="24"/>
        </w:rPr>
        <w:t xml:space="preserve"> </w:t>
      </w:r>
      <w:r w:rsidR="006727C2" w:rsidRPr="00452E2E">
        <w:rPr>
          <w:szCs w:val="24"/>
        </w:rPr>
        <w:t xml:space="preserve">a </w:t>
      </w:r>
      <w:r w:rsidRPr="00452E2E">
        <w:rPr>
          <w:szCs w:val="24"/>
        </w:rPr>
        <w:t xml:space="preserve">diversity </w:t>
      </w:r>
      <w:r w:rsidR="006727C2" w:rsidRPr="00452E2E">
        <w:rPr>
          <w:szCs w:val="24"/>
        </w:rPr>
        <w:t>of</w:t>
      </w:r>
      <w:r w:rsidRPr="00452E2E">
        <w:rPr>
          <w:szCs w:val="24"/>
        </w:rPr>
        <w:t xml:space="preserve"> organizational practices (</w:t>
      </w:r>
      <w:r w:rsidR="0042413F" w:rsidRPr="00452E2E">
        <w:rPr>
          <w:szCs w:val="24"/>
        </w:rPr>
        <w:t xml:space="preserve">Whitley, 1999; </w:t>
      </w:r>
      <w:r w:rsidRPr="00452E2E">
        <w:rPr>
          <w:szCs w:val="24"/>
        </w:rPr>
        <w:t>Hall</w:t>
      </w:r>
      <w:r w:rsidR="0042413F" w:rsidRPr="00452E2E">
        <w:rPr>
          <w:szCs w:val="24"/>
        </w:rPr>
        <w:t xml:space="preserve"> &amp; Soskice, 2001; </w:t>
      </w:r>
      <w:r w:rsidRPr="00452E2E">
        <w:rPr>
          <w:szCs w:val="24"/>
        </w:rPr>
        <w:t xml:space="preserve">Wood </w:t>
      </w:r>
      <w:r w:rsidRPr="00452E2E">
        <w:rPr>
          <w:i/>
          <w:szCs w:val="24"/>
        </w:rPr>
        <w:t>et al</w:t>
      </w:r>
      <w:r w:rsidRPr="00452E2E">
        <w:rPr>
          <w:szCs w:val="24"/>
        </w:rPr>
        <w:t>., 2012). The varieties of capitalism approach shall be discussed in the next section.</w:t>
      </w:r>
    </w:p>
    <w:p w:rsidR="00D03A8E" w:rsidRPr="00452E2E" w:rsidRDefault="00D03A8E" w:rsidP="00D03A8E">
      <w:pPr>
        <w:pStyle w:val="Heading4"/>
      </w:pPr>
      <w:bookmarkStart w:id="43" w:name="_Toc473808111"/>
      <w:r w:rsidRPr="00452E2E">
        <w:t>2.3.3 Varieties of Capitalism Approach</w:t>
      </w:r>
      <w:bookmarkEnd w:id="43"/>
    </w:p>
    <w:p w:rsidR="002A4428" w:rsidRPr="00452E2E" w:rsidRDefault="00D03A8E" w:rsidP="00D03A8E">
      <w:pPr>
        <w:spacing w:line="360" w:lineRule="auto"/>
        <w:jc w:val="both"/>
        <w:rPr>
          <w:szCs w:val="24"/>
        </w:rPr>
      </w:pPr>
      <w:r w:rsidRPr="00452E2E">
        <w:rPr>
          <w:szCs w:val="24"/>
        </w:rPr>
        <w:t xml:space="preserve">Varieties of capitalism is a framework for understanding the similarities and dissimilarities between different types of capitalisms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"mendeley" : { "formattedCitation" : "(Hall &amp; Soskice 2001)", "manualFormatting" : "(Hall &amp; Soskice 2001)", "plainTextFormattedCitation" : "(Hall &amp; Soskice 2001)", "previouslyFormattedCitation" : "(Hall &amp; Soskice 2001)" }, "properties" : { "noteIndex" : 0 }, "schema" : "https://github.com/citation-style-language/schema/raw/master/csl-citation.json" }</w:instrText>
      </w:r>
      <w:r w:rsidRPr="00452E2E">
        <w:rPr>
          <w:szCs w:val="24"/>
        </w:rPr>
        <w:fldChar w:fldCharType="separate"/>
      </w:r>
      <w:r w:rsidRPr="00452E2E">
        <w:rPr>
          <w:noProof/>
          <w:szCs w:val="24"/>
        </w:rPr>
        <w:t>(Hall &amp; Soskice 2001)</w:t>
      </w:r>
      <w:r w:rsidRPr="00452E2E">
        <w:rPr>
          <w:szCs w:val="24"/>
        </w:rPr>
        <w:fldChar w:fldCharType="end"/>
      </w:r>
      <w:r w:rsidRPr="00452E2E">
        <w:rPr>
          <w:szCs w:val="24"/>
        </w:rPr>
        <w:t xml:space="preserve">. The approach distinguishes between liberal market economies (LMEs) which are characterised by less regulation and the coordinated market economies (CMEs) </w:t>
      </w:r>
      <w:r w:rsidRPr="00452E2E">
        <w:rPr>
          <w:szCs w:val="24"/>
        </w:rPr>
        <w:lastRenderedPageBreak/>
        <w:t xml:space="preserve">characterised by high regulation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"Hollinshead", "given" : "Graham", "non-dropping-particle" : "", "parse-names" : false, "suffix" : "" } ], "id" : "ITEM-2", "issued" : { "date-parts" : [ [ "2010" ] ] }, "publisher" : "McGraw-Hill", "title" : "International and Comparative Human Resource Management", "type" : "book" }, "uris" : [ "http://www.mendeley.com/documents/?uuid=2d576b9b-f202-41c8-99f1-83e8948ad9aa" ] } ], "mendeley" : { "formattedCitation" : "(Hall &amp; Soskice 2001; Hollinshead 2010)", "manualFormatting" : "(Hall &amp; Soskice, 2001; Hollinshead, 2010)", "plainTextFormattedCitation" : "(Hall &amp; Soskice 2001; Hollinshead 2010)", "previouslyFormattedCitation" : "(Hall &amp; Soskice 2001; Hollinshead 2010)" }, "properties" : { "noteIndex" : 0 }, "schema" : "https://github.com/citation-style-language/schema/raw/master/csl-citation.json" }</w:instrText>
      </w:r>
      <w:r w:rsidRPr="00452E2E">
        <w:rPr>
          <w:szCs w:val="24"/>
        </w:rPr>
        <w:fldChar w:fldCharType="separate"/>
      </w:r>
      <w:r w:rsidRPr="00452E2E">
        <w:rPr>
          <w:noProof/>
          <w:szCs w:val="24"/>
        </w:rPr>
        <w:t>(Hall &amp; Soskice, 2001; Hollinshead, 2010)</w:t>
      </w:r>
      <w:r w:rsidRPr="00452E2E">
        <w:rPr>
          <w:szCs w:val="24"/>
        </w:rPr>
        <w:fldChar w:fldCharType="end"/>
      </w:r>
      <w:r w:rsidRPr="00452E2E">
        <w:rPr>
          <w:szCs w:val="24"/>
        </w:rPr>
        <w:t>. In LMEs</w:t>
      </w:r>
      <w:r w:rsidR="00BD616C" w:rsidRPr="00452E2E">
        <w:rPr>
          <w:szCs w:val="24"/>
        </w:rPr>
        <w:t>,</w:t>
      </w:r>
      <w:r w:rsidR="001A57E0" w:rsidRPr="00452E2E">
        <w:rPr>
          <w:szCs w:val="24"/>
        </w:rPr>
        <w:t xml:space="preserve"> fierce competition exists whilst</w:t>
      </w:r>
      <w:r w:rsidRPr="00452E2E">
        <w:rPr>
          <w:szCs w:val="24"/>
        </w:rPr>
        <w:t xml:space="preserve"> there is a system of coordination and cooperation in CMEs (Wood </w:t>
      </w:r>
      <w:r w:rsidRPr="00452E2E">
        <w:rPr>
          <w:i/>
          <w:szCs w:val="24"/>
        </w:rPr>
        <w:t>et al</w:t>
      </w:r>
      <w:r w:rsidRPr="00452E2E">
        <w:rPr>
          <w:szCs w:val="24"/>
        </w:rPr>
        <w:t xml:space="preserve">., 2012). </w:t>
      </w:r>
    </w:p>
    <w:p w:rsidR="00D03A8E" w:rsidRPr="00452E2E" w:rsidRDefault="00D03A8E" w:rsidP="00D03A8E">
      <w:pPr>
        <w:spacing w:line="360" w:lineRule="auto"/>
        <w:jc w:val="both"/>
        <w:rPr>
          <w:szCs w:val="24"/>
        </w:rPr>
      </w:pPr>
      <w:r w:rsidRPr="00452E2E">
        <w:rPr>
          <w:szCs w:val="24"/>
        </w:rPr>
        <w:t xml:space="preserve">Whilst LMEs rely on market forces to solve economic problems, CMEs rely on relations among stakeholders to provide </w:t>
      </w:r>
      <w:r w:rsidR="00405DD4" w:rsidRPr="00452E2E">
        <w:rPr>
          <w:szCs w:val="24"/>
        </w:rPr>
        <w:t xml:space="preserve">solutions to economic problems. </w:t>
      </w:r>
      <w:r w:rsidRPr="00452E2E">
        <w:rPr>
          <w:szCs w:val="24"/>
        </w:rPr>
        <w:t xml:space="preserve">Accordingly, the focus in LMEs is on shareholder rights whilst in CMEs, stakeholder rights </w:t>
      </w:r>
      <w:r w:rsidR="00D21F45" w:rsidRPr="00452E2E">
        <w:rPr>
          <w:szCs w:val="24"/>
        </w:rPr>
        <w:t>are</w:t>
      </w:r>
      <w:r w:rsidRPr="00452E2E">
        <w:rPr>
          <w:szCs w:val="24"/>
        </w:rPr>
        <w:t xml:space="preserve"> on the front burner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"mendeley" : { "formattedCitation" : "(Hall &amp; Soskice 2001)", "manualFormatting" : "(Hall &amp; Soskice, 2001; Wood et al., 2012)", "plainTextFormattedCitation" : "(Hall &amp; Soskice 2001)", "previouslyFormattedCitation" : "(Hall &amp; Soskice 2001)" }, "properties" : { "noteIndex" : 0 }, "schema" : "https://github.com/citation-style-language/schema/raw/master/csl-citation.json" }</w:instrText>
      </w:r>
      <w:r w:rsidRPr="00452E2E">
        <w:rPr>
          <w:szCs w:val="24"/>
        </w:rPr>
        <w:fldChar w:fldCharType="separate"/>
      </w:r>
      <w:r w:rsidRPr="00452E2E">
        <w:rPr>
          <w:noProof/>
          <w:szCs w:val="24"/>
        </w:rPr>
        <w:t xml:space="preserve">(Hall &amp; Soskice, 2001; Wood </w:t>
      </w:r>
      <w:r w:rsidRPr="00452E2E">
        <w:rPr>
          <w:i/>
          <w:noProof/>
          <w:szCs w:val="24"/>
        </w:rPr>
        <w:t>et al</w:t>
      </w:r>
      <w:r w:rsidRPr="00452E2E">
        <w:rPr>
          <w:noProof/>
          <w:szCs w:val="24"/>
        </w:rPr>
        <w:t>., 2012)</w:t>
      </w:r>
      <w:r w:rsidRPr="00452E2E">
        <w:rPr>
          <w:szCs w:val="24"/>
        </w:rPr>
        <w:fldChar w:fldCharType="end"/>
      </w:r>
      <w:r w:rsidRPr="00452E2E">
        <w:rPr>
          <w:szCs w:val="24"/>
        </w:rPr>
        <w:t>. Unlike property rights theorists who advocate for stronger owners’ rights as the basis for economic performa</w:t>
      </w:r>
      <w:r w:rsidR="00CB71CA" w:rsidRPr="00452E2E">
        <w:rPr>
          <w:szCs w:val="24"/>
        </w:rPr>
        <w:t xml:space="preserve">nce of firms and nations, the </w:t>
      </w:r>
      <w:r w:rsidRPr="00452E2E">
        <w:rPr>
          <w:szCs w:val="24"/>
        </w:rPr>
        <w:t xml:space="preserve">varieties of capitalism approach asserts that both LMEs and CMEs can attain economic performance, albeit through different paths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w:t>
      </w:r>
    </w:p>
    <w:p w:rsidR="00CE6207" w:rsidRPr="00452E2E" w:rsidRDefault="00D03A8E" w:rsidP="00D03A8E">
      <w:pPr>
        <w:spacing w:line="360" w:lineRule="auto"/>
        <w:jc w:val="both"/>
        <w:rPr>
          <w:szCs w:val="24"/>
        </w:rPr>
      </w:pPr>
      <w:r w:rsidRPr="00452E2E">
        <w:rPr>
          <w:szCs w:val="24"/>
        </w:rPr>
        <w:t xml:space="preserve">The presence of complementarities is central in the varieties of capitalism approach since it has been suggested that complementarities support the persistence of institutions </w:t>
      </w:r>
      <w:r w:rsidRPr="00452E2E">
        <w:rPr>
          <w:szCs w:val="24"/>
        </w:rPr>
        <w:fldChar w:fldCharType="begin" w:fldLock="1"/>
      </w:r>
      <w:r w:rsidRPr="00452E2E">
        <w:rPr>
          <w:szCs w:val="24"/>
        </w:rPr>
        <w:instrText>ADDIN CSL_CITATION { "citationItems" : [ { "id" : "ITEM-1", "itemData" : { "author" : [ { "dropping-particle" : "", "family" : "Crouch", "given" : "C.", "non-dropping-particle" : "", "parse-names" : false, "suffix" : "" } ], "container-title" : "Socio-Economic Review", "id" : "ITEM-1", "issue" : "2", "issued" : { "date-parts" : [ [ "2005" ] ] }, "page" : "359-363", "title" : "Three meanings of complementarity", "type" : "article-journal", "volume" : "3" }, "uris" : [ "http://www.mendeley.com/documents/?uuid=43b8b077-41a8-4ceb-a8a7-1ac67b164244" ] }, { "id" : "ITEM-2", "itemData" : { "author"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"chapter-number" : "1", "container-title" : "Human resource management and the institutional perspective", "editor"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"id" : "ITEM-2", "issued" : { "date-parts" : [ [ "2014" ] ] }, "page" : "1-14", "publisher" : "Routledge", "publisher-place" : "London and New York", "title" : "Institutions and firm level HRM practice", "type" : "chapter" }, "uris" : [ "http://www.mendeley.com/documents/?uuid=ba62f378-933c-4fff-a2e8-63f742ac54d8" ] } ], "mendeley" : { "formattedCitation" : "(Crouch 2005; Wood, Brewster, et al. 2014)", "manualFormatting" : "(Crouch, 2005; Wood et al., 2012)", "plainTextFormattedCitation" : "(Crouch 2005; Wood, Brewster, et al. 2014)", "previouslyFormattedCitation" : "(Crouch 2005; Wood, Brewster, et al. 2014)" }, "properties" : { "noteIndex" : 0 }, "schema" : "https://github.com/citation-style-language/schema/raw/master/csl-citation.json" }</w:instrText>
      </w:r>
      <w:r w:rsidRPr="00452E2E">
        <w:rPr>
          <w:szCs w:val="24"/>
        </w:rPr>
        <w:fldChar w:fldCharType="separate"/>
      </w:r>
      <w:r w:rsidRPr="00452E2E">
        <w:rPr>
          <w:noProof/>
          <w:szCs w:val="24"/>
        </w:rPr>
        <w:t xml:space="preserve">(Crouch, 2005; Wood </w:t>
      </w:r>
      <w:r w:rsidRPr="00452E2E">
        <w:rPr>
          <w:i/>
          <w:noProof/>
          <w:szCs w:val="24"/>
        </w:rPr>
        <w:t>et al</w:t>
      </w:r>
      <w:r w:rsidRPr="00452E2E">
        <w:rPr>
          <w:noProof/>
          <w:szCs w:val="24"/>
        </w:rPr>
        <w:t>., 2012)</w:t>
      </w:r>
      <w:r w:rsidRPr="00452E2E">
        <w:rPr>
          <w:szCs w:val="24"/>
        </w:rPr>
        <w:fldChar w:fldCharType="end"/>
      </w:r>
      <w:r w:rsidRPr="00452E2E">
        <w:rPr>
          <w:szCs w:val="24"/>
        </w:rPr>
        <w:t xml:space="preserve">. In essence, complementarities enable firms and the economy at large to perform better. Complementarities are conceptualized as the interdependence of institutions where the efficiency of one results </w:t>
      </w:r>
      <w:r w:rsidR="001723E8" w:rsidRPr="00452E2E">
        <w:rPr>
          <w:szCs w:val="24"/>
        </w:rPr>
        <w:t>in</w:t>
      </w:r>
      <w:r w:rsidRPr="00452E2E">
        <w:rPr>
          <w:szCs w:val="24"/>
        </w:rPr>
        <w:t xml:space="preserve"> an increase in the efficiency of the other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"(Hall &amp; Soskice 2001; Wood et al. 2012)", "manualFormatting" : "(Wood et al., 2012)", "plainTextFormattedCitation" : "(Hall &amp; Soskice 2001; Wood et al. 2012)", "previouslyFormattedCitation" : "(Hall &amp; Soskice 2001;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This means, as the literature suggests, that economies with more complementarities will perform better than those with fewer complementarities.  However, it has been argued that not all complementarities are synergistic, rather, some complementarities may exist to ‘compensate for systemic failures’ </w:t>
      </w:r>
      <w:r w:rsidRPr="00452E2E">
        <w:rPr>
          <w:szCs w:val="24"/>
        </w:rPr>
        <w:fldChar w:fldCharType="begin" w:fldLock="1"/>
      </w:r>
      <w:r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"(cf. Lane &amp; Wood, 2009)", "plainTextFormattedCitation" : "(Lane &amp; Wood 2009)", "previouslyFormattedCitation" : "(Lane &amp; Wood 2009)" }, "properties" : { "noteIndex" : 0 }, "schema" : "https://github.com/citation-style-language/schema/raw/master/csl-citation.json" }</w:instrText>
      </w:r>
      <w:r w:rsidRPr="00452E2E">
        <w:rPr>
          <w:szCs w:val="24"/>
        </w:rPr>
        <w:fldChar w:fldCharType="separate"/>
      </w:r>
      <w:r w:rsidRPr="00452E2E">
        <w:rPr>
          <w:noProof/>
          <w:szCs w:val="24"/>
        </w:rPr>
        <w:t>(cf. Lane &amp; Wood, 2009)</w:t>
      </w:r>
      <w:r w:rsidRPr="00452E2E">
        <w:rPr>
          <w:szCs w:val="24"/>
        </w:rPr>
        <w:fldChar w:fldCharType="end"/>
      </w:r>
      <w:r w:rsidRPr="00452E2E">
        <w:rPr>
          <w:szCs w:val="24"/>
        </w:rPr>
        <w:t xml:space="preserve">. </w:t>
      </w:r>
    </w:p>
    <w:p w:rsidR="00E00CB5" w:rsidRPr="00452E2E" w:rsidRDefault="00CE6207" w:rsidP="00D03A8E">
      <w:pPr>
        <w:spacing w:line="360" w:lineRule="auto"/>
        <w:jc w:val="both"/>
        <w:rPr>
          <w:szCs w:val="24"/>
        </w:rPr>
      </w:pPr>
      <w:r w:rsidRPr="00452E2E">
        <w:rPr>
          <w:szCs w:val="24"/>
        </w:rPr>
        <w:t>The</w:t>
      </w:r>
      <w:r w:rsidR="00D03A8E" w:rsidRPr="00452E2E">
        <w:rPr>
          <w:szCs w:val="24"/>
        </w:rPr>
        <w:t xml:space="preserve"> differences in HRM approaches between LMEs and CMEs is accentuated by the </w:t>
      </w:r>
      <w:r w:rsidR="003B119A" w:rsidRPr="00452E2E">
        <w:rPr>
          <w:szCs w:val="24"/>
        </w:rPr>
        <w:t>variations</w:t>
      </w:r>
      <w:r w:rsidR="00D03A8E" w:rsidRPr="00452E2E">
        <w:rPr>
          <w:szCs w:val="24"/>
        </w:rPr>
        <w:t xml:space="preserve"> in institutional features of these types of capitalism </w:t>
      </w:r>
      <w:r w:rsidR="00D03A8E" w:rsidRPr="00452E2E">
        <w:rPr>
          <w:szCs w:val="24"/>
        </w:rPr>
        <w:fldChar w:fldCharType="begin" w:fldLock="1"/>
      </w:r>
      <w:r w:rsidR="00D03A8E" w:rsidRPr="00452E2E">
        <w:rPr>
          <w:szCs w:val="24"/>
        </w:rPr>
        <w:instrText>ADDIN CSL_CITATION { "citationItems" : [ { "id" : "ITEM-1",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"ITEM-1",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2014)", "manualFormatting" : "(Brewster et al., 2014)", "plainTextFormattedCitation" : "(Brewster et al. 2014)", "previouslyFormattedCitation" : "(Brewster et al. 2014)"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(Brewster </w:t>
      </w:r>
      <w:r w:rsidR="00D03A8E" w:rsidRPr="00452E2E">
        <w:rPr>
          <w:i/>
          <w:noProof/>
          <w:szCs w:val="24"/>
        </w:rPr>
        <w:t>et al</w:t>
      </w:r>
      <w:r w:rsidR="00D03A8E" w:rsidRPr="00452E2E">
        <w:rPr>
          <w:noProof/>
          <w:szCs w:val="24"/>
        </w:rPr>
        <w:t>., 2014)</w:t>
      </w:r>
      <w:r w:rsidR="00D03A8E" w:rsidRPr="00452E2E">
        <w:rPr>
          <w:szCs w:val="24"/>
        </w:rPr>
        <w:fldChar w:fldCharType="end"/>
      </w:r>
      <w:r w:rsidR="00D03A8E" w:rsidRPr="00452E2E">
        <w:rPr>
          <w:szCs w:val="24"/>
        </w:rPr>
        <w:t>.</w:t>
      </w:r>
      <w:r w:rsidR="004815A9" w:rsidRPr="00452E2E">
        <w:rPr>
          <w:szCs w:val="24"/>
        </w:rPr>
        <w:t xml:space="preserve"> For instance, t</w:t>
      </w:r>
      <w:r w:rsidR="00D03A8E" w:rsidRPr="00452E2E">
        <w:rPr>
          <w:szCs w:val="24"/>
        </w:rPr>
        <w:t xml:space="preserve">he financial system in LMEs is organized such that firms depend on short term financial performance indices in order to have access to external financing </w:t>
      </w:r>
      <w:r w:rsidR="00D03A8E" w:rsidRPr="00452E2E">
        <w:rPr>
          <w:szCs w:val="24"/>
        </w:rPr>
        <w:fldChar w:fldCharType="begin" w:fldLock="1"/>
      </w:r>
      <w:r w:rsidR="00D03A8E" w:rsidRPr="00452E2E">
        <w:rPr>
          <w:szCs w:val="24"/>
        </w:rPr>
        <w:instrText>ADDIN CSL_CITATION { "citationItems" : [ { "id" : "ITEM-1", "itemData" : { "author" : [ { "dropping-particle" : "", "family" : "Vitols", "given" : "Sigurt", "non-dropping-particle" : "", "parse-names" : false, "suffix" : "" } ], "chapter-number" : "10",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"337-360", "publisher" : "Oxford University Press", "publisher-place" : "Oxford", "title" : "Varieties of corporate governance: comparing Germany and the UK", "type" : "chapter" }, "uris" : [ "http://www.mendeley.com/documents/?uuid=3869429d-ad4e-415f-ac8b-ee4b4fc13b80" ] } ], "mendeley" : { "formattedCitation" : "(Vitols 2001)", "manualFormatting" : "(Vitols, 2001)", "plainTextFormattedCitation" : "(Vitols 2001)", "previouslyFormattedCitation" : "(Vitols 2001)" }, "properties" : { "noteIndex" : 0 }, "schema" : "https://github.com/citation-style-language/schema/raw/master/csl-citation.json" }</w:instrText>
      </w:r>
      <w:r w:rsidR="00D03A8E" w:rsidRPr="00452E2E">
        <w:rPr>
          <w:szCs w:val="24"/>
        </w:rPr>
        <w:fldChar w:fldCharType="separate"/>
      </w:r>
      <w:r w:rsidR="00D03A8E" w:rsidRPr="00452E2E">
        <w:rPr>
          <w:noProof/>
          <w:szCs w:val="24"/>
        </w:rPr>
        <w:t>(Vitols, 2001)</w:t>
      </w:r>
      <w:r w:rsidR="00D03A8E" w:rsidRPr="00452E2E">
        <w:rPr>
          <w:szCs w:val="24"/>
        </w:rPr>
        <w:fldChar w:fldCharType="end"/>
      </w:r>
      <w:r w:rsidR="00D03A8E" w:rsidRPr="00452E2E">
        <w:rPr>
          <w:szCs w:val="24"/>
        </w:rPr>
        <w:t xml:space="preserve">. The reliance on current earnings and share prices in the equity market as a basis for securing financing means that firms adopt a short term approach in the management of human resources </w:t>
      </w:r>
      <w:r w:rsidR="00D03A8E" w:rsidRPr="00452E2E">
        <w:rPr>
          <w:szCs w:val="24"/>
        </w:rPr>
        <w:fldChar w:fldCharType="begin" w:fldLock="1"/>
      </w:r>
      <w:r w:rsidR="006E3790"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"Vitols", "given" : "Sigurt", "non-dropping-particle" : "", "parse-names" : false, "suffix" : "" } ], "chapter-number" : "10", "container-title" : "Varieties of capitalism", "editor" : [ { "dropping-particle" : "", "family" : "Hall", "given" : "Peter", "non-dropping-particle" : "", "parse-names" : false, "suffix" : "" }, { "dropping-particle" : "", "family" : "Soskice", "given" : "David", "non-dropping-particle" : "", "parse-names" : false, "suffix" : "" } ], "id" : "ITEM-2", "issued" : { "date-parts" : [ [ "2001" ] ] }, "page" : "337-360", "publisher" : "Oxford University Press", "publisher-place" : "Oxford", "title" : "Varieties of corporate governance: comparing Germany and the UK", "type" : "chapter" }, "uris" : [ "http://www.mendeley.com/documents/?uuid=3869429d-ad4e-415f-ac8b-ee4b4fc13b80" ] } ], "mendeley" : { "formattedCitation" : "(Hall &amp; Soskice 2001; Vitols 2001)", "manualFormatting" : "(Hall &amp; Soskice, 2001; Vitols, 2001; Wood et al., 2012)", "plainTextFormattedCitation" : "(Hall &amp; Soskice 2001; Vitols 2001)", "previouslyFormattedCitation" : "(Hall &amp; Soskice 2001; Vitols 2001)"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(Hall </w:t>
      </w:r>
      <w:r w:rsidR="001E0106" w:rsidRPr="00452E2E">
        <w:rPr>
          <w:noProof/>
          <w:szCs w:val="24"/>
        </w:rPr>
        <w:t>&amp;</w:t>
      </w:r>
      <w:r w:rsidR="00D03A8E" w:rsidRPr="00452E2E">
        <w:rPr>
          <w:noProof/>
          <w:szCs w:val="24"/>
        </w:rPr>
        <w:t xml:space="preserve"> Soskice, 2001; Vitols, 2001</w:t>
      </w:r>
      <w:r w:rsidR="001E0106" w:rsidRPr="00452E2E">
        <w:rPr>
          <w:noProof/>
          <w:szCs w:val="24"/>
        </w:rPr>
        <w:t xml:space="preserve">; Wood </w:t>
      </w:r>
      <w:r w:rsidR="001E0106" w:rsidRPr="00452E2E">
        <w:rPr>
          <w:i/>
          <w:noProof/>
          <w:szCs w:val="24"/>
        </w:rPr>
        <w:t xml:space="preserve">et al., </w:t>
      </w:r>
      <w:r w:rsidR="001E0106" w:rsidRPr="00452E2E">
        <w:rPr>
          <w:noProof/>
          <w:szCs w:val="24"/>
        </w:rPr>
        <w:t>2012</w:t>
      </w:r>
      <w:r w:rsidR="00D03A8E" w:rsidRPr="00452E2E">
        <w:rPr>
          <w:noProof/>
          <w:szCs w:val="24"/>
        </w:rPr>
        <w:t>)</w:t>
      </w:r>
      <w:r w:rsidR="00D03A8E" w:rsidRPr="00452E2E">
        <w:rPr>
          <w:szCs w:val="24"/>
        </w:rPr>
        <w:fldChar w:fldCharType="end"/>
      </w:r>
      <w:r w:rsidR="00D03A8E" w:rsidRPr="00452E2E">
        <w:rPr>
          <w:szCs w:val="24"/>
        </w:rPr>
        <w:t xml:space="preserve">. In fact, top management of firms </w:t>
      </w:r>
      <w:r w:rsidR="006E3790" w:rsidRPr="00452E2E">
        <w:rPr>
          <w:szCs w:val="24"/>
        </w:rPr>
        <w:t xml:space="preserve">in LMEs </w:t>
      </w:r>
      <w:r w:rsidR="00D03A8E" w:rsidRPr="00452E2E">
        <w:rPr>
          <w:szCs w:val="24"/>
        </w:rPr>
        <w:t xml:space="preserve">are handsomely compensated for securing increase in earnings </w:t>
      </w:r>
      <w:r w:rsidR="00D03A8E" w:rsidRPr="00452E2E">
        <w:rPr>
          <w:szCs w:val="24"/>
        </w:rPr>
        <w:fldChar w:fldCharType="begin" w:fldLock="1"/>
      </w:r>
      <w:r w:rsidR="00D03A8E" w:rsidRPr="00452E2E">
        <w:rPr>
          <w:szCs w:val="24"/>
        </w:rPr>
        <w:instrText>ADDIN CSL_CITATION { "citationItems" : [ { "id" : "ITEM-1", "itemData" : { "DOI" : "10.1007/s11575-013-0175-2", "ISSN" : "09388249", "abstract" : "This is a study of the relationship between institutional settings and managerial compensation systems, based on extensive cross-national survey evidence. We compare differences in practices between Multinational Corporations (MNCs) and domestic firms across a range of capitalist archetypes. We find that MNCs are more likely to promote compensation systems that incentivise managers in line with organisational performance compared to domestic firms. Our findings also reveal persistent diversity reflecting firm type and institutional setting. We find that the gap between MNCs and domestic firms in terms of the usage of incentive-related compensation is less pronounced in Liberal Market Economies than in other settings. This suggests that it is a combination of being an MNC and the specific home locale that moulds approaches to managerial compensation. This reflects considerable hybridisation of practices within and between settings. \u00a9 2013 Springer-Verlag Berlin Heidelberg.", "author" : [ { "dropping-particle" : "", "family" : "Le", "given" : "Hang", "non-dropping-particle" : "", "parse-names" : false, "suffix" : "" }, { "dropping-particle" : "", "family" : "Brewster", "given" : "Chris", "non-dropping-particle" : "", "parse-names" : false, "suffix" : "" }, { "dropping-particle" : "", "family" : "Demirbag", "given" : "Mehmet", "non-dropping-particle" : "", "parse-names" : false, "suffix" : "" }, { "dropping-particle" : "", "family" : "Wood", "given" : "Geoffrey", "non-dropping-particle" : "", "parse-names" : false, "suffix" : "" } ], "container-title" : "Management International Review", "id" : "ITEM-1", "issue" : "5", "issued" : { "date-parts" : [ [ "2013" ] ] }, "page" : "741-762", "title" : "Management compensation systems in MNCs and domestic firms: Cross-national empirical evidence", "type" : "article-journal", "volume" : "53" }, "uris" : [ "http://www.mendeley.com/documents/?uuid=34f47e49-2249-46b6-9126-58f03a81789f" ] } ], "mendeley" : { "formattedCitation" : "(Le et al. 2013)", "manualFormatting" : "(Le et al., 2013)", "plainTextFormattedCitation" : "(Le et al. 2013)", "previouslyFormattedCitation" : "(Le et al. 2013)"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(Le </w:t>
      </w:r>
      <w:r w:rsidR="00D03A8E" w:rsidRPr="00452E2E">
        <w:rPr>
          <w:i/>
          <w:noProof/>
          <w:szCs w:val="24"/>
        </w:rPr>
        <w:t>et al</w:t>
      </w:r>
      <w:r w:rsidR="00D03A8E" w:rsidRPr="00452E2E">
        <w:rPr>
          <w:noProof/>
          <w:szCs w:val="24"/>
        </w:rPr>
        <w:t>., 2013)</w:t>
      </w:r>
      <w:r w:rsidR="00D03A8E" w:rsidRPr="00452E2E">
        <w:rPr>
          <w:szCs w:val="24"/>
        </w:rPr>
        <w:fldChar w:fldCharType="end"/>
      </w:r>
      <w:r w:rsidR="00D03A8E" w:rsidRPr="00452E2E">
        <w:rPr>
          <w:szCs w:val="24"/>
        </w:rPr>
        <w:t xml:space="preserve">. As a result of this focus on the bottom line, investment in human capital is </w:t>
      </w:r>
      <w:r w:rsidR="003D5FD1" w:rsidRPr="00452E2E">
        <w:rPr>
          <w:szCs w:val="24"/>
        </w:rPr>
        <w:lastRenderedPageBreak/>
        <w:t>low</w:t>
      </w:r>
      <w:r w:rsidR="00D03A8E" w:rsidRPr="00452E2E">
        <w:rPr>
          <w:szCs w:val="24"/>
        </w:rPr>
        <w:t xml:space="preserve"> since employees are considered as costs that should be eliminated </w:t>
      </w:r>
      <w:r w:rsidR="00D03A8E" w:rsidRPr="00452E2E">
        <w:rPr>
          <w:szCs w:val="24"/>
        </w:rPr>
        <w:fldChar w:fldCharType="begin" w:fldLock="1"/>
      </w:r>
      <w:r w:rsidR="00D03A8E" w:rsidRPr="00452E2E">
        <w:rPr>
          <w:szCs w:val="24"/>
        </w:rPr>
        <w:instrText>ADDIN CSL_CITATION { "citationItems" : [ { "id" : "ITEM-1",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"ITEM-1", "issue" : "SUPPL. 1", "issued" : { "date-parts" : [ [ "2012" ] ] }, "page" : "501-527", "title" : "Varieties of Capitalism and Investments in Human Capital", "type" : "article-journal", "volume" : "51" }, "uris" : [ "http://www.mendeley.com/documents/?uuid=ae647cdd-4633-40ec-850d-1659470e58cc"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"(Goergen et al. 2012; Wood et al. 2012)", "manualFormatting" : "(Goergen et al., 2012; Wood et al., 2012)", "plainTextFormattedCitation" : "(Goergen et al. 2012; Wood et al. 2012)", "previouslyFormattedCitation" : "(Goergen et al. 2012; Wood et al. 2012)"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(Goergen </w:t>
      </w:r>
      <w:r w:rsidR="00D03A8E" w:rsidRPr="00452E2E">
        <w:rPr>
          <w:i/>
          <w:noProof/>
          <w:szCs w:val="24"/>
        </w:rPr>
        <w:t>et al</w:t>
      </w:r>
      <w:r w:rsidR="00D03A8E" w:rsidRPr="00452E2E">
        <w:rPr>
          <w:noProof/>
          <w:szCs w:val="24"/>
        </w:rPr>
        <w:t xml:space="preserve">., 2012; Wood </w:t>
      </w:r>
      <w:r w:rsidR="00D03A8E" w:rsidRPr="00452E2E">
        <w:rPr>
          <w:i/>
          <w:noProof/>
          <w:szCs w:val="24"/>
        </w:rPr>
        <w:t>et al</w:t>
      </w:r>
      <w:r w:rsidR="00D03A8E" w:rsidRPr="00452E2E">
        <w:rPr>
          <w:noProof/>
          <w:szCs w:val="24"/>
        </w:rPr>
        <w:t>., 2012)</w:t>
      </w:r>
      <w:r w:rsidR="00D03A8E" w:rsidRPr="00452E2E">
        <w:rPr>
          <w:szCs w:val="24"/>
        </w:rPr>
        <w:fldChar w:fldCharType="end"/>
      </w:r>
      <w:r w:rsidR="00D03A8E" w:rsidRPr="00452E2E">
        <w:rPr>
          <w:szCs w:val="24"/>
        </w:rPr>
        <w:t xml:space="preserve">. Thus, firms are more likely to lay off workers during economic downturns. </w:t>
      </w:r>
    </w:p>
    <w:p w:rsidR="00D03A8E" w:rsidRPr="00452E2E" w:rsidRDefault="00D03A8E" w:rsidP="00D03A8E">
      <w:pPr>
        <w:spacing w:line="360" w:lineRule="auto"/>
        <w:jc w:val="both"/>
        <w:rPr>
          <w:szCs w:val="24"/>
        </w:rPr>
      </w:pPr>
      <w:r w:rsidRPr="00452E2E">
        <w:rPr>
          <w:szCs w:val="24"/>
        </w:rPr>
        <w:t>In contrast, firms in CMEs depend on their reputation as opposed to a favourable balance sheet in order to secure long term finance</w:t>
      </w:r>
      <w:r w:rsidR="00B9047D" w:rsidRPr="00452E2E">
        <w:rPr>
          <w:szCs w:val="24"/>
        </w:rPr>
        <w:t xml:space="preserve"> </w:t>
      </w:r>
      <w:r w:rsidRPr="00452E2E">
        <w:rPr>
          <w:szCs w:val="24"/>
        </w:rPr>
        <w:fldChar w:fldCharType="begin" w:fldLock="1"/>
      </w:r>
      <w:r w:rsidRPr="00452E2E">
        <w:rPr>
          <w:szCs w:val="24"/>
        </w:rPr>
        <w:instrText>ADDIN CSL_CITATION { "citationItems" : [ { "id" : "ITEM-1", "itemData" : { "author" : [ { "dropping-particle" : "", "family" : "Vitols", "given" : "Sigurt", "non-dropping-particle" : "", "parse-names" : false, "suffix" : "" } ], "chapter-number" : "10",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"337-360", "publisher" : "Oxford University Press", "publisher-place" : "Oxford", "title" : "Varieties of corporate governance: comparing Germany and the UK", "type" : "chapter" }, "uris" : [ "http://www.mendeley.com/documents/?uuid=3869429d-ad4e-415f-ac8b-ee4b4fc13b80" ] } ], "mendeley" : { "formattedCitation" : "(Vitols 2001)", "manualFormatting" : "(Vitols, 2001)", "plainTextFormattedCitation" : "(Vitols 2001)", "previouslyFormattedCitation" : "(Vitols 2001)" }, "properties" : { "noteIndex" : 0 }, "schema" : "https://github.com/citation-style-language/schema/raw/master/csl-citation.json" }</w:instrText>
      </w:r>
      <w:r w:rsidRPr="00452E2E">
        <w:rPr>
          <w:szCs w:val="24"/>
        </w:rPr>
        <w:fldChar w:fldCharType="separate"/>
      </w:r>
      <w:r w:rsidRPr="00452E2E">
        <w:rPr>
          <w:noProof/>
          <w:szCs w:val="24"/>
        </w:rPr>
        <w:t>(Vitols, 2001)</w:t>
      </w:r>
      <w:r w:rsidRPr="00452E2E">
        <w:rPr>
          <w:szCs w:val="24"/>
        </w:rPr>
        <w:fldChar w:fldCharType="end"/>
      </w:r>
      <w:r w:rsidRPr="00452E2E">
        <w:rPr>
          <w:szCs w:val="24"/>
        </w:rPr>
        <w:t xml:space="preserve">. This long term focus means that firms are able to invest in long term projects, which enables them to invest in human capital and also keep highly skilled employees, even in periods of economic downturns </w:t>
      </w:r>
      <w:r w:rsidRPr="00452E2E">
        <w:rPr>
          <w:szCs w:val="24"/>
        </w:rPr>
        <w:fldChar w:fldCharType="begin" w:fldLock="1"/>
      </w:r>
      <w:r w:rsidRPr="00452E2E">
        <w:rPr>
          <w:szCs w:val="24"/>
        </w:rPr>
        <w:instrText>ADDIN CSL_CITATION { "citationItems" : [ { "id" : "ITEM-1", "itemData" : { "author" : [ { "dropping-particle" : "", "family" : "Hollinshead", "given" : "Graham", "non-dropping-particle" : "", "parse-names" : false, "suffix" : "" } ], "id" : "ITEM-1", "issued" : { "date-parts" : [ [ "2010" ] ] }, "publisher" : "McGraw-Hill", "title" : "International and Comparative Human Resource Management", "type" : "book" }, "uris" : [ "http://www.mendeley.com/documents/?uuid=2d576b9b-f202-41c8-99f1-83e8948ad9aa" ] } ], "mendeley" : { "formattedCitation" : "(Hollinshead 2010)", "manualFormatting" : "(Hollinshead, 2010)", "plainTextFormattedCitation" : "(Hollinshead 2010)", "previouslyFormattedCitation" : "(Hollinshead 2010)" }, "properties" : { "noteIndex" : 0 }, "schema" : "https://github.com/citation-style-language/schema/raw/master/csl-citation.json" }</w:instrText>
      </w:r>
      <w:r w:rsidRPr="00452E2E">
        <w:rPr>
          <w:szCs w:val="24"/>
        </w:rPr>
        <w:fldChar w:fldCharType="separate"/>
      </w:r>
      <w:r w:rsidRPr="00452E2E">
        <w:rPr>
          <w:noProof/>
          <w:szCs w:val="24"/>
        </w:rPr>
        <w:t>(Hollinshead, 2010)</w:t>
      </w:r>
      <w:r w:rsidRPr="00452E2E">
        <w:rPr>
          <w:szCs w:val="24"/>
        </w:rPr>
        <w:fldChar w:fldCharType="end"/>
      </w:r>
      <w:r w:rsidRPr="00452E2E">
        <w:rPr>
          <w:szCs w:val="24"/>
        </w:rPr>
        <w:t>.</w:t>
      </w:r>
    </w:p>
    <w:p w:rsidR="00D03A8E" w:rsidRPr="00452E2E" w:rsidRDefault="00D03A8E" w:rsidP="00D03A8E">
      <w:pPr>
        <w:spacing w:line="360" w:lineRule="auto"/>
        <w:jc w:val="both"/>
        <w:rPr>
          <w:szCs w:val="24"/>
        </w:rPr>
      </w:pPr>
      <w:r w:rsidRPr="00452E2E">
        <w:rPr>
          <w:szCs w:val="24"/>
        </w:rPr>
        <w:t xml:space="preserve">In LMEs, </w:t>
      </w:r>
      <w:r w:rsidR="00596D2F" w:rsidRPr="00452E2E">
        <w:rPr>
          <w:szCs w:val="24"/>
        </w:rPr>
        <w:t>m</w:t>
      </w:r>
      <w:r w:rsidRPr="00452E2E">
        <w:rPr>
          <w:szCs w:val="24"/>
        </w:rPr>
        <w:t xml:space="preserve">anagers wield the power to hire and fire since they exert considerable control over the organization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"mendeley" : { "formattedCitation" : "(Hall &amp; Soskice 2001)", "manualFormatting" : "(Hall &amp; Soskice 2001; Wood et al., 2014a)", "plainTextFormattedCitation" : "(Hall &amp; Soskice 2001)", "previouslyFormattedCitation" : "(Hall &amp; Soskice 2001)" }, "properties" : { "noteIndex" : 0 }, "schema" : "https://github.com/citation-style-language/schema/raw/master/csl-citation.json" }</w:instrText>
      </w:r>
      <w:r w:rsidRPr="00452E2E">
        <w:rPr>
          <w:szCs w:val="24"/>
        </w:rPr>
        <w:fldChar w:fldCharType="separate"/>
      </w:r>
      <w:r w:rsidRPr="00452E2E">
        <w:rPr>
          <w:noProof/>
          <w:szCs w:val="24"/>
        </w:rPr>
        <w:t xml:space="preserve">(Hall &amp; Soskice 2001; Wood </w:t>
      </w:r>
      <w:r w:rsidRPr="00452E2E">
        <w:rPr>
          <w:i/>
          <w:noProof/>
          <w:szCs w:val="24"/>
        </w:rPr>
        <w:t>et al</w:t>
      </w:r>
      <w:r w:rsidRPr="00452E2E">
        <w:rPr>
          <w:noProof/>
          <w:szCs w:val="24"/>
        </w:rPr>
        <w:t>., 2014a)</w:t>
      </w:r>
      <w:r w:rsidRPr="00452E2E">
        <w:rPr>
          <w:szCs w:val="24"/>
        </w:rPr>
        <w:fldChar w:fldCharType="end"/>
      </w:r>
      <w:r w:rsidRPr="00452E2E">
        <w:rPr>
          <w:szCs w:val="24"/>
        </w:rPr>
        <w:t xml:space="preserve">. The volatility of the labour market in LMEs provides managers with the impetus to engage or disengage labour at will, with employment contracts mainly short term in nature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"Thelen", "given" : "Kathleen", "non-dropping-particle" : "", "parse-names" : false, "suffix" : "" } ], "chapter-number" : "2", "container-title" : "Varieties of capitalism", "editor" : [ { "dropping-particle" : "", "family" : "Hall", "given" : "Peter", "non-dropping-particle" : "", "parse-names" : false, "suffix" : "" }, { "dropping-particle" : "", "family" : "Soskice", "given" : "David", "non-dropping-particle" : "", "parse-names" : false, "suffix" : "" } ], "id" : "ITEM-2", "issued" : { "date-parts" : [ [ "2001" ] ] }, "page" : "71-103", "publisher" : "Oxford University Press", "publisher-place" : "Oxford", "title" : "Varieties of labor politics in developed democracies", "type" : "chapter" }, "uris" : [ "http://www.mendeley.com/documents/?uuid=126f0670-d478-4ed9-b76d-2d46aedbaf44" ] } ], "mendeley" : { "formattedCitation" : "(Hall &amp; Soskice 2001; Thelen 2001)", "manualFormatting" : "(Hall &amp; Soskice 2001; Thelen 2001)", "plainTextFormattedCitation" : "(Hall &amp; Soskice 2001; Thelen 2001)", "previouslyFormattedCitation" : "(Hall &amp; Soskice 2001; Thelen 2001)" }, "properties" : { "noteIndex" : 0 }, "schema" : "https://github.com/citation-style-language/schema/raw/master/csl-citation.json" }</w:instrText>
      </w:r>
      <w:r w:rsidRPr="00452E2E">
        <w:rPr>
          <w:szCs w:val="24"/>
        </w:rPr>
        <w:fldChar w:fldCharType="separate"/>
      </w:r>
      <w:r w:rsidRPr="00452E2E">
        <w:rPr>
          <w:noProof/>
          <w:szCs w:val="24"/>
        </w:rPr>
        <w:t>(Hall &amp; Soskice 2001; Thelen 2001)</w:t>
      </w:r>
      <w:r w:rsidRPr="00452E2E">
        <w:rPr>
          <w:szCs w:val="24"/>
        </w:rPr>
        <w:fldChar w:fldCharType="end"/>
      </w:r>
      <w:r w:rsidRPr="00452E2E">
        <w:rPr>
          <w:szCs w:val="24"/>
        </w:rPr>
        <w:t xml:space="preserve">. Moreover, the high status difference between managers and workers allows managers to make unpopular decisions without considering the feelings of workers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"Thelen", "given" : "Kathleen", "non-dropping-particle" : "", "parse-names" : false, "suffix" : "" } ], "chapter-number" : "2", "container-title" : "Varieties of capitalism", "editor" : [ { "dropping-particle" : "", "family" : "Hall", "given" : "Peter", "non-dropping-particle" : "", "parse-names" : false, "suffix" : "" }, { "dropping-particle" : "", "family" : "Soskice", "given" : "David", "non-dropping-particle" : "", "parse-names" : false, "suffix" : "" } ], "id" : "ITEM-2", "issued" : { "date-parts" : [ [ "2001" ] ] }, "page" : "71-103", "publisher" : "Oxford University Press", "publisher-place" : "Oxford", "title" : "Varieties of labor politics in developed democracies", "type" : "chapter" }, "uris" : [ "http://www.mendeley.com/documents/?uuid=126f0670-d478-4ed9-b76d-2d46aedbaf44" ] } ], "mendeley" : { "formattedCitation" : "(Hall &amp; Soskice 2001; Thelen 2001)", "manualFormatting" : "(Hall &amp; Soskice 2001; Thelen 2001)", "plainTextFormattedCitation" : "(Hall &amp; Soskice 2001; Thelen 2001)", "previouslyFormattedCitation" : "(Hall &amp; Soskice 2001; Thelen 2001)" }, "properties" : { "noteIndex" : 0 }, "schema" : "https://github.com/citation-style-language/schema/raw/master/csl-citation.json" }</w:instrText>
      </w:r>
      <w:r w:rsidRPr="00452E2E">
        <w:rPr>
          <w:szCs w:val="24"/>
        </w:rPr>
        <w:fldChar w:fldCharType="separate"/>
      </w:r>
      <w:r w:rsidRPr="00452E2E">
        <w:rPr>
          <w:noProof/>
          <w:szCs w:val="24"/>
        </w:rPr>
        <w:t>(Hall &amp; Soskice 2001; Thelen 2001)</w:t>
      </w:r>
      <w:r w:rsidRPr="00452E2E">
        <w:rPr>
          <w:szCs w:val="24"/>
        </w:rPr>
        <w:fldChar w:fldCharType="end"/>
      </w:r>
      <w:r w:rsidRPr="00452E2E">
        <w:rPr>
          <w:szCs w:val="24"/>
        </w:rPr>
        <w:t xml:space="preserve">. Ultimately, organizations are not duty-bound to provide avenues for co-determination in the workplace and trade unions, where they exist, are generally weak </w:t>
      </w:r>
      <w:r w:rsidRPr="00452E2E">
        <w:rPr>
          <w:szCs w:val="24"/>
        </w:rPr>
        <w:fldChar w:fldCharType="begin" w:fldLock="1"/>
      </w:r>
      <w:r w:rsidRPr="00452E2E">
        <w:rPr>
          <w:szCs w:val="24"/>
        </w:rPr>
        <w:instrText>ADDIN CSL_CITATION { "citationItems" : [ { "id" : "ITEM-1", "itemData" : { "abstract" : "Trade unions provide a voice in the way firms are run, an input into reward systems and increased security of employment. But these vary with national context. Using transnational survey evidence, this article explores the relative impact of setting, and of unions and collective bargaining, on these issues. It is found that, irrespective of context, organizations are significantly more likely to make use of compulsory redundancies in the absence of unions and collective bargaining. However, in other areas, the impact of unions appeared less pronounced than that of the wider context. The article explores the reasons behind this, and the broader policy implications thereof. [ABSTRACT FROM AUTHOR] Copyright of Economic &amp; Industrial Democracy is the property of Sage Publications,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"Brewster", "given" : "C.", "non-dropping-particle" : "", "parse-names" : false, "suffix" : "" }, { "dropping-particle" : "", "family" : "Wood", "given" : "G.", "non-dropping-particle" : "", "parse-names" : false, "suffix" : "" }, { "dropping-particle" : "", "family" : "Goergen", "given" : "M.", "non-dropping-particle" : "", "parse-names" : false, "suffix" : "" } ], "container-title" : "Economic and Industrial Democracy", "id" : "ITEM-1", "issue" : "2", "issued" : { "date-parts" : [ [ "2015" ] ] }, "page" : "195-214", "title" : "Institutions, unionization and voice: The relative impact of context and actors on firm level practice", "type" : "article-journal", "volume" : "36" }, "uris" : [ "http://www.mendeley.com/documents/?uuid=feb49f43-1f06-473c-b057-a3f72f95817b" ] } ], "mendeley" : { "formattedCitation" : "(Brewster et al. 2015)", "manualFormatting" : "(Brewster et al., 2015)", "plainTextFormattedCitation" : "(Brewster et al. 2015)", "previouslyFormattedCitation" : "(Brewster et al. 2015)"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2015)</w:t>
      </w:r>
      <w:r w:rsidRPr="00452E2E">
        <w:rPr>
          <w:szCs w:val="24"/>
        </w:rPr>
        <w:fldChar w:fldCharType="end"/>
      </w:r>
      <w:r w:rsidRPr="00452E2E">
        <w:rPr>
          <w:szCs w:val="24"/>
        </w:rPr>
        <w:t xml:space="preserve">. </w:t>
      </w:r>
    </w:p>
    <w:p w:rsidR="00E27580" w:rsidRPr="00452E2E" w:rsidRDefault="00D03A8E" w:rsidP="00D03A8E">
      <w:pPr>
        <w:spacing w:line="360" w:lineRule="auto"/>
        <w:jc w:val="both"/>
        <w:rPr>
          <w:szCs w:val="24"/>
        </w:rPr>
      </w:pPr>
      <w:r w:rsidRPr="00452E2E">
        <w:rPr>
          <w:szCs w:val="24"/>
        </w:rPr>
        <w:t xml:space="preserve">On the other hand, in CMEs, the internal structure of organizations are designed to accommodate various stakeholders in decision making </w:t>
      </w:r>
      <w:r w:rsidRPr="00452E2E">
        <w:rPr>
          <w:szCs w:val="24"/>
        </w:rPr>
        <w:fldChar w:fldCharType="begin" w:fldLock="1"/>
      </w:r>
      <w:r w:rsidRPr="00452E2E">
        <w:rPr>
          <w:szCs w:val="24"/>
        </w:rPr>
        <w:instrText>ADDIN CSL_CITATION { "citationItems" : [ { "id" : "ITEM-1", "itemData" : { "author" : [ { "dropping-particle" : "", "family" : "Hollinshead", "given" : "Graham", "non-dropping-particle" : "", "parse-names" : false, "suffix" : "" } ], "id" : "ITEM-1", "issued" : { "date-parts" : [ [ "2010" ] ] }, "publisher" : "McGraw-Hill", "title" : "International and Comparative Human Resource Management", "type" : "book" }, "uris" : [ "http://www.mendeley.com/documents/?uuid=2d576b9b-f202-41c8-99f1-83e8948ad9aa" ] } ], "mendeley" : { "formattedCitation" : "(Hollinshead 2010)", "manualFormatting" : "(Hollinshead, 2010)", "plainTextFormattedCitation" : "(Hollinshead 2010)", "previouslyFormattedCitation" : "(Hollinshead 2010)" }, "properties" : { "noteIndex" : 0 }, "schema" : "https://github.com/citation-style-language/schema/raw/master/csl-citation.json" }</w:instrText>
      </w:r>
      <w:r w:rsidRPr="00452E2E">
        <w:rPr>
          <w:szCs w:val="24"/>
        </w:rPr>
        <w:fldChar w:fldCharType="separate"/>
      </w:r>
      <w:r w:rsidRPr="00452E2E">
        <w:rPr>
          <w:noProof/>
          <w:szCs w:val="24"/>
        </w:rPr>
        <w:t>(Hollinshead, 2010)</w:t>
      </w:r>
      <w:r w:rsidRPr="00452E2E">
        <w:rPr>
          <w:szCs w:val="24"/>
        </w:rPr>
        <w:fldChar w:fldCharType="end"/>
      </w:r>
      <w:r w:rsidRPr="00452E2E">
        <w:rPr>
          <w:szCs w:val="24"/>
        </w:rPr>
        <w:t xml:space="preserve">. Thus, managers have to build consensus among different stakeholders, including employees, in order to arrive at acceptable decisions in the workplace (Hollinshead, 2010; Wood </w:t>
      </w:r>
      <w:r w:rsidRPr="00452E2E">
        <w:rPr>
          <w:i/>
          <w:szCs w:val="24"/>
        </w:rPr>
        <w:t>et al</w:t>
      </w:r>
      <w:r w:rsidRPr="00452E2E">
        <w:rPr>
          <w:szCs w:val="24"/>
        </w:rPr>
        <w:t>, 2012). The structures provided for co-determ</w:t>
      </w:r>
      <w:r w:rsidR="00776243" w:rsidRPr="00452E2E">
        <w:rPr>
          <w:szCs w:val="24"/>
        </w:rPr>
        <w:t>ination in the workplace enable</w:t>
      </w:r>
      <w:r w:rsidRPr="00452E2E">
        <w:rPr>
          <w:szCs w:val="24"/>
        </w:rPr>
        <w:t xml:space="preserve"> employees to have a voice in the organization, with trade unions being very influential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Brewster et al., 2015)",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xml:space="preserve">. 2012; Brewster </w:t>
      </w:r>
      <w:r w:rsidRPr="00452E2E">
        <w:rPr>
          <w:i/>
          <w:noProof/>
          <w:szCs w:val="24"/>
        </w:rPr>
        <w:t>et al</w:t>
      </w:r>
      <w:r w:rsidRPr="00452E2E">
        <w:rPr>
          <w:noProof/>
          <w:szCs w:val="24"/>
        </w:rPr>
        <w:t>., 2015)</w:t>
      </w:r>
      <w:r w:rsidRPr="00452E2E">
        <w:rPr>
          <w:szCs w:val="24"/>
        </w:rPr>
        <w:fldChar w:fldCharType="end"/>
      </w:r>
      <w:r w:rsidRPr="00452E2E">
        <w:rPr>
          <w:szCs w:val="24"/>
        </w:rPr>
        <w:t xml:space="preserve">. The influence of trade unions and employee representative groups means that managers do not have the unilateral right to hire and fire as obtained in LMEs (Brewster </w:t>
      </w:r>
      <w:r w:rsidRPr="00452E2E">
        <w:rPr>
          <w:i/>
          <w:szCs w:val="24"/>
        </w:rPr>
        <w:t>et al</w:t>
      </w:r>
      <w:r w:rsidRPr="00452E2E">
        <w:rPr>
          <w:szCs w:val="24"/>
        </w:rPr>
        <w:t xml:space="preserve">., 2015). </w:t>
      </w:r>
    </w:p>
    <w:p w:rsidR="00D03A8E" w:rsidRPr="00452E2E" w:rsidRDefault="00D03A8E" w:rsidP="00D03A8E">
      <w:pPr>
        <w:spacing w:line="360" w:lineRule="auto"/>
        <w:jc w:val="both"/>
        <w:rPr>
          <w:szCs w:val="24"/>
        </w:rPr>
      </w:pPr>
      <w:r w:rsidRPr="00452E2E">
        <w:rPr>
          <w:szCs w:val="24"/>
        </w:rPr>
        <w:t xml:space="preserve">In addition, unlike LMEs, the relationship between the organization, managers and workers is not hierarchical but is collaborative such that the rewards for managers and workers are aligned to those of the organization (Brewster </w:t>
      </w:r>
      <w:r w:rsidRPr="00452E2E">
        <w:rPr>
          <w:i/>
          <w:szCs w:val="24"/>
        </w:rPr>
        <w:t>et al</w:t>
      </w:r>
      <w:r w:rsidRPr="00452E2E">
        <w:rPr>
          <w:szCs w:val="24"/>
        </w:rPr>
        <w:t xml:space="preserve">., </w:t>
      </w:r>
      <w:r w:rsidRPr="00452E2E">
        <w:rPr>
          <w:szCs w:val="24"/>
        </w:rPr>
        <w:lastRenderedPageBreak/>
        <w:t xml:space="preserve">2014). This encourages managers and workers to pull their resources together for the organization to succeed since the success of the organization translates to their own success (Wood </w:t>
      </w:r>
      <w:r w:rsidRPr="00452E2E">
        <w:rPr>
          <w:i/>
          <w:szCs w:val="24"/>
        </w:rPr>
        <w:t>et al</w:t>
      </w:r>
      <w:r w:rsidRPr="00452E2E">
        <w:rPr>
          <w:szCs w:val="24"/>
        </w:rPr>
        <w:t xml:space="preserve">., 2012; 2014a).  Above all, labour markets in CMEs are stable thereby guaranteeing employment security to employees (Wood </w:t>
      </w:r>
      <w:r w:rsidRPr="00452E2E">
        <w:rPr>
          <w:i/>
          <w:szCs w:val="24"/>
        </w:rPr>
        <w:t>et al</w:t>
      </w:r>
      <w:r w:rsidRPr="00452E2E">
        <w:rPr>
          <w:szCs w:val="24"/>
        </w:rPr>
        <w:t>., 2014a).</w:t>
      </w:r>
    </w:p>
    <w:p w:rsidR="000C4939" w:rsidRPr="00452E2E" w:rsidRDefault="00136328" w:rsidP="00D03A8E">
      <w:pPr>
        <w:spacing w:line="360" w:lineRule="auto"/>
        <w:jc w:val="both"/>
        <w:rPr>
          <w:szCs w:val="24"/>
        </w:rPr>
      </w:pPr>
      <w:r w:rsidRPr="00452E2E">
        <w:rPr>
          <w:szCs w:val="24"/>
        </w:rPr>
        <w:t>The e</w:t>
      </w:r>
      <w:r w:rsidR="00D03A8E" w:rsidRPr="00452E2E">
        <w:rPr>
          <w:szCs w:val="24"/>
        </w:rPr>
        <w:t xml:space="preserve">ducation system in LMEs encourages the acquisition of general knowledge and skills </w:t>
      </w:r>
      <w:r w:rsidR="00D03A8E" w:rsidRPr="00452E2E">
        <w:rPr>
          <w:szCs w:val="24"/>
        </w:rPr>
        <w:fldChar w:fldCharType="begin" w:fldLock="1"/>
      </w:r>
      <w:r w:rsidR="00D03A8E" w:rsidRPr="00452E2E">
        <w:rPr>
          <w:szCs w:val="24"/>
        </w:rPr>
        <w:instrText>ADDIN CSL_CITATION { "citationItems" : [ { "id" : "ITEM-1",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"ITEM-1", "issue" : "SUPPL. 1", "issued" : { "date-parts" : [ [ "2012" ] ] }, "page" : "501-527", "title" : "Varieties of Capitalism and Investments in Human Capital", "type" : "article-journal", "volume" : "51" }, "uris" : [ "http://www.mendeley.com/documents/?uuid=ae647cdd-4633-40ec-850d-1659470e58cc" ] } ], "mendeley" : { "formattedCitation" : "(Goergen et al. 2012)", "manualFormatting" : "(Hall &amp; Soskice, 2001; Grugulis, 2009)", "plainTextFormattedCitation" : "(Goergen et al. 2012)", "previouslyFormattedCitation" : "(Goergen et al. 2012)" }, "properties" : { "noteIndex" : 0 }, "schema" : "https://github.com/citation-style-language/schema/raw/master/csl-citation.json" }</w:instrText>
      </w:r>
      <w:r w:rsidR="00D03A8E" w:rsidRPr="00452E2E">
        <w:rPr>
          <w:szCs w:val="24"/>
        </w:rPr>
        <w:fldChar w:fldCharType="separate"/>
      </w:r>
      <w:r w:rsidR="00D03A8E" w:rsidRPr="00452E2E">
        <w:rPr>
          <w:noProof/>
          <w:szCs w:val="24"/>
        </w:rPr>
        <w:t>(Hall &amp; Soskice, 2001; Grugulis, 2009)</w:t>
      </w:r>
      <w:r w:rsidR="00D03A8E" w:rsidRPr="00452E2E">
        <w:rPr>
          <w:szCs w:val="24"/>
        </w:rPr>
        <w:fldChar w:fldCharType="end"/>
      </w:r>
      <w:r w:rsidR="00D03A8E" w:rsidRPr="00452E2E">
        <w:rPr>
          <w:szCs w:val="24"/>
        </w:rPr>
        <w:t xml:space="preserve">. This system of acquiring general education enables firms to invest less in workers’ training, with a less-intensive, in-house training, the most preferred method of training provided by organizations </w:t>
      </w:r>
      <w:r w:rsidR="00D03A8E" w:rsidRPr="00452E2E">
        <w:rPr>
          <w:szCs w:val="24"/>
        </w:rPr>
        <w:fldChar w:fldCharType="begin" w:fldLock="1"/>
      </w:r>
      <w:r w:rsidR="00D03A8E"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"mendeley" : { "formattedCitation" : "(Hall &amp; Soskice 2001)", "manualFormatting" : "(Hall &amp; Soskice, 2001; Grugulis, 2009)", "plainTextFormattedCitation" : "(Hall &amp; Soskice 2001)", "previouslyFormattedCitation" : "(Hall &amp; Soskice 2001)" }, "properties" : { "noteIndex" : 0 }, "schema" : "https://github.com/citation-style-language/schema/raw/master/csl-citation.json" }</w:instrText>
      </w:r>
      <w:r w:rsidR="00D03A8E" w:rsidRPr="00452E2E">
        <w:rPr>
          <w:szCs w:val="24"/>
        </w:rPr>
        <w:fldChar w:fldCharType="separate"/>
      </w:r>
      <w:r w:rsidR="00D03A8E" w:rsidRPr="00452E2E">
        <w:rPr>
          <w:noProof/>
          <w:szCs w:val="24"/>
        </w:rPr>
        <w:t>(Hall &amp; Soskice, 2001; Grugulis, 2009)</w:t>
      </w:r>
      <w:r w:rsidR="00D03A8E" w:rsidRPr="00452E2E">
        <w:rPr>
          <w:szCs w:val="24"/>
        </w:rPr>
        <w:fldChar w:fldCharType="end"/>
      </w:r>
      <w:r w:rsidR="00D03A8E" w:rsidRPr="00452E2E">
        <w:rPr>
          <w:szCs w:val="24"/>
        </w:rPr>
        <w:t xml:space="preserve">. Coupled with a volatile labour market, the investment in general skills enables workers to easily move across different firms (Grugulis, 2013). Since cut-throat competition experienced among organizations does not encourage collaboration, high labour mobility, especially if this involves highly skilled science and engineering workers, would facilitate the diffusion of innovation across organizations in LMEs </w:t>
      </w:r>
      <w:r w:rsidR="00D03A8E" w:rsidRPr="00452E2E">
        <w:rPr>
          <w:szCs w:val="24"/>
        </w:rPr>
        <w:fldChar w:fldCharType="begin" w:fldLock="1"/>
      </w:r>
      <w:r w:rsidR="00D03A8E"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"Thelen", "given" : "Kathleen", "non-dropping-particle" : "", "parse-names" : false, "suffix" : "" } ], "chapter-number" : "2", "container-title" : "Varieties of capitalism", "editor" : [ { "dropping-particle" : "", "family" : "Hall", "given" : "Peter", "non-dropping-particle" : "", "parse-names" : false, "suffix" : "" }, { "dropping-particle" : "", "family" : "Soskice", "given" : "David", "non-dropping-particle" : "", "parse-names" : false, "suffix" : "" } ], "id" : "ITEM-2", "issued" : { "date-parts" : [ [ "2001" ] ] }, "page" : "71-103", "publisher" : "Oxford University Press", "publisher-place" : "Oxford", "title" : "Varieties of labor politics in developed democracies", "type" : "chapter" }, "uris" : [ "http://www.mendeley.com/documents/?uuid=126f0670-d478-4ed9-b76d-2d46aedbaf44" ] } ], "mendeley" : { "formattedCitation" : "(Hall &amp; Soskice 2001; Thelen 2001)", "manualFormatting" : "(Hall &amp; Soskice, 2001; Thelen, 2001)", "plainTextFormattedCitation" : "(Hall &amp; Soskice 2001; Thelen 2001)", "previouslyFormattedCitation" : "(Hall &amp; Soskice 2001; Thelen 2001)" }, "properties" : { "noteIndex" : 0 }, "schema" : "https://github.com/citation-style-language/schema/raw/master/csl-citation.json" }</w:instrText>
      </w:r>
      <w:r w:rsidR="00D03A8E" w:rsidRPr="00452E2E">
        <w:rPr>
          <w:szCs w:val="24"/>
        </w:rPr>
        <w:fldChar w:fldCharType="separate"/>
      </w:r>
      <w:r w:rsidR="00D03A8E" w:rsidRPr="00452E2E">
        <w:rPr>
          <w:noProof/>
          <w:szCs w:val="24"/>
        </w:rPr>
        <w:t>(Hall &amp; Soskice, 2001; Thelen, 2001)</w:t>
      </w:r>
      <w:r w:rsidR="00D03A8E" w:rsidRPr="00452E2E">
        <w:rPr>
          <w:szCs w:val="24"/>
        </w:rPr>
        <w:fldChar w:fldCharType="end"/>
      </w:r>
      <w:r w:rsidR="003866E1" w:rsidRPr="00452E2E">
        <w:rPr>
          <w:szCs w:val="24"/>
        </w:rPr>
        <w:t xml:space="preserve">. </w:t>
      </w:r>
    </w:p>
    <w:p w:rsidR="00D03A8E" w:rsidRPr="00452E2E" w:rsidRDefault="003866E1" w:rsidP="00D03A8E">
      <w:pPr>
        <w:spacing w:line="360" w:lineRule="auto"/>
        <w:jc w:val="both"/>
        <w:rPr>
          <w:szCs w:val="24"/>
        </w:rPr>
      </w:pPr>
      <w:r w:rsidRPr="00452E2E">
        <w:rPr>
          <w:szCs w:val="24"/>
        </w:rPr>
        <w:t>In contrast, firms in CMEs</w:t>
      </w:r>
      <w:r w:rsidR="00D03A8E" w:rsidRPr="00452E2E">
        <w:rPr>
          <w:szCs w:val="24"/>
        </w:rPr>
        <w:t xml:space="preserve"> utilize firm-specific or industry-specific skills which vocational training institutions are equipped to provide </w:t>
      </w:r>
      <w:r w:rsidR="00D03A8E" w:rsidRPr="00452E2E">
        <w:rPr>
          <w:szCs w:val="24"/>
        </w:rPr>
        <w:fldChar w:fldCharType="begin" w:fldLock="1"/>
      </w:r>
      <w:r w:rsidR="00D03A8E" w:rsidRPr="00452E2E">
        <w:rPr>
          <w:szCs w:val="24"/>
        </w:rPr>
        <w:instrText>ADDIN CSL_CITATION { "citationItems" : [ { "id" : "ITEM-1",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"ITEM-1", "issue" : "SUPPL. 1", "issued" : { "date-parts" : [ [ "2012" ] ] }, "page" : "501-527", "title" : "Varieties of Capitalism and Investments in Human Capital", "type" : "article-journal", "volume" : "51" }, "uris" : [ "http://www.mendeley.com/documents/?uuid=ae647cdd-4633-40ec-850d-1659470e58cc" ] }, { "id" : "ITEM-2", "itemData" : { "DOI" : "10.1177/0959680107078247", "ISBN" : "0959-6801", "ISSN" : "0959-6801", "abstract" : "During the heyday of neoliberalism, employment protection was widely believed to be one of the main causes of Europe's poor economic performance and high unemployment. We challenge this view and instead argue that employment protection is crucial to preserving Europe's export success in higher value-added industries. In particular, we explore the relationship between employment protection and skills development.", "author" : [ { "dropping-particle" : "", "family" : "Harcourt", "given" : "Mark", "non-dropping-particle" : "", "parse-names" : false, "suffix" : "" }, { "dropping-particle" : "", "family" : "Wood", "given" : "Geoffrey", "non-dropping-particle" : "", "parse-names" : false, "suffix" : "" } ], "container-title" : "European Journal of Industrial Relations", "id" : "ITEM-2", "issue" : "2", "issued" : { "date-parts" : [ [ "2007" ] ] }, "page" : "141-159", "title" : "The importance of employment protection for skill development in coordinated market economies", "type" : "article-journal", "volume" : "13" }, "uris" : [ "http://www.mendeley.com/documents/?uuid=ce832357-ab49-4066-9128-400dbaec95c5" ] } ], "mendeley" : { "formattedCitation" : "(Goergen et al. 2012; Harcourt &amp; Wood 2007)", "manualFormatting" : "(Harcourt &amp; Wood, 2007; Goergen et al., 2012)", "plainTextFormattedCitation" : "(Goergen et al. 2012; Harcourt &amp; Wood 2007)", "previouslyFormattedCitation" : "(Goergen et al. 2012; Harcourt &amp; Wood 2007)"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(Harcourt &amp; Wood, 2007; Goergen </w:t>
      </w:r>
      <w:r w:rsidR="00D03A8E" w:rsidRPr="00452E2E">
        <w:rPr>
          <w:i/>
          <w:noProof/>
          <w:szCs w:val="24"/>
        </w:rPr>
        <w:t>et al</w:t>
      </w:r>
      <w:r w:rsidR="00D03A8E" w:rsidRPr="00452E2E">
        <w:rPr>
          <w:noProof/>
          <w:szCs w:val="24"/>
        </w:rPr>
        <w:t>., 2012)</w:t>
      </w:r>
      <w:r w:rsidR="00D03A8E" w:rsidRPr="00452E2E">
        <w:rPr>
          <w:szCs w:val="24"/>
        </w:rPr>
        <w:fldChar w:fldCharType="end"/>
      </w:r>
      <w:r w:rsidR="00D03A8E" w:rsidRPr="00452E2E">
        <w:rPr>
          <w:szCs w:val="24"/>
        </w:rPr>
        <w:t xml:space="preserve">. Firms are also encouraged to invest in training of workers (Grugulis, 2013). The use of highly-skilled workers, whilst simultaneously allowing them autonomy in workplace decisions, promotes continuous improvement in production strategies of firms in CMEs (Wood </w:t>
      </w:r>
      <w:r w:rsidR="00D03A8E" w:rsidRPr="00452E2E">
        <w:rPr>
          <w:i/>
          <w:szCs w:val="24"/>
        </w:rPr>
        <w:t>et al</w:t>
      </w:r>
      <w:r w:rsidR="00D03A8E" w:rsidRPr="00452E2E">
        <w:rPr>
          <w:szCs w:val="24"/>
        </w:rPr>
        <w:t xml:space="preserve">., 2012; Wood </w:t>
      </w:r>
      <w:r w:rsidR="00D03A8E" w:rsidRPr="00452E2E">
        <w:rPr>
          <w:i/>
          <w:szCs w:val="24"/>
        </w:rPr>
        <w:t>et al</w:t>
      </w:r>
      <w:r w:rsidR="00D03A8E" w:rsidRPr="00452E2E">
        <w:rPr>
          <w:szCs w:val="24"/>
        </w:rPr>
        <w:t xml:space="preserve">., 2014a). </w:t>
      </w:r>
    </w:p>
    <w:p w:rsidR="000C4939" w:rsidRPr="00452E2E" w:rsidRDefault="00D03A8E" w:rsidP="00D03A8E">
      <w:pPr>
        <w:spacing w:line="360" w:lineRule="auto"/>
        <w:jc w:val="both"/>
        <w:rPr>
          <w:szCs w:val="24"/>
        </w:rPr>
      </w:pPr>
      <w:r w:rsidRPr="00452E2E">
        <w:rPr>
          <w:szCs w:val="24"/>
        </w:rPr>
        <w:t xml:space="preserve">The varieties of capitalism approach has been criticised for assuming that countries within LMEs or CMEs </w:t>
      </w:r>
      <w:r w:rsidR="00207896" w:rsidRPr="00452E2E">
        <w:rPr>
          <w:szCs w:val="24"/>
        </w:rPr>
        <w:t xml:space="preserve">are </w:t>
      </w:r>
      <w:r w:rsidRPr="00452E2E">
        <w:rPr>
          <w:szCs w:val="24"/>
        </w:rPr>
        <w:t xml:space="preserve">homogeneous </w:t>
      </w:r>
      <w:r w:rsidRPr="00452E2E">
        <w:rPr>
          <w:szCs w:val="24"/>
        </w:rPr>
        <w:fldChar w:fldCharType="begin" w:fldLock="1"/>
      </w:r>
      <w:r w:rsidRPr="00452E2E">
        <w:rPr>
          <w:szCs w:val="24"/>
        </w:rPr>
        <w:instrText>ADDIN CSL_CITATION { "citationItems" : [ { "id" : "ITEM-1", "itemData" : { "DOI" : "10.1111/ijmr.12025", "ISSN" : "14682370", "abstract" : "The aim of this paper is to consider the extent to which the comparative capitalism literature fully reflects the available empirical evidence in its attempts to model different versions of capitalism and, in particular, whether it adequately captures the roles of diverse stakeholders within the capitalist system. In doing so, particular attention is accorded to the varieties of capitalism literature, business systems theory and regulation theory. In addition, there is reflection in the paper on whether any strand of the literature is able to deal effectively with the recent economic crisis and systemic change. It is argued that more attention needs to be devoted to exploring the structural causes of change and the marginalization of the interests of key social groupings, most notably workers, from the process of institutional redesign.", "author" : [ { "dropping-particle" : "", "family" : "Wood", "given" : "Geoffrey", "non-dropping-particle" : "", "parse-names" : false, "suffix" : "" }, { "dropping-particle" : "", "family" : "Dibben", "given" : "Pauline", "non-dropping-particle" : "", "parse-names" : false, "suffix" : "" }, { "dropping-particle" : "", "family" : "Ogden", "given" : "Stuart", "non-dropping-particle" : "", "parse-names" : false, "suffix" : "" } ], "container-title" : "International Journal of Management Reviews", "id" : "ITEM-1", "issue" : "4", "issued" : { "date-parts" : [ [ "2014" ] ] }, "page" : "384-396", "title" : "Comparative capitalism without capitalism, and production without workers: the limits and possibilities of contemporary institutional analysis", "type" : "article-journal", "volume" : "16" }, "uris" : [ "http://www.mendeley.com/documents/?uuid=a0cf8bba-9521-441d-9835-c002e5d7774a" ] } ], "mendeley" : { "formattedCitation" : "(Wood, Dibben, et al. 2014)", "manualFormatting" : "(Lane &amp; Wood, 2009; Wood et al., 2014c)", "plainTextFormattedCitation" : "(Wood, Dibben, et al. 2014)", "previouslyFormattedCitation" : "(Wood, Dibben, et al. 2014)" }, "properties" : { "noteIndex" : 0 }, "schema" : "https://github.com/citation-style-language/schema/raw/master/csl-citation.json" }</w:instrText>
      </w:r>
      <w:r w:rsidRPr="00452E2E">
        <w:rPr>
          <w:szCs w:val="24"/>
        </w:rPr>
        <w:fldChar w:fldCharType="separate"/>
      </w:r>
      <w:r w:rsidRPr="00452E2E">
        <w:rPr>
          <w:noProof/>
          <w:szCs w:val="24"/>
        </w:rPr>
        <w:t xml:space="preserve">(Lane &amp; Wood, 2009; Wood </w:t>
      </w:r>
      <w:r w:rsidRPr="00452E2E">
        <w:rPr>
          <w:i/>
          <w:noProof/>
          <w:szCs w:val="24"/>
        </w:rPr>
        <w:t>et al</w:t>
      </w:r>
      <w:r w:rsidRPr="00452E2E">
        <w:rPr>
          <w:noProof/>
          <w:szCs w:val="24"/>
        </w:rPr>
        <w:t>., 2014</w:t>
      </w:r>
      <w:r w:rsidRPr="00452E2E">
        <w:rPr>
          <w:i/>
          <w:noProof/>
          <w:szCs w:val="24"/>
        </w:rPr>
        <w:t>c</w:t>
      </w:r>
      <w:r w:rsidRPr="00452E2E">
        <w:rPr>
          <w:noProof/>
          <w:szCs w:val="24"/>
        </w:rPr>
        <w:t>)</w:t>
      </w:r>
      <w:r w:rsidRPr="00452E2E">
        <w:rPr>
          <w:szCs w:val="24"/>
        </w:rPr>
        <w:fldChar w:fldCharType="end"/>
      </w:r>
      <w:r w:rsidRPr="00452E2E">
        <w:rPr>
          <w:szCs w:val="24"/>
        </w:rPr>
        <w:t xml:space="preserve"> and for its over-simplification by assuming that countries can be categorised into either liberal markets or coordinated markets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Wood et al., 2014c)",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xml:space="preserve">., 2012; Wood </w:t>
      </w:r>
      <w:r w:rsidRPr="00452E2E">
        <w:rPr>
          <w:i/>
          <w:noProof/>
          <w:szCs w:val="24"/>
        </w:rPr>
        <w:t>et al</w:t>
      </w:r>
      <w:r w:rsidRPr="00452E2E">
        <w:rPr>
          <w:noProof/>
          <w:szCs w:val="24"/>
        </w:rPr>
        <w:t>., 2014</w:t>
      </w:r>
      <w:r w:rsidRPr="00452E2E">
        <w:rPr>
          <w:i/>
          <w:noProof/>
          <w:szCs w:val="24"/>
        </w:rPr>
        <w:t>c</w:t>
      </w:r>
      <w:r w:rsidRPr="00452E2E">
        <w:rPr>
          <w:noProof/>
          <w:szCs w:val="24"/>
        </w:rPr>
        <w:t>)</w:t>
      </w:r>
      <w:r w:rsidRPr="00452E2E">
        <w:rPr>
          <w:szCs w:val="24"/>
        </w:rPr>
        <w:fldChar w:fldCharType="end"/>
      </w:r>
      <w:r w:rsidRPr="00452E2E">
        <w:rPr>
          <w:szCs w:val="24"/>
        </w:rPr>
        <w:t xml:space="preserve">. Similarly, </w:t>
      </w:r>
      <w:r w:rsidRPr="00452E2E">
        <w:rPr>
          <w:szCs w:val="24"/>
        </w:rPr>
        <w:fldChar w:fldCharType="begin" w:fldLock="1"/>
      </w:r>
      <w:r w:rsidRPr="00452E2E">
        <w:rPr>
          <w:szCs w:val="24"/>
        </w:rPr>
        <w:instrText>ADDIN CSL_CITATION { "citationItems" : [ { "id" : "ITEM-1", "itemData" : { "abstract" : "This conceptual paper argues that national differences in human resource management (HRM) matter and can be explained by cultural and institutional theories. We explore briefly the nature of each set of theories and some of the critiques that have been made of them. We argue that in general much of the differences in HRM between countries are determined by institutional factors, and that management has more influence over the effect of national cultural differences than it has over institutional differences and therefore in most cases the appropriate tests will be tests against institutional differences. Where institutions are less constraining, cultural differences may be the appropriate template.", "author" : [ { "dropping-particle" : "", "family" : "Vaiman", "given" : "Vlad", "non-dropping-particle" : "", "parse-names" : false, "suffix" : "" }, { "dropping-particle" : "", "family" : "Brewster", "given" : "Chris", "non-dropping-particle" : "", "parse-names" : false, "suffix" : "" } ], "container-title" : "The International Journal of Human Resource Management", "id" : "ITEM-1", "issue" : "2", "issued" : { "date-parts" : [ [ "2015" ] ] }, "page" : "151-164", "title" : "How far do cultural differences explain the differences between nations? Implications for HRM", "type" : "article-journal", "volume" : "26" }, "uris" : [ "http://www.mendeley.com/documents/?uuid=5bef0455-1d60-4a33-83e4-7dffa4905189" ] } ], "mendeley" : { "formattedCitation" : "(Vaiman &amp; Brewster 2015)", "manualFormatting" : "Vaiman and Brewster (2015)", "plainTextFormattedCitation" : "(Vaiman &amp; Brewster 2015)", "previouslyFormattedCitation" : "(Vaiman &amp; Brewster 2015)" }, "properties" : { "noteIndex" : 0 }, "schema" : "https://github.com/citation-style-language/schema/raw/master/csl-citation.json" }</w:instrText>
      </w:r>
      <w:r w:rsidRPr="00452E2E">
        <w:rPr>
          <w:szCs w:val="24"/>
        </w:rPr>
        <w:fldChar w:fldCharType="separate"/>
      </w:r>
      <w:r w:rsidRPr="00452E2E">
        <w:rPr>
          <w:noProof/>
          <w:szCs w:val="24"/>
        </w:rPr>
        <w:t xml:space="preserve">Vaiman </w:t>
      </w:r>
      <w:r w:rsidR="00765F77" w:rsidRPr="00452E2E">
        <w:rPr>
          <w:noProof/>
          <w:szCs w:val="24"/>
        </w:rPr>
        <w:t>&amp;</w:t>
      </w:r>
      <w:r w:rsidRPr="00452E2E">
        <w:rPr>
          <w:noProof/>
          <w:szCs w:val="24"/>
        </w:rPr>
        <w:t xml:space="preserve"> Brewster (2015)</w:t>
      </w:r>
      <w:r w:rsidRPr="00452E2E">
        <w:rPr>
          <w:szCs w:val="24"/>
        </w:rPr>
        <w:fldChar w:fldCharType="end"/>
      </w:r>
      <w:r w:rsidRPr="00452E2E">
        <w:rPr>
          <w:szCs w:val="24"/>
        </w:rPr>
        <w:t xml:space="preserve"> note that the varieties of capitalism approach as originally proposed did not take account of many of </w:t>
      </w:r>
      <w:r w:rsidR="0052739C" w:rsidRPr="00452E2E">
        <w:rPr>
          <w:szCs w:val="24"/>
        </w:rPr>
        <w:t xml:space="preserve">the </w:t>
      </w:r>
      <w:r w:rsidRPr="00452E2E">
        <w:rPr>
          <w:szCs w:val="24"/>
        </w:rPr>
        <w:t xml:space="preserve">developing economies where the bulk of the world population resides. This </w:t>
      </w:r>
      <w:r w:rsidR="00A106EC" w:rsidRPr="00452E2E">
        <w:rPr>
          <w:szCs w:val="24"/>
        </w:rPr>
        <w:t xml:space="preserve">has </w:t>
      </w:r>
      <w:r w:rsidRPr="00452E2E">
        <w:rPr>
          <w:szCs w:val="24"/>
        </w:rPr>
        <w:t xml:space="preserve">led to the development of alternative institutional archetypes within the literature on comparative capitalism </w:t>
      </w:r>
      <w:r w:rsidRPr="00452E2E">
        <w:rPr>
          <w:szCs w:val="24"/>
        </w:rPr>
        <w:fldChar w:fldCharType="begin" w:fldLock="1"/>
      </w:r>
      <w:r w:rsidRPr="00452E2E">
        <w:rPr>
          <w:szCs w:val="24"/>
        </w:rPr>
        <w:instrText>ADDIN CSL_CITATION { "citationItems" : [ { "id" : "ITEM-1", "itemData" : { "author" : [ { "dropping-particle" : "", "family" : "Amable", "given" : "B.", "non-dropping-particle" : "", "parse-names" : false, "suffix" : "" } ], "id" : "ITEM-1", "issued" : { "date-parts" : [ [ "2003" ] ] }, "publisher" : "Oxford University Press", "publisher-place" : "Oxford", "title" : "The diversity of modern capitalism", "type" : "book" }, "uris" : [ "http://www.mendeley.com/documents/?uuid=3c8dd87e-c353-4a89-a980-1c98b3b5bbb9" ] }, { "id" : "ITEM-2", "itemData" : { "author" : [ { "dropping-particle" : "", "family" : "Hancke", "given" : "B.", "non-dropping-particle" : "", "parse-names" : false, "suffix" : "" }, { "dropping-particle" : "", "family" : "Rhodes", "given" : "M.", "non-dropping-particle" : "", "parse-names" : false, "suffix" : "" }, { "dropping-particle" : "", "family" : "Thatcher", "given" : "M.", "non-dropping-particle" : "", "parse-names" : false, "suffix" : "" } ], "container-title" : "Beyond varieties of capitalism", "editor" : [ { "dropping-particle" : "", "family" : "Hancke", "given" : "B.", "non-dropping-particle" : "", "parse-names" : false, "suffix" : "" }, { "dropping-particle" : "", "family" : "Rhodes", "given" : "M.", "non-dropping-particle" : "", "parse-names" : false, "suffix" : "" }, { "dropping-particle" : "", "family" : "Thatcher", "given" : "M.", "non-dropping-particle" : "", "parse-names" : false, "suffix" : "" } ], "id" : "ITEM-2", "issued" : { "date-parts" : [ [ "2007" ] ] }, "page" : "1-10", "publisher" : "Oxford University Press", "publisher-place" : "Oxford", "title" : "Introduction: Beyond varieties of capitalism", "type" : "chapter" }, "uris" : [ "http://www.mendeley.com/documents/?uuid=e09a4aac-8596-4281-afb0-da39e75c5edc" ] } ], "mendeley" : { "formattedCitation" : "(Amable 2003; Hancke et al. 2007)", "manualFormatting" : "(e.g. Amable, 2003; Hancke et al., 2007)", "plainTextFormattedCitation" : "(Amable 2003; Hancke et al. 2007)", "previouslyFormattedCitation" : "(Amable 2003; Hancke et al. 2007)" }, "properties" : { "noteIndex" : 0 }, "schema" : "https://github.com/citation-style-language/schema/raw/master/csl-citation.json" }</w:instrText>
      </w:r>
      <w:r w:rsidRPr="00452E2E">
        <w:rPr>
          <w:szCs w:val="24"/>
        </w:rPr>
        <w:fldChar w:fldCharType="separate"/>
      </w:r>
      <w:r w:rsidRPr="00452E2E">
        <w:rPr>
          <w:noProof/>
          <w:szCs w:val="24"/>
        </w:rPr>
        <w:t xml:space="preserve">(e.g. Amable, 2003; Hancke </w:t>
      </w:r>
      <w:r w:rsidRPr="00452E2E">
        <w:rPr>
          <w:i/>
          <w:noProof/>
          <w:szCs w:val="24"/>
        </w:rPr>
        <w:t>et al</w:t>
      </w:r>
      <w:r w:rsidRPr="00452E2E">
        <w:rPr>
          <w:noProof/>
          <w:szCs w:val="24"/>
        </w:rPr>
        <w:t xml:space="preserve">., </w:t>
      </w:r>
      <w:r w:rsidRPr="00452E2E">
        <w:rPr>
          <w:noProof/>
          <w:szCs w:val="24"/>
        </w:rPr>
        <w:lastRenderedPageBreak/>
        <w:t>2007)</w:t>
      </w:r>
      <w:r w:rsidRPr="00452E2E">
        <w:rPr>
          <w:szCs w:val="24"/>
        </w:rPr>
        <w:fldChar w:fldCharType="end"/>
      </w:r>
      <w:r w:rsidRPr="00452E2E">
        <w:rPr>
          <w:szCs w:val="24"/>
        </w:rPr>
        <w:t xml:space="preserve">, including the informally dominated market economies that are typical of most African contexts </w:t>
      </w:r>
      <w:r w:rsidRPr="00452E2E">
        <w:rPr>
          <w:szCs w:val="24"/>
        </w:rPr>
        <w:fldChar w:fldCharType="begin" w:fldLock="1"/>
      </w:r>
      <w:r w:rsidRPr="00452E2E">
        <w:rPr>
          <w:szCs w:val="24"/>
        </w:rPr>
        <w:instrText>ADDIN CSL_CITATION { "citationItems" : [ { "id" : "ITEM-1", "itemData" : { "abstract" : "The varieties of capitalism and employment relations literature have largely focused on formally regulated market economies, with a general neglect of the informal economy and of emerging markets where this work arrangement is dominant. In this article, however, the intention is to propose the Informally Dominated Market Economy as a form of capitalism that could be usefully incorporated into the industrial relations literature. To start to unpack this variety of capitalism, this article explores institutions and employment relations practices in the African economy of Mozambique. The outcome is a conceptual framework that includes both formal and informal institutions and considers the implications for work and employment relations. \u00a9 2012 Regents of the University of California.", "author" : [ { "dropping-particle" : "", "family" : "Dibben", "given" : "Pauline", "non-dropping-particle" : "", "parse-names" : false, "suffix" : "" }, { "dropping-particle" : "", "family" : "Williams", "given" : "Colin C.", "non-dropping-particle" : "", "parse-names" : false, "suffix" : "" } ], "container-title" : "Industrial Relations", "id" : "ITEM-1", "issue" : "SUPPL. 1", "issued" : { "date-parts" : [ [ "2012" ] ] }, "page" : "563-582", "title" : "Varieties of capitalism and employment relations: Informally dominated market economies", "type" : "article-journal", "volume" : "51" }, "uris" : [ "http://www.mendeley.com/documents/?uuid=b17ec623-8358-4dec-aa1e-9b99061dc15f" ] } ], "mendeley" : { "formattedCitation" : "(Dibben &amp; Williams 2012)", "manualFormatting" : "(Dibben &amp; Williams, 2012)", "plainTextFormattedCitation" : "(Dibben &amp; Williams 2012)", "previouslyFormattedCitation" : "(Dibben &amp; Williams 2012)" }, "properties" : { "noteIndex" : 0 }, "schema" : "https://github.com/citation-style-language/schema/raw/master/csl-citation.json" }</w:instrText>
      </w:r>
      <w:r w:rsidRPr="00452E2E">
        <w:rPr>
          <w:szCs w:val="24"/>
        </w:rPr>
        <w:fldChar w:fldCharType="separate"/>
      </w:r>
      <w:r w:rsidRPr="00452E2E">
        <w:rPr>
          <w:noProof/>
          <w:szCs w:val="24"/>
        </w:rPr>
        <w:t>(Dibben &amp; Williams, 2012)</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Nonetheless, </w:t>
      </w:r>
      <w:r w:rsidR="00B3770C" w:rsidRPr="00452E2E">
        <w:rPr>
          <w:szCs w:val="24"/>
        </w:rPr>
        <w:t xml:space="preserve">as Wood </w:t>
      </w:r>
      <w:r w:rsidR="00B3770C" w:rsidRPr="00452E2E">
        <w:rPr>
          <w:i/>
          <w:szCs w:val="24"/>
        </w:rPr>
        <w:t xml:space="preserve">et al. </w:t>
      </w:r>
      <w:r w:rsidR="00B3770C" w:rsidRPr="00452E2E">
        <w:rPr>
          <w:szCs w:val="24"/>
        </w:rPr>
        <w:t xml:space="preserve">(2012) </w:t>
      </w:r>
      <w:r w:rsidR="00EB787C" w:rsidRPr="00452E2E">
        <w:rPr>
          <w:szCs w:val="24"/>
        </w:rPr>
        <w:t xml:space="preserve">rightly </w:t>
      </w:r>
      <w:r w:rsidR="00B3770C" w:rsidRPr="00452E2E">
        <w:rPr>
          <w:szCs w:val="24"/>
        </w:rPr>
        <w:t xml:space="preserve">note, </w:t>
      </w:r>
      <w:r w:rsidRPr="00452E2E">
        <w:rPr>
          <w:szCs w:val="24"/>
        </w:rPr>
        <w:t xml:space="preserve">empirical research mostly using CRANET surveys exist in the field of comparative HRM supporting the distinction between LMEs and CMEs in the management of human resources </w:t>
      </w:r>
      <w:r w:rsidRPr="00452E2E">
        <w:rPr>
          <w:szCs w:val="24"/>
        </w:rPr>
        <w:fldChar w:fldCharType="begin" w:fldLock="1"/>
      </w:r>
      <w:r w:rsidRPr="00452E2E">
        <w:rPr>
          <w:szCs w:val="24"/>
        </w:rPr>
        <w:instrText>ADDIN CSL_CITATION { "citationItems" : [ { "id" : "ITEM-1", "itemData" : { "DOI" : "10.1080/09585190701393582", "ISBN" : "0958-5192", "ISSN" : "0958-5192", "PMID" : "26446933",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"http://www.mendeley.com/documents/?uuid=f9736010-c296-43a8-9306-8e892af3a052" ] }, { "id" : "ITEM-2",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"ITEM-2", "issue" : "1", "issued" : { "date-parts" : [ [ "2009" ] ] }, "page" : "37-61", "title" : "The rise of post-bureaucracy: Theorists' fancy or organizational praxis?", "type" : "article-journal", "volume" : "24" }, "uris" : [ "http://www.mendeley.com/documents/?uuid=34301c7c-ab72-4a8c-a149-b61552e4a0db" ] }, { "id" : "ITEM-3", "itemData" : { "DOI" : "10.2753/JEI0021-3624430111", "ISBN" : "0021-3624", "ISSN" : "0021-3624", "abstract" : "This is a study of the nature of internal diversity within liberal and collaborative market economies. Based on large scale comparative survey data, we assess the extent to which specific clusters of practices are associated with specific varieties of capitalism. Given that recent literature has pointed to internal diversity within specific national contexts, we explore the nature of internal diversity within both liberal and collaborative market economies, and what makes each variety of capitalism distinct. We find that more than one cluster of practices is indeed likely to be encountered in a particular national context, but that this diversity was bounded: only a limited number of alternative paradigms are likely to emerge and persist. The survey findings not only shed light on the nature of this internal diversity, but also reveal the fact that liberal and collaborative markets remain distinct, with the rights accruing to employees being more deeply embedded in a wide cross section of firms within the latter.", "author" : [ { "dropping-particle" : "", "family" : "Wood", "given" : "Geoffrey", "non-dropping-particle" : "", "parse-names" : false, "suffix" : "" }, { "dropping-particle" : "", "family" : "Croucher", "given" : "Richard", "non-dropping-particle" : "", "parse-names" : false, "suffix" : "" }, { "dropping-particle" : "", "family" : "Brewster", "given" : "Chris", "non-dropping-particle" : "", "parse-names" : false, "suffix" : "" }, { "dropping-particle" : "", "family" : "Collings", "given" : "David G.", "non-dropping-particle" : "", "parse-names" : false, "suffix" : "" }, { "dropping-particle" : "", "family" : "Brookes", "given" : "Michael", "non-dropping-particle" : "", "parse-names" : false, "suffix" : "" } ], "container-title" : "Journal of Economic Issues", "id" : "ITEM-3", "issue" : "1", "issued" : { "date-parts" : [ [ "2009" ] ] }, "page" : "239-258", "title" : "Varieties of firm: Complementarity and bounded diversity", "type" : "article-journal", "volume" : "XLIII" }, "uris" : [ "http://www.mendeley.com/documents/?uuid=9c8f1ff4-ccf8-4f8d-88a0-97169400b233" ] }, { "id" : "ITEM-4", "itemData" : { "abstract" : "This article investigates where financial participation is most likely to be encountered, and explores its compatibility with collective forms of employee voice. It is based on the findings of a major international survey of human resource management (HRM) practices. We found that financial participation was not affected by collective employee voice, but that national context and associated HRM strategies had significant effects on its nature and extent. As financial participation is likely to make for greater variation in wage rates, it tends to weaken industry-level bargaining. By re-casting the fundamental determinants of wages, it is also likely to facilitate greater wage dispersion within the firm. Hence, it was found that financial participation is more commonly encountered in liberal market contexts, and in firms practising calculative HRM, where countervailing employee power is weak, whether or not collective bargaining is formally present.", "author" : [ { "dropping-particle" : "", "family" : "Croucher", "given" : "Richard", "non-dropping-particle" : "", "parse-names" : false, "suffix" : "" }, { "dropping-particle" : "", "family" : "Brookes", "given" : "Michael", "non-dropping-particle" : "", "parse-names" : false, "suffix" : "" }, { "dropping-particle" : "", "family" : "Wood", "given" : "Geoffrey", "non-dropping-particle" : "", "parse-names" : false, "suffix" : "" }, { "dropping-particle" : "", "family" : "Brewster", "given" : "Chris", "non-dropping-particle" : "", "parse-names" : false, "suffix" : "" } ], "container-title" : "Human Relations", "id" : "ITEM-4", "issue" : "6", "issued" : { "date-parts" : [ [ "2010" ] ] }, "page" : "835-855", "title" : "Context, strategy and financial participation: A comparative analysis", "type" : "article-journal", "volume" : "63" }, "uris" : [ "http://www.mendeley.com/documents/?uuid=1a4498b8-6f5d-4bba-a909-d8f7556db225" ] }, { "id" : "ITEM-5",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"ITEM-5", "issue" : "SUPPL. 1", "issued" : { "date-parts" : [ [ "2012" ] ] }, "page" : "501-527", "title" : "Varieties of Capitalism and Investments in Human Capital", "type" : "article-journal", "volume" : "51" }, "uris" : [ "http://www.mendeley.com/documents/?uuid=ae647cdd-4633-40ec-850d-1659470e58cc" ] }, { "id" : "ITEM-6",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"ITEM-6",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2007a; Johnson et al. 2009; Wood et al. 2009; Croucher et al. 2010; Goergen et al. 2012; Brewster et al. 2014)", "manualFormatting" : "(e.g. Brewster et al., 2007; Johnson et al., 2009; Wood et al., 2009; Croucher et al., 2010; Goergen et al., 2012; Brewster et al., 2014; Brewster et al., 2015)", "plainTextFormattedCitation" : "(Brewster et al. 2007a; Johnson et al. 2009; Wood et al. 2009; Croucher et al. 2010; Goergen et al. 2012; Brewster et al. 2014)", "previouslyFormattedCitation" : "(Brewster et al. 2007a; Johnson et al. 2009; Wood et al. 2009; Croucher et al. 2010; Goergen et al. 2012; Brewster et al. 2014)" }, "properties" : { "noteIndex" : 0 }, "schema" : "https://github.com/citation-style-language/schema/raw/master/csl-citation.json" }</w:instrText>
      </w:r>
      <w:r w:rsidRPr="00452E2E">
        <w:rPr>
          <w:szCs w:val="24"/>
        </w:rPr>
        <w:fldChar w:fldCharType="separate"/>
      </w:r>
      <w:r w:rsidRPr="00452E2E">
        <w:rPr>
          <w:noProof/>
          <w:szCs w:val="24"/>
        </w:rPr>
        <w:t xml:space="preserve">(e.g. Brewster </w:t>
      </w:r>
      <w:r w:rsidRPr="00452E2E">
        <w:rPr>
          <w:i/>
          <w:noProof/>
          <w:szCs w:val="24"/>
        </w:rPr>
        <w:t>et al</w:t>
      </w:r>
      <w:r w:rsidRPr="00452E2E">
        <w:rPr>
          <w:noProof/>
          <w:szCs w:val="24"/>
        </w:rPr>
        <w:t xml:space="preserve">., 2007; Johnson </w:t>
      </w:r>
      <w:r w:rsidRPr="00452E2E">
        <w:rPr>
          <w:i/>
          <w:noProof/>
          <w:szCs w:val="24"/>
        </w:rPr>
        <w:t>et al</w:t>
      </w:r>
      <w:r w:rsidRPr="00452E2E">
        <w:rPr>
          <w:noProof/>
          <w:szCs w:val="24"/>
        </w:rPr>
        <w:t xml:space="preserve">., 2009; Wood </w:t>
      </w:r>
      <w:r w:rsidRPr="00452E2E">
        <w:rPr>
          <w:i/>
          <w:noProof/>
          <w:szCs w:val="24"/>
        </w:rPr>
        <w:t>et al</w:t>
      </w:r>
      <w:r w:rsidRPr="00452E2E">
        <w:rPr>
          <w:noProof/>
          <w:szCs w:val="24"/>
        </w:rPr>
        <w:t xml:space="preserve">., 2009; Croucher </w:t>
      </w:r>
      <w:r w:rsidRPr="00452E2E">
        <w:rPr>
          <w:i/>
          <w:noProof/>
          <w:szCs w:val="24"/>
        </w:rPr>
        <w:t>et al</w:t>
      </w:r>
      <w:r w:rsidRPr="00452E2E">
        <w:rPr>
          <w:noProof/>
          <w:szCs w:val="24"/>
        </w:rPr>
        <w:t xml:space="preserve">., 2010; Goergen </w:t>
      </w:r>
      <w:r w:rsidRPr="00452E2E">
        <w:rPr>
          <w:i/>
          <w:noProof/>
          <w:szCs w:val="24"/>
        </w:rPr>
        <w:t>et al</w:t>
      </w:r>
      <w:r w:rsidRPr="00452E2E">
        <w:rPr>
          <w:noProof/>
          <w:szCs w:val="24"/>
        </w:rPr>
        <w:t xml:space="preserve">., 2012; Brewster </w:t>
      </w:r>
      <w:r w:rsidRPr="00452E2E">
        <w:rPr>
          <w:i/>
          <w:noProof/>
          <w:szCs w:val="24"/>
        </w:rPr>
        <w:t>et al</w:t>
      </w:r>
      <w:r w:rsidRPr="00452E2E">
        <w:rPr>
          <w:noProof/>
          <w:szCs w:val="24"/>
        </w:rPr>
        <w:t xml:space="preserve">., 2014; Brewster </w:t>
      </w:r>
      <w:r w:rsidRPr="00452E2E">
        <w:rPr>
          <w:i/>
          <w:noProof/>
          <w:szCs w:val="24"/>
        </w:rPr>
        <w:t>et al</w:t>
      </w:r>
      <w:r w:rsidRPr="00452E2E">
        <w:rPr>
          <w:noProof/>
          <w:szCs w:val="24"/>
        </w:rPr>
        <w:t>., 2015)</w:t>
      </w:r>
      <w:r w:rsidRPr="00452E2E">
        <w:rPr>
          <w:szCs w:val="24"/>
        </w:rPr>
        <w:fldChar w:fldCharType="end"/>
      </w:r>
      <w:r w:rsidR="00B7056D" w:rsidRPr="00452E2E">
        <w:rPr>
          <w:szCs w:val="24"/>
        </w:rPr>
        <w:t>.</w:t>
      </w:r>
      <w:r w:rsidRPr="00452E2E">
        <w:rPr>
          <w:szCs w:val="24"/>
        </w:rPr>
        <w:t xml:space="preserve"> </w:t>
      </w:r>
      <w:r w:rsidR="0093640A" w:rsidRPr="00452E2E">
        <w:rPr>
          <w:szCs w:val="24"/>
        </w:rPr>
        <w:t>Nevertheless</w:t>
      </w:r>
      <w:r w:rsidR="00B7056D" w:rsidRPr="00452E2E">
        <w:rPr>
          <w:szCs w:val="24"/>
        </w:rPr>
        <w:t xml:space="preserve">, </w:t>
      </w:r>
      <w:r w:rsidRPr="00452E2E">
        <w:rPr>
          <w:szCs w:val="24"/>
        </w:rPr>
        <w:t xml:space="preserve">diversity also exists within particular capitalist contexts in the way people are managed </w:t>
      </w:r>
      <w:r w:rsidRPr="00452E2E">
        <w:rPr>
          <w:szCs w:val="24"/>
        </w:rPr>
        <w:fldChar w:fldCharType="begin" w:fldLock="1"/>
      </w:r>
      <w:r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"id" : "ITEM-2",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"ITEM-2", "issue" : "SUPPL. 1", "issued" : { "date-parts" : [ [ "2012" ] ] }, "page" : "501-527", "title" : "Varieties of Capitalism and Investments in Human Capital", "type" : "article-journal", "volume" : "51" }, "uris" : [ "http://www.mendeley.com/documents/?uuid=ae647cdd-4633-40ec-850d-1659470e58cc" ] }, { "id" : "ITEM-3", "itemData" : { "DOI" : "10.1111/ijmr.12025", "ISSN" : "14682370", "abstract" : "The aim of this paper is to consider the extent to which the comparative capitalism literature fully reflects the available empirical evidence in its attempts to model different versions of capitalism and, in particular, whether it adequately captures the roles of diverse stakeholders within the capitalist system. In doing so, particular attention is accorded to the varieties of capitalism literature, business systems theory and regulation theory. In addition, there is reflection in the paper on whether any strand of the literature is able to deal effectively with the recent economic crisis and systemic change. It is argued that more attention needs to be devoted to exploring the structural causes of change and the marginalization of the interests of key social groupings, most notably workers, from the process of institutional redesign.", "author" : [ { "dropping-particle" : "", "family" : "Wood", "given" : "Geoffrey", "non-dropping-particle" : "", "parse-names" : false, "suffix" : "" }, { "dropping-particle" : "", "family" : "Dibben", "given" : "Pauline", "non-dropping-particle" : "", "parse-names" : false, "suffix" : "" }, { "dropping-particle" : "", "family" : "Ogden", "given" : "Stuart", "non-dropping-particle" : "", "parse-names" : false, "suffix" : "" } ], "container-title" : "International Journal of Management Reviews", "id" : "ITEM-3", "issue" : "4", "issued" : { "date-parts" : [ [ "2014" ] ] }, "page" : "384-396", "title" : "Comparative capitalism without capitalism, and production without workers: the limits and possibilities of contemporary institutional analysis", "type" : "article-journal", "volume" : "16" }, "uris" : [ "http://www.mendeley.com/documents/?uuid=a0cf8bba-9521-441d-9835-c002e5d7774a" ] } ], "mendeley" : { "formattedCitation" : "(Lane &amp; Wood 2009; Goergen et al. 2012; Wood, Dibben, et al. 2014)", "manualFormatting" : "(Lane &amp; Wood, 2009; Goergen et al., 2012; Wood et al., 2014c)", "plainTextFormattedCitation" : "(Lane &amp; Wood 2009; Goergen et al. 2012; Wood, Dibben, et al. 2014)", "previouslyFormattedCitation" : "(Lane &amp; Wood 2009; Goergen et al. 2012; Wood, Dibben, et al. 2014)" }, "properties" : { "noteIndex" : 0 }, "schema" : "https://github.com/citation-style-language/schema/raw/master/csl-citation.json" }</w:instrText>
      </w:r>
      <w:r w:rsidRPr="00452E2E">
        <w:rPr>
          <w:szCs w:val="24"/>
        </w:rPr>
        <w:fldChar w:fldCharType="separate"/>
      </w:r>
      <w:r w:rsidRPr="00452E2E">
        <w:rPr>
          <w:noProof/>
          <w:szCs w:val="24"/>
        </w:rPr>
        <w:t xml:space="preserve">(Lane &amp; Wood, 2009; Goergen </w:t>
      </w:r>
      <w:r w:rsidRPr="00452E2E">
        <w:rPr>
          <w:i/>
          <w:noProof/>
          <w:szCs w:val="24"/>
        </w:rPr>
        <w:t>et al</w:t>
      </w:r>
      <w:r w:rsidRPr="00452E2E">
        <w:rPr>
          <w:noProof/>
          <w:szCs w:val="24"/>
        </w:rPr>
        <w:t xml:space="preserve">., 2012; Wood </w:t>
      </w:r>
      <w:r w:rsidRPr="00452E2E">
        <w:rPr>
          <w:i/>
          <w:noProof/>
          <w:szCs w:val="24"/>
        </w:rPr>
        <w:t>et al</w:t>
      </w:r>
      <w:r w:rsidRPr="00452E2E">
        <w:rPr>
          <w:noProof/>
          <w:szCs w:val="24"/>
        </w:rPr>
        <w:t>., 2014</w:t>
      </w:r>
      <w:r w:rsidRPr="00452E2E">
        <w:rPr>
          <w:i/>
          <w:noProof/>
          <w:szCs w:val="24"/>
        </w:rPr>
        <w:t>c</w:t>
      </w:r>
      <w:r w:rsidRPr="00452E2E">
        <w:rPr>
          <w:noProof/>
          <w:szCs w:val="24"/>
        </w:rPr>
        <w:t>)</w:t>
      </w:r>
      <w:r w:rsidRPr="00452E2E">
        <w:rPr>
          <w:szCs w:val="24"/>
        </w:rPr>
        <w:fldChar w:fldCharType="end"/>
      </w:r>
      <w:r w:rsidRPr="00452E2E">
        <w:rPr>
          <w:szCs w:val="24"/>
        </w:rPr>
        <w:t xml:space="preserve">. </w:t>
      </w:r>
      <w:r w:rsidR="00EB11D0" w:rsidRPr="00452E2E">
        <w:rPr>
          <w:szCs w:val="24"/>
        </w:rPr>
        <w:t>This</w:t>
      </w:r>
      <w:r w:rsidR="00C02728" w:rsidRPr="00452E2E">
        <w:rPr>
          <w:szCs w:val="24"/>
        </w:rPr>
        <w:t xml:space="preserve"> issue of in</w:t>
      </w:r>
      <w:r w:rsidR="006F3587" w:rsidRPr="00452E2E">
        <w:rPr>
          <w:szCs w:val="24"/>
        </w:rPr>
        <w:t>ter</w:t>
      </w:r>
      <w:r w:rsidR="00C02728" w:rsidRPr="00452E2E">
        <w:rPr>
          <w:szCs w:val="24"/>
        </w:rPr>
        <w:t xml:space="preserve">nal diversity shall be addressed </w:t>
      </w:r>
      <w:r w:rsidR="00DB26DF" w:rsidRPr="00452E2E">
        <w:rPr>
          <w:szCs w:val="24"/>
        </w:rPr>
        <w:t>later in this</w:t>
      </w:r>
      <w:r w:rsidR="00C02728" w:rsidRPr="00452E2E">
        <w:rPr>
          <w:szCs w:val="24"/>
        </w:rPr>
        <w:t xml:space="preserve"> chapter. Meanwhile, t</w:t>
      </w:r>
      <w:r w:rsidRPr="00452E2E">
        <w:rPr>
          <w:szCs w:val="24"/>
        </w:rPr>
        <w:t xml:space="preserve">he next section </w:t>
      </w:r>
      <w:r w:rsidR="00420DB7" w:rsidRPr="00452E2E">
        <w:rPr>
          <w:szCs w:val="24"/>
        </w:rPr>
        <w:t>will</w:t>
      </w:r>
      <w:r w:rsidRPr="00452E2E">
        <w:rPr>
          <w:szCs w:val="24"/>
        </w:rPr>
        <w:t xml:space="preserve"> focus on the business system theory.</w:t>
      </w:r>
    </w:p>
    <w:p w:rsidR="00D03A8E" w:rsidRPr="00452E2E" w:rsidRDefault="00D03A8E" w:rsidP="00D03A8E">
      <w:pPr>
        <w:pStyle w:val="Heading4"/>
      </w:pPr>
      <w:bookmarkStart w:id="44" w:name="_Toc473808112"/>
      <w:r w:rsidRPr="00452E2E">
        <w:t>2.3.4 Business System Theory</w:t>
      </w:r>
      <w:bookmarkEnd w:id="44"/>
    </w:p>
    <w:p w:rsidR="00D03A8E" w:rsidRPr="00452E2E" w:rsidRDefault="00D03A8E" w:rsidP="00D03A8E">
      <w:pPr>
        <w:spacing w:line="360" w:lineRule="auto"/>
        <w:jc w:val="both"/>
        <w:rPr>
          <w:szCs w:val="24"/>
        </w:rPr>
      </w:pPr>
      <w:r w:rsidRPr="00452E2E">
        <w:rPr>
          <w:szCs w:val="24"/>
        </w:rPr>
        <w:t xml:space="preserve">Business system theory </w:t>
      </w:r>
      <w:r w:rsidRPr="00452E2E">
        <w:rPr>
          <w:szCs w:val="24"/>
        </w:rPr>
        <w:fldChar w:fldCharType="begin" w:fldLock="1"/>
      </w:r>
      <w:r w:rsidRPr="00452E2E">
        <w:rPr>
          <w:szCs w:val="24"/>
        </w:rPr>
        <w:instrText>ADDIN CSL_CITATION { "citationItems" : [ { "id" : "ITEM-1", "itemData" : { "author" : [ { "dropping-particle" : "", "family" : "Whitley", "given" : "Richard", "non-dropping-particle" : "", "parse-names" : false, "suffix" : "" } ], "id" : "ITEM-1", "issued" : { "date-parts" : [ [ "1999" ] ] }, "publisher" : "Oxford University Press", "publisher-place" : "Oxford", "title" : "Divergent capitalisms: The social structuring and change of business systems", "type" : "book" }, "uris" : [ "http://www.mendeley.com/documents/?uuid=231cc8f3-d55a-4861-b16e-fcb56a81c053" ] } ], "mendeley" : { "formattedCitation" : "(Whitley 1999)", "manualFormatting" : "(Whitley, 1999)", "plainTextFormattedCitation" : "(Whitley 1999)", "previouslyFormattedCitation" : "(Whitley 1999)" }, "properties" : { "noteIndex" : 0 }, "schema" : "https://github.com/citation-style-language/schema/raw/master/csl-citation.json" }</w:instrText>
      </w:r>
      <w:r w:rsidRPr="00452E2E">
        <w:rPr>
          <w:szCs w:val="24"/>
        </w:rPr>
        <w:fldChar w:fldCharType="separate"/>
      </w:r>
      <w:r w:rsidRPr="00452E2E">
        <w:rPr>
          <w:noProof/>
          <w:szCs w:val="24"/>
        </w:rPr>
        <w:t>(Whitley, 1999)</w:t>
      </w:r>
      <w:r w:rsidRPr="00452E2E">
        <w:rPr>
          <w:szCs w:val="24"/>
        </w:rPr>
        <w:fldChar w:fldCharType="end"/>
      </w:r>
      <w:r w:rsidRPr="00452E2E">
        <w:rPr>
          <w:szCs w:val="24"/>
        </w:rPr>
        <w:t xml:space="preserve"> is an extension of the varieties of capitalism approach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w:t>
      </w:r>
      <w:r w:rsidR="00E53102" w:rsidRPr="00452E2E">
        <w:rPr>
          <w:szCs w:val="24"/>
        </w:rPr>
        <w:t xml:space="preserve">Thus, both varieties of capitalism approach and business system theory </w:t>
      </w:r>
      <w:r w:rsidR="00AB56A6" w:rsidRPr="00452E2E">
        <w:rPr>
          <w:szCs w:val="24"/>
        </w:rPr>
        <w:t xml:space="preserve">highlight differences in institutional contexts of nations thereby resulting in variations in organizational practices as opposed to the sociological new institutionalism which emphasizes the homogenization and convergence of organizational practices (Wood </w:t>
      </w:r>
      <w:r w:rsidR="00AB56A6" w:rsidRPr="00452E2E">
        <w:rPr>
          <w:i/>
          <w:szCs w:val="24"/>
        </w:rPr>
        <w:t>et al.</w:t>
      </w:r>
      <w:r w:rsidR="00AB56A6" w:rsidRPr="00452E2E">
        <w:rPr>
          <w:szCs w:val="24"/>
        </w:rPr>
        <w:t xml:space="preserve">, 2012). </w:t>
      </w:r>
      <w:r w:rsidRPr="00452E2E">
        <w:rPr>
          <w:szCs w:val="24"/>
        </w:rPr>
        <w:t xml:space="preserve">Business systems are defined as “distinctive patterns of economic organization that vary in their degree and mode of authoritative coordination of economic activities, and in the organization of, and interconnections between, owners, managers, experts, and </w:t>
      </w:r>
      <w:r w:rsidR="00F23F91" w:rsidRPr="00452E2E">
        <w:rPr>
          <w:szCs w:val="24"/>
        </w:rPr>
        <w:t>other employees” (Whitley, 1999 p.</w:t>
      </w:r>
      <w:r w:rsidRPr="00452E2E">
        <w:rPr>
          <w:szCs w:val="24"/>
        </w:rPr>
        <w:t>33). Thus, a business system is an</w:t>
      </w:r>
      <w:r w:rsidR="00AE204E" w:rsidRPr="00452E2E">
        <w:rPr>
          <w:szCs w:val="24"/>
        </w:rPr>
        <w:t xml:space="preserve"> aggregation of institutions which</w:t>
      </w:r>
      <w:r w:rsidRPr="00452E2E">
        <w:rPr>
          <w:szCs w:val="24"/>
        </w:rPr>
        <w:t xml:space="preserve"> play an active role in determining the nature of economic transactions, cooperation and control, both within and between organizations in a particular context (Hollinshead, 2010). According to Whitley (1999), the form that a business system takes is determined by the means of ownership, the extent of collaboration or competition between firms, as well as the nature of the relationship between managers and employees </w:t>
      </w:r>
      <w:r w:rsidRPr="00452E2E">
        <w:rPr>
          <w:szCs w:val="24"/>
        </w:rPr>
        <w:fldChar w:fldCharType="begin" w:fldLock="1"/>
      </w:r>
      <w:r w:rsidRPr="00452E2E">
        <w:rPr>
          <w:szCs w:val="24"/>
        </w:rPr>
        <w:instrText>ADDIN CSL_CITATION { "citationItems" : [ { "id" : "ITEM-1", "itemData" : { "author" : [ { "dropping-particle" : "", "family" : "Hollinshead", "given" : "Graham", "non-dropping-particle" : "", "parse-names" : false, "suffix" : "" } ], "id" : "ITEM-1", "issued" : { "date-parts" : [ [ "2010" ] ] }, "publisher" : "McGraw-Hill", "title" : "International and Comparative Human Resource Management", "type" : "book" }, "uris" : [ "http://www.mendeley.com/documents/?uuid=2d576b9b-f202-41c8-99f1-83e8948ad9aa"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"(Hollinshead 2010; Wood et al. 2011)", "manualFormatting" : "(Hollinshead, 2010; Wood et al., 2011)", "plainTextFormattedCitation" : "(Hollinshead 2010; Wood et al. 2011)", "previouslyFormattedCitation" : "(Hollinshead 2010; Wood et al. 2011)" }, "properties" : { "noteIndex" : 0 }, "schema" : "https://github.com/citation-style-language/schema/raw/master/csl-citation.json" }</w:instrText>
      </w:r>
      <w:r w:rsidRPr="00452E2E">
        <w:rPr>
          <w:szCs w:val="24"/>
        </w:rPr>
        <w:fldChar w:fldCharType="separate"/>
      </w:r>
      <w:r w:rsidRPr="00452E2E">
        <w:rPr>
          <w:noProof/>
          <w:szCs w:val="24"/>
        </w:rPr>
        <w:t xml:space="preserve">(Hollinshead, 2010; Wood </w:t>
      </w:r>
      <w:r w:rsidRPr="00452E2E">
        <w:rPr>
          <w:i/>
          <w:noProof/>
          <w:szCs w:val="24"/>
        </w:rPr>
        <w:t>et al</w:t>
      </w:r>
      <w:r w:rsidRPr="00452E2E">
        <w:rPr>
          <w:noProof/>
          <w:szCs w:val="24"/>
        </w:rPr>
        <w:t>., 2011)</w:t>
      </w:r>
      <w:r w:rsidRPr="00452E2E">
        <w:rPr>
          <w:szCs w:val="24"/>
        </w:rPr>
        <w:fldChar w:fldCharType="end"/>
      </w:r>
      <w:r w:rsidRPr="00452E2E">
        <w:rPr>
          <w:szCs w:val="24"/>
        </w:rPr>
        <w:t xml:space="preserve">.  </w:t>
      </w:r>
      <w:r w:rsidR="00E7144A" w:rsidRPr="00452E2E">
        <w:rPr>
          <w:szCs w:val="24"/>
        </w:rPr>
        <w:t>As</w:t>
      </w:r>
      <w:r w:rsidRPr="00452E2E">
        <w:rPr>
          <w:szCs w:val="24"/>
        </w:rPr>
        <w:t xml:space="preserve"> Wood </w:t>
      </w:r>
      <w:r w:rsidRPr="00452E2E">
        <w:rPr>
          <w:i/>
          <w:szCs w:val="24"/>
        </w:rPr>
        <w:t>et al</w:t>
      </w:r>
      <w:r w:rsidRPr="00452E2E">
        <w:rPr>
          <w:szCs w:val="24"/>
        </w:rPr>
        <w:t xml:space="preserve">. (2011) and Wood </w:t>
      </w:r>
      <w:r w:rsidRPr="00452E2E">
        <w:rPr>
          <w:i/>
          <w:szCs w:val="24"/>
        </w:rPr>
        <w:t>et al</w:t>
      </w:r>
      <w:r w:rsidRPr="00452E2E">
        <w:rPr>
          <w:szCs w:val="24"/>
        </w:rPr>
        <w:t>. (2012) observe</w:t>
      </w:r>
      <w:r w:rsidR="00E7144A" w:rsidRPr="00452E2E">
        <w:rPr>
          <w:szCs w:val="24"/>
        </w:rPr>
        <w:t>,</w:t>
      </w:r>
      <w:r w:rsidRPr="00452E2E">
        <w:rPr>
          <w:szCs w:val="24"/>
        </w:rPr>
        <w:t xml:space="preserve"> whilst the primary focus of varieties of capitalism approach is the state, firms are at the heart of business system theory discourse; suggesting </w:t>
      </w:r>
      <w:r w:rsidRPr="00452E2E">
        <w:rPr>
          <w:szCs w:val="24"/>
        </w:rPr>
        <w:lastRenderedPageBreak/>
        <w:t xml:space="preserve">that the effect of institutions on firm-level practices  is specifically recognized in the business system theory </w:t>
      </w:r>
      <w:r w:rsidRPr="00452E2E">
        <w:rPr>
          <w:szCs w:val="24"/>
        </w:rPr>
        <w:fldChar w:fldCharType="begin" w:fldLock="1"/>
      </w:r>
      <w:r w:rsidRPr="00452E2E">
        <w:rPr>
          <w:szCs w:val="24"/>
        </w:rPr>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"plainTextFormattedCitation" : "(Wood et al. 2011)", "previouslyFormattedCitation" : "(Wood et al. 2011)"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2011)</w:t>
      </w:r>
      <w:r w:rsidRPr="00452E2E">
        <w:rPr>
          <w:szCs w:val="24"/>
        </w:rPr>
        <w:fldChar w:fldCharType="end"/>
      </w:r>
      <w:r w:rsidRPr="00452E2E">
        <w:rPr>
          <w:szCs w:val="24"/>
        </w:rPr>
        <w:t>.</w:t>
      </w:r>
    </w:p>
    <w:p w:rsidR="00D03A8E" w:rsidRPr="00452E2E" w:rsidRDefault="00D03A8E" w:rsidP="00D03A8E">
      <w:pPr>
        <w:spacing w:line="360" w:lineRule="auto"/>
        <w:jc w:val="both"/>
        <w:rPr>
          <w:szCs w:val="24"/>
        </w:rPr>
      </w:pPr>
      <w:r w:rsidRPr="00452E2E">
        <w:rPr>
          <w:szCs w:val="24"/>
        </w:rPr>
        <w:t xml:space="preserve">According to business system theory, the nature of HRM in any given context is influenced by the extent to which managers have autonomy and the scope of employee voice </w:t>
      </w:r>
      <w:r w:rsidRPr="00452E2E">
        <w:rPr>
          <w:szCs w:val="24"/>
        </w:rPr>
        <w:fldChar w:fldCharType="begin" w:fldLock="1"/>
      </w:r>
      <w:r w:rsidRPr="00452E2E">
        <w:rPr>
          <w:szCs w:val="24"/>
        </w:rPr>
        <w:instrText>ADDIN CSL_CITATION { "citationItems" : [ { "id" : "ITEM-1", "itemData" : { "author" : [ { "dropping-particle" : "", "family" : "Whitley", "given" : "Richard", "non-dropping-particle" : "", "parse-names" : false, "suffix" : "" } ], "id" : "ITEM-1", "issued" : { "date-parts" : [ [ "1999" ] ] }, "publisher" : "Oxford University Press", "publisher-place" : "Oxford", "title" : "Divergent capitalisms: The social structuring and change of business systems", "type" : "book" }, "uris" : [ "http://www.mendeley.com/documents/?uuid=231cc8f3-d55a-4861-b16e-fcb56a81c053"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"(Whitley 1999; Wood et al. 2012)", "manualFormatting" : "(Whitley, 1999; Wood et al., 2012)", "plainTextFormattedCitation" : "(Whitley 1999; Wood et al. 2012)", "previouslyFormattedCitation" : "(Whitley 1999;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(Whitley, 1999; Wood </w:t>
      </w:r>
      <w:r w:rsidRPr="00452E2E">
        <w:rPr>
          <w:i/>
          <w:noProof/>
          <w:szCs w:val="24"/>
        </w:rPr>
        <w:t>et al</w:t>
      </w:r>
      <w:r w:rsidRPr="00452E2E">
        <w:rPr>
          <w:noProof/>
          <w:szCs w:val="24"/>
        </w:rPr>
        <w:t>., 2012)</w:t>
      </w:r>
      <w:r w:rsidRPr="00452E2E">
        <w:rPr>
          <w:szCs w:val="24"/>
        </w:rPr>
        <w:fldChar w:fldCharType="end"/>
      </w:r>
      <w:r w:rsidRPr="00452E2E">
        <w:rPr>
          <w:szCs w:val="24"/>
        </w:rPr>
        <w:t xml:space="preserve">. The relationship between managers and employees and whether or not employees can have a voice in organizational decisions is determined by the extent to which managers and employees depend on each other (employer-employee interdependence); and the degree to which managers are willing to delegate to employees </w:t>
      </w:r>
      <w:r w:rsidRPr="00452E2E">
        <w:rPr>
          <w:szCs w:val="24"/>
        </w:rPr>
        <w:fldChar w:fldCharType="begin" w:fldLock="1"/>
      </w:r>
      <w:r w:rsidRPr="00452E2E">
        <w:rPr>
          <w:szCs w:val="24"/>
        </w:rPr>
        <w:instrText>ADDIN CSL_CITATION { "citationItems" : [ { "id" : "ITEM-1", "itemData" : { "author" : [ { "dropping-particle" : "", "family" : "Whitley", "given" : "Richard", "non-dropping-particle" : "", "parse-names" : false, "suffix" : "" } ], "id" : "ITEM-1", "issued" : { "date-parts" : [ [ "1999" ] ] }, "publisher" : "Oxford University Press", "publisher-place" : "Oxford", "title" : "Divergent capitalisms: The social structuring and change of business systems", "type" : "book" }, "uris" : [ "http://www.mendeley.com/documents/?uuid=231cc8f3-d55a-4861-b16e-fcb56a81c053"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"(Whitley 1999; Wood et al. 2012)", "manualFormatting" : "(Whitley, 1999; Wood et al., 2012)", "plainTextFormattedCitation" : "(Whitley 1999; Wood et al. 2012)", "previouslyFormattedCitation" : "(Whitley 1999;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(Whitley, 1999; Wood </w:t>
      </w:r>
      <w:r w:rsidRPr="00452E2E">
        <w:rPr>
          <w:i/>
          <w:noProof/>
          <w:szCs w:val="24"/>
        </w:rPr>
        <w:t>et al</w:t>
      </w:r>
      <w:r w:rsidRPr="00452E2E">
        <w:rPr>
          <w:noProof/>
          <w:szCs w:val="24"/>
        </w:rPr>
        <w:t>., 2012)</w:t>
      </w:r>
      <w:r w:rsidRPr="00452E2E">
        <w:rPr>
          <w:szCs w:val="24"/>
        </w:rPr>
        <w:fldChar w:fldCharType="end"/>
      </w:r>
      <w:r w:rsidR="00924B83" w:rsidRPr="00452E2E">
        <w:rPr>
          <w:szCs w:val="24"/>
        </w:rPr>
        <w:t xml:space="preserve">. </w:t>
      </w:r>
      <w:r w:rsidR="005318EB" w:rsidRPr="00452E2E">
        <w:rPr>
          <w:szCs w:val="24"/>
        </w:rPr>
        <w:t xml:space="preserve">In </w:t>
      </w:r>
      <w:r w:rsidRPr="00452E2E">
        <w:rPr>
          <w:szCs w:val="24"/>
        </w:rPr>
        <w:t xml:space="preserve">contexts where employer-employee interdependence is high, employees are likely to benefit from employment security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"Wilkinson", "given" : "Adrian", "non-dropping-particle" : "", "parse-names" : false, "suffix" : "" } ], "container-title" : "Industrial Relations", "id" : "ITEM-1", "issue" : "S1", "issued" : { "date-parts" : [ [ "2012" ] ] }, "page" : "373-388", "title" : "Institutions and employment relations: The state of the art", "type" : "article-journal", "volume" : "51" }, "uris" : [ "http://www.mendeley.com/documents/?uuid=b5875a17-14a8-4fd3-972b-637903247957" ] } ], "mendeley" : { "formattedCitation" : "(Wood &amp; Wilkinson 2012)", "manualFormatting" : "(Wood &amp; Wilkinson, 2012)", "plainTextFormattedCitation" : "(Wood &amp; Wilkinson 2012)", "previouslyFormattedCitation" : "(Wood &amp; Wilkinson 2012)" }, "properties" : { "noteIndex" : 0 }, "schema" : "https://github.com/citation-style-language/schema/raw/master/csl-citation.json" }</w:instrText>
      </w:r>
      <w:r w:rsidRPr="00452E2E">
        <w:rPr>
          <w:szCs w:val="24"/>
        </w:rPr>
        <w:fldChar w:fldCharType="separate"/>
      </w:r>
      <w:r w:rsidRPr="00452E2E">
        <w:rPr>
          <w:noProof/>
          <w:szCs w:val="24"/>
        </w:rPr>
        <w:t>(Wood &amp; Wilkinson, 2012)</w:t>
      </w:r>
      <w:r w:rsidRPr="00452E2E">
        <w:rPr>
          <w:szCs w:val="24"/>
        </w:rPr>
        <w:fldChar w:fldCharType="end"/>
      </w:r>
      <w:r w:rsidR="00A94C5E" w:rsidRPr="00452E2E">
        <w:rPr>
          <w:szCs w:val="24"/>
        </w:rPr>
        <w:t xml:space="preserve">. </w:t>
      </w:r>
      <w:r w:rsidRPr="00452E2E">
        <w:rPr>
          <w:szCs w:val="24"/>
        </w:rPr>
        <w:t xml:space="preserve">At the same time, employers are more willing to invest resources with the aim of retaining the services of employees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"id" : "ITEM-2", "itemData" : { "author" : [ { "dropping-particle" : "", "family" : "Wood", "given" : "Geoffrey", "non-dropping-particle" : "", "parse-names" : false, "suffix" : "" }, { "dropping-particle" : "", "family" : "Wilkinson", "given" : "Adrian", "non-dropping-particle" : "", "parse-names" : false, "suffix" : "" } ], "container-title" : "Industrial Relations", "id" : "ITEM-2", "issue" : "S1", "issued" : { "date-parts" : [ [ "2012" ] ] }, "page" : "373-388", "title" : "Institutions and employment relations: The state of the art", "type" : "article-journal", "volume" : "51" }, "uris" : [ "http://www.mendeley.com/documents/?uuid=b5875a17-14a8-4fd3-972b-637903247957" ] } ], "mendeley" : { "formattedCitation" : "(Wood et al. 2012; Wood &amp; Wilkinson 2012)", "manualFormatting" : "(Wood et al., 2012; Wood &amp; Wilkinson, 2012)", "plainTextFormattedCitation" : "(Wood et al. 2012; Wood &amp; Wilkinson 2012)", "previouslyFormattedCitation" : "(Wood et al. 2012; Wood &amp; Wilkinson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 Wood &amp; Wilkinson, 2012)</w:t>
      </w:r>
      <w:r w:rsidRPr="00452E2E">
        <w:rPr>
          <w:szCs w:val="24"/>
        </w:rPr>
        <w:fldChar w:fldCharType="end"/>
      </w:r>
      <w:r w:rsidRPr="00452E2E">
        <w:rPr>
          <w:szCs w:val="24"/>
        </w:rPr>
        <w:t xml:space="preserve">. This means that in such contexts, employers are more likely to invest in training employees to acquire skills that will be beneficial to the organization, especially in the long-term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On their part, employees will likely reciprocate this by committing their resources in order to maintain membership of their organizations by acquiring firm- specific skills, with the understanding that their services will still be needed by the organization in future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Similarly, the nature of HRM is reflected in the amount of delegation to employees </w:t>
      </w:r>
      <w:r w:rsidRPr="00452E2E">
        <w:rPr>
          <w:szCs w:val="24"/>
        </w:rPr>
        <w:fldChar w:fldCharType="begin" w:fldLock="1"/>
      </w:r>
      <w:r w:rsidRPr="00452E2E">
        <w:rPr>
          <w:szCs w:val="24"/>
        </w:rPr>
        <w:instrText>ADDIN CSL_CITATION { "citationItems" : [ { "id" : "ITEM-1", "itemData" : { "author" : [ { "dropping-particle" : "", "family" : "Whitley", "given" : "Richard", "non-dropping-particle" : "", "parse-names" : false, "suffix" : "" } ], "id" : "ITEM-1", "issued" : { "date-parts" : [ [ "1999" ] ] }, "publisher" : "Oxford University Press", "publisher-place" : "Oxford", "title" : "Divergent capitalisms: The social structuring and change of business systems", "type" : "book" }, "uris" : [ "http://www.mendeley.com/documents/?uuid=231cc8f3-d55a-4861-b16e-fcb56a81c053" ] } ], "mendeley" : { "formattedCitation" : "(Whitley 1999)", "manualFormatting" : "(Whitley, 1999)", "plainTextFormattedCitation" : "(Whitley 1999)", "previouslyFormattedCitation" : "(Whitley 1999)" }, "properties" : { "noteIndex" : 0 }, "schema" : "https://github.com/citation-style-language/schema/raw/master/csl-citation.json" }</w:instrText>
      </w:r>
      <w:r w:rsidRPr="00452E2E">
        <w:rPr>
          <w:szCs w:val="24"/>
        </w:rPr>
        <w:fldChar w:fldCharType="separate"/>
      </w:r>
      <w:r w:rsidRPr="00452E2E">
        <w:rPr>
          <w:noProof/>
          <w:szCs w:val="24"/>
        </w:rPr>
        <w:t>(Whitley, 1999</w:t>
      </w:r>
      <w:r w:rsidR="000B7A1B" w:rsidRPr="00452E2E">
        <w:rPr>
          <w:noProof/>
          <w:szCs w:val="24"/>
        </w:rPr>
        <w:t xml:space="preserve">; Wood </w:t>
      </w:r>
      <w:r w:rsidR="000B7A1B" w:rsidRPr="00452E2E">
        <w:rPr>
          <w:i/>
          <w:noProof/>
          <w:szCs w:val="24"/>
        </w:rPr>
        <w:t xml:space="preserve">et al., </w:t>
      </w:r>
      <w:r w:rsidR="000B7A1B" w:rsidRPr="00452E2E">
        <w:rPr>
          <w:noProof/>
          <w:szCs w:val="24"/>
        </w:rPr>
        <w:t>2012</w:t>
      </w:r>
      <w:r w:rsidRPr="00452E2E">
        <w:rPr>
          <w:noProof/>
          <w:szCs w:val="24"/>
        </w:rPr>
        <w:t>)</w:t>
      </w:r>
      <w:r w:rsidRPr="00452E2E">
        <w:rPr>
          <w:szCs w:val="24"/>
        </w:rPr>
        <w:fldChar w:fldCharType="end"/>
      </w:r>
      <w:r w:rsidRPr="00452E2E">
        <w:rPr>
          <w:szCs w:val="24"/>
        </w:rPr>
        <w:t xml:space="preserve">. This may range from employee representation where managers negotiate with employees on decisions relating to the employment contract, to employee consultation where employees’ inputs are sought but the ultimate decision lies with the manager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"27-50", "publisher" : "Edward Elgar", "publisher-place" : "Cheltenham, UK", "title" : "Institutional approaches to comparative HRM", "type" : "chapter" }, "uris" : [ "http://www.mendeley.com/documents/?uuid=114bb210-2b22-471c-be19-75c88558b0de" ] } ], "mendeley" : { "formattedCitation" : "(Wood et al. 2012)", "manualFormatting" : "(Wood et al., 2012)", "plainTextFormattedCitation" : "(Wood et al. 2012)", "previouslyFormattedCitation" :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In extreme cases where managers wield absolute power, there may be no delegation at all </w:t>
      </w:r>
      <w:r w:rsidRPr="00452E2E">
        <w:rPr>
          <w:szCs w:val="24"/>
        </w:rPr>
        <w:fldChar w:fldCharType="begin" w:fldLock="1"/>
      </w:r>
      <w:r w:rsidRPr="00452E2E">
        <w:rPr>
          <w:szCs w:val="24"/>
        </w:rPr>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Wood et al., 2011)", "plainTextFormattedCitation" : "(Webster &amp; Wood 2005)", "previouslyFormattedCitation" : "(Webster &amp; Wood 2005)" }, "properties" : { "noteIndex" : 0 }, "schema" : "https://github.com/citation-style-language/schema/raw/master/csl-citation.json" }</w:instrText>
      </w:r>
      <w:r w:rsidRPr="00452E2E">
        <w:rPr>
          <w:szCs w:val="24"/>
        </w:rPr>
        <w:fldChar w:fldCharType="separate"/>
      </w:r>
      <w:r w:rsidRPr="00452E2E">
        <w:rPr>
          <w:noProof/>
          <w:szCs w:val="24"/>
        </w:rPr>
        <w:t xml:space="preserve">(Webster &amp; Wood, 2005; Wood </w:t>
      </w:r>
      <w:r w:rsidRPr="00452E2E">
        <w:rPr>
          <w:i/>
          <w:noProof/>
          <w:szCs w:val="24"/>
        </w:rPr>
        <w:t>et al</w:t>
      </w:r>
      <w:r w:rsidRPr="00452E2E">
        <w:rPr>
          <w:noProof/>
          <w:szCs w:val="24"/>
        </w:rPr>
        <w:t>., 2011)</w:t>
      </w:r>
      <w:r w:rsidRPr="00452E2E">
        <w:rPr>
          <w:szCs w:val="24"/>
        </w:rPr>
        <w:fldChar w:fldCharType="end"/>
      </w:r>
      <w:r w:rsidRPr="00452E2E">
        <w:rPr>
          <w:szCs w:val="24"/>
        </w:rPr>
        <w:t xml:space="preserve">. To a large extent, both employer-employee interdependence and delegation go hand-in-hand.  Organizations are more likely to invest in human capital development in contexts where employee voice is high whilst in contexts with low employee voice, the attention given to human capital development is also low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"Wilkinson", "given" : "Adrian", "non-dropping-particle" : "", "parse-names" : false, "suffix" : "" } ], "container-title" : "Industrial Relations", "id" : "ITEM-1", "issue" : "S1", "issued" : { "date-parts" : [ [ "2012" ] ] }, "page" : "373-388", "title" : "Institutions and employment relations: The state of the art", "type" : "article-journal", "volume" : "51" }, "uris" : [ "http://www.mendeley.com/documents/?uuid=b5875a17-14a8-4fd3-972b-637903247957" ] } ], "mendeley" : { "formattedCitation" : "(Wood &amp; Wilkinson 2012)", "manualFormatting" : "(Wood &amp; Wilkinson, 2012)", "plainTextFormattedCitation" : "(Wood &amp; Wilkinson 2012)", "previouslyFormattedCitation" : "(Wood &amp; Wilkinson 2012)" }, "properties" : { "noteIndex" : 0 }, "schema" : "https://github.com/citation-style-language/schema/raw/master/csl-citation.json" }</w:instrText>
      </w:r>
      <w:r w:rsidRPr="00452E2E">
        <w:rPr>
          <w:szCs w:val="24"/>
        </w:rPr>
        <w:fldChar w:fldCharType="separate"/>
      </w:r>
      <w:r w:rsidRPr="00452E2E">
        <w:rPr>
          <w:noProof/>
          <w:szCs w:val="24"/>
        </w:rPr>
        <w:t xml:space="preserve">(Wood &amp; Wilkinson, </w:t>
      </w:r>
      <w:r w:rsidRPr="00452E2E">
        <w:rPr>
          <w:noProof/>
          <w:szCs w:val="24"/>
        </w:rPr>
        <w:lastRenderedPageBreak/>
        <w:t>2012)</w:t>
      </w:r>
      <w:r w:rsidRPr="00452E2E">
        <w:rPr>
          <w:szCs w:val="24"/>
        </w:rPr>
        <w:fldChar w:fldCharType="end"/>
      </w:r>
      <w:r w:rsidRPr="00452E2E">
        <w:rPr>
          <w:szCs w:val="24"/>
        </w:rPr>
        <w:t xml:space="preserve">. Whilst the former is characteristic of CMEs, the latter is characteristic of LMEs </w:t>
      </w:r>
      <w:r w:rsidRPr="00452E2E">
        <w:rPr>
          <w:szCs w:val="24"/>
        </w:rPr>
        <w:fldChar w:fldCharType="begin" w:fldLock="1"/>
      </w:r>
      <w:r w:rsidRPr="00452E2E">
        <w:rPr>
          <w:szCs w:val="24"/>
        </w:rPr>
        <w:instrText>ADDIN CSL_CITATION { "citationItems" : [ { "id" : "ITEM-1",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"ITEM-1", "issue" : "SUPPL. 1", "issued" : { "date-parts" : [ [ "2012" ] ] }, "page" : "501-527", "title" : "Varieties of Capitalism and Investments in Human Capital", "type" : "article-journal", "volume" : "51" }, "uris" : [ "http://www.mendeley.com/documents/?uuid=ae647cdd-4633-40ec-850d-1659470e58cc" ] } ], "mendeley" : { "formattedCitation" : "(Goergen et al. 2012)", "manualFormatting" : "(Goergen et al., 2012)", "plainTextFormattedCitation" : "(Goergen et al. 2012)", "previouslyFormattedCitation" : "(Goergen et al. 2012)" }, "properties" : { "noteIndex" : 0 }, "schema" : "https://github.com/citation-style-language/schema/raw/master/csl-citation.json" }</w:instrText>
      </w:r>
      <w:r w:rsidRPr="00452E2E">
        <w:rPr>
          <w:szCs w:val="24"/>
        </w:rPr>
        <w:fldChar w:fldCharType="separate"/>
      </w:r>
      <w:r w:rsidRPr="00452E2E">
        <w:rPr>
          <w:noProof/>
          <w:szCs w:val="24"/>
        </w:rPr>
        <w:t xml:space="preserve">(Goergen </w:t>
      </w:r>
      <w:r w:rsidRPr="00452E2E">
        <w:rPr>
          <w:i/>
          <w:noProof/>
          <w:szCs w:val="24"/>
        </w:rPr>
        <w:t>et al</w:t>
      </w:r>
      <w:r w:rsidRPr="00452E2E">
        <w:rPr>
          <w:noProof/>
          <w:szCs w:val="24"/>
        </w:rPr>
        <w:t>., 2012)</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Whitley (1999) identify six typologies of business system namely, fragmented, coordinated industrial district, compartmentalised, state organized, collaborative, and highly coordinated business systems.  The work of Whitley (1999) has been extended by Wood &amp; Frynas (2006) with the identification of a seventh typology of business system - the segmented business system - which is characteristic of Africa. Table 2.1 highlights the characteristics of these seven business system archetypes. </w:t>
      </w:r>
    </w:p>
    <w:p w:rsidR="00A063A1" w:rsidRPr="00452E2E" w:rsidRDefault="00D03A8E" w:rsidP="00A063A1">
      <w:pPr>
        <w:spacing w:line="360" w:lineRule="auto"/>
        <w:jc w:val="both"/>
        <w:rPr>
          <w:szCs w:val="24"/>
        </w:rPr>
      </w:pPr>
      <w:r w:rsidRPr="00452E2E">
        <w:rPr>
          <w:szCs w:val="24"/>
        </w:rPr>
        <w:t xml:space="preserve">The identification of the segmented business system is indeed one of the most remarkable developments in the literature on comparative capitalism for two main reasons. First, whilst the literature on comparative capitalism focuses on how institutions improve economic performance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"Whitley", "given" : "Richard", "non-dropping-particle" : "", "parse-names" : false, "suffix" : "" } ], "id" : "ITEM-2", "issued" : { "date-parts" : [ [ "1999" ] ] }, "publisher" : "Oxford University Press", "publisher-place" : "Oxford", "title" : "Divergent capitalisms: The social structuring and change of business systems", "type" : "book" }, "uris" : [ "http://www.mendeley.com/documents/?uuid=231cc8f3-d55a-4861-b16e-fcb56a81c053" ] } ], "mendeley" : { "formattedCitation" : "(Hall &amp; Soskice 2001; Whitley 1999)", "manualFormatting" : "(Hall &amp; Soskice, 2001; Whitley, 1999)", "plainTextFormattedCitation" : "(Hall &amp; Soskice 2001; Whitley 1999)", "previouslyFormattedCitation" : "(Hall &amp; Soskice 2001; Whitley 1999)" }, "properties" : { "noteIndex" : 0 }, "schema" : "https://github.com/citation-style-language/schema/raw/master/csl-citation.json" }</w:instrText>
      </w:r>
      <w:r w:rsidRPr="00452E2E">
        <w:rPr>
          <w:szCs w:val="24"/>
        </w:rPr>
        <w:fldChar w:fldCharType="separate"/>
      </w:r>
      <w:r w:rsidRPr="00452E2E">
        <w:rPr>
          <w:noProof/>
          <w:szCs w:val="24"/>
        </w:rPr>
        <w:t>(Hall &amp; Soskice, 2001; Whitley, 1999)</w:t>
      </w:r>
      <w:r w:rsidRPr="00452E2E">
        <w:rPr>
          <w:szCs w:val="24"/>
        </w:rPr>
        <w:fldChar w:fldCharType="end"/>
      </w:r>
      <w:r w:rsidRPr="00452E2E">
        <w:rPr>
          <w:szCs w:val="24"/>
        </w:rPr>
        <w:t>, the segment business system framework highlights the fact that certain institutional arrangements hinder,</w:t>
      </w:r>
      <w:r w:rsidR="00A063A1" w:rsidRPr="00452E2E">
        <w:rPr>
          <w:szCs w:val="24"/>
        </w:rPr>
        <w:t xml:space="preserve"> rather than advance economic progress (Wood &amp; Frynas, 2006). Second, and whilst not discounting later developments in the literature on comparative capitalism such as the identification of informally dominated market economies </w:t>
      </w:r>
      <w:r w:rsidR="00A063A1" w:rsidRPr="00452E2E">
        <w:rPr>
          <w:szCs w:val="24"/>
        </w:rPr>
        <w:fldChar w:fldCharType="begin" w:fldLock="1"/>
      </w:r>
      <w:r w:rsidR="00A063A1" w:rsidRPr="00452E2E">
        <w:rPr>
          <w:szCs w:val="24"/>
        </w:rPr>
        <w:instrText>ADDIN CSL_CITATION { "citationItems" : [ { "id" : "ITEM-1", "itemData" : { "abstract" : "The varieties of capitalism and employment relations literature have largely focused on formally regulated market economies, with a general neglect of the informal economy and of emerging markets where this work arrangement is dominant. In this article, however, the intention is to propose the Informally Dominated Market Economy as a form of capitalism that could be usefully incorporated into the industrial relations literature. To start to unpack this variety of capitalism, this article explores institutions and employment relations practices in the African economy of Mozambique. The outcome is a conceptual framework that includes both formal and informal institutions and considers the implications for work and employment relations. \u00a9 2012 Regents of the University of California.", "author" : [ { "dropping-particle" : "", "family" : "Dibben", "given" : "Pauline", "non-dropping-particle" : "", "parse-names" : false, "suffix" : "" }, { "dropping-particle" : "", "family" : "Williams", "given" : "Colin C.", "non-dropping-particle" : "", "parse-names" : false, "suffix" : "" } ], "container-title" : "Industrial Relations", "id" : "ITEM-1", "issue" : "SUPPL. 1", "issued" : { "date-parts" : [ [ "2012" ] ] }, "page" : "563-582", "title" : "Varieties of capitalism and employment relations: Informally dominated market economies", "type" : "article-journal", "volume" : "51" }, "uris" : [ "http://www.mendeley.com/documents/?uuid=b17ec623-8358-4dec-aa1e-9b99061dc15f" ] } ], "mendeley" : { "formattedCitation" : "(Dibben &amp; Williams 2012)", "manualFormatting" : "(Dibben &amp; Williams, 2012)", "plainTextFormattedCitation" : "(Dibben &amp; Williams 2012)", "previouslyFormattedCitation" : "(Dibben &amp; Williams 2012)" }, "properties" : { "noteIndex" : 0 }, "schema" : "https://github.com/citation-style-language/schema/raw/master/csl-citation.json" }</w:instrText>
      </w:r>
      <w:r w:rsidR="00A063A1" w:rsidRPr="00452E2E">
        <w:rPr>
          <w:szCs w:val="24"/>
        </w:rPr>
        <w:fldChar w:fldCharType="separate"/>
      </w:r>
      <w:r w:rsidR="00A063A1" w:rsidRPr="00452E2E">
        <w:rPr>
          <w:noProof/>
          <w:szCs w:val="24"/>
        </w:rPr>
        <w:t>(Dibben &amp; Williams, 2012)</w:t>
      </w:r>
      <w:r w:rsidR="00A063A1" w:rsidRPr="00452E2E">
        <w:rPr>
          <w:szCs w:val="24"/>
        </w:rPr>
        <w:fldChar w:fldCharType="end"/>
      </w:r>
      <w:r w:rsidR="00A063A1" w:rsidRPr="00452E2E">
        <w:rPr>
          <w:szCs w:val="24"/>
        </w:rPr>
        <w:t xml:space="preserve">, the segmented business system theory signified the first attempt at including Africa – an often neglected territory- in the mainstream literature on comparative capitalism </w:t>
      </w:r>
      <w:r w:rsidR="00A063A1" w:rsidRPr="00452E2E">
        <w:rPr>
          <w:szCs w:val="24"/>
        </w:rPr>
        <w:fldChar w:fldCharType="begin" w:fldLock="1"/>
      </w:r>
      <w:r w:rsidR="00A063A1" w:rsidRPr="00452E2E">
        <w:rPr>
          <w:szCs w:val="24"/>
        </w:rPr>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Bischoff &amp; Wood, 2012)", "plainTextFormattedCitation" : "(Wood et al. 2011)", "previouslyFormattedCitation" : "(Wood et al. 2011)" }, "properties" : { "noteIndex" : 0 }, "schema" : "https://github.com/citation-style-language/schema/raw/master/csl-citation.json" }</w:instrText>
      </w:r>
      <w:r w:rsidR="00A063A1" w:rsidRPr="00452E2E">
        <w:rPr>
          <w:szCs w:val="24"/>
        </w:rPr>
        <w:fldChar w:fldCharType="separate"/>
      </w:r>
      <w:r w:rsidR="00A063A1" w:rsidRPr="00452E2E">
        <w:rPr>
          <w:noProof/>
          <w:szCs w:val="24"/>
        </w:rPr>
        <w:t xml:space="preserve">(Wood </w:t>
      </w:r>
      <w:r w:rsidR="00A063A1" w:rsidRPr="00452E2E">
        <w:rPr>
          <w:i/>
          <w:noProof/>
          <w:szCs w:val="24"/>
        </w:rPr>
        <w:t>et al</w:t>
      </w:r>
      <w:r w:rsidR="00A063A1" w:rsidRPr="00452E2E">
        <w:rPr>
          <w:noProof/>
          <w:szCs w:val="24"/>
        </w:rPr>
        <w:t>., 2011; Bischoff &amp; Wood, 2012)</w:t>
      </w:r>
      <w:r w:rsidR="00A063A1" w:rsidRPr="00452E2E">
        <w:rPr>
          <w:szCs w:val="24"/>
        </w:rPr>
        <w:fldChar w:fldCharType="end"/>
      </w:r>
      <w:r w:rsidR="00A063A1" w:rsidRPr="00452E2E">
        <w:rPr>
          <w:szCs w:val="24"/>
        </w:rPr>
        <w:t xml:space="preserve">. </w:t>
      </w:r>
    </w:p>
    <w:p w:rsidR="004A5066" w:rsidRPr="00452E2E" w:rsidRDefault="00DA2FF6" w:rsidP="004A5066">
      <w:pPr>
        <w:spacing w:line="360" w:lineRule="auto"/>
        <w:jc w:val="both"/>
        <w:rPr>
          <w:szCs w:val="24"/>
        </w:rPr>
      </w:pPr>
      <w:r w:rsidRPr="00452E2E">
        <w:rPr>
          <w:szCs w:val="24"/>
        </w:rPr>
        <w:t xml:space="preserve">According to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"plainTextFormattedCitation" : "(Wood &amp; Frynas 2006)", "previouslyFormattedCitation" : "(Wood &amp; Frynas 2006)" }, "properties" : { "noteIndex" : 0 }, "schema" : "https://github.com/citation-style-language/schema/raw/master/csl-citation.json" }</w:instrText>
      </w:r>
      <w:r w:rsidRPr="00452E2E">
        <w:rPr>
          <w:szCs w:val="24"/>
        </w:rPr>
        <w:fldChar w:fldCharType="separate"/>
      </w:r>
      <w:r w:rsidRPr="00452E2E">
        <w:rPr>
          <w:noProof/>
          <w:szCs w:val="24"/>
        </w:rPr>
        <w:t>Wood &amp; Frynas (2006)</w:t>
      </w:r>
      <w:r w:rsidRPr="00452E2E">
        <w:rPr>
          <w:szCs w:val="24"/>
        </w:rPr>
        <w:fldChar w:fldCharType="end"/>
      </w:r>
      <w:r w:rsidRPr="00452E2E">
        <w:rPr>
          <w:szCs w:val="24"/>
        </w:rPr>
        <w:t xml:space="preserve">, the segmented business system provides opportunities for wealth generation to a few vested interests, mainly indigenous elites and foreign interests, thereby furthering the persistence of inequalities. In a segmented business system, there is a dichotomy in the nature of HRM between </w:t>
      </w:r>
      <w:r w:rsidR="007E1CD3" w:rsidRPr="00452E2E">
        <w:rPr>
          <w:szCs w:val="24"/>
        </w:rPr>
        <w:t xml:space="preserve">the </w:t>
      </w:r>
      <w:r w:rsidRPr="00452E2E">
        <w:rPr>
          <w:szCs w:val="24"/>
        </w:rPr>
        <w:t xml:space="preserve">public sector and large private organizations on one hand, and small, indigenous, and mainly family owned organizations that operate mostly based on informality (cf. Bischoff &amp; Wood, 2012). In such systems, employer-employee interdependence is generally low since jobs are characterised by low tenure with employers unlikely to invest in human capital development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Wood et al., 2011)", "plainTextFormattedCitation" : "(Wood &amp; Frynas 2006)", "previouslyFormattedCitation" : "(Wood &amp; Frynas 2006)" }, "properties" : { "noteIndex" : 0 }, "schema" : "https://github.com/citation-style-language/schema/raw/master/csl-citation.json" }</w:instrText>
      </w:r>
      <w:r w:rsidRPr="00452E2E">
        <w:rPr>
          <w:szCs w:val="24"/>
        </w:rPr>
        <w:fldChar w:fldCharType="separate"/>
      </w:r>
      <w:r w:rsidRPr="00452E2E">
        <w:rPr>
          <w:noProof/>
          <w:szCs w:val="24"/>
        </w:rPr>
        <w:t xml:space="preserve">(Wood &amp; Frynas 2006; Wood </w:t>
      </w:r>
      <w:r w:rsidRPr="00452E2E">
        <w:rPr>
          <w:i/>
          <w:noProof/>
          <w:szCs w:val="24"/>
        </w:rPr>
        <w:t>et al</w:t>
      </w:r>
      <w:r w:rsidRPr="00452E2E">
        <w:rPr>
          <w:noProof/>
          <w:szCs w:val="24"/>
        </w:rPr>
        <w:t>., 2011)</w:t>
      </w:r>
      <w:r w:rsidRPr="00452E2E">
        <w:rPr>
          <w:szCs w:val="24"/>
        </w:rPr>
        <w:fldChar w:fldCharType="end"/>
      </w:r>
      <w:r w:rsidRPr="00452E2E">
        <w:rPr>
          <w:szCs w:val="24"/>
        </w:rPr>
        <w:t xml:space="preserve">. This is exacerbated by poorly developed education and </w:t>
      </w:r>
      <w:r w:rsidRPr="00452E2E">
        <w:rPr>
          <w:szCs w:val="24"/>
        </w:rPr>
        <w:lastRenderedPageBreak/>
        <w:t xml:space="preserve">vocational training systems, often lacking adequate funding from government </w:t>
      </w:r>
      <w:r w:rsidRPr="00452E2E">
        <w:rPr>
          <w:szCs w:val="24"/>
        </w:rPr>
        <w:fldChar w:fldCharType="begin" w:fldLock="1"/>
      </w:r>
      <w:r w:rsidRPr="00452E2E">
        <w:rPr>
          <w:szCs w:val="24"/>
        </w:rPr>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"(Webster &amp; Wood 2005; Wood et al. 2011)", "manualFormatting" : "(Webster &amp; Wood, 2005; Wood &amp; Frynas, 2006; Wood et al., 2011)", "plainTextFormattedCitation" : "(Webster &amp; Wood 2005; Wood et al. 2011)", "previouslyFormattedCitation" : "(Webster &amp; Wood 2005; Wood et al. 2011)" }, "properties" : { "noteIndex" : 0 }, "schema" : "https://github.com/citation-style-language/schema/raw/master/csl-citation.json" }</w:instrText>
      </w:r>
      <w:r w:rsidRPr="00452E2E">
        <w:rPr>
          <w:szCs w:val="24"/>
        </w:rPr>
        <w:fldChar w:fldCharType="separate"/>
      </w:r>
      <w:r w:rsidRPr="00452E2E">
        <w:rPr>
          <w:noProof/>
          <w:szCs w:val="24"/>
        </w:rPr>
        <w:t xml:space="preserve">(Webster &amp; Wood, 2005; Wood &amp; Frynas, 2006; Wood </w:t>
      </w:r>
      <w:r w:rsidRPr="00452E2E">
        <w:rPr>
          <w:i/>
          <w:noProof/>
          <w:szCs w:val="24"/>
        </w:rPr>
        <w:t>et al</w:t>
      </w:r>
      <w:r w:rsidRPr="00452E2E">
        <w:rPr>
          <w:noProof/>
          <w:szCs w:val="24"/>
        </w:rPr>
        <w:t>., 2011)</w:t>
      </w:r>
      <w:r w:rsidRPr="00452E2E">
        <w:rPr>
          <w:szCs w:val="24"/>
        </w:rPr>
        <w:fldChar w:fldCharType="end"/>
      </w:r>
      <w:r w:rsidRPr="00452E2E">
        <w:rPr>
          <w:szCs w:val="24"/>
        </w:rPr>
        <w:t xml:space="preserve">. </w:t>
      </w:r>
    </w:p>
    <w:p w:rsidR="00E84108" w:rsidRPr="00452E2E" w:rsidRDefault="00DA2FF6" w:rsidP="004A5066">
      <w:pPr>
        <w:spacing w:line="360" w:lineRule="auto"/>
        <w:jc w:val="both"/>
      </w:pPr>
      <w:r w:rsidRPr="00452E2E">
        <w:rPr>
          <w:szCs w:val="24"/>
        </w:rPr>
        <w:t xml:space="preserve">Similarly, there is likely to be low level of delegation typified by poor communication and paternalistic authority relations between management and workers </w:t>
      </w:r>
      <w:r w:rsidRPr="00452E2E">
        <w:rPr>
          <w:szCs w:val="24"/>
        </w:rPr>
        <w:fldChar w:fldCharType="begin" w:fldLock="1"/>
      </w:r>
      <w:r w:rsidRPr="00452E2E">
        <w:rPr>
          <w:szCs w:val="24"/>
        </w:rPr>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Wood, 2010)", "plainTextFormattedCitation" : "(Webster &amp; Wood 2005)", "previouslyFormattedCitation" : "(Webster &amp; Wood 2005)" }, "properties" : { "noteIndex" : 0 }, "schema" : "https://github.com/citation-style-language/schema/raw/master/csl-citation.json" }</w:instrText>
      </w:r>
      <w:r w:rsidRPr="00452E2E">
        <w:rPr>
          <w:szCs w:val="24"/>
        </w:rPr>
        <w:fldChar w:fldCharType="separate"/>
      </w:r>
      <w:r w:rsidRPr="00452E2E">
        <w:rPr>
          <w:noProof/>
          <w:szCs w:val="24"/>
        </w:rPr>
        <w:t>(Webster &amp; Wood, 2005; Wood, 2010)</w:t>
      </w:r>
      <w:r w:rsidRPr="00452E2E">
        <w:rPr>
          <w:szCs w:val="24"/>
        </w:rPr>
        <w:fldChar w:fldCharType="end"/>
      </w:r>
      <w:r w:rsidRPr="00452E2E">
        <w:rPr>
          <w:szCs w:val="24"/>
        </w:rPr>
        <w:t xml:space="preserve">. Although trade unions may exist in the public sector and </w:t>
      </w:r>
      <w:r w:rsidR="00A91F0E" w:rsidRPr="00452E2E">
        <w:rPr>
          <w:szCs w:val="24"/>
        </w:rPr>
        <w:t xml:space="preserve">in </w:t>
      </w:r>
      <w:r w:rsidRPr="00452E2E">
        <w:rPr>
          <w:szCs w:val="24"/>
        </w:rPr>
        <w:t>large private organizations, they are generally weak (Wood, 2010). At the same time, the weak enforcement of labour legislation means that labour laws are unlikely to be observed across all organizations,</w:t>
      </w:r>
      <w:r w:rsidR="004A5066" w:rsidRPr="00452E2E">
        <w:rPr>
          <w:szCs w:val="24"/>
        </w:rPr>
        <w:t xml:space="preserve"> especially those in the informal sphere of the economy </w:t>
      </w:r>
      <w:r w:rsidR="004A5066" w:rsidRPr="00452E2E">
        <w:rPr>
          <w:szCs w:val="24"/>
        </w:rPr>
        <w:fldChar w:fldCharType="begin" w:fldLock="1"/>
      </w:r>
      <w:r w:rsidR="004A5066" w:rsidRPr="00452E2E">
        <w:rPr>
          <w:szCs w:val="24"/>
        </w:rPr>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Bischoff &amp; Wood, 2012; Wood et al., 2012)", "plainTextFormattedCitation" : "(Wood &amp; Frynas 2006)", "previouslyFormattedCitation" : "(Wood &amp; Frynas 2006)" }, "properties" : { "noteIndex" : 0 }, "schema" : "https://github.com/citation-style-language/schema/raw/master/csl-citation.json" }</w:instrText>
      </w:r>
      <w:r w:rsidR="004A5066" w:rsidRPr="00452E2E">
        <w:rPr>
          <w:szCs w:val="24"/>
        </w:rPr>
        <w:fldChar w:fldCharType="separate"/>
      </w:r>
      <w:r w:rsidR="004A5066" w:rsidRPr="00452E2E">
        <w:rPr>
          <w:noProof/>
          <w:szCs w:val="24"/>
        </w:rPr>
        <w:t xml:space="preserve">(Wood &amp; Frynas, 2006; Bischoff &amp; Wood, 2012; Wood </w:t>
      </w:r>
      <w:r w:rsidR="004A5066" w:rsidRPr="00452E2E">
        <w:rPr>
          <w:i/>
          <w:noProof/>
          <w:szCs w:val="24"/>
        </w:rPr>
        <w:t>et al</w:t>
      </w:r>
      <w:r w:rsidR="004A5066" w:rsidRPr="00452E2E">
        <w:rPr>
          <w:noProof/>
          <w:szCs w:val="24"/>
        </w:rPr>
        <w:t>., 2012)</w:t>
      </w:r>
      <w:r w:rsidR="004A5066" w:rsidRPr="00452E2E">
        <w:rPr>
          <w:szCs w:val="24"/>
        </w:rPr>
        <w:fldChar w:fldCharType="end"/>
      </w:r>
      <w:r w:rsidR="004A5066" w:rsidRPr="00452E2E">
        <w:rPr>
          <w:szCs w:val="24"/>
        </w:rPr>
        <w:t xml:space="preserve">. Accordingly, the segmented business system theory ‘highlights uneven nature of institutional coverage and great internal variations according to firm type or sector’ </w:t>
      </w:r>
      <w:r w:rsidR="004A5066" w:rsidRPr="00452E2E">
        <w:rPr>
          <w:szCs w:val="24"/>
        </w:rPr>
        <w:fldChar w:fldCharType="begin" w:fldLock="1"/>
      </w:r>
      <w:r w:rsidR="0073238C" w:rsidRPr="00452E2E">
        <w:rPr>
          <w:szCs w:val="24"/>
        </w:rPr>
        <w:instrText>ADDIN CSL_CITATION { "citationItems" : [ { "id" : "ITEM-1",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"ITEM-1",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"(Wood &amp; Horwitz 2015)", "manualFormatting" : "(Wood &amp; Horwitz, 2015 p.23)", "plainTextFormattedCitation" : "(Wood &amp; Horwitz 2015)", "previouslyFormattedCitation" : "(Wood &amp; Horwitz 2015)" }, "properties" : { "noteIndex" : 0 }, "schema" : "https://github.com/citation-style-language/schema/raw/master/csl-citation.json" }</w:instrText>
      </w:r>
      <w:r w:rsidR="004A5066" w:rsidRPr="00452E2E">
        <w:rPr>
          <w:szCs w:val="24"/>
        </w:rPr>
        <w:fldChar w:fldCharType="separate"/>
      </w:r>
      <w:r w:rsidR="004A5066" w:rsidRPr="00452E2E">
        <w:rPr>
          <w:noProof/>
          <w:szCs w:val="24"/>
        </w:rPr>
        <w:t>(Wood &amp; Horwitz</w:t>
      </w:r>
      <w:r w:rsidR="00854FEC" w:rsidRPr="00452E2E">
        <w:rPr>
          <w:noProof/>
          <w:szCs w:val="24"/>
        </w:rPr>
        <w:t>,</w:t>
      </w:r>
      <w:r w:rsidR="004A5066" w:rsidRPr="00452E2E">
        <w:rPr>
          <w:noProof/>
          <w:szCs w:val="24"/>
        </w:rPr>
        <w:t xml:space="preserve"> 2015 p.23)</w:t>
      </w:r>
      <w:r w:rsidR="004A5066" w:rsidRPr="00452E2E">
        <w:rPr>
          <w:szCs w:val="24"/>
        </w:rPr>
        <w:fldChar w:fldCharType="end"/>
      </w:r>
      <w:r w:rsidR="004A5066" w:rsidRPr="00452E2E">
        <w:rPr>
          <w:szCs w:val="24"/>
        </w:rPr>
        <w:t xml:space="preserve">. Empirically, Wood </w:t>
      </w:r>
      <w:r w:rsidR="004A5066" w:rsidRPr="00452E2E">
        <w:rPr>
          <w:i/>
          <w:szCs w:val="24"/>
        </w:rPr>
        <w:t>et al</w:t>
      </w:r>
      <w:r w:rsidR="004A5066" w:rsidRPr="00452E2E">
        <w:rPr>
          <w:szCs w:val="24"/>
        </w:rPr>
        <w:t xml:space="preserve">. (2011) found strong support for the segmented business system while exploring the nature of HRM in Mozambican context. In the next sub-section, the drivers of institutional diversity within national contexts </w:t>
      </w:r>
      <w:r w:rsidR="00401FF2" w:rsidRPr="00452E2E">
        <w:rPr>
          <w:szCs w:val="24"/>
        </w:rPr>
        <w:t>will</w:t>
      </w:r>
      <w:r w:rsidR="004A5066" w:rsidRPr="00452E2E">
        <w:rPr>
          <w:szCs w:val="24"/>
        </w:rPr>
        <w:t xml:space="preserve"> be discussed. </w:t>
      </w:r>
      <w:r w:rsidRPr="00452E2E">
        <w:rPr>
          <w:szCs w:val="24"/>
        </w:rPr>
        <w:t xml:space="preserve"> </w:t>
      </w:r>
      <w:r w:rsidR="00E84108" w:rsidRPr="00452E2E">
        <w:t xml:space="preserve"> </w:t>
      </w:r>
    </w:p>
    <w:p w:rsidR="00D03A8E" w:rsidRPr="00452E2E" w:rsidRDefault="004A5066" w:rsidP="004A5066">
      <w:pPr>
        <w:spacing w:line="360" w:lineRule="auto"/>
        <w:jc w:val="both"/>
        <w:sectPr w:rsidR="00D03A8E" w:rsidRPr="00452E2E" w:rsidSect="00B57950">
          <w:pgSz w:w="11906" w:h="16838"/>
          <w:pgMar w:top="1440" w:right="1440" w:bottom="1440" w:left="2268" w:header="708" w:footer="708" w:gutter="0"/>
          <w:pgNumType w:start="1"/>
          <w:cols w:space="708"/>
          <w:docGrid w:linePitch="360"/>
        </w:sectPr>
      </w:pPr>
      <w:r w:rsidRPr="00452E2E">
        <w:t xml:space="preserve">  </w:t>
      </w:r>
    </w:p>
    <w:p w:rsidR="00D03A8E" w:rsidRPr="00452E2E" w:rsidRDefault="00D03A8E" w:rsidP="00D03A8E">
      <w:pPr>
        <w:pStyle w:val="Caption"/>
        <w:rPr>
          <w:b w:val="0"/>
        </w:rPr>
      </w:pPr>
      <w:bookmarkStart w:id="45" w:name="_Toc465419836"/>
      <w:r w:rsidRPr="00452E2E">
        <w:lastRenderedPageBreak/>
        <w:t>Table 2.</w:t>
      </w:r>
      <w:r w:rsidR="00B26571">
        <w:fldChar w:fldCharType="begin"/>
      </w:r>
      <w:r w:rsidR="00B26571">
        <w:instrText xml:space="preserve"> SEQ Table \* ARABIC \s 1 </w:instrText>
      </w:r>
      <w:r w:rsidR="00B26571">
        <w:fldChar w:fldCharType="separate"/>
      </w:r>
      <w:r w:rsidR="00AE2756" w:rsidRPr="00452E2E">
        <w:rPr>
          <w:noProof/>
        </w:rPr>
        <w:t>1</w:t>
      </w:r>
      <w:r w:rsidR="00B26571">
        <w:rPr>
          <w:noProof/>
        </w:rPr>
        <w:fldChar w:fldCharType="end"/>
      </w:r>
      <w:r w:rsidRPr="00452E2E">
        <w:t>: Characteristics of Seven National Business System Archetypes</w:t>
      </w:r>
      <w:bookmarkEnd w:id="45"/>
    </w:p>
    <w:tbl>
      <w:tblPr>
        <w:tblStyle w:val="TableGrid"/>
        <w:tblW w:w="13432" w:type="dxa"/>
        <w:shd w:val="clear" w:color="auto" w:fill="FFFFFF" w:themeFill="background1"/>
        <w:tblLook w:val="04A0" w:firstRow="1" w:lastRow="0" w:firstColumn="1" w:lastColumn="0" w:noHBand="0" w:noVBand="1"/>
      </w:tblPr>
      <w:tblGrid>
        <w:gridCol w:w="1827"/>
        <w:gridCol w:w="1642"/>
        <w:gridCol w:w="1605"/>
        <w:gridCol w:w="1765"/>
        <w:gridCol w:w="1611"/>
        <w:gridCol w:w="1662"/>
        <w:gridCol w:w="1655"/>
        <w:gridCol w:w="1665"/>
      </w:tblGrid>
      <w:tr w:rsidR="00452E2E" w:rsidRPr="00452E2E" w:rsidTr="00904F46">
        <w:trPr>
          <w:trHeight w:val="198"/>
        </w:trPr>
        <w:tc>
          <w:tcPr>
            <w:tcW w:w="1827"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b/>
                <w:sz w:val="16"/>
                <w:szCs w:val="16"/>
              </w:rPr>
            </w:pPr>
            <w:r w:rsidRPr="00452E2E">
              <w:rPr>
                <w:b/>
                <w:sz w:val="16"/>
                <w:szCs w:val="16"/>
              </w:rPr>
              <w:t>Characteristics</w:t>
            </w:r>
          </w:p>
        </w:tc>
        <w:tc>
          <w:tcPr>
            <w:tcW w:w="11605" w:type="dxa"/>
            <w:gridSpan w:val="7"/>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b/>
                <w:sz w:val="16"/>
                <w:szCs w:val="16"/>
              </w:rPr>
            </w:pPr>
            <w:r w:rsidRPr="00452E2E">
              <w:rPr>
                <w:b/>
                <w:sz w:val="16"/>
                <w:szCs w:val="16"/>
              </w:rPr>
              <w:t xml:space="preserve">                                                                                                          Business System Type                                  </w:t>
            </w:r>
          </w:p>
        </w:tc>
      </w:tr>
      <w:tr w:rsidR="00452E2E" w:rsidRPr="00452E2E" w:rsidTr="00904F46">
        <w:trPr>
          <w:trHeight w:val="992"/>
        </w:trPr>
        <w:tc>
          <w:tcPr>
            <w:tcW w:w="1827" w:type="dxa"/>
            <w:tcBorders>
              <w:top w:val="single" w:sz="4" w:space="0" w:color="FFFFFF" w:themeColor="background1"/>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rPr>
                <w:b/>
                <w:sz w:val="16"/>
                <w:szCs w:val="16"/>
              </w:rPr>
            </w:pPr>
          </w:p>
        </w:tc>
        <w:tc>
          <w:tcPr>
            <w:tcW w:w="164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Fragmented (typical of Hong Kong)</w:t>
            </w:r>
          </w:p>
        </w:tc>
        <w:tc>
          <w:tcPr>
            <w:tcW w:w="160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Co-ordinated</w:t>
            </w:r>
          </w:p>
          <w:p w:rsidR="00D03A8E" w:rsidRPr="00452E2E" w:rsidRDefault="00D03A8E" w:rsidP="00B57950">
            <w:pPr>
              <w:rPr>
                <w:sz w:val="16"/>
                <w:szCs w:val="16"/>
              </w:rPr>
            </w:pPr>
            <w:r w:rsidRPr="00452E2E">
              <w:rPr>
                <w:sz w:val="16"/>
                <w:szCs w:val="16"/>
              </w:rPr>
              <w:t>Industrial District (typical of Italy)</w:t>
            </w:r>
          </w:p>
        </w:tc>
        <w:tc>
          <w:tcPr>
            <w:tcW w:w="176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Compartmentalized</w:t>
            </w:r>
          </w:p>
          <w:p w:rsidR="00D03A8E" w:rsidRPr="00452E2E" w:rsidRDefault="00D03A8E" w:rsidP="00B57950">
            <w:pPr>
              <w:rPr>
                <w:sz w:val="16"/>
                <w:szCs w:val="16"/>
              </w:rPr>
            </w:pPr>
            <w:r w:rsidRPr="00452E2E">
              <w:rPr>
                <w:sz w:val="16"/>
                <w:szCs w:val="16"/>
              </w:rPr>
              <w:t>(typical of Anglo-Saxon countries)</w:t>
            </w:r>
          </w:p>
        </w:tc>
        <w:tc>
          <w:tcPr>
            <w:tcW w:w="161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State</w:t>
            </w:r>
          </w:p>
          <w:p w:rsidR="00D03A8E" w:rsidRPr="00452E2E" w:rsidRDefault="00D03A8E" w:rsidP="00B57950">
            <w:pPr>
              <w:rPr>
                <w:sz w:val="16"/>
                <w:szCs w:val="16"/>
              </w:rPr>
            </w:pPr>
            <w:r w:rsidRPr="00452E2E">
              <w:rPr>
                <w:sz w:val="16"/>
                <w:szCs w:val="16"/>
              </w:rPr>
              <w:t>Organized (typical of Post-War South Korea)</w:t>
            </w:r>
          </w:p>
        </w:tc>
        <w:tc>
          <w:tcPr>
            <w:tcW w:w="166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Collaborative (typical of Sweden, Austria, Norway)</w:t>
            </w:r>
          </w:p>
        </w:tc>
        <w:tc>
          <w:tcPr>
            <w:tcW w:w="165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Highly</w:t>
            </w:r>
          </w:p>
          <w:p w:rsidR="00D03A8E" w:rsidRPr="00452E2E" w:rsidRDefault="00D03A8E" w:rsidP="00B57950">
            <w:pPr>
              <w:rPr>
                <w:sz w:val="16"/>
                <w:szCs w:val="16"/>
              </w:rPr>
            </w:pPr>
            <w:r w:rsidRPr="00452E2E">
              <w:rPr>
                <w:sz w:val="16"/>
                <w:szCs w:val="16"/>
              </w:rPr>
              <w:t>Co-ordinated (typical of Japan)</w:t>
            </w:r>
          </w:p>
        </w:tc>
        <w:tc>
          <w:tcPr>
            <w:tcW w:w="166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Segmented Business System (typical of most African countries)</w:t>
            </w:r>
          </w:p>
        </w:tc>
      </w:tr>
      <w:tr w:rsidR="00452E2E" w:rsidRPr="00452E2E" w:rsidTr="00904F46">
        <w:trPr>
          <w:trHeight w:val="396"/>
        </w:trPr>
        <w:tc>
          <w:tcPr>
            <w:tcW w:w="1827"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Ownership co-ordination</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r>
      <w:tr w:rsidR="00452E2E" w:rsidRPr="00452E2E" w:rsidTr="00904F46">
        <w:trPr>
          <w:trHeight w:val="198"/>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Owner control</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Direct</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Direct</w:t>
            </w: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Market</w:t>
            </w: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Direct</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Alliance</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Alliance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Direct/Mixed</w:t>
            </w:r>
          </w:p>
        </w:tc>
      </w:tr>
      <w:tr w:rsidR="00452E2E" w:rsidRPr="00452E2E" w:rsidTr="00904F46">
        <w:trPr>
          <w:trHeight w:val="595"/>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Ownership</w:t>
            </w:r>
          </w:p>
          <w:p w:rsidR="00D03A8E" w:rsidRPr="00452E2E" w:rsidRDefault="00D03A8E" w:rsidP="00B57950">
            <w:pPr>
              <w:rPr>
                <w:sz w:val="16"/>
                <w:szCs w:val="16"/>
              </w:rPr>
            </w:pPr>
            <w:r w:rsidRPr="00452E2E">
              <w:rPr>
                <w:sz w:val="16"/>
                <w:szCs w:val="16"/>
              </w:rPr>
              <w:t xml:space="preserve">   integration of</w:t>
            </w:r>
          </w:p>
          <w:p w:rsidR="00D03A8E" w:rsidRPr="00452E2E" w:rsidRDefault="00D03A8E" w:rsidP="00B57950">
            <w:pPr>
              <w:rPr>
                <w:sz w:val="16"/>
                <w:szCs w:val="16"/>
              </w:rPr>
            </w:pPr>
            <w:r w:rsidRPr="00452E2E">
              <w:rPr>
                <w:sz w:val="16"/>
                <w:szCs w:val="16"/>
              </w:rPr>
              <w:t xml:space="preserve">   production chains</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 to high</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Mixed</w:t>
            </w:r>
          </w:p>
        </w:tc>
      </w:tr>
      <w:tr w:rsidR="00452E2E" w:rsidRPr="00452E2E" w:rsidTr="00904F46">
        <w:trPr>
          <w:trHeight w:val="198"/>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Ownership</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 to high</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Limited</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Limited</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r>
      <w:tr w:rsidR="00452E2E" w:rsidRPr="00452E2E" w:rsidTr="00904F46">
        <w:trPr>
          <w:trHeight w:val="396"/>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 xml:space="preserve"> integration of</w:t>
            </w:r>
          </w:p>
          <w:p w:rsidR="00D03A8E" w:rsidRPr="00452E2E" w:rsidRDefault="00D03A8E" w:rsidP="00B57950">
            <w:pPr>
              <w:rPr>
                <w:sz w:val="16"/>
                <w:szCs w:val="16"/>
              </w:rPr>
            </w:pPr>
            <w:r w:rsidRPr="00452E2E">
              <w:rPr>
                <w:sz w:val="16"/>
                <w:szCs w:val="16"/>
              </w:rPr>
              <w:t xml:space="preserve"> sectors</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904F46">
        <w:trPr>
          <w:trHeight w:val="416"/>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Non-ownership</w:t>
            </w:r>
          </w:p>
          <w:p w:rsidR="00D03A8E" w:rsidRPr="00452E2E" w:rsidRDefault="00D03A8E" w:rsidP="00B57950">
            <w:pPr>
              <w:rPr>
                <w:sz w:val="16"/>
                <w:szCs w:val="16"/>
              </w:rPr>
            </w:pPr>
            <w:r w:rsidRPr="00452E2E">
              <w:rPr>
                <w:sz w:val="16"/>
                <w:szCs w:val="16"/>
              </w:rPr>
              <w:t>Co-ordination</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904F46">
        <w:trPr>
          <w:trHeight w:val="198"/>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Alliance</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Limited</w:t>
            </w: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Limited</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Marketers and end-u</w:t>
            </w:r>
            <w:r w:rsidR="004E7EC0" w:rsidRPr="00452E2E">
              <w:rPr>
                <w:sz w:val="16"/>
                <w:szCs w:val="16"/>
              </w:rPr>
              <w:t>sers dominate production chains</w:t>
            </w:r>
          </w:p>
        </w:tc>
      </w:tr>
      <w:tr w:rsidR="00452E2E" w:rsidRPr="00452E2E" w:rsidTr="00904F46">
        <w:trPr>
          <w:trHeight w:val="773"/>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 xml:space="preserve">   co-ordination of</w:t>
            </w:r>
          </w:p>
          <w:p w:rsidR="00D03A8E" w:rsidRPr="00452E2E" w:rsidRDefault="00D03A8E" w:rsidP="00B57950">
            <w:pPr>
              <w:rPr>
                <w:sz w:val="16"/>
                <w:szCs w:val="16"/>
              </w:rPr>
            </w:pPr>
            <w:r w:rsidRPr="00452E2E">
              <w:rPr>
                <w:sz w:val="16"/>
                <w:szCs w:val="16"/>
              </w:rPr>
              <w:t xml:space="preserve">   production chains</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D03A8E" w:rsidRPr="00452E2E" w:rsidRDefault="00D03A8E" w:rsidP="00B57950">
            <w:pPr>
              <w:rPr>
                <w:sz w:val="16"/>
                <w:szCs w:val="16"/>
              </w:rPr>
            </w:pPr>
          </w:p>
        </w:tc>
      </w:tr>
      <w:tr w:rsidR="00452E2E" w:rsidRPr="00452E2E" w:rsidTr="00904F46">
        <w:trPr>
          <w:trHeight w:val="1567"/>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Collaboration</w:t>
            </w:r>
          </w:p>
          <w:p w:rsidR="00D03A8E" w:rsidRPr="00452E2E" w:rsidRDefault="00D03A8E" w:rsidP="00B57950">
            <w:pPr>
              <w:rPr>
                <w:sz w:val="16"/>
                <w:szCs w:val="16"/>
              </w:rPr>
            </w:pPr>
            <w:r w:rsidRPr="00452E2E">
              <w:rPr>
                <w:sz w:val="16"/>
                <w:szCs w:val="16"/>
              </w:rPr>
              <w:t xml:space="preserve">   between </w:t>
            </w:r>
          </w:p>
          <w:p w:rsidR="00D03A8E" w:rsidRPr="00452E2E" w:rsidRDefault="00D03A8E" w:rsidP="00B57950">
            <w:pPr>
              <w:rPr>
                <w:sz w:val="16"/>
                <w:szCs w:val="16"/>
              </w:rPr>
            </w:pPr>
            <w:r w:rsidRPr="00452E2E">
              <w:rPr>
                <w:sz w:val="16"/>
                <w:szCs w:val="16"/>
              </w:rPr>
              <w:t xml:space="preserve">   competitors</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w:t>
            </w: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Highly adversarial competition in informal sector</w:t>
            </w:r>
          </w:p>
          <w:p w:rsidR="00D03A8E" w:rsidRPr="00452E2E" w:rsidRDefault="00D03A8E" w:rsidP="00B57950">
            <w:pPr>
              <w:rPr>
                <w:sz w:val="16"/>
                <w:szCs w:val="16"/>
              </w:rPr>
            </w:pPr>
            <w:r w:rsidRPr="00452E2E">
              <w:rPr>
                <w:sz w:val="16"/>
                <w:szCs w:val="16"/>
              </w:rPr>
              <w:t>Tendency to oligopolistic relations in export-oriented sectors</w:t>
            </w:r>
          </w:p>
        </w:tc>
      </w:tr>
      <w:tr w:rsidR="00452E2E" w:rsidRPr="00452E2E" w:rsidTr="00904F46">
        <w:trPr>
          <w:trHeight w:val="198"/>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Alliance</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w:t>
            </w:r>
          </w:p>
        </w:tc>
        <w:tc>
          <w:tcPr>
            <w:tcW w:w="16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Deep variations in practices between sectors</w:t>
            </w:r>
          </w:p>
        </w:tc>
      </w:tr>
      <w:tr w:rsidR="00452E2E" w:rsidRPr="00452E2E" w:rsidTr="00904F46">
        <w:trPr>
          <w:trHeight w:val="416"/>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 xml:space="preserve">   co-ordination of</w:t>
            </w:r>
          </w:p>
          <w:p w:rsidR="00D03A8E" w:rsidRPr="00452E2E" w:rsidRDefault="00D03A8E" w:rsidP="00B57950">
            <w:pPr>
              <w:rPr>
                <w:sz w:val="16"/>
                <w:szCs w:val="16"/>
              </w:rPr>
            </w:pPr>
            <w:r w:rsidRPr="00452E2E">
              <w:rPr>
                <w:sz w:val="16"/>
                <w:szCs w:val="16"/>
              </w:rPr>
              <w:t xml:space="preserve">   sectors</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hideMark/>
          </w:tcPr>
          <w:p w:rsidR="00D03A8E" w:rsidRPr="00452E2E" w:rsidRDefault="00D03A8E" w:rsidP="00B57950">
            <w:pPr>
              <w:rPr>
                <w:sz w:val="16"/>
                <w:szCs w:val="16"/>
              </w:rPr>
            </w:pPr>
          </w:p>
        </w:tc>
      </w:tr>
      <w:tr w:rsidR="00452E2E" w:rsidRPr="00452E2E" w:rsidTr="00904F46">
        <w:trPr>
          <w:trHeight w:val="396"/>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Employment Relations</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904F46">
        <w:trPr>
          <w:trHeight w:val="396"/>
        </w:trPr>
        <w:tc>
          <w:tcPr>
            <w:tcW w:w="1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Employer/employee</w:t>
            </w:r>
          </w:p>
          <w:p w:rsidR="00D03A8E" w:rsidRPr="00452E2E" w:rsidRDefault="00D03A8E" w:rsidP="00B57950">
            <w:pPr>
              <w:rPr>
                <w:sz w:val="16"/>
                <w:szCs w:val="16"/>
              </w:rPr>
            </w:pPr>
            <w:r w:rsidRPr="00452E2E">
              <w:rPr>
                <w:sz w:val="16"/>
                <w:szCs w:val="16"/>
              </w:rPr>
              <w:t xml:space="preserve">   inter-dependence</w:t>
            </w:r>
          </w:p>
        </w:tc>
        <w:tc>
          <w:tcPr>
            <w:tcW w:w="1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w:t>
            </w:r>
          </w:p>
        </w:tc>
        <w:tc>
          <w:tcPr>
            <w:tcW w:w="17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w:t>
            </w:r>
          </w:p>
        </w:tc>
        <w:tc>
          <w:tcPr>
            <w:tcW w:w="16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w:t>
            </w:r>
          </w:p>
        </w:tc>
      </w:tr>
      <w:tr w:rsidR="00452E2E" w:rsidRPr="00452E2E" w:rsidTr="00904F46">
        <w:trPr>
          <w:trHeight w:val="396"/>
        </w:trPr>
        <w:tc>
          <w:tcPr>
            <w:tcW w:w="1827" w:type="dxa"/>
            <w:tcBorders>
              <w:top w:val="single" w:sz="4" w:space="0" w:color="FFFFFF" w:themeColor="background1"/>
              <w:left w:val="single" w:sz="12"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 xml:space="preserve">Delegation to </w:t>
            </w:r>
          </w:p>
          <w:p w:rsidR="00D03A8E" w:rsidRPr="00452E2E" w:rsidRDefault="00D03A8E" w:rsidP="00B57950">
            <w:pPr>
              <w:rPr>
                <w:sz w:val="16"/>
                <w:szCs w:val="16"/>
              </w:rPr>
            </w:pPr>
            <w:r w:rsidRPr="00452E2E">
              <w:rPr>
                <w:sz w:val="16"/>
                <w:szCs w:val="16"/>
              </w:rPr>
              <w:t xml:space="preserve">   employees</w:t>
            </w:r>
          </w:p>
        </w:tc>
        <w:tc>
          <w:tcPr>
            <w:tcW w:w="164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0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Some</w:t>
            </w:r>
          </w:p>
        </w:tc>
        <w:tc>
          <w:tcPr>
            <w:tcW w:w="176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1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c>
          <w:tcPr>
            <w:tcW w:w="166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High</w:t>
            </w:r>
          </w:p>
        </w:tc>
        <w:tc>
          <w:tcPr>
            <w:tcW w:w="165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Considerable</w:t>
            </w:r>
          </w:p>
        </w:tc>
        <w:tc>
          <w:tcPr>
            <w:tcW w:w="166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hideMark/>
          </w:tcPr>
          <w:p w:rsidR="00D03A8E" w:rsidRPr="00452E2E" w:rsidRDefault="00D03A8E" w:rsidP="00B57950">
            <w:pPr>
              <w:rPr>
                <w:sz w:val="16"/>
                <w:szCs w:val="16"/>
              </w:rPr>
            </w:pPr>
            <w:r w:rsidRPr="00452E2E">
              <w:rPr>
                <w:sz w:val="16"/>
                <w:szCs w:val="16"/>
              </w:rPr>
              <w:t>Low</w:t>
            </w:r>
          </w:p>
        </w:tc>
      </w:tr>
    </w:tbl>
    <w:p w:rsidR="00D03A8E" w:rsidRPr="00452E2E" w:rsidRDefault="00D03A8E" w:rsidP="00D03A8E">
      <w:pPr>
        <w:rPr>
          <w:sz w:val="18"/>
          <w:szCs w:val="18"/>
        </w:rPr>
      </w:pPr>
      <w:r w:rsidRPr="00452E2E">
        <w:rPr>
          <w:sz w:val="18"/>
          <w:szCs w:val="18"/>
        </w:rPr>
        <w:t xml:space="preserve">Source: Wood </w:t>
      </w:r>
      <w:r w:rsidRPr="00452E2E">
        <w:rPr>
          <w:i/>
          <w:sz w:val="18"/>
          <w:szCs w:val="18"/>
        </w:rPr>
        <w:t>et al</w:t>
      </w:r>
      <w:r w:rsidRPr="00452E2E">
        <w:rPr>
          <w:sz w:val="18"/>
          <w:szCs w:val="18"/>
        </w:rPr>
        <w:t xml:space="preserve">. (2012, p. 43); Bischoff &amp; Wood (2012, p. 497); based on Whitley (1999); Wood </w:t>
      </w:r>
      <w:r w:rsidR="00F86FB9" w:rsidRPr="00452E2E">
        <w:rPr>
          <w:sz w:val="18"/>
          <w:szCs w:val="18"/>
        </w:rPr>
        <w:t xml:space="preserve">&amp; Frynas </w:t>
      </w:r>
      <w:r w:rsidRPr="00452E2E">
        <w:rPr>
          <w:sz w:val="18"/>
          <w:szCs w:val="18"/>
        </w:rPr>
        <w:t>(2006)</w:t>
      </w:r>
    </w:p>
    <w:p w:rsidR="00D03A8E" w:rsidRPr="00452E2E" w:rsidRDefault="00D03A8E" w:rsidP="00D03A8E">
      <w:pPr>
        <w:spacing w:after="0"/>
        <w:rPr>
          <w:sz w:val="18"/>
          <w:szCs w:val="18"/>
        </w:rPr>
        <w:sectPr w:rsidR="00D03A8E" w:rsidRPr="00452E2E" w:rsidSect="00B57950">
          <w:pgSz w:w="16838" w:h="11906" w:orient="landscape"/>
          <w:pgMar w:top="1440" w:right="1440" w:bottom="1440" w:left="2127" w:header="709" w:footer="709" w:gutter="0"/>
          <w:cols w:space="720"/>
        </w:sectPr>
      </w:pPr>
    </w:p>
    <w:p w:rsidR="00D03A8E" w:rsidRPr="00452E2E" w:rsidRDefault="00D03A8E" w:rsidP="00D03A8E">
      <w:pPr>
        <w:pStyle w:val="Heading4"/>
      </w:pPr>
      <w:bookmarkStart w:id="46" w:name="_Toc473808113"/>
      <w:r w:rsidRPr="00452E2E">
        <w:lastRenderedPageBreak/>
        <w:t>2.3.5 Institutional Diversity</w:t>
      </w:r>
      <w:bookmarkEnd w:id="46"/>
    </w:p>
    <w:p w:rsidR="00631E5E" w:rsidRPr="00452E2E" w:rsidRDefault="002337DA" w:rsidP="00D03A8E">
      <w:pPr>
        <w:spacing w:line="360" w:lineRule="auto"/>
        <w:jc w:val="both"/>
        <w:rPr>
          <w:szCs w:val="24"/>
        </w:rPr>
      </w:pPr>
      <w:r w:rsidRPr="00452E2E">
        <w:rPr>
          <w:szCs w:val="24"/>
        </w:rPr>
        <w:t>As an extension to the</w:t>
      </w:r>
      <w:r w:rsidR="00D03A8E" w:rsidRPr="00452E2E">
        <w:rPr>
          <w:szCs w:val="24"/>
        </w:rPr>
        <w:t xml:space="preserve"> varieties of capitalism and business system theory</w:t>
      </w:r>
      <w:r w:rsidR="005C3496" w:rsidRPr="00452E2E">
        <w:rPr>
          <w:szCs w:val="24"/>
        </w:rPr>
        <w:t>,</w:t>
      </w:r>
      <w:r w:rsidR="00D03A8E" w:rsidRPr="00452E2E">
        <w:rPr>
          <w:szCs w:val="24"/>
        </w:rPr>
        <w:t xml:space="preserve"> </w:t>
      </w:r>
      <w:r w:rsidRPr="00452E2E">
        <w:rPr>
          <w:szCs w:val="24"/>
        </w:rPr>
        <w:t>the literature on institutional diversity suggests</w:t>
      </w:r>
      <w:r w:rsidR="00D03A8E" w:rsidRPr="00452E2E">
        <w:rPr>
          <w:szCs w:val="24"/>
        </w:rPr>
        <w:t xml:space="preserve"> that each country possesses a unique  competitive advantage since they undergo peculiar growth trajectories </w:t>
      </w:r>
      <w:r w:rsidR="00D03A8E" w:rsidRPr="00452E2E">
        <w:rPr>
          <w:szCs w:val="24"/>
        </w:rPr>
        <w:fldChar w:fldCharType="begin" w:fldLock="1"/>
      </w:r>
      <w:r w:rsidR="00D03A8E" w:rsidRPr="00452E2E">
        <w:rPr>
          <w:szCs w:val="24"/>
        </w:rPr>
        <w:instrText>ADDIN CSL_CITATION { "citationItems" : [ { "id" : "ITEM-1", "itemData" : { "abstract" : "The variety of capitalism school (VOC) and regulation theory (TR) are both analyses of the diversity of contemporary national economies. If VOC challenges the primacy of liberal market economies (LME) and stresses the existence of an alternative form, i.e. coordinated market economies (CME), TR starts from a long-term analysis of the transformation of capitalism in order to search for alternatives to the Fordist regime that emerged after the post-Second World War era. Both approaches make intensive use of international comparisons, challenge the role of market as the exclusive coordinating mechanism, and raise doubts about the existence of a \u2018one best way\u2019 for capitalism. Finally, they stress that globalization does deepen the competitive advantage associated with each institutional architecture. Nevertheless, their methodology differs: VOC stresses private firm governance, whereas TR considers the primacy of systemic and macroeconomic coherence. Whereas for VOC there exist only LME and CME, TR recurrently finds at least four brands of capitalism: market-led, meso-corporatist, social democrat and State-led. VOC seems to consider that the long-term stability of each capitalism can be challenged only by external shocks, but TR stresses the fact that the very success of a regulation mode ends up in a structural crisis, largely endogenous.", "author" : [ { "dropping-particle" : "", "family" : "Boyer", "given" : "Robert", "non-dropping-particle" : "", "parse-names" : false, "suffix" : "" } ], "container-title" : "Economy and Society", "id" : "ITEM-1", "issue" : "4", "issued" : { "date-parts" : [ [ "2005" ] ] }, "page" : "509-557", "title" : "How and why capitalisms differ", "type" : "article-journal", "volume" : "34" }, "uris" : [ "http://www.mendeley.com/documents/?uuid=c834b75c-5663-48f6-8399-83f2c5dce65a" ] } ], "mendeley" : { "formattedCitation" : "(Boyer 2005)", "manualFormatting" : "(Boyer, 2005; Wood et al., 2012)", "plainTextFormattedCitation" : "(Boyer 2005)", "previouslyFormattedCitation" : "(Boyer 2005)"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(Boyer, 2005; </w:t>
      </w:r>
      <w:r w:rsidR="009E135F" w:rsidRPr="00452E2E">
        <w:rPr>
          <w:noProof/>
          <w:szCs w:val="24"/>
        </w:rPr>
        <w:t>Lane &amp; Wood, 2009</w:t>
      </w:r>
      <w:r w:rsidR="00D03A8E" w:rsidRPr="00452E2E">
        <w:rPr>
          <w:noProof/>
          <w:szCs w:val="24"/>
        </w:rPr>
        <w:t>)</w:t>
      </w:r>
      <w:r w:rsidR="00D03A8E" w:rsidRPr="00452E2E">
        <w:rPr>
          <w:szCs w:val="24"/>
        </w:rPr>
        <w:fldChar w:fldCharType="end"/>
      </w:r>
      <w:r w:rsidR="00D03A8E" w:rsidRPr="00452E2E">
        <w:rPr>
          <w:szCs w:val="24"/>
        </w:rPr>
        <w:t xml:space="preserve">. This suggests that countries belonging to ideal institutional archetypes are not homogeneous </w:t>
      </w:r>
      <w:r w:rsidR="00D03A8E" w:rsidRPr="00452E2E">
        <w:rPr>
          <w:szCs w:val="24"/>
        </w:rPr>
        <w:fldChar w:fldCharType="begin" w:fldLock="1"/>
      </w:r>
      <w:r w:rsidR="008B35BD" w:rsidRPr="00452E2E">
        <w:rPr>
          <w:szCs w:val="24"/>
        </w:rPr>
        <w:instrText>ADDIN CSL_CITATION { "citationItems" : [ { "id" : "ITEM-1", "itemData" : { "ISBN" : "1475-1461", "author" : [ { "dropping-particle" : "", "family" : "Streeck", "given" : "W", "non-dropping-particle" : "", "parse-names" : false, "suffix" : "" } ], "container-title" : "Socio-Economic Review", "id" : "ITEM-1", "issue" : "3", "issued" : { "date-parts" : [ [ "2005" ] ] }, "page" : "577-587", "title" : "Rejoinder: on terminology, functionalism,(historical) institutionalism and liberalization", "type" : "article-journal", "volume" : "3" }, "uris" : [ "http://www.mendeley.com/documents/?uuid=19f840c9-f961-4479-a2b6-cf09819b40a5" ] } ], "mendeley" : { "formattedCitation" : "(Streeck 2005)", "manualFormatting" : "(Lane &amp; Wood, 2009)", "plainTextFormattedCitation" : "(Streeck 2005)", "previouslyFormattedCitation" : "(Streeck 2005)" }, "properties" : { "noteIndex" : 0 }, "schema" : "https://github.com/citation-style-language/schema/raw/master/csl-citation.json" }</w:instrText>
      </w:r>
      <w:r w:rsidR="00D03A8E" w:rsidRPr="00452E2E">
        <w:rPr>
          <w:szCs w:val="24"/>
        </w:rPr>
        <w:fldChar w:fldCharType="separate"/>
      </w:r>
      <w:r w:rsidR="00D03A8E" w:rsidRPr="00452E2E">
        <w:rPr>
          <w:noProof/>
          <w:szCs w:val="24"/>
        </w:rPr>
        <w:t>(Lane &amp; Wood, 2009</w:t>
      </w:r>
      <w:r w:rsidR="00955650" w:rsidRPr="00452E2E">
        <w:rPr>
          <w:noProof/>
          <w:szCs w:val="24"/>
        </w:rPr>
        <w:t>; Wood &amp; Wilkinson, 2012</w:t>
      </w:r>
      <w:r w:rsidR="00D03A8E" w:rsidRPr="00452E2E">
        <w:rPr>
          <w:noProof/>
          <w:szCs w:val="24"/>
        </w:rPr>
        <w:t>)</w:t>
      </w:r>
      <w:r w:rsidR="00D03A8E" w:rsidRPr="00452E2E">
        <w:rPr>
          <w:szCs w:val="24"/>
        </w:rPr>
        <w:fldChar w:fldCharType="end"/>
      </w:r>
      <w:r w:rsidR="00D03A8E" w:rsidRPr="00452E2E">
        <w:rPr>
          <w:szCs w:val="24"/>
        </w:rPr>
        <w:t xml:space="preserve">. Even within specific national contexts, </w:t>
      </w:r>
      <w:r w:rsidR="00463428" w:rsidRPr="00452E2E">
        <w:rPr>
          <w:szCs w:val="24"/>
        </w:rPr>
        <w:t>organizations may adopt different</w:t>
      </w:r>
      <w:r w:rsidR="00D03A8E" w:rsidRPr="00452E2E">
        <w:rPr>
          <w:szCs w:val="24"/>
        </w:rPr>
        <w:t xml:space="preserve"> management strategies</w:t>
      </w:r>
      <w:r w:rsidR="00463428" w:rsidRPr="00452E2E">
        <w:rPr>
          <w:szCs w:val="24"/>
        </w:rPr>
        <w:t>, thereby resulting in internal diversity</w:t>
      </w:r>
      <w:r w:rsidR="00D03A8E" w:rsidRPr="00452E2E">
        <w:rPr>
          <w:szCs w:val="24"/>
        </w:rPr>
        <w:t xml:space="preserve"> </w:t>
      </w:r>
      <w:r w:rsidR="00D03A8E" w:rsidRPr="00452E2E">
        <w:rPr>
          <w:szCs w:val="24"/>
        </w:rPr>
        <w:fldChar w:fldCharType="begin" w:fldLock="1"/>
      </w:r>
      <w:r w:rsidR="00D03A8E"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"(Lane &amp; Wood, 2009; Wilkinson &amp; Wood, 2012)", "plainTextFormattedCitation" : "(Lane &amp; Wood 2009)", "previouslyFormattedCitation" : "(Lane &amp; Wood 2009)" }, "properties" : { "noteIndex" : 0 }, "schema" : "https://github.com/citation-style-language/schema/raw/master/csl-citation.json" }</w:instrText>
      </w:r>
      <w:r w:rsidR="00D03A8E" w:rsidRPr="00452E2E">
        <w:rPr>
          <w:szCs w:val="24"/>
        </w:rPr>
        <w:fldChar w:fldCharType="separate"/>
      </w:r>
      <w:r w:rsidR="00D03A8E" w:rsidRPr="00452E2E">
        <w:rPr>
          <w:noProof/>
          <w:szCs w:val="24"/>
        </w:rPr>
        <w:t>(Lane &amp; Wo</w:t>
      </w:r>
      <w:r w:rsidR="0073238C" w:rsidRPr="00452E2E">
        <w:rPr>
          <w:noProof/>
          <w:szCs w:val="24"/>
        </w:rPr>
        <w:t xml:space="preserve">od, 2009; Wilkinson </w:t>
      </w:r>
      <w:r w:rsidR="0073238C" w:rsidRPr="00452E2E">
        <w:rPr>
          <w:i/>
          <w:noProof/>
          <w:szCs w:val="24"/>
        </w:rPr>
        <w:t xml:space="preserve">et al., </w:t>
      </w:r>
      <w:r w:rsidR="0073238C" w:rsidRPr="00452E2E">
        <w:rPr>
          <w:noProof/>
          <w:szCs w:val="24"/>
        </w:rPr>
        <w:t>2014</w:t>
      </w:r>
      <w:r w:rsidR="00D03A8E" w:rsidRPr="00452E2E">
        <w:rPr>
          <w:noProof/>
          <w:szCs w:val="24"/>
        </w:rPr>
        <w:t>)</w:t>
      </w:r>
      <w:r w:rsidR="00D03A8E" w:rsidRPr="00452E2E">
        <w:rPr>
          <w:szCs w:val="24"/>
        </w:rPr>
        <w:fldChar w:fldCharType="end"/>
      </w:r>
      <w:r w:rsidR="00D03A8E" w:rsidRPr="00452E2E">
        <w:rPr>
          <w:szCs w:val="24"/>
        </w:rPr>
        <w:t xml:space="preserve">. Hence, institutional diversity exists where there are different “mechanisms of coordination and logics of action” within a particular economy (Lane &amp; Wood, 2009 p. 533). </w:t>
      </w:r>
      <w:r w:rsidR="002871AE" w:rsidRPr="00452E2E">
        <w:rPr>
          <w:szCs w:val="24"/>
        </w:rPr>
        <w:t>Thus, institutional diversity adds to the literature on comparative capitalism by accounting for the nature of institutional change within national economies (Lane &amp; Wood, 2014).</w:t>
      </w:r>
    </w:p>
    <w:p w:rsidR="00D03A8E" w:rsidRPr="00452E2E" w:rsidRDefault="00D03A8E" w:rsidP="00D03A8E">
      <w:pPr>
        <w:spacing w:line="360" w:lineRule="auto"/>
        <w:jc w:val="both"/>
        <w:rPr>
          <w:szCs w:val="24"/>
        </w:rPr>
      </w:pPr>
      <w:r w:rsidRPr="00452E2E">
        <w:rPr>
          <w:szCs w:val="24"/>
        </w:rPr>
        <w:t xml:space="preserve">Whilst the traditional institutional accounts of comparative capitalism suggest that institutional diversity will result to low economic performance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"Hall", "given" : "Peter", "non-dropping-particle" : "", "parse-names" : false, "suffix" : "" }, { "dropping-particle" : "", "family" : "Gingerich", "given" : "D.", "non-dropping-particle" : "", "parse-names" : false, "suffix" : "" } ], "genre" : "Discussion paper 04/5", "id" : "ITEM-2", "issued" : { "date-parts" : [ [ "2004" ] ] }, "publisher" : "Max Planck Institute for the Study of Societies", "publisher-place" : "Cologne", "title" : "Varieties of capitalism and institutional complementarities in the macroeconomy: An empirical analysis", "type" : "article" }, "uris" : [ "http://www.mendeley.com/documents/?uuid=ffc597c8-d7dc-472d-b4c6-dd2bced0860c" ] } ], "mendeley" : { "formattedCitation" : "(Hall &amp; Soskice 2001; Hall &amp; Gingerich 2004)", "manualFormatting" : "(Hall &amp; Soskice, 2001; Hall &amp; Gingerich, 2004)", "plainTextFormattedCitation" : "(Hall &amp; Soskice 2001; Hall &amp; Gingerich 2004)", "previouslyFormattedCitation" : "(Hall &amp; Soskice 2001; Hall &amp; Gingerich 2004)" }, "properties" : { "noteIndex" : 0 }, "schema" : "https://github.com/citation-style-language/schema/raw/master/csl-citation.json" }</w:instrText>
      </w:r>
      <w:r w:rsidRPr="00452E2E">
        <w:rPr>
          <w:szCs w:val="24"/>
        </w:rPr>
        <w:fldChar w:fldCharType="separate"/>
      </w:r>
      <w:r w:rsidRPr="00452E2E">
        <w:rPr>
          <w:noProof/>
          <w:szCs w:val="24"/>
        </w:rPr>
        <w:t>(Hall &amp; Soskice, 2001; Hall &amp; Gingerich, 2004)</w:t>
      </w:r>
      <w:r w:rsidRPr="00452E2E">
        <w:rPr>
          <w:szCs w:val="24"/>
        </w:rPr>
        <w:fldChar w:fldCharType="end"/>
      </w:r>
      <w:r w:rsidRPr="00452E2E">
        <w:rPr>
          <w:szCs w:val="24"/>
        </w:rPr>
        <w:t xml:space="preserve">, empirical research has shown that economic performance is achievable even in the face of internal diversity within national economies </w:t>
      </w:r>
      <w:r w:rsidRPr="00452E2E">
        <w:rPr>
          <w:szCs w:val="24"/>
        </w:rPr>
        <w:fldChar w:fldCharType="begin" w:fldLock="1"/>
      </w:r>
      <w:r w:rsidRPr="00452E2E">
        <w:rPr>
          <w:szCs w:val="24"/>
        </w:rPr>
        <w:instrText>ADDIN CSL_CITATION { "citationItems" : [ { "id" : "ITEM-1", "itemData" : { "DOI" : "10.1080/03085140903190367", "ISBN" : "03085147", "ISSN" : "0308-5147", "PMID" : "1080322", "abstract" : "During recent decades, the varieties of capitalism approach has provided one of themost important contributions on the analysis of advanced capitalism. However, thereare national experiences that seem to be hard to explain from this theoreticalperspective. In this article we underline that this is particularly true for countriesthat are characterized by a high degree of internal diversity, such as the Italian case.For this reason we propose to combine the national and regional dimensions,studying what can be defined as a 'regionalized capitalism': a complex andheterogeneous system that entails both remarkable dysfunctions and elements ofstrength. Analysing the Italian case, we show the importance of centre-peripheryrelations, which produce a mix of local economic dynamism and national publicdisorder (public deficit and debt, inefficient policies). At a local level, SMEs andtheir networks cooperate in a flexible and neo-voluntaristic way to produceterritorial competitive advantages: a networked economy based on relationalcapacities. However, the success of local economies has delayed the adjustment ofpublic policies at a central level. In the last decade, this process has endangeredeconomic development, while Italian firms were challenged by increasing globalization.Drawing attention to the regional dimension, this research approach offers notonly useful insights for understanding a single national case study, but also holdsbroad theoretical implications for the analysis of change and restructuring ofadvanced economies.", "author" : [ { "dropping-particle" : "", "family" : "Trigilia", "given" : "Carlo", "non-dropping-particle" : "", "parse-names" : false, "suffix" : "" }, { "dropping-particle" : "", "family" : "Burroni", "given" : "Luigi", "non-dropping-particle" : "", "parse-names" : false, "suffix" : "" } ], "container-title" : "Economy and Society", "id" : "ITEM-1", "issue" : "4", "issued" : { "date-parts" : [ [ "2009" ] ] }, "page" : "630-653", "title" : "Italy: rise, decline and restructuring of a regionalized capitalism", "type" : "article-journal", "volume" : "38" }, "uris" : [ "http://www.mendeley.com/documents/?uuid=c61ac973-f072-4d04-84ec-411ca0edf54b" ] } ], "mendeley" : { "formattedCitation" : "(Trigilia &amp; Burroni 2009)", "manualFormatting" : "(Trigilia &amp; Burroni, 2009)", "plainTextFormattedCitation" : "(Trigilia &amp; Burroni 2009)", "previouslyFormattedCitation" : "(Trigilia &amp; Burroni 2009)" }, "properties" : { "noteIndex" : 0 }, "schema" : "https://github.com/citation-style-language/schema/raw/master/csl-citation.json" }</w:instrText>
      </w:r>
      <w:r w:rsidRPr="00452E2E">
        <w:rPr>
          <w:szCs w:val="24"/>
        </w:rPr>
        <w:fldChar w:fldCharType="separate"/>
      </w:r>
      <w:r w:rsidRPr="00452E2E">
        <w:rPr>
          <w:noProof/>
          <w:szCs w:val="24"/>
        </w:rPr>
        <w:t>(Trigilia &amp; Burroni, 2009)</w:t>
      </w:r>
      <w:r w:rsidRPr="00452E2E">
        <w:rPr>
          <w:szCs w:val="24"/>
        </w:rPr>
        <w:fldChar w:fldCharType="end"/>
      </w:r>
      <w:r w:rsidRPr="00452E2E">
        <w:rPr>
          <w:szCs w:val="24"/>
        </w:rPr>
        <w:t xml:space="preserve">. Moreover, </w:t>
      </w:r>
      <w:r w:rsidRPr="00452E2E">
        <w:rPr>
          <w:szCs w:val="24"/>
        </w:rPr>
        <w:fldChar w:fldCharType="begin" w:fldLock="1"/>
      </w:r>
      <w:r w:rsidRPr="00452E2E">
        <w:rPr>
          <w:szCs w:val="24"/>
        </w:rPr>
        <w:instrText>ADDIN CSL_CITATION { "citationItems" : [ { "id" : "ITEM-1", "itemData" : { "author" : [ { "dropping-particle" : "", "family" : "Crouch", "given" : "C.", "non-dropping-particle" : "", "parse-names" : false, "suffix" : "" } ], "container-title" : "Socio-Economic Review", "id" : "ITEM-1", "issue" : "2", "issued" : { "date-parts" : [ [ "2005" ] ] }, "page" : "359-363", "title" : "Three meanings of complementarity", "type" : "article-journal", "volume" : "3" }, "uris" : [ "http://www.mendeley.com/documents/?uuid=43b8b077-41a8-4ceb-a8a7-1ac67b164244" ] } ], "mendeley" : { "formattedCitation" : "(Crouch 2005)", "manualFormatting" : "Crouch (2005)", "plainTextFormattedCitation" : "(Crouch 2005)", "previouslyFormattedCitation" : "(Crouch 2005)" }, "properties" : { "noteIndex" : 0 }, "schema" : "https://github.com/citation-style-language/schema/raw/master/csl-citation.json" }</w:instrText>
      </w:r>
      <w:r w:rsidRPr="00452E2E">
        <w:rPr>
          <w:szCs w:val="24"/>
        </w:rPr>
        <w:fldChar w:fldCharType="separate"/>
      </w:r>
      <w:r w:rsidRPr="00452E2E">
        <w:rPr>
          <w:noProof/>
          <w:szCs w:val="24"/>
        </w:rPr>
        <w:t>Crouch (2005)</w:t>
      </w:r>
      <w:r w:rsidRPr="00452E2E">
        <w:rPr>
          <w:szCs w:val="24"/>
        </w:rPr>
        <w:fldChar w:fldCharType="end"/>
      </w:r>
      <w:r w:rsidRPr="00452E2E">
        <w:rPr>
          <w:szCs w:val="24"/>
        </w:rPr>
        <w:t xml:space="preserve"> argue that diversity and heterogeneity within national systems are more valuable for change and innovation. Consequently, institutional theorists have become interested in identifying the causes and implications of diversity within national economies </w:t>
      </w:r>
      <w:r w:rsidRPr="00452E2E">
        <w:rPr>
          <w:szCs w:val="24"/>
        </w:rPr>
        <w:fldChar w:fldCharType="begin" w:fldLock="1"/>
      </w:r>
      <w:r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"id" : "ITEM-2", "itemData" : { "DOI" : "10.1080/03085140903190342", "ISBN" : "0308-5147", "ISSN" : "0308-5147", "abstract" : "This article aims to explore the impact of globalization and in particular multinationals on diversity within national varieties of capitalism. Do the actions of multinationals create more diversity within national systems, do they reduce diversity or do they have relatively little impact on diversity within national systems? The article argues that there are distinctive structures of institutional diversity across different national systems. Therefore, the question is not how do MNCs impact on institutional diversity per se but how do they impact on these different structures of diversity? In order to develop this argument, the paper also differentiates types of multinational. The article uses distinction between market-seeking, resource-seeking, efficiency-seeking and strategic asset-seeking in order to identify a range of different MNC activity across manufacturing, professional and financial sectors. These different sorts of MNC activity vary across time and contexts in terms of their significance. The article looks in detail at four different models of capitalism and examines how the entry of different sorts of multinationals with distinctive objectives impacts on the relationships between key social actors which underpin and reinforce these models. In this way, it suggests how institutional diversity within different types of capitalism may evolve under the impact of MNCs and globalization.", "author" : [ { "dropping-particle" : "", "family" : "Morgan", "given" : "Glenn", "non-dropping-particle" : "", "parse-names" : false, "suffix" : "" } ], "container-title" : "Economy and Society", "id" : "ITEM-2", "issue" : "4", "issued" : { "date-parts" : [ [ "2009" ] ] }, "page" : "580-605", "title" : "Globalization, multinationals and institutional diversity", "type" : "article-journal", "volume" : "38" }, "uris" : [ "http://www.mendeley.com/documents/?uuid=25916039-9f66-4663-86c2-415e0baeddb1" ] }, { "id" : "ITEM-3", "itemData" : { "author" : [ { "dropping-particle" : "", "family" : "Lane", "given" : "Christel", "non-dropping-particle" : "", "parse-names" : false, "suffix" : "" }, { "dropping-particle" : "", "family" : "Wood", "given" : "Geoffrey", "non-dropping-particle" : "", "parse-names" : false, "suffix" : "" } ], "container-title" : "The Oxford handbook of employlent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"ITEM-3", "issued" : { "date-parts" : [ [ "2014" ] ] }, "page" : "156-172", "publisher" : "Oxford University Press", "publisher-place" : "Oxford", "title" : "Capitalist diversity, work and employment relations", "type" : "chapter" }, "uris" : [ "http://www.mendeley.com/documents/?uuid=98891f5a-7433-49ae-8987-eebba94ddc63" ] } ], "mendeley" : { "formattedCitation" : "(Lane &amp; Wood 2009; Morgan 2009; Lane &amp; Wood 2014)", "manualFormatting" : "(Lane &amp; Wood, 2009; Morgan, 2009; Lane &amp; Wood, 2014)", "plainTextFormattedCitation" : "(Lane &amp; Wood 2009; Morgan 2009; Lane &amp; Wood 2014)", "previouslyFormattedCitation" : "(Lane &amp; Wood 2009; Morgan 2009; Lane &amp; Wood 2014)" }, "properties" : { "noteIndex" : 0 }, "schema" : "https://github.com/citation-style-language/schema/raw/master/csl-citation.json" }</w:instrText>
      </w:r>
      <w:r w:rsidRPr="00452E2E">
        <w:rPr>
          <w:szCs w:val="24"/>
        </w:rPr>
        <w:fldChar w:fldCharType="separate"/>
      </w:r>
      <w:r w:rsidRPr="00452E2E">
        <w:rPr>
          <w:noProof/>
          <w:szCs w:val="24"/>
        </w:rPr>
        <w:t>(Lane &amp; Wood, 2009; Morgan, 2009; Lane &amp; Wood, 2014)</w:t>
      </w:r>
      <w:r w:rsidRPr="00452E2E">
        <w:rPr>
          <w:szCs w:val="24"/>
        </w:rPr>
        <w:fldChar w:fldCharType="end"/>
      </w:r>
      <w:r w:rsidRPr="00452E2E">
        <w:rPr>
          <w:szCs w:val="24"/>
        </w:rPr>
        <w:t>.</w:t>
      </w:r>
    </w:p>
    <w:p w:rsidR="00F1447B" w:rsidRPr="00452E2E" w:rsidRDefault="00C32E0D" w:rsidP="00D03A8E">
      <w:pPr>
        <w:spacing w:line="360" w:lineRule="auto"/>
        <w:jc w:val="both"/>
        <w:rPr>
          <w:szCs w:val="24"/>
        </w:rPr>
      </w:pPr>
      <w:r w:rsidRPr="00452E2E">
        <w:rPr>
          <w:szCs w:val="24"/>
        </w:rPr>
        <w:t>A</w:t>
      </w:r>
      <w:r w:rsidR="00234A9C" w:rsidRPr="00452E2E">
        <w:rPr>
          <w:szCs w:val="24"/>
        </w:rPr>
        <w:t>c</w:t>
      </w:r>
      <w:r w:rsidR="0041745F" w:rsidRPr="00452E2E">
        <w:rPr>
          <w:szCs w:val="24"/>
        </w:rPr>
        <w:t>c</w:t>
      </w:r>
      <w:r w:rsidR="00D03A8E" w:rsidRPr="00452E2E">
        <w:rPr>
          <w:szCs w:val="24"/>
        </w:rPr>
        <w:t xml:space="preserve">ording to Lane &amp; Wood (2009 p. 533), “the uneven, experimental and contested nature of institutional change; the varying forms of institutional complementarity; and the effects of regional and sectoral dynamics” create internal diversity within </w:t>
      </w:r>
      <w:r w:rsidR="00D46F4F" w:rsidRPr="00452E2E">
        <w:rPr>
          <w:szCs w:val="24"/>
        </w:rPr>
        <w:t xml:space="preserve">a particular </w:t>
      </w:r>
      <w:r w:rsidR="00D03A8E" w:rsidRPr="00452E2E">
        <w:rPr>
          <w:szCs w:val="24"/>
        </w:rPr>
        <w:t xml:space="preserve">national </w:t>
      </w:r>
      <w:r w:rsidR="00D46F4F" w:rsidRPr="00452E2E">
        <w:rPr>
          <w:szCs w:val="24"/>
        </w:rPr>
        <w:t>c</w:t>
      </w:r>
      <w:r w:rsidR="00050296" w:rsidRPr="00452E2E">
        <w:rPr>
          <w:szCs w:val="24"/>
        </w:rPr>
        <w:t>ontext</w:t>
      </w:r>
      <w:r w:rsidR="00D03A8E" w:rsidRPr="00452E2E">
        <w:rPr>
          <w:szCs w:val="24"/>
        </w:rPr>
        <w:t xml:space="preserve">. One of the main drivers of institutional change has been the </w:t>
      </w:r>
      <w:r w:rsidR="00503166" w:rsidRPr="00452E2E">
        <w:rPr>
          <w:szCs w:val="24"/>
        </w:rPr>
        <w:t>influence of neo-liberal</w:t>
      </w:r>
      <w:r w:rsidR="00D03A8E" w:rsidRPr="00452E2E">
        <w:rPr>
          <w:szCs w:val="24"/>
        </w:rPr>
        <w:t xml:space="preserve"> approaches such as liberalization and deregulation </w:t>
      </w:r>
      <w:r w:rsidR="00754FB7" w:rsidRPr="00452E2E">
        <w:rPr>
          <w:szCs w:val="24"/>
        </w:rPr>
        <w:t>within</w:t>
      </w:r>
      <w:r w:rsidR="00D03A8E" w:rsidRPr="00452E2E">
        <w:rPr>
          <w:szCs w:val="24"/>
        </w:rPr>
        <w:t xml:space="preserve"> </w:t>
      </w:r>
      <w:r w:rsidR="00B97139" w:rsidRPr="00452E2E">
        <w:rPr>
          <w:szCs w:val="24"/>
        </w:rPr>
        <w:t>countries</w:t>
      </w:r>
      <w:r w:rsidR="00D03A8E" w:rsidRPr="00452E2E">
        <w:rPr>
          <w:szCs w:val="24"/>
        </w:rPr>
        <w:t xml:space="preserve"> </w:t>
      </w:r>
      <w:r w:rsidR="00D03A8E" w:rsidRPr="00452E2E">
        <w:rPr>
          <w:szCs w:val="24"/>
        </w:rPr>
        <w:fldChar w:fldCharType="begin" w:fldLock="1"/>
      </w:r>
      <w:r w:rsidR="00D03A8E" w:rsidRPr="00452E2E">
        <w:rPr>
          <w:szCs w:val="24"/>
        </w:rPr>
        <w:instrText>ADDIN CSL_CITATION { "citationItems" : [ { "id" : "ITEM-1", "itemData" : { "DOI" : "10.1080/03085140903190334", "ISBN" : "0308-5147", "ISSN" : "0308-5147", "abstract" : "While institutional theory has tended to ignore the diversity of firms within national models of capitalism, recent change in the Japanese model of capitalism has been associated with a growing diversity of corporate governance practices. The article builds on previous empirical results to propose an empirical mapping of corporate governance practices in Japan using a cluster analysis of a large sample of Japanese firms in 2002. Alongside the traditional Japanese pattern, the empirical results show that two new 'hybrid' models of corporate governance have emerged characterized by different linkages between corporate ownership and finance, board practices, and employment patterns. These changes reflect both a loosening of past institutional constraints related to main bank finance and growing responsiveness to diverse organizational and sector-level contingencies.", "author" : [ { "dropping-particle" : "", "family" : "Jackson", "given" : "Gregory", "non-dropping-particle" : "", "parse-names" : false, "suffix" : "" } ], "container-title" : "Economy and Society", "id" : "ITEM-1", "issue" : "4", "issued" : { "date-parts" : [ [ "2009" ] ] }, "page" : "606-629", "title" : "The Japanese firm and its diversity", "type" : "article-journal", "volume" : "38" }, "uris" : [ "http://www.mendeley.com/documents/?uuid=11e6ef0d-0ab3-4eaa-8a78-a536988411a9" ] }, { "id" : "ITEM-2",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"ITEM-2", "issue" : "4", "issued" : { "date-parts" : [ [ "2009" ] ] }, "page" : "531-551", "title" : "Capitalist diversity and diversity within capitalism", "type" : "article-journal", "volume" : "38" }, "uris" : [ "http://www.mendeley.com/documents/?uuid=7b3af461-5ee4-40a7-bcce-00cc0eaef4dd" ] }, { "id" : "ITEM-3", "itemData" : { "DOI" : "10.1080/03085140903190342", "ISBN" : "0308-5147", "ISSN" : "0308-5147", "abstract" : "This article aims to explore the impact of globalization and in particular multinationals on diversity within national varieties of capitalism. Do the actions of multinationals create more diversity within national systems, do they reduce diversity or do they have relatively little impact on diversity within national systems? The article argues that there are distinctive structures of institutional diversity across different national systems. Therefore, the question is not how do MNCs impact on institutional diversity per se but how do they impact on these different structures of diversity? In order to develop this argument, the paper also differentiates types of multinational. The article uses distinction between market-seeking, resource-seeking, efficiency-seeking and strategic asset-seeking in order to identify a range of different MNC activity across manufacturing, professional and financial sectors. These different sorts of MNC activity vary across time and contexts in terms of their significance. The article looks in detail at four different models of capitalism and examines how the entry of different sorts of multinationals with distinctive objectives impacts on the relationships between key social actors which underpin and reinforce these models. In this way, it suggests how institutional diversity within different types of capitalism may evolve under the impact of MNCs and globalization.", "author" : [ { "dropping-particle" : "", "family" : "Morgan", "given" : "Glenn", "non-dropping-particle" : "", "parse-names" : false, "suffix" : "" } ], "container-title" : "Economy and Society", "id" : "ITEM-3", "issue" : "4", "issued" : { "date-parts" : [ [ "2009" ] ] }, "page" : "580-605", "title" : "Globalization, multinationals and institutional diversity", "type" : "article-journal", "volume" : "38" }, "uris" : [ "http://www.mendeley.com/documents/?uuid=25916039-9f66-4663-86c2-415e0baeddb1" ] } ], "mendeley" : { "formattedCitation" : "(Jackson 2009; Lane &amp; Wood 2009; Morgan 2009)", "manualFormatting" : "(Jackson, 2009; Lane &amp; Wood, 2009; Morgan, 2009)", "plainTextFormattedCitation" : "(Jackson 2009; Lane &amp; Wood 2009; Morgan 2009)", "previouslyFormattedCitation" : "(Jackson 2009; Lane &amp; Wood 2009; Morgan 2009)" }, "properties" : { "noteIndex" : 0 }, "schema" : "https://github.com/citation-style-language/schema/raw/master/csl-citation.json" }</w:instrText>
      </w:r>
      <w:r w:rsidR="00D03A8E" w:rsidRPr="00452E2E">
        <w:rPr>
          <w:szCs w:val="24"/>
        </w:rPr>
        <w:fldChar w:fldCharType="separate"/>
      </w:r>
      <w:r w:rsidR="00D03A8E" w:rsidRPr="00452E2E">
        <w:rPr>
          <w:noProof/>
          <w:szCs w:val="24"/>
        </w:rPr>
        <w:t>(Jackson, 2009; Lane &amp; Wood, 2009; Morgan, 2009)</w:t>
      </w:r>
      <w:r w:rsidR="00D03A8E" w:rsidRPr="00452E2E">
        <w:rPr>
          <w:szCs w:val="24"/>
        </w:rPr>
        <w:fldChar w:fldCharType="end"/>
      </w:r>
      <w:r w:rsidR="00D03A8E" w:rsidRPr="00452E2E">
        <w:rPr>
          <w:szCs w:val="24"/>
        </w:rPr>
        <w:t xml:space="preserve">. It is therefore unsurprising that the propensity for internal diversity is higher in LMEs </w:t>
      </w:r>
      <w:r w:rsidR="00D03A8E" w:rsidRPr="00452E2E">
        <w:rPr>
          <w:szCs w:val="24"/>
        </w:rPr>
        <w:fldChar w:fldCharType="begin" w:fldLock="1"/>
      </w:r>
      <w:r w:rsidR="00D03A8E" w:rsidRPr="00452E2E">
        <w:rPr>
          <w:szCs w:val="24"/>
        </w:rPr>
        <w:instrText>ADDIN CSL_CITATION { "citationItems" : [ { "id" : "ITEM-1", "itemData" : { "DOI" : "10.1080/03085140903190342", "ISBN" : "0308-5147", "ISSN" : "0308-5147", "abstract" : "This article aims to explore the impact of globalization and in particular multinationals on diversity within national varieties of capitalism. Do the actions of multinationals create more diversity within national systems, do they reduce diversity or do they have relatively little impact on diversity within national systems? The article argues that there are distinctive structures of institutional diversity across different national systems. Therefore, the question is not how do MNCs impact on institutional diversity per se but how do they impact on these different structures of diversity? In order to develop this argument, the paper also differentiates types of multinational. The article uses distinction between market-seeking, resource-seeking, efficiency-seeking and strategic asset-seeking in order to identify a range of different MNC activity across manufacturing, professional and financial sectors. These different sorts of MNC activity vary across time and contexts in terms of their significance. The article looks in detail at four different models of capitalism and examines how the entry of different sorts of multinationals with distinctive objectives impacts on the relationships between key social actors which underpin and reinforce these models. In this way, it suggests how institutional diversity within different types of capitalism may evolve under the impact of MNCs and globalization.", "author" : [ { "dropping-particle" : "", "family" : "Morgan", "given" : "Glenn", "non-dropping-particle" : "", "parse-names" : false, "suffix" : "" } ], "container-title" : "Economy and Society", "id" : "ITEM-1", "issue" : "4", "issued" : { "date-parts" : [ [ "2009" ] ] }, "page" : "580-605", "title" : "Globalization, multinationals and institutional diversity", "type" : "article-journal", "volume" : "38" }, "uris" : [ "http://www.mendeley.com/documents/?uuid=25916039-9f66-4663-86c2-415e0baeddb1" ] } ], "mendeley" : { "formattedCitation" : "(Morgan 2009)", "manualFormatting" : "(Morgan, 2009)", "plainTextFormattedCitation" : "(Morgan 2009)", "previouslyFormattedCitation" : "(Morgan 2009)" }, "properties" : { "noteIndex" : 0 }, "schema" : "https://github.com/citation-style-language/schema/raw/master/csl-citation.json" }</w:instrText>
      </w:r>
      <w:r w:rsidR="00D03A8E" w:rsidRPr="00452E2E">
        <w:rPr>
          <w:szCs w:val="24"/>
        </w:rPr>
        <w:fldChar w:fldCharType="separate"/>
      </w:r>
      <w:r w:rsidR="00D03A8E" w:rsidRPr="00452E2E">
        <w:rPr>
          <w:noProof/>
          <w:szCs w:val="24"/>
        </w:rPr>
        <w:t>(Morgan, 2009)</w:t>
      </w:r>
      <w:r w:rsidR="00D03A8E" w:rsidRPr="00452E2E">
        <w:rPr>
          <w:szCs w:val="24"/>
        </w:rPr>
        <w:fldChar w:fldCharType="end"/>
      </w:r>
      <w:r w:rsidR="00D03A8E" w:rsidRPr="00452E2E">
        <w:rPr>
          <w:szCs w:val="24"/>
        </w:rPr>
        <w:t xml:space="preserve">. </w:t>
      </w:r>
      <w:r w:rsidR="009C4B8E" w:rsidRPr="00452E2E">
        <w:rPr>
          <w:szCs w:val="24"/>
        </w:rPr>
        <w:t>According to Lane &amp; Wood (2009), a</w:t>
      </w:r>
      <w:r w:rsidR="00D03A8E" w:rsidRPr="00452E2E">
        <w:rPr>
          <w:szCs w:val="24"/>
        </w:rPr>
        <w:t xml:space="preserve">s firms face diverse challenges arising from globalization, they are forced to seek innovative solutions to their peculiar challenges. This will mean adopting new </w:t>
      </w:r>
      <w:r w:rsidR="00D03A8E" w:rsidRPr="00452E2E">
        <w:rPr>
          <w:szCs w:val="24"/>
        </w:rPr>
        <w:lastRenderedPageBreak/>
        <w:t xml:space="preserve">practices, including those relating to managing people </w:t>
      </w:r>
      <w:r w:rsidR="00D03A8E" w:rsidRPr="00452E2E">
        <w:rPr>
          <w:szCs w:val="24"/>
        </w:rPr>
        <w:fldChar w:fldCharType="begin" w:fldLock="1"/>
      </w:r>
      <w:r w:rsidR="00D03A8E" w:rsidRPr="00452E2E">
        <w:rPr>
          <w:szCs w:val="24"/>
        </w:rPr>
        <w:instrText>ADDIN CSL_CITATION { "citationItems" : [ { "id" : "ITEM-1", "itemData" : { "abstract" : "This study seeks to go beneath the generalizations that constitute characterizations of national economies in order to examine local and sectoral diversity - in particular, forms of capitalist organization at the level of localized sectors. It reports on the findings of research based on detailed case histories of local economies in four different types of production: modernized craft manufacturing (furniture), mass production (motor vehicles), high-technology production (biopharmaceuticals) and high-tech services (television film-making). In each case a local economy in Germany (usually seen counter-factually as an example of a particularly national system) was compared with one elsewhere in Europe: respectively, southern Sweden, Hungary (compared with eastern Germany) and the UK (for two studies). In the analysis, companies act rationally in response to sector-specific challenges, being partly bound by the existing institutional framework that they encounter, but partly acting to alter it. Two possibilities are distinguished and found in the cases. In the first (structurally conservative) case, arrangements of governance in the national innovation and production system prove to be beneficial for the companies and their aim to stand up to international competition. Insofar as national institutions help companies to deal with competition on their markets, they will probably try to preserve these arrangements. In the second (innovative) case, companies turn away from the national context and develop their own local governance structure. If the national institutional structure is seen as not adequate or 'non-fitting' to deal with sectorally specific terms of competition, then the internal and external coordination of companies - in reaction to challenges posed by the market - is likely to deviate from the national structure. In some instances evidence of 'creative incoherence', where local deviation from the national model provides a creative impulse, is found.", "author" : [ { "dropping-particle" : "", "family" : "Crouch", "given" : "Colin", "non-dropping-particle" : "", "parse-names" : false, "suffix" : "" }, { "dropping-particle" : "", "family" : "Schr\u00f6der", "given" : "Martin", "non-dropping-particle" : "", "parse-names" : false, "suffix" : "" }, { "dropping-particle" : "", "family" : "Voelzkow", "given" : "Helmut", "non-dropping-particle" : "", "parse-names" : false, "suffix" : "" } ], "container-title" : "Economy and Society", "id" : "ITEM-1", "issue" : "4", "issued" : { "date-parts" : [ [ "2009" ] ] }, "page" : "654-678", "title" : "Regional and sectoral varieties of capitalism", "type" : "article-journal", "volume" : "38" }, "uris" : [ "http://www.mendeley.com/documents/?uuid=cf57ae95-4d69-49d3-ba41-78d8e86b944d" ] }, { "id" : "ITEM-2",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"ITEM-2", "issue" : "4", "issued" : { "date-parts" : [ [ "2009" ] ] }, "page" : "531-551", "title" : "Capitalist diversity and diversity within capitalism", "type" : "article-journal", "volume" : "38" }, "uris" : [ "http://www.mendeley.com/documents/?uuid=7b3af461-5ee4-40a7-bcce-00cc0eaef4dd" ] } ], "mendeley" : { "formattedCitation" : "(Crouch et al. 2009; Lane &amp; Wood 2009)", "manualFormatting" : "(Crouch et al., 2009; Lane &amp; Wood, 2009)", "plainTextFormattedCitation" : "(Crouch et al. 2009; Lane &amp; Wood 2009)", "previouslyFormattedCitation" : "(Crouch et al. 2009; Lane &amp; Wood 2009)"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(Crouch </w:t>
      </w:r>
      <w:r w:rsidR="00D03A8E" w:rsidRPr="00452E2E">
        <w:rPr>
          <w:i/>
          <w:noProof/>
          <w:szCs w:val="24"/>
        </w:rPr>
        <w:t>et al</w:t>
      </w:r>
      <w:r w:rsidR="00D03A8E" w:rsidRPr="00452E2E">
        <w:rPr>
          <w:noProof/>
          <w:szCs w:val="24"/>
        </w:rPr>
        <w:t>., 2009; Lane &amp; Wood, 2009)</w:t>
      </w:r>
      <w:r w:rsidR="00D03A8E" w:rsidRPr="00452E2E">
        <w:rPr>
          <w:szCs w:val="24"/>
        </w:rPr>
        <w:fldChar w:fldCharType="end"/>
      </w:r>
      <w:r w:rsidR="00D03A8E" w:rsidRPr="00452E2E">
        <w:rPr>
          <w:szCs w:val="24"/>
        </w:rPr>
        <w:t xml:space="preserve">. The negative attitude of neo-liberalism toward trade unions, which has placed unions in a disadvantaged position, further provides firms with the leeway to adopt </w:t>
      </w:r>
      <w:r w:rsidR="007E2132" w:rsidRPr="00452E2E">
        <w:rPr>
          <w:szCs w:val="24"/>
        </w:rPr>
        <w:t>HRM</w:t>
      </w:r>
      <w:r w:rsidR="00D03A8E" w:rsidRPr="00452E2E">
        <w:rPr>
          <w:szCs w:val="24"/>
        </w:rPr>
        <w:t xml:space="preserve"> practices that deviate from national and/or industrial norms without being challenged </w:t>
      </w:r>
      <w:r w:rsidR="00D03A8E" w:rsidRPr="00452E2E">
        <w:rPr>
          <w:szCs w:val="24"/>
        </w:rPr>
        <w:fldChar w:fldCharType="begin" w:fldLock="1"/>
      </w:r>
      <w:r w:rsidR="00D03A8E"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"(Lane &amp; Wood 2009; Wilkinson &amp; Wood, 2012; Wilkinson et al., 2014)", "plainTextFormattedCitation" : "(Lane &amp; Wood 2009)", "previouslyFormattedCitation" : "(Lane &amp; Wood 2009)" }, "properties" : { "noteIndex" : 0 }, "schema" : "https://github.com/citation-style-language/schema/raw/master/csl-citation.json" }</w:instrText>
      </w:r>
      <w:r w:rsidR="00D03A8E" w:rsidRPr="00452E2E">
        <w:rPr>
          <w:szCs w:val="24"/>
        </w:rPr>
        <w:fldChar w:fldCharType="separate"/>
      </w:r>
      <w:r w:rsidR="00307EFC" w:rsidRPr="00452E2E">
        <w:rPr>
          <w:noProof/>
          <w:szCs w:val="24"/>
        </w:rPr>
        <w:t xml:space="preserve">(Lane &amp; Wood 2009; </w:t>
      </w:r>
      <w:r w:rsidR="00D03A8E" w:rsidRPr="00452E2E">
        <w:rPr>
          <w:noProof/>
          <w:szCs w:val="24"/>
        </w:rPr>
        <w:t xml:space="preserve">Wilkinson </w:t>
      </w:r>
      <w:r w:rsidR="00D03A8E" w:rsidRPr="00452E2E">
        <w:rPr>
          <w:i/>
          <w:noProof/>
          <w:szCs w:val="24"/>
        </w:rPr>
        <w:t>et al</w:t>
      </w:r>
      <w:r w:rsidR="00D03A8E" w:rsidRPr="00452E2E">
        <w:rPr>
          <w:noProof/>
          <w:szCs w:val="24"/>
        </w:rPr>
        <w:t>., 2014)</w:t>
      </w:r>
      <w:r w:rsidR="00D03A8E" w:rsidRPr="00452E2E">
        <w:rPr>
          <w:szCs w:val="24"/>
        </w:rPr>
        <w:fldChar w:fldCharType="end"/>
      </w:r>
      <w:r w:rsidR="00D03A8E" w:rsidRPr="00452E2E">
        <w:rPr>
          <w:szCs w:val="24"/>
        </w:rPr>
        <w:t>.</w:t>
      </w:r>
    </w:p>
    <w:p w:rsidR="00D03A8E" w:rsidRPr="00452E2E" w:rsidRDefault="00D03A8E" w:rsidP="00D03A8E">
      <w:pPr>
        <w:spacing w:line="360" w:lineRule="auto"/>
        <w:jc w:val="both"/>
        <w:rPr>
          <w:szCs w:val="24"/>
        </w:rPr>
      </w:pPr>
      <w:r w:rsidRPr="00452E2E">
        <w:rPr>
          <w:szCs w:val="24"/>
        </w:rPr>
        <w:t xml:space="preserve"> In addition, </w:t>
      </w:r>
      <w:r w:rsidR="00C1181F" w:rsidRPr="00452E2E">
        <w:rPr>
          <w:szCs w:val="24"/>
        </w:rPr>
        <w:t xml:space="preserve">it has been argued that </w:t>
      </w:r>
      <w:r w:rsidR="00FE0869" w:rsidRPr="00452E2E">
        <w:rPr>
          <w:szCs w:val="24"/>
        </w:rPr>
        <w:t>as</w:t>
      </w:r>
      <w:r w:rsidRPr="00452E2E">
        <w:rPr>
          <w:szCs w:val="24"/>
        </w:rPr>
        <w:t xml:space="preserve"> firms </w:t>
      </w:r>
      <w:r w:rsidR="00FE0869" w:rsidRPr="00452E2E">
        <w:rPr>
          <w:szCs w:val="24"/>
        </w:rPr>
        <w:t>access</w:t>
      </w:r>
      <w:r w:rsidRPr="00452E2E">
        <w:rPr>
          <w:szCs w:val="24"/>
        </w:rPr>
        <w:t xml:space="preserve"> international markets</w:t>
      </w:r>
      <w:r w:rsidR="00FE0869" w:rsidRPr="00452E2E">
        <w:rPr>
          <w:szCs w:val="24"/>
        </w:rPr>
        <w:t>,</w:t>
      </w:r>
      <w:r w:rsidRPr="00452E2E">
        <w:rPr>
          <w:szCs w:val="24"/>
        </w:rPr>
        <w:t xml:space="preserve"> </w:t>
      </w:r>
      <w:r w:rsidR="00FE0869" w:rsidRPr="00452E2E">
        <w:rPr>
          <w:szCs w:val="24"/>
        </w:rPr>
        <w:t>they are likely to</w:t>
      </w:r>
      <w:r w:rsidRPr="00452E2E">
        <w:rPr>
          <w:szCs w:val="24"/>
        </w:rPr>
        <w:t xml:space="preserve"> adopt foreign practices that have proved successful elsewhere </w:t>
      </w:r>
      <w:r w:rsidRPr="00452E2E">
        <w:rPr>
          <w:szCs w:val="24"/>
        </w:rPr>
        <w:fldChar w:fldCharType="begin" w:fldLock="1"/>
      </w:r>
      <w:r w:rsidRPr="00452E2E">
        <w:rPr>
          <w:szCs w:val="24"/>
        </w:rPr>
        <w:instrText>ADDIN CSL_CITATION { "citationItems" : [ { "id" : "ITEM-1", "itemData" : { "abstract" : "This study seeks to go beneath the generalizations that constitute characterizations of national economies in order to examine local and sectoral diversity - in particular, forms of capitalist organization at the level of localized sectors. It reports on the findings of research based on detailed case histories of local economies in four different types of production: modernized craft manufacturing (furniture), mass production (motor vehicles), high-technology production (biopharmaceuticals) and high-tech services (television film-making). In each case a local economy in Germany (usually seen counter-factually as an example of a particularly national system) was compared with one elsewhere in Europe: respectively, southern Sweden, Hungary (compared with eastern Germany) and the UK (for two studies). In the analysis, companies act rationally in response to sector-specific challenges, being partly bound by the existing institutional framework that they encounter, but partly acting to alter it. Two possibilities are distinguished and found in the cases. In the first (structurally conservative) case, arrangements of governance in the national innovation and production system prove to be beneficial for the companies and their aim to stand up to international competition. Insofar as national institutions help companies to deal with competition on their markets, they will probably try to preserve these arrangements. In the second (innovative) case, companies turn away from the national context and develop their own local governance structure. If the national institutional structure is seen as not adequate or 'non-fitting' to deal with sectorally specific terms of competition, then the internal and external coordination of companies - in reaction to challenges posed by the market - is likely to deviate from the national structure. In some instances evidence of 'creative incoherence', where local deviation from the national model provides a creative impulse, is found.", "author" : [ { "dropping-particle" : "", "family" : "Crouch", "given" : "Colin", "non-dropping-particle" : "", "parse-names" : false, "suffix" : "" }, { "dropping-particle" : "", "family" : "Schr\u00f6der", "given" : "Martin", "non-dropping-particle" : "", "parse-names" : false, "suffix" : "" }, { "dropping-particle" : "", "family" : "Voelzkow", "given" : "Helmut", "non-dropping-particle" : "", "parse-names" : false, "suffix" : "" } ], "container-title" : "Economy and Society", "id" : "ITEM-1", "issue" : "4", "issued" : { "date-parts" : [ [ "2009" ] ] }, "page" : "654-678", "title" : "Regional and sectoral varieties of capitalism", "type" : "article-journal", "volume" : "38" }, "uris" : [ "http://www.mendeley.com/documents/?uuid=cf57ae95-4d69-49d3-ba41-78d8e86b944d" ] }, { "id" : "ITEM-2",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"ITEM-2", "issue" : "4", "issued" : { "date-parts" : [ [ "2009" ] ] }, "page" : "531-551", "title" : "Capitalist diversity and diversity within capitalism", "type" : "article-journal", "volume" : "38" }, "uris" : [ "http://www.mendeley.com/documents/?uuid=7b3af461-5ee4-40a7-bcce-00cc0eaef4dd" ] } ], "mendeley" : { "formattedCitation" : "(Crouch et al. 2009; Lane &amp; Wood 2009)", "manualFormatting" : "(Crouch et al., 2009; Lane &amp; Wood, 2009)", "plainTextFormattedCitation" : "(Crouch et al. 2009; Lane &amp; Wood 2009)", "previouslyFormattedCitation" : "(Crouch et al. 2009; Lane &amp; Wood 2009)" }, "properties" : { "noteIndex" : 0 }, "schema" : "https://github.com/citation-style-language/schema/raw/master/csl-citation.json" }</w:instrText>
      </w:r>
      <w:r w:rsidRPr="00452E2E">
        <w:rPr>
          <w:szCs w:val="24"/>
        </w:rPr>
        <w:fldChar w:fldCharType="separate"/>
      </w:r>
      <w:r w:rsidRPr="00452E2E">
        <w:rPr>
          <w:noProof/>
          <w:szCs w:val="24"/>
        </w:rPr>
        <w:t xml:space="preserve">(Crouch </w:t>
      </w:r>
      <w:r w:rsidRPr="00452E2E">
        <w:rPr>
          <w:i/>
          <w:noProof/>
          <w:szCs w:val="24"/>
        </w:rPr>
        <w:t>et al</w:t>
      </w:r>
      <w:r w:rsidRPr="00452E2E">
        <w:rPr>
          <w:noProof/>
          <w:szCs w:val="24"/>
        </w:rPr>
        <w:t>., 2009; Lane &amp; Wood, 2009)</w:t>
      </w:r>
      <w:r w:rsidRPr="00452E2E">
        <w:rPr>
          <w:szCs w:val="24"/>
        </w:rPr>
        <w:fldChar w:fldCharType="end"/>
      </w:r>
      <w:r w:rsidRPr="00452E2E">
        <w:rPr>
          <w:szCs w:val="24"/>
        </w:rPr>
        <w:t xml:space="preserve">. Hence, diversity increases due to uneven adoption of new practices across organizational forms, as a result of varying exposures of firms in different industries to distinct market conditions (cf. Lane &amp; Wood, 2009; Wilkinson </w:t>
      </w:r>
      <w:r w:rsidRPr="00452E2E">
        <w:rPr>
          <w:i/>
          <w:szCs w:val="24"/>
        </w:rPr>
        <w:t>et al</w:t>
      </w:r>
      <w:r w:rsidRPr="00452E2E">
        <w:rPr>
          <w:szCs w:val="24"/>
        </w:rPr>
        <w:t xml:space="preserve">., 2014). Similarly, the different levels of technological change in different sectors require different solutions to sector-specific or firm-specific problems confronting organizations, which in turn provide a fertile ground for diversity to thrive </w:t>
      </w:r>
      <w:r w:rsidRPr="00452E2E">
        <w:rPr>
          <w:szCs w:val="24"/>
        </w:rPr>
        <w:fldChar w:fldCharType="begin" w:fldLock="1"/>
      </w:r>
      <w:r w:rsidRPr="00452E2E">
        <w:rPr>
          <w:szCs w:val="24"/>
        </w:rPr>
        <w:instrText>ADDIN CSL_CITATION { "citationItems" : [ { "id" : "ITEM-1", "itemData" : { "abstract" : "This study seeks to go beneath the generalizations that constitute characterizations of national economies in order to examine local and sectoral diversity - in particular, forms of capitalist organization at the level of localized sectors. It reports on the findings of research based on detailed case histories of local economies in four different types of production: modernized craft manufacturing (furniture), mass production (motor vehicles), high-technology production (biopharmaceuticals) and high-tech services (television film-making). In each case a local economy in Germany (usually seen counter-factually as an example of a particularly national system) was compared with one elsewhere in Europe: respectively, southern Sweden, Hungary (compared with eastern Germany) and the UK (for two studies). In the analysis, companies act rationally in response to sector-specific challenges, being partly bound by the existing institutional framework that they encounter, but partly acting to alter it. Two possibilities are distinguished and found in the cases. In the first (structurally conservative) case, arrangements of governance in the national innovation and production system prove to be beneficial for the companies and their aim to stand up to international competition. Insofar as national institutions help companies to deal with competition on their markets, they will probably try to preserve these arrangements. In the second (innovative) case, companies turn away from the national context and develop their own local governance structure. If the national institutional structure is seen as not adequate or 'non-fitting' to deal with sectorally specific terms of competition, then the internal and external coordination of companies - in reaction to challenges posed by the market - is likely to deviate from the national structure. In some instances evidence of 'creative incoherence', where local deviation from the national model provides a creative impulse, is found.", "author" : [ { "dropping-particle" : "", "family" : "Crouch", "given" : "Colin", "non-dropping-particle" : "", "parse-names" : false, "suffix" : "" }, { "dropping-particle" : "", "family" : "Schr\u00f6der", "given" : "Martin", "non-dropping-particle" : "", "parse-names" : false, "suffix" : "" }, { "dropping-particle" : "", "family" : "Voelzkow", "given" : "Helmut", "non-dropping-particle" : "", "parse-names" : false, "suffix" : "" } ], "container-title" : "Economy and Society", "id" : "ITEM-1", "issue" : "4", "issued" : { "date-parts" : [ [ "2009" ] ] }, "page" : "654-678", "title" : "Regional and sectoral varieties of capitalism", "type" : "article-journal", "volume" : "38" }, "uris" : [ "http://www.mendeley.com/documents/?uuid=cf57ae95-4d69-49d3-ba41-78d8e86b944d" ] }, { "id" : "ITEM-2", "itemData" : { "author" : [ { "dropping-particle" : "", "family" : "Lane", "given" : "Christel", "non-dropping-particle" : "", "parse-names" : false, "suffix" : "" }, { "dropping-particle" : "", "family" : "Wood", "given" : "Geoffrey", "non-dropping-particle" : "", "parse-names" : false, "suffix" : "" } ], "container-title" : "The Oxford handbook of employlent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"ITEM-2", "issued" : { "date-parts" : [ [ "2014" ] ] }, "page" : "156-172", "publisher" : "Oxford University Press", "publisher-place" : "Oxford", "title" : "Capitalist diversity, work and employment relations", "type" : "chapter" }, "uris" : [ "http://www.mendeley.com/documents/?uuid=98891f5a-7433-49ae-8987-eebba94ddc63" ] } ], "mendeley" : { "formattedCitation" : "(Crouch et al. 2009; Lane &amp; Wood 2014)", "manualFormatting" : "(Crouch et al., 2009; Lane &amp; Wood, 2014)", "plainTextFormattedCitation" : "(Crouch et al. 2009; Lane &amp; Wood 2014)", "previouslyFormattedCitation" : "(Crouch et al. 2009; Lane &amp; Wood 2014)" }, "properties" : { "noteIndex" : 0 }, "schema" : "https://github.com/citation-style-language/schema/raw/master/csl-citation.json" }</w:instrText>
      </w:r>
      <w:r w:rsidRPr="00452E2E">
        <w:rPr>
          <w:szCs w:val="24"/>
        </w:rPr>
        <w:fldChar w:fldCharType="separate"/>
      </w:r>
      <w:r w:rsidRPr="00452E2E">
        <w:rPr>
          <w:noProof/>
          <w:szCs w:val="24"/>
        </w:rPr>
        <w:t xml:space="preserve">(Crouch </w:t>
      </w:r>
      <w:r w:rsidRPr="00452E2E">
        <w:rPr>
          <w:i/>
          <w:noProof/>
          <w:szCs w:val="24"/>
        </w:rPr>
        <w:t>et al</w:t>
      </w:r>
      <w:r w:rsidRPr="00452E2E">
        <w:rPr>
          <w:noProof/>
          <w:szCs w:val="24"/>
        </w:rPr>
        <w:t>., 2009; Lane &amp; Wood, 2014)</w:t>
      </w:r>
      <w:r w:rsidRPr="00452E2E">
        <w:rPr>
          <w:szCs w:val="24"/>
        </w:rPr>
        <w:fldChar w:fldCharType="end"/>
      </w:r>
      <w:r w:rsidRPr="00452E2E">
        <w:rPr>
          <w:szCs w:val="24"/>
        </w:rPr>
        <w:t>.</w:t>
      </w:r>
    </w:p>
    <w:p w:rsidR="00D03A8E" w:rsidRPr="00452E2E" w:rsidRDefault="00D03A8E" w:rsidP="00D03A8E">
      <w:pPr>
        <w:spacing w:line="360" w:lineRule="auto"/>
        <w:jc w:val="both"/>
        <w:rPr>
          <w:szCs w:val="24"/>
        </w:rPr>
      </w:pPr>
      <w:r w:rsidRPr="00452E2E">
        <w:rPr>
          <w:szCs w:val="24"/>
        </w:rPr>
        <w:t xml:space="preserve">Also driving internal diversity is the actions of multinationals and other supranational institutions such as the World Bank and IMF </w:t>
      </w:r>
      <w:r w:rsidRPr="00452E2E">
        <w:rPr>
          <w:szCs w:val="24"/>
        </w:rPr>
        <w:fldChar w:fldCharType="begin" w:fldLock="1"/>
      </w:r>
      <w:r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"id" : "ITEM-2", "itemData" : { "DOI" : "10.1080/03085140903190342", "ISBN" : "0308-5147", "ISSN" : "0308-5147", "abstract" : "This article aims to explore the impact of globalization and in particular multinationals on diversity within national varieties of capitalism. Do the actions of multinationals create more diversity within national systems, do they reduce diversity or do they have relatively little impact on diversity within national systems? The article argues that there are distinctive structures of institutional diversity across different national systems. Therefore, the question is not how do MNCs impact on institutional diversity per se but how do they impact on these different structures of diversity? In order to develop this argument, the paper also differentiates types of multinational. The article uses distinction between market-seeking, resource-seeking, efficiency-seeking and strategic asset-seeking in order to identify a range of different MNC activity across manufacturing, professional and financial sectors. These different sorts of MNC activity vary across time and contexts in terms of their significance. The article looks in detail at four different models of capitalism and examines how the entry of different sorts of multinationals with distinctive objectives impacts on the relationships between key social actors which underpin and reinforce these models. In this way, it suggests how institutional diversity within different types of capitalism may evolve under the impact of MNCs and globalization.", "author" : [ { "dropping-particle" : "", "family" : "Morgan", "given" : "Glenn", "non-dropping-particle" : "", "parse-names" : false, "suffix" : "" } ], "container-title" : "Economy and Society", "id" : "ITEM-2", "issue" : "4", "issued" : { "date-parts" : [ [ "2009" ] ] }, "page" : "580-605", "title" : "Globalization, multinationals and institutional diversity", "type" : "article-journal", "volume" : "38" }, "uris" : [ "http://www.mendeley.com/documents/?uuid=25916039-9f66-4663-86c2-415e0baeddb1" ] }, { "id" : "ITEM-3", "itemData" : { "author" : [ { "dropping-particle" : "", "family" : "Lane", "given" : "Christel", "non-dropping-particle" : "", "parse-names" : false, "suffix" : "" }, { "dropping-particle" : "", "family" : "Wood", "given" : "Geoffrey", "non-dropping-particle" : "", "parse-names" : false, "suffix" : "" } ], "container-title" : "The Oxford handbook of employlent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"ITEM-3", "issued" : { "date-parts" : [ [ "2014" ] ] }, "page" : "156-172", "publisher" : "Oxford University Press", "publisher-place" : "Oxford", "title" : "Capitalist diversity, work and employment relations", "type" : "chapter" }, "uris" : [ "http://www.mendeley.com/documents/?uuid=98891f5a-7433-49ae-8987-eebba94ddc63" ] } ], "mendeley" : { "formattedCitation" : "(Lane &amp; Wood 2009; Morgan 2009; Lane &amp; Wood 2014)", "manualFormatting" : "(Lane &amp; Wood, 2009; Morgan, 2009; Lane &amp; Wood, 2014)", "plainTextFormattedCitation" : "(Lane &amp; Wood 2009; Morgan 2009; Lane &amp; Wood 2014)", "previouslyFormattedCitation" : "(Lane &amp; Wood 2009; Morgan 2009; Lane &amp; Wood 2014)" }, "properties" : { "noteIndex" : 0 }, "schema" : "https://github.com/citation-style-language/schema/raw/master/csl-citation.json" }</w:instrText>
      </w:r>
      <w:r w:rsidRPr="00452E2E">
        <w:rPr>
          <w:szCs w:val="24"/>
        </w:rPr>
        <w:fldChar w:fldCharType="separate"/>
      </w:r>
      <w:r w:rsidRPr="00452E2E">
        <w:rPr>
          <w:noProof/>
          <w:szCs w:val="24"/>
        </w:rPr>
        <w:t>(Lane &amp; Wood, 2009; Morgan, 2009; Lane &amp; Wood, 2014)</w:t>
      </w:r>
      <w:r w:rsidRPr="00452E2E">
        <w:rPr>
          <w:szCs w:val="24"/>
        </w:rPr>
        <w:fldChar w:fldCharType="end"/>
      </w:r>
      <w:r w:rsidRPr="00452E2E">
        <w:rPr>
          <w:szCs w:val="24"/>
        </w:rPr>
        <w:t>. As multinationals enter new markets, they try to adapt to existin</w:t>
      </w:r>
      <w:r w:rsidR="00B15A76" w:rsidRPr="00452E2E">
        <w:rPr>
          <w:szCs w:val="24"/>
        </w:rPr>
        <w:t>g institutional frameworks whilst</w:t>
      </w:r>
      <w:r w:rsidRPr="00452E2E">
        <w:rPr>
          <w:szCs w:val="24"/>
        </w:rPr>
        <w:t xml:space="preserve"> at the same time trying to change weak ones </w:t>
      </w:r>
      <w:r w:rsidRPr="00452E2E">
        <w:rPr>
          <w:szCs w:val="24"/>
        </w:rPr>
        <w:fldChar w:fldCharType="begin" w:fldLock="1"/>
      </w:r>
      <w:r w:rsidRPr="00452E2E">
        <w:rPr>
          <w:szCs w:val="24"/>
        </w:rPr>
        <w:instrText>ADDIN CSL_CITATION { "citationItems" : [ { "id" : "ITEM-1", "itemData" : { "DOI" : "10.1080/03085140903190342", "ISBN" : "0308-5147", "ISSN" : "0308-5147", "abstract" : "This article aims to explore the impact of globalization and in particular multinationals on diversity within national varieties of capitalism. Do the actions of multinationals create more diversity within national systems, do they reduce diversity or do they have relatively little impact on diversity within national systems? The article argues that there are distinctive structures of institutional diversity across different national systems. Therefore, the question is not how do MNCs impact on institutional diversity per se but how do they impact on these different structures of diversity? In order to develop this argument, the paper also differentiates types of multinational. The article uses distinction between market-seeking, resource-seeking, efficiency-seeking and strategic asset-seeking in order to identify a range of different MNC activity across manufacturing, professional and financial sectors. These different sorts of MNC activity vary across time and contexts in terms of their significance. The article looks in detail at four different models of capitalism and examines how the entry of different sorts of multinationals with distinctive objectives impacts on the relationships between key social actors which underpin and reinforce these models. In this way, it suggests how institutional diversity within different types of capitalism may evolve under the impact of MNCs and globalization.", "author" : [ { "dropping-particle" : "", "family" : "Morgan", "given" : "Glenn", "non-dropping-particle" : "", "parse-names" : false, "suffix" : "" } ], "container-title" : "Economy and Society", "id" : "ITEM-1", "issue" : "4", "issued" : { "date-parts" : [ [ "2009" ] ] }, "page" : "580-605", "title" : "Globalization, multinationals and institutional diversity", "type" : "article-journal", "volume" : "38" }, "uris" : [ "http://www.mendeley.com/documents/?uuid=25916039-9f66-4663-86c2-415e0baeddb1" ] } ], "mendeley" : { "formattedCitation" : "(Morgan 2009)", "manualFormatting" : "(Morgan, 2009)", "plainTextFormattedCitation" : "(Morgan 2009)", "previouslyFormattedCitation" : "(Morgan 2009)" }, "properties" : { "noteIndex" : 0 }, "schema" : "https://github.com/citation-style-language/schema/raw/master/csl-citation.json" }</w:instrText>
      </w:r>
      <w:r w:rsidRPr="00452E2E">
        <w:rPr>
          <w:szCs w:val="24"/>
        </w:rPr>
        <w:fldChar w:fldCharType="separate"/>
      </w:r>
      <w:r w:rsidRPr="00452E2E">
        <w:rPr>
          <w:noProof/>
          <w:szCs w:val="24"/>
        </w:rPr>
        <w:t>(Morgan, 2009)</w:t>
      </w:r>
      <w:r w:rsidRPr="00452E2E">
        <w:rPr>
          <w:szCs w:val="24"/>
        </w:rPr>
        <w:fldChar w:fldCharType="end"/>
      </w:r>
      <w:r w:rsidRPr="00452E2E">
        <w:rPr>
          <w:szCs w:val="24"/>
        </w:rPr>
        <w:t xml:space="preserve">. Because of the degree of freedom multinationals have, especially in LMEs </w:t>
      </w:r>
      <w:r w:rsidRPr="00452E2E">
        <w:rPr>
          <w:szCs w:val="24"/>
        </w:rPr>
        <w:fldChar w:fldCharType="begin" w:fldLock="1"/>
      </w:r>
      <w:r w:rsidRPr="00452E2E">
        <w:rPr>
          <w:szCs w:val="24"/>
        </w:rPr>
        <w:instrText>ADDIN CSL_CITATION { "citationItems" : [ { "id" : "ITEM-1", "itemData" : { "DOI" : "10.1080/03085140903190342", "ISBN" : "0308-5147", "ISSN" : "0308-5147", "abstract" : "This article aims to explore the impact of globalization and in particular multinationals on diversity within national varieties of capitalism. Do the actions of multinationals create more diversity within national systems, do they reduce diversity or do they have relatively little impact on diversity within national systems? The article argues that there are distinctive structures of institutional diversity across different national systems. Therefore, the question is not how do MNCs impact on institutional diversity per se but how do they impact on these different structures of diversity? In order to develop this argument, the paper also differentiates types of multinational. The article uses distinction between market-seeking, resource-seeking, efficiency-seeking and strategic asset-seeking in order to identify a range of different MNC activity across manufacturing, professional and financial sectors. These different sorts of MNC activity vary across time and contexts in terms of their significance. The article looks in detail at four different models of capitalism and examines how the entry of different sorts of multinationals with distinctive objectives impacts on the relationships between key social actors which underpin and reinforce these models. In this way, it suggests how institutional diversity within different types of capitalism may evolve under the impact of MNCs and globalization.", "author" : [ { "dropping-particle" : "", "family" : "Morgan", "given" : "Glenn", "non-dropping-particle" : "", "parse-names" : false, "suffix" : "" } ], "container-title" : "Economy and Society", "id" : "ITEM-1", "issue" : "4", "issued" : { "date-parts" : [ [ "2009" ] ] }, "page" : "580-605", "title" : "Globalization, multinationals and institutional diversity", "type" : "article-journal", "volume" : "38" }, "uris" : [ "http://www.mendeley.com/documents/?uuid=25916039-9f66-4663-86c2-415e0baeddb1" ] } ], "mendeley" : { "formattedCitation" : "(Morgan 2009)", "manualFormatting" : "(Morgan, 2009)", "plainTextFormattedCitation" : "(Morgan 2009)", "previouslyFormattedCitation" : "(Morgan 2009)" }, "properties" : { "noteIndex" : 0 }, "schema" : "https://github.com/citation-style-language/schema/raw/master/csl-citation.json" }</w:instrText>
      </w:r>
      <w:r w:rsidRPr="00452E2E">
        <w:rPr>
          <w:szCs w:val="24"/>
        </w:rPr>
        <w:fldChar w:fldCharType="separate"/>
      </w:r>
      <w:r w:rsidRPr="00452E2E">
        <w:rPr>
          <w:noProof/>
          <w:szCs w:val="24"/>
        </w:rPr>
        <w:t>(Morgan, 2009)</w:t>
      </w:r>
      <w:r w:rsidRPr="00452E2E">
        <w:rPr>
          <w:szCs w:val="24"/>
        </w:rPr>
        <w:fldChar w:fldCharType="end"/>
      </w:r>
      <w:r w:rsidRPr="00452E2E">
        <w:rPr>
          <w:szCs w:val="24"/>
        </w:rPr>
        <w:t xml:space="preserve">, they tend to support institutional structures that boost their competitiveness while altering those they consider less beneficial in dealing with competition </w:t>
      </w:r>
      <w:r w:rsidRPr="00452E2E">
        <w:rPr>
          <w:szCs w:val="24"/>
        </w:rPr>
        <w:fldChar w:fldCharType="begin" w:fldLock="1"/>
      </w:r>
      <w:r w:rsidRPr="00452E2E">
        <w:rPr>
          <w:szCs w:val="24"/>
        </w:rPr>
        <w:instrText>ADDIN CSL_CITATION { "citationItems" : [ { "id" : "ITEM-1", "itemData" : { "abstract" : "This study seeks to go beneath the generalizations that constitute characterizations of national economies in order to examine local and sectoral diversity - in particular, forms of capitalist organization at the level of localized sectors. It reports on the findings of research based on detailed case histories of local economies in four different types of production: modernized craft manufacturing (furniture), mass production (motor vehicles), high-technology production (biopharmaceuticals) and high-tech services (television film-making). In each case a local economy in Germany (usually seen counter-factually as an example of a particularly national system) was compared with one elsewhere in Europe: respectively, southern Sweden, Hungary (compared with eastern Germany) and the UK (for two studies). In the analysis, companies act rationally in response to sector-specific challenges, being partly bound by the existing institutional framework that they encounter, but partly acting to alter it. Two possibilities are distinguished and found in the cases. In the first (structurally conservative) case, arrangements of governance in the national innovation and production system prove to be beneficial for the companies and their aim to stand up to international competition. Insofar as national institutions help companies to deal with competition on their markets, they will probably try to preserve these arrangements. In the second (innovative) case, companies turn away from the national context and develop their own local governance structure. If the national institutional structure is seen as not adequate or 'non-fitting' to deal with sectorally specific terms of competition, then the internal and external coordination of companies - in reaction to challenges posed by the market - is likely to deviate from the national structure. In some instances evidence of 'creative incoherence', where local deviation from the national model provides a creative impulse, is found.", "author" : [ { "dropping-particle" : "", "family" : "Crouch", "given" : "Colin", "non-dropping-particle" : "", "parse-names" : false, "suffix" : "" }, { "dropping-particle" : "", "family" : "Schr\u00f6der", "given" : "Martin", "non-dropping-particle" : "", "parse-names" : false, "suffix" : "" }, { "dropping-particle" : "", "family" : "Voelzkow", "given" : "Helmut", "non-dropping-particle" : "", "parse-names" : false, "suffix" : "" } ], "container-title" : "Economy and Society", "id" : "ITEM-1", "issue" : "4", "issued" : { "date-parts" : [ [ "2009" ] ] }, "page" : "654-678", "title" : "Regional and sectoral varieties of capitalism", "type" : "article-journal", "volume" : "38" }, "uris" : [ "http://www.mendeley.com/documents/?uuid=cf57ae95-4d69-49d3-ba41-78d8e86b944d" ] } ], "mendeley" : { "formattedCitation" : "(Crouch et al. 2009)", "manualFormatting" : "(Crouch et al., 2009)", "plainTextFormattedCitation" : "(Crouch et al. 2009)", "previouslyFormattedCitation" : "(Crouch et al. 2009)" }, "properties" : { "noteIndex" : 0 }, "schema" : "https://github.com/citation-style-language/schema/raw/master/csl-citation.json" }</w:instrText>
      </w:r>
      <w:r w:rsidRPr="00452E2E">
        <w:rPr>
          <w:szCs w:val="24"/>
        </w:rPr>
        <w:fldChar w:fldCharType="separate"/>
      </w:r>
      <w:r w:rsidRPr="00452E2E">
        <w:rPr>
          <w:noProof/>
          <w:szCs w:val="24"/>
        </w:rPr>
        <w:t xml:space="preserve">(Crouch </w:t>
      </w:r>
      <w:r w:rsidRPr="00452E2E">
        <w:rPr>
          <w:i/>
          <w:noProof/>
          <w:szCs w:val="24"/>
        </w:rPr>
        <w:t>et al</w:t>
      </w:r>
      <w:r w:rsidRPr="00452E2E">
        <w:rPr>
          <w:noProof/>
          <w:szCs w:val="24"/>
        </w:rPr>
        <w:t>., 2009)</w:t>
      </w:r>
      <w:r w:rsidRPr="00452E2E">
        <w:rPr>
          <w:szCs w:val="24"/>
        </w:rPr>
        <w:fldChar w:fldCharType="end"/>
      </w:r>
      <w:r w:rsidRPr="00452E2E">
        <w:rPr>
          <w:szCs w:val="24"/>
        </w:rPr>
        <w:t xml:space="preserve">. This creates systemic change, resulting </w:t>
      </w:r>
      <w:r w:rsidR="005629B3" w:rsidRPr="00452E2E">
        <w:rPr>
          <w:szCs w:val="24"/>
        </w:rPr>
        <w:t>in</w:t>
      </w:r>
      <w:r w:rsidRPr="00452E2E">
        <w:rPr>
          <w:szCs w:val="24"/>
        </w:rPr>
        <w:t xml:space="preserve"> the proliferation of different practices within a particular national context </w:t>
      </w:r>
      <w:r w:rsidRPr="00452E2E">
        <w:rPr>
          <w:szCs w:val="24"/>
        </w:rPr>
        <w:fldChar w:fldCharType="begin" w:fldLock="1"/>
      </w:r>
      <w:r w:rsidRPr="00452E2E">
        <w:rPr>
          <w:szCs w:val="24"/>
        </w:rPr>
        <w:instrText>ADDIN CSL_CITATION { "citationItems" : [ { "id" : "ITEM-1", "itemData" : { "abstract" : "There is considerable debate as to the determinants of the human resource policies of human resource management: do they reflect national institutional or cultural realities, emerging common global practices, parent country effects or the dual effects of transnational and national realities? We use an extensive international database to explore these differences, assessing variations in a range of human resource practices. We find new evidence of national differences in the manner in which indigenous firms manage their people, but also evidence of a similarity in practice amongst multinational corporations. In other words, multinational corporations tend to manage their human resources in ways that are distinct from those of their host country; at the same time, country of origin effects seem relatively weak. Whilst there is some evidence of common global practices, sufficient diversity in practice persists to suggest that duality theories may provide the most appropriate explanation. [ABSTRACT FROM AUTHOR]", "author" : [ { "dropping-particle" : "", "family" : "Brewster", "given" : "Chris", "non-dropping-particle" : "", "parse-names" : false, "suffix" : "" }, { "dropping-particle" : "", "family" : "Wood", "given" : "Geoffrey", "non-dropping-particle" : "", "parse-names" : false, "suffix" : "" }, { "dropping-particle" : "", "family" : "Brookes", "given" : "Michael", "non-dropping-particle" : "", "parse-names" : false, "suffix" : "" } ], "container-title" : "British Journal of Management", "id" : "ITEM-1", "issue" : "4", "issued" : { "date-parts" : [ [ "2008" ] ] }, "page" : "320-342", "title" : "Similarity, isomorphism or duality? Recent survey evidence on the human resource management policies of multinational corporations", "type" : "article-journal", "volume" : "19" }, "uris" : [ "http://www.mendeley.com/documents/?uuid=fa4d3562-9a2e-4782-aa4a-ebbd03b1ac30" ] }, { "id" : "ITEM-2", "itemData" : { "DOI" : "10.1080/09585190802404247", "ISBN" : "0958519080", "ISSN" : "0958-5192", "abstract" : "The impact of institutionalized contexts on the HRM activities of multinational \ufb01rms has become a focus of increasing attention in recent literature. However, theories of how different types of business systems or market economies may in\ufb02uence HRM, and the impact of context on multinational corporations (MNCs) operating under these different conditions are still not fully tested. In this paper the in\ufb02uence of the extent of institutional embeddedness of different national contexts (based on varieties of capitalism theory) on the HRM activities of MNCs is explored through the use of extensive survey data from four countries: the UK, Germany, the Netherlands and Sweden. Evidence is found of differences in HRM practices between foreign- and domestic-owned MNCs, as well as between MNCs and domestic organizations. Although less than expected, the restricted amount of leeway within a coordinated economy also appears to have differential effects on the various HRM practices explored in these foreign and domestic organizations.", "author" : [ { "dropping-particle" : "", "family" : "Farndale", "given" : "Elaine", "non-dropping-particle" : "", "parse-names" : false, "suffix" : "" }, { "dropping-particle" : "", "family" : "Brewster", "given" : "Chris", "non-dropping-particle" : "", "parse-names" : false, "suffix" : "" }, { "dropping-particle" : "", "family" : "Poutsma", "given" : "Erik", "non-dropping-particle" : "", "parse-names" : false, "suffix" : "" } ], "container-title" : "The International Journal of Human Resource Management", "id" : "ITEM-2", "issue" : "11", "issued" : { "date-parts" : [ [ "2008" ] ] }, "page" : "2004-2023", "title" : "Coordinated vs. liberal market HRM: the impact of institutionalization on multinational firms", "type" : "article-journal", "volume" : "19" }, "uris" : [ "http://www.mendeley.com/documents/?uuid=2c701966-403e-4827-aee3-1040a62d9447" ] }, { "id" : "ITEM-3", "itemData" : { "author" : [ { "dropping-particle" : "", "family" : "Wood", "given" : "Geoffrey", "non-dropping-particle" : "", "parse-names" : false, "suffix" : "" }, { "dropping-particle" : "", "family" : "Brewster", "given" : "Chris", "non-dropping-particle" : "", "parse-names" : false, "suffix" : "" }, { "dropping-particle" : "", "family" : "Brookes", "given" : "M</w:instrText>
      </w:r>
      <w:r w:rsidRPr="00452E2E">
        <w:rPr>
          <w:szCs w:val="24"/>
          <w:lang w:val="fr-FR"/>
        </w:rPr>
        <w:instrText>ichael", "non-dropping-particle" : "", "parse-names" : false, "suffix" : "" } ], "chapter-number" : "1", "container-title" : "Human resource management and the institutional perspective", "editor"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"id" : "ITEM-3", "issued" : { "date-parts" : [ [ "2014" ] ] }, "page" : "1-14", "publisher" : "Routledge", "publisher-place" : "London and New York", "title" : "Institutions and firm level HRM practice", "type" : "chapter" }, "uris" : [ "http://www.mendeley.com/documents/?uuid=ba62f378-933c-4fff-a2e8-63f742ac54d8" ] } ], "mendeley" : { "formattedCitation" : "(Brewster et al. 2008; Farndale et al. 2008; Wood, Brewster, et al. 2014)", "manualFormatting" : "(Brewster et al., 2008; Farndale et al., 2008; Wood et al., 2014a)", "plainTextFormattedCitation" : "(Brewster et al. 2008; Farndale et al. 2008; Wood, Brewster, et al. 2014)", "previouslyFormattedCitation" : "(Brewster et al. 2008; Farndale et al. 2008; Wood, Brewster, et al. 2014)" }, "properties" : { "noteIndex" : 0 }, "schema" : "https://github.com/citation-style-language/schema/raw/master/csl-citation.json" }</w:instrText>
      </w:r>
      <w:r w:rsidRPr="00452E2E">
        <w:rPr>
          <w:szCs w:val="24"/>
        </w:rPr>
        <w:fldChar w:fldCharType="separate"/>
      </w:r>
      <w:r w:rsidRPr="00452E2E">
        <w:rPr>
          <w:noProof/>
          <w:szCs w:val="24"/>
          <w:lang w:val="fr-FR"/>
        </w:rPr>
        <w:t xml:space="preserve">(Brewster </w:t>
      </w:r>
      <w:r w:rsidRPr="00452E2E">
        <w:rPr>
          <w:i/>
          <w:noProof/>
          <w:szCs w:val="24"/>
          <w:lang w:val="fr-FR"/>
        </w:rPr>
        <w:t>et al</w:t>
      </w:r>
      <w:r w:rsidRPr="00452E2E">
        <w:rPr>
          <w:noProof/>
          <w:szCs w:val="24"/>
          <w:lang w:val="fr-FR"/>
        </w:rPr>
        <w:t xml:space="preserve">., 2008; Farndale </w:t>
      </w:r>
      <w:r w:rsidRPr="00452E2E">
        <w:rPr>
          <w:i/>
          <w:noProof/>
          <w:szCs w:val="24"/>
          <w:lang w:val="fr-FR"/>
        </w:rPr>
        <w:t>et al</w:t>
      </w:r>
      <w:r w:rsidRPr="00452E2E">
        <w:rPr>
          <w:noProof/>
          <w:szCs w:val="24"/>
          <w:lang w:val="fr-FR"/>
        </w:rPr>
        <w:t xml:space="preserve">., 2008; Wood </w:t>
      </w:r>
      <w:r w:rsidRPr="00452E2E">
        <w:rPr>
          <w:i/>
          <w:noProof/>
          <w:szCs w:val="24"/>
          <w:lang w:val="fr-FR"/>
        </w:rPr>
        <w:t>et al</w:t>
      </w:r>
      <w:r w:rsidRPr="00452E2E">
        <w:rPr>
          <w:noProof/>
          <w:szCs w:val="24"/>
          <w:lang w:val="fr-FR"/>
        </w:rPr>
        <w:t>., 2014</w:t>
      </w:r>
      <w:r w:rsidRPr="00452E2E">
        <w:rPr>
          <w:i/>
          <w:noProof/>
          <w:szCs w:val="24"/>
          <w:lang w:val="fr-FR"/>
        </w:rPr>
        <w:t>a</w:t>
      </w:r>
      <w:r w:rsidRPr="00452E2E">
        <w:rPr>
          <w:noProof/>
          <w:szCs w:val="24"/>
          <w:lang w:val="fr-FR"/>
        </w:rPr>
        <w:t>)</w:t>
      </w:r>
      <w:r w:rsidRPr="00452E2E">
        <w:rPr>
          <w:szCs w:val="24"/>
        </w:rPr>
        <w:fldChar w:fldCharType="end"/>
      </w:r>
      <w:r w:rsidRPr="00452E2E">
        <w:rPr>
          <w:szCs w:val="24"/>
          <w:lang w:val="fr-FR"/>
        </w:rPr>
        <w:t xml:space="preserve">. </w:t>
      </w:r>
      <w:r w:rsidRPr="00452E2E">
        <w:rPr>
          <w:szCs w:val="24"/>
        </w:rPr>
        <w:t xml:space="preserve">Not only do multinationals introduce new practices in their host countries, they also transfer HRM practices from subsidiaries to their headquarters, which results </w:t>
      </w:r>
      <w:r w:rsidR="007A269A" w:rsidRPr="00452E2E">
        <w:rPr>
          <w:szCs w:val="24"/>
        </w:rPr>
        <w:t>in</w:t>
      </w:r>
      <w:r w:rsidRPr="00452E2E">
        <w:rPr>
          <w:szCs w:val="24"/>
        </w:rPr>
        <w:t xml:space="preserve"> diversity in the home country practices </w:t>
      </w:r>
      <w:r w:rsidRPr="00452E2E">
        <w:rPr>
          <w:szCs w:val="24"/>
        </w:rPr>
        <w:fldChar w:fldCharType="begin" w:fldLock="1"/>
      </w:r>
      <w:r w:rsidRPr="00452E2E">
        <w:rPr>
          <w:szCs w:val="24"/>
        </w:rPr>
        <w:instrText>ADDIN CSL_CITATION { "citationItems" : [ { "id" : "ITEM-1", "itemData" : { "author" : [ { "dropping-particle" : "", "family" : "Edwards", "given" : "Tony", "non-dropping-particle" : "", "parse-names" : false, "suffix" : "" }, { "dropping-particle" : "", "family" : "Ferner", "given" : "Anthony", "non-dropping-particle" : "", "parse-names" : false, "suffix" : "" } ], "container-title" : "Management and Organization Review", "id" : "ITEM-1", "issue" : "1", "issued" : { "date-parts" : [ [ "2004" ] ] }, "page" : "49-79", "title" : "Multinatinationals, reverse diffusion and national business systems", "type" : "article-journal", "volume" : "44" }, "uris" : [ "http://www.mendeley.com/documents/?uuid=2eb2501a-6139-49c0-8dd9-398827939fba" ] } ], "mendeley" : { "formattedCitation" : "(Edwards &amp; Ferner 2004)", "manualFormatting" : "(Edwards &amp; Ferner, 2004)", "plainTextFormattedCitation" : "(Edwards &amp; Ferner 2004)", "previouslyFormattedCitation" : "(Edwards &amp; Ferner 2004)" }, "properties" : { "noteIndex" : 0 }, "schema" : "https://github.com/citation-style-language/schema/raw/master/csl-citation.json" }</w:instrText>
      </w:r>
      <w:r w:rsidRPr="00452E2E">
        <w:rPr>
          <w:szCs w:val="24"/>
        </w:rPr>
        <w:fldChar w:fldCharType="separate"/>
      </w:r>
      <w:r w:rsidRPr="00452E2E">
        <w:rPr>
          <w:noProof/>
          <w:szCs w:val="24"/>
        </w:rPr>
        <w:t>(Edwards &amp; Ferner, 2004)</w:t>
      </w:r>
      <w:r w:rsidRPr="00452E2E">
        <w:rPr>
          <w:szCs w:val="24"/>
        </w:rPr>
        <w:fldChar w:fldCharType="end"/>
      </w:r>
      <w:r w:rsidRPr="00452E2E">
        <w:rPr>
          <w:szCs w:val="24"/>
        </w:rPr>
        <w:t xml:space="preserve">. This process of transferring HR practices from subsidiaries to headquarter operations is referred to as ‘reverse diffusion’ and is hypothesized to depend on the types of business system existing in both the home and host countries of multinationals (Edward &amp; Ferner, 2004). The more distinct the </w:t>
      </w:r>
      <w:r w:rsidRPr="00452E2E">
        <w:rPr>
          <w:szCs w:val="24"/>
        </w:rPr>
        <w:lastRenderedPageBreak/>
        <w:t xml:space="preserve">national business system of the subsidiary is from that of the parent company, the more unlikely it is for reverse diffusion to occur and vice versa </w:t>
      </w:r>
      <w:r w:rsidRPr="00452E2E">
        <w:rPr>
          <w:szCs w:val="24"/>
        </w:rPr>
        <w:fldChar w:fldCharType="begin" w:fldLock="1"/>
      </w:r>
      <w:r w:rsidRPr="00452E2E">
        <w:rPr>
          <w:szCs w:val="24"/>
        </w:rPr>
        <w:instrText>ADDIN CSL_CITATION { "citationItems" : [ { "id" : "ITEM-1", "itemData" : { "author" : [ { "dropping-particle" : "", "family" : "Edwards", "given" : "Tony", "non-dropping-particle" : "", "parse-names" : false, "suffix" : "" }, { "dropping-particle" : "", "family" : "Ferner", "given" : "Anthony", "non-dropping-particle" : "", "parse-names" : false, "suffix" : "" } ], "container-title" : "Management and Organization Review", "id" : "ITEM-1", "issue" : "1", "issued" : { "date-parts" : [ [ "2004" ] ] }, "page" : "49-79", "title" : "Multinatinationals, reverse diffusion and national business systems", "type" : "article-journal", "volume" : "44" }, "uris" : [ "http://www.mendeley.com/documents/?uuid=2eb2501a-6139-49c0-8dd9-398827939fba" ] } ], "mendeley" : { "formattedCitation" : "(Edwards &amp; Ferner 2004)", "manualFormatting" : "(Edwards &amp; Ferner, 2004)", "plainTextFormattedCitation" : "(Edwards &amp; Ferner 2004)", "previouslyFormattedCitation" : "(Edwards &amp; Ferner 2004)" }, "properties" : { "noteIndex" : 0 }, "schema" : "https://github.com/citation-style-language/schema/raw/master/csl-citation.json" }</w:instrText>
      </w:r>
      <w:r w:rsidRPr="00452E2E">
        <w:rPr>
          <w:szCs w:val="24"/>
        </w:rPr>
        <w:fldChar w:fldCharType="separate"/>
      </w:r>
      <w:r w:rsidRPr="00452E2E">
        <w:rPr>
          <w:noProof/>
          <w:szCs w:val="24"/>
        </w:rPr>
        <w:t>(Edwards &amp; Ferner, 2004)</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Supranational institutions also contribute in creating internal diversity especially where the national institutional architecture is weak </w:t>
      </w:r>
      <w:r w:rsidRPr="00452E2E">
        <w:rPr>
          <w:szCs w:val="24"/>
        </w:rPr>
        <w:fldChar w:fldCharType="begin" w:fldLock="1"/>
      </w:r>
      <w:r w:rsidRPr="00452E2E">
        <w:rPr>
          <w:szCs w:val="24"/>
        </w:rPr>
        <w:instrText>ADDIN CSL_CITATION { "citationItems" : [ { "id" : "ITEM-1", "itemData" : { "abstract" : "This study seeks to go beneath the generalizations that constitute characterizations of national economies in order to examine local and sectoral diversity - in particular, forms of capitalist organization at the level of localized sectors. It reports on the findings of research based on detailed case histories of local economies in four different types of production: modernized craft manufacturing (furniture), mass production (motor vehicles), high-technology production (biopharmaceuticals) and high-tech services (television film-making). In each case a local economy in Germany (usually seen counter-factually as an example of a particularly national system) was compared with one elsewhere in Europe: respectively, southern Sweden, Hungary (compared with eastern Germany) and the UK (for two studies). In the analysis, companies act rationally in response to sector-specific challenges, being partly bound by the existing institutional framework that they encounter, but partly acting to alter it. Two possibilities are distinguished and found in the cases. In the first (structurally conservative) case, arrangements of governance in the national innovation and production system prove to be beneficial for the companies and their aim to stand up to international competition. Insofar as national institutions help companies to deal with competition on their markets, they will probably try to preserve these arrangements. In the second (innovative) case, companies turn away from the national context and develop their own local governance structure. If the national institutional structure is seen as not adequate or 'non-fitting' to deal with sectorally specific terms of competition, then the internal and external coordination of companies - in reaction to challenges posed by the market - is likely to deviate from the national structure. In some instances evidence of 'creative incoherence', where local deviation from the national model provides a creative impulse, is found.", "author" : [ { "dropping-particle" : "", "family" : "Crouch", "given" : "Colin", "non-dropping-particle" : "", "parse-names" : false, "suffix" : "" }, { "dropping-particle" : "", "family" : "Schr\u00f6der", "given" : "Martin", "non-dropping-particle" : "", "parse-names" : false, "suffix" : "" }, { "dropping-particle" : "", "family" : "Voelzkow", "given" : "Helmut", "non-dropping-particle" : "", "parse-names" : false, "suffix" : "" } ], "container-title" : "Economy and Society", "id" : "ITEM-1", "issue" : "4", "issued" : { "date-parts" : [ [ "2009" ] ] }, "page" : "654-678", "title" : "Regional and sectoral varieties of capitalism", "type" : "article-journal", "volume" : "38" }, "uris" : [ "http://www.mendeley.com/documents/?uuid=cf57ae95-4d69-49d3-ba41-78d8e86b944d" ] }, { "id" : "ITEM-2", "itemData" : { "author" : [ { "dropping-particle" : "", "family" : "Lane", "given" : "Christel", "non-dropping-particle" : "", "parse-names" : false, "suffix" : "" }, { "dropping-particle" : "", "family" : "Wood", "given" : "Geoffrey", "non-dropping-particle" : "", "parse-names" : false, "suffix" : "" } ], "container-title" : "The Oxford handbook of employlent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"ITEM-2", "issued" : { "date-parts" : [ [ "2014" ] ] }, "page" : "156-172", "publisher" : "Oxford University Press", "publisher-place" : "Oxford", "title" : "Capitalist diversity, work and employment relations", "type" : "chapter" }, "uris" : [ "http://www.mendeley.com/documents/?uuid=98891f5a-7433-49ae-8987-eebba94ddc63" ] } ], "mendeley" : { "formattedCitation" : "(Crouch et al. 2009; Lane &amp; Wood 2014)", "manualFormatting" : "(Crouch et al., 2009; Lane &amp; Wood, 2014)", "plainTextFormattedCitation" : "(Crouch et al. 2009; Lane &amp; Wood 2014)", "previouslyFormattedCitation" : "(Crouch et al. 2009; Lane &amp; Wood 2014)" }, "properties" : { "noteIndex" : 0 }, "schema" : "https://github.com/citation-style-language/schema/raw/master/csl-citation.json" }</w:instrText>
      </w:r>
      <w:r w:rsidRPr="00452E2E">
        <w:rPr>
          <w:szCs w:val="24"/>
        </w:rPr>
        <w:fldChar w:fldCharType="separate"/>
      </w:r>
      <w:r w:rsidRPr="00452E2E">
        <w:rPr>
          <w:noProof/>
          <w:szCs w:val="24"/>
        </w:rPr>
        <w:t xml:space="preserve">(Crouch </w:t>
      </w:r>
      <w:r w:rsidRPr="00452E2E">
        <w:rPr>
          <w:i/>
          <w:noProof/>
          <w:szCs w:val="24"/>
        </w:rPr>
        <w:t>et al</w:t>
      </w:r>
      <w:r w:rsidRPr="00452E2E">
        <w:rPr>
          <w:noProof/>
          <w:szCs w:val="24"/>
        </w:rPr>
        <w:t>., 2009; Lane &amp; Wood, 2014)</w:t>
      </w:r>
      <w:r w:rsidRPr="00452E2E">
        <w:rPr>
          <w:szCs w:val="24"/>
        </w:rPr>
        <w:fldChar w:fldCharType="end"/>
      </w:r>
      <w:r w:rsidRPr="00452E2E">
        <w:rPr>
          <w:szCs w:val="24"/>
        </w:rPr>
        <w:t xml:space="preserve">. This is relevant in explaining systemic change in developing countries where, for example, the neo-liberal agenda of the World Bank and IMF have been imposed on </w:t>
      </w:r>
      <w:r w:rsidR="00F14350" w:rsidRPr="00452E2E">
        <w:rPr>
          <w:szCs w:val="24"/>
        </w:rPr>
        <w:t>developing countries</w:t>
      </w:r>
      <w:r w:rsidRPr="00452E2E">
        <w:rPr>
          <w:szCs w:val="24"/>
        </w:rPr>
        <w:t xml:space="preserve">, thereby creating a segmented business system within the national economies of </w:t>
      </w:r>
      <w:r w:rsidR="0052333A" w:rsidRPr="00452E2E">
        <w:rPr>
          <w:szCs w:val="24"/>
        </w:rPr>
        <w:t xml:space="preserve">many </w:t>
      </w:r>
      <w:r w:rsidRPr="00452E2E">
        <w:rPr>
          <w:szCs w:val="24"/>
        </w:rPr>
        <w:t xml:space="preserve">developing countries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Bischoff &amp; Wood, 2012)", "plainTextFormattedCitation" : "(Wood &amp; Frynas 2006)", "previouslyFormattedCitation" : "(Wood &amp; Frynas 2006)" }, "properties" : { "noteIndex" : 0 }, "schema" : "https://github.com/citation-style-language/schema/raw/master/csl-citation.json" }</w:instrText>
      </w:r>
      <w:r w:rsidRPr="00452E2E">
        <w:rPr>
          <w:szCs w:val="24"/>
        </w:rPr>
        <w:fldChar w:fldCharType="separate"/>
      </w:r>
      <w:r w:rsidRPr="00452E2E">
        <w:rPr>
          <w:noProof/>
          <w:szCs w:val="24"/>
        </w:rPr>
        <w:t>(Wood &amp; Frynas, 2006; Bischoff &amp; Wood, 2012)</w:t>
      </w:r>
      <w:r w:rsidRPr="00452E2E">
        <w:rPr>
          <w:szCs w:val="24"/>
        </w:rPr>
        <w:fldChar w:fldCharType="end"/>
      </w:r>
      <w:r w:rsidRPr="00452E2E">
        <w:rPr>
          <w:szCs w:val="24"/>
        </w:rPr>
        <w:t xml:space="preserve">. The strong influence of IMF on developing countries is facilitated through the insistence of IMF that systems be altered in developing countries as a precondition for accessing loans </w:t>
      </w:r>
      <w:r w:rsidRPr="00452E2E">
        <w:rPr>
          <w:szCs w:val="24"/>
        </w:rPr>
        <w:fldChar w:fldCharType="begin" w:fldLock="1"/>
      </w:r>
      <w:r w:rsidRPr="00452E2E">
        <w:rPr>
          <w:szCs w:val="24"/>
        </w:rPr>
        <w:instrText>ADDIN CSL_CITATION { "citationItems" : [ { "id" : "ITEM-1", "itemData" : { "author" : [ { "dropping-particle" : "", "family" : "Wood", "given" : "Geoffrey", "non-dropping-particle" : "", "parse-names" : false, "suffix" : "" }, { "dropping-particle" : "", "family" : "Mazouz", "given" : "Khelifa", "non-dropping-particle" : "", "parse-names" : false, "suffix" : "" }, { "dropping-particle" : "", "family" : "Yin", "given" : "Shuxing", "non-dropping-particle" : "", "parse-names" : false, "suffix" : "" }, { "dropping-particle" : "", "family" : "Cheah", "given" : "Jeremy Eng-Tuck", "non-dropping-particle" : "", "parse-names" : false, "suffix" : "" } ], "container-title" : "Human Resource Management", "id" : "ITEM-1", "issue" : "1", "issued" : { "date-parts" : [ [ "2014" ] ] }, "page" : "179-201", "title" : "Foreign direct investment from emerging markets to Africa: The HRM context", "type" : "article-journal", "volume" : "53" }, "uris" : [ "http://www.mendeley.com/documents/?uuid=95e88070-2673-45e4-965e-85cf438e7148" ] } ], "mendeley" : { "formattedCitation" : "(Wood, Mazouz, et al. 2014)", "manualFormatting" : "(Wood et al. 2014b)", "plainTextFormattedCitation" : "(Wood, Mazouz, et al. 2014)", "previouslyFormattedCitation" : "(Wood, Mazouz, et al. 2014)"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0040078D" w:rsidRPr="00452E2E">
        <w:rPr>
          <w:noProof/>
          <w:szCs w:val="24"/>
        </w:rPr>
        <w:t xml:space="preserve">., </w:t>
      </w:r>
      <w:r w:rsidRPr="00452E2E">
        <w:rPr>
          <w:noProof/>
          <w:szCs w:val="24"/>
        </w:rPr>
        <w:t>2014</w:t>
      </w:r>
      <w:r w:rsidRPr="00452E2E">
        <w:rPr>
          <w:i/>
          <w:noProof/>
          <w:szCs w:val="24"/>
        </w:rPr>
        <w:t>b</w:t>
      </w:r>
      <w:r w:rsidRPr="00452E2E">
        <w:rPr>
          <w:noProof/>
          <w:szCs w:val="24"/>
        </w:rPr>
        <w:t>)</w:t>
      </w:r>
      <w:r w:rsidRPr="00452E2E">
        <w:rPr>
          <w:szCs w:val="24"/>
        </w:rPr>
        <w:fldChar w:fldCharType="end"/>
      </w:r>
      <w:r w:rsidRPr="00452E2E">
        <w:rPr>
          <w:szCs w:val="24"/>
        </w:rPr>
        <w:t xml:space="preserve">. In fact, the policies of these Bretton Woods institutions are often at variance with the institutional framework existing in developing countries </w:t>
      </w:r>
      <w:r w:rsidRPr="00452E2E">
        <w:rPr>
          <w:szCs w:val="24"/>
        </w:rPr>
        <w:fldChar w:fldCharType="begin" w:fldLock="1"/>
      </w:r>
      <w:r w:rsidRPr="00452E2E">
        <w:rPr>
          <w:szCs w:val="24"/>
        </w:rPr>
        <w:instrText>ADDIN CSL_CITATION { "citationItems" : [ { "id" : "ITEM-1", "itemData" : { "author" : [ { "dropping-particle" : "", "family" : "Dardot", "given" : "P.", "non-dropping-particle" : "", "parse-names" : false, "suffix" : "" }, { "dropping-particle" : "", "family" : "Laval", "given" : "C.", "non-dropping-particle" : "", "parse-names" : false, "suffix" : "" } ], "id" : "ITEM-1", "issued" : { "date-parts" : [ [ "2013" ] ] }, "publisher" : "Verso", "publisher-place" : "London", "title" : "The new way of the world: On neoliberal society", "type" : "book" }, "uris" : [ "http://www.mendeley.com/documents/?uuid=bb3afa2d-6c13-446d-a270-db32efb66685" ] } ], "mendeley" : { "formattedCitation" : "(Dardot &amp; Laval 2013)", "manualFormatting" : "(Dardot &amp; Laval, 2013)", "plainTextFormattedCitation" : "(Dardot &amp; Laval 2013)", "previouslyFormattedCitation" : "(Dardot &amp; Laval 2013)" }, "properties" : { "noteIndex" : 0 }, "schema" : "https://github.com/citation-style-language/schema/raw/master/csl-citation.json" }</w:instrText>
      </w:r>
      <w:r w:rsidRPr="00452E2E">
        <w:rPr>
          <w:szCs w:val="24"/>
        </w:rPr>
        <w:fldChar w:fldCharType="separate"/>
      </w:r>
      <w:r w:rsidRPr="00452E2E">
        <w:rPr>
          <w:noProof/>
          <w:szCs w:val="24"/>
        </w:rPr>
        <w:t>(Dardot &amp; Laval, 2013)</w:t>
      </w:r>
      <w:r w:rsidRPr="00452E2E">
        <w:rPr>
          <w:szCs w:val="24"/>
        </w:rPr>
        <w:fldChar w:fldCharType="end"/>
      </w:r>
      <w:r w:rsidRPr="00452E2E">
        <w:rPr>
          <w:szCs w:val="24"/>
        </w:rPr>
        <w:t xml:space="preserve">. Diversity is therefore increased especially where already existing institutions attempt to resist the drastic changes imposed by these supranational institutions </w:t>
      </w:r>
      <w:r w:rsidRPr="00452E2E">
        <w:rPr>
          <w:szCs w:val="24"/>
        </w:rPr>
        <w:fldChar w:fldCharType="begin" w:fldLock="1"/>
      </w:r>
      <w:r w:rsidRPr="00452E2E">
        <w:rPr>
          <w:szCs w:val="24"/>
        </w:rPr>
        <w:instrText>ADDIN CSL_CITATION { "citationItems" : [ { "id" : "ITEM-1", "itemData" : { "abstract" : "This study seeks to go beneath the generalizations that constitute characterizations of national economies in order to examine local and sectoral diversity - in particular, forms of capitalist organization at the level of localized sectors. It reports on the findings of research based on detailed case histories of local economies in four different types of production: modernized craft manufacturing (furniture), mass production (motor vehicles), high-technology production (biopharmaceuticals) and high-tech services (television film-making). In each case a local economy in Germany (usually seen counter-factually as an example of a particularly national system) was compared with one elsewhere in Europe: respectively, southern Sweden, Hungary (compared with eastern Germany) and the UK (for two studies). In the analysis, companies act rationally in response to sector-specific challenges, being partly bound by the existing institutional framework that they encounter, but partly acting to alter it. Two possibilities are distinguished and found in the cases. In the first (structurally conservative) case, arrangements of governance in the national innovation and production system prove to be beneficial for the companies and their aim to stand up to international competition. Insofar as national institutions help companies to deal with competition on their markets, they will probably try to preserve these arrangements. In the second (innovative) case, companies turn away from the national context and develop their own local governance structure. If the national institutional structure is seen as not adequate or 'non-fitting' to deal with sectorally specific terms of competition, then the internal and external coordination of companies - in reaction to challenges posed by the market - is likely to deviate from the national structure. In some instances evidence of 'creative incoherence', where local deviation from the national model provides a creative impulse, is found.", "author" : [ { "dropping-particle" : "", "family" : "Crouch", "given" : "Colin", "non-dropping-particle" : "", "parse-names" : false, "suffix" : "" }, { "dropping-particle" : "", "family" : "Schr\u00f6der", "given" : "Martin", "non-dropping-particle" : "", "parse-names" : false, "suffix" : "" }, { "dropping-particle" : "", "family" : "Voelzkow", "given" : "Helmut", "non-dropping-particle" : "", "parse-names" : false, "suffix" : "" } ], "container-title" : "Economy and Society", "id" : "ITEM-1", "issue" : "4", "issued" : { "date-parts" : [ [ "2009" ] ] }, "page" : "654-678", "title" : "Regional and sectoral varieties of capitalism", "type" : "article-journal", "volume" : "38" }, "uris" : [ "http://www.mendeley.com/documents/?uuid=cf57ae95-4d69-49d3-ba41-78d8e86b944d" ] }, { "id" : "ITEM-2",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"ITEM-2", "issue" : "4", "issued" : { "date-parts" : [ [ "2009" ] ] }, "page" : "531-551", "title" : "Capitalist diversity and diversity within capitalism", "type" : "article-journal", "volume" : "38" }, "uris" : [ "http://www.mendeley.com/documents/?uuid=7b3af461-5ee4-40a7-bcce-00cc0eaef4dd" ] } ], "mendeley" : { "formattedCitation" : "(Crouch et al. 2009; Lane &amp; Wood 2009)", "manualFormatting" : "(Crouch et al., 2009; Lane &amp; Wood, 2009; Wood &amp; Horwitz, 2015)", "plainTextFormattedCitation" : "(Crouch et al. 2009; Lane &amp; Wood 2009)", "previouslyFormattedCitation" : "(Crouch et al. 2009; Lane &amp; Wood 2009)" }, "properties" : { "noteIndex" : 0 }, "schema" : "https://github.com/citation-style-language/schema/raw/master/csl-citation.json" }</w:instrText>
      </w:r>
      <w:r w:rsidRPr="00452E2E">
        <w:rPr>
          <w:szCs w:val="24"/>
        </w:rPr>
        <w:fldChar w:fldCharType="separate"/>
      </w:r>
      <w:r w:rsidRPr="00452E2E">
        <w:rPr>
          <w:noProof/>
          <w:szCs w:val="24"/>
        </w:rPr>
        <w:t xml:space="preserve">(Crouch </w:t>
      </w:r>
      <w:r w:rsidRPr="00452E2E">
        <w:rPr>
          <w:i/>
          <w:noProof/>
          <w:szCs w:val="24"/>
        </w:rPr>
        <w:t>et al</w:t>
      </w:r>
      <w:r w:rsidRPr="00452E2E">
        <w:rPr>
          <w:noProof/>
          <w:szCs w:val="24"/>
        </w:rPr>
        <w:t xml:space="preserve">., 2009; </w:t>
      </w:r>
      <w:r w:rsidR="005049B6" w:rsidRPr="00452E2E">
        <w:rPr>
          <w:noProof/>
          <w:szCs w:val="24"/>
        </w:rPr>
        <w:t xml:space="preserve">cf. </w:t>
      </w:r>
      <w:r w:rsidRPr="00452E2E">
        <w:rPr>
          <w:noProof/>
          <w:szCs w:val="24"/>
        </w:rPr>
        <w:t>Lane &amp; Wood, 2009; Wood &amp; Horwitz, 2015)</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The changing nature of finance and corporate governance regimes particularly in CMEs has resulted to a minority of firms toeing the ‘global best practice path’ that emphasize shareholder returns </w:t>
      </w:r>
      <w:r w:rsidRPr="00452E2E">
        <w:rPr>
          <w:szCs w:val="24"/>
        </w:rPr>
        <w:fldChar w:fldCharType="begin" w:fldLock="1"/>
      </w:r>
      <w:r w:rsidRPr="00452E2E">
        <w:rPr>
          <w:szCs w:val="24"/>
        </w:rPr>
        <w:instrText>ADDIN CSL_CITATION { "citationItems" : [ { "id" : "ITEM-1", "itemData" : { "abstract" : "The article examines internal diversity within national models of capitalism in Europe, with a particular concern with firm financing and corporate governance patterns. It is suggested that a relatively small number of firms have shifted to a new institutional context consisting of common international institutions and practices, while the large majority of firms continue to operate in a more slowly evolving set of domestic institutions or rules. Examining changes since the early 1990s in firm financing and corporate governance, the article finds preliminary evidence to support the thesis of increasing diversity, but also that national patterns of firm finance are still distinct. Rising diversity challenges the long-term viability of coordinated market economies in Europe. [PUBLICATION ABSTRACT]", "author" : [ { "dropping-particle" : "", "family" : "Deeg", "given" : "Richard", "non-dropping-particle" : "", "parse-names" : false, "suffix" : "" } ], "container-title" : "Economy and Society", "id" : "ITEM-1", "issue" : "4", "issued" : { "date-parts" : [ [ "2009" ] ] }, "page" : "552-579", "title" : "The rise of internal capitalist diversity? Changing patterns of finance and corporate governance in Europe", "type" : "article-journal", "volume" : "38" }, "uris" : [ "http://www.mendeley.com/documents/?uuid=8a037f4f-9842-4238-8709-20d8891d5143" ] }, { "id" : "ITEM-2", "itemData" : { "DOI" : "10.1080/03085140903190334", "ISBN" : "0308-5147", "ISSN" : "0308-5147", "abstract" : "While institutional theory has tended to ignore the diversity of firms within national models of capitalism, recent change in the Japanese model of capitalism has been associated with a growing diversity of corporate governance practices. The article builds on previous empirical results to propose an empirical mapping of corporate governance practices in Japan using a cluster analysis of a large sample of Japanese firms in 2002. Alongside the traditional Japanese pattern, the empirical results show that two new 'hybrid' models of corporate governance have emerged characterized by different linkages between corporate ownership and finance, board practices, and employment patterns. These changes reflect both a loosening of past institutional constraints related to main bank finance and growing responsiveness to diverse organizational and sector-level contingencies.", "author" : [ { "dropping-particle" : "", "family" : "Jackson", "given" : "Gregory", "non-dropping-particle" : "", "parse-names" : false, "suffix" : "" } ], "container-title" : "Economy and Society", "id" : "ITEM-2", "issue" : "4", "issued" : { "date-parts" : [ [ "2009" ] ] }, "page" : "606-629", "title" : "The Japanese firm and its diversity", "type" : "article-journal", "volume" : "38" }, "uris" : [ "http://www.mendeley.com/documents/?uuid=11e6ef0d-0ab3-4eaa-8a78-a536988411a9" ] } ], "mendeley" : { "formattedCitation" : "(Deeg 2009; Jackson 2009)", "manualFormatting" : "(Deeg, 2009; Jackson, 2009)", "plainTextFormattedCitation" : "(Deeg 2009; Jackson 2009)", "previouslyFormattedCitation" : "(Deeg 2009; Jackson 2009)" }, "properties" : { "noteIndex" : 0 }, "schema" : "https://github.com/citation-style-language/schema/raw/master/csl-citation.json" }</w:instrText>
      </w:r>
      <w:r w:rsidRPr="00452E2E">
        <w:rPr>
          <w:szCs w:val="24"/>
        </w:rPr>
        <w:fldChar w:fldCharType="separate"/>
      </w:r>
      <w:r w:rsidRPr="00452E2E">
        <w:rPr>
          <w:noProof/>
          <w:szCs w:val="24"/>
        </w:rPr>
        <w:t>(Deeg, 2009; Jackson, 2009)</w:t>
      </w:r>
      <w:r w:rsidRPr="00452E2E">
        <w:rPr>
          <w:szCs w:val="24"/>
        </w:rPr>
        <w:fldChar w:fldCharType="end"/>
      </w:r>
      <w:r w:rsidRPr="00452E2E">
        <w:rPr>
          <w:szCs w:val="24"/>
        </w:rPr>
        <w:t xml:space="preserve">. This creates diversity rather than convergence since majority of firms still follow distinct national models </w:t>
      </w:r>
      <w:r w:rsidRPr="00452E2E">
        <w:rPr>
          <w:szCs w:val="24"/>
        </w:rPr>
        <w:fldChar w:fldCharType="begin" w:fldLock="1"/>
      </w:r>
      <w:r w:rsidRPr="00452E2E">
        <w:rPr>
          <w:szCs w:val="24"/>
        </w:rPr>
        <w:instrText>ADDIN CSL_CITATION { "citationItems" : [ { "id" : "ITEM-1", "itemData" : { "abstract" : "The article examines internal diversity within national models of capitalism in Europe, with a particular concern with firm financing and corporate governance patterns. It is suggested that a relatively small number of firms have shifted to a new institutional context consisting of common international institutions and practices, while the large majority of firms continue to operate in a more slowly evolving set of domestic institutions or rules. Examining changes since the early 1990s in firm financing and corporate governance, the article finds preliminary evidence to support the thesis of increasing diversity, but also that national patterns of firm finance are still distinct. Rising diversity challenges the long-term viability of coordinated market economies in Europe. [PUBLICATION ABSTRACT]", "author" : [ { "dropping-particle" : "", "family" : "Deeg", "given" : "Richard", "non-dropping-particle" : "", "parse-names" : false, "suffix" : "" } ], "container-title" : "Economy and Society", "id" : "ITEM-1", "issue" : "4", "issued" : { "date-parts" : [ [ "2009" ] ] }, "page" : "552-579", "title" : "The rise of internal capitalist diversity? Changing patterns of finance and corporate governance in Europe", "type" : "article-journal", "volume" : "38" }, "uris" : [ "http://www.mendeley.com/documents/?uuid=8a037f4f-9842-4238-8709-20d8891d5143" ] }, { "id" : "ITEM-2", "itemData" : { "DOI" : "10.1080/03085140903190334", "ISBN" : "0308-5147", "ISSN" : "0308-5147", "abstract" : "While institutional theory has tended to ignore the diversity of firms within national models of capitalism, recent change in the Japanese model of capitalism has been associated with a growing diversity of corporate governance practices. The article builds on previous empirical results to propose an empirical mapping of corporate governance practices in Japan using a cluster analysis of a large sample of Japanese firms in 2002. Alongside the traditional Japanese pattern, the empirical results show that two new 'hybrid' models of corporate governance have emerged characterized by different linkages between corporate ownership and finance, board practices, and employment patterns. These changes reflect both a loosening of past institutional constraints related to main bank finance and growing responsiveness to diverse organizational and sector-level contingencies.", "author" : [ { "dropping-particle" : "", "family" : "Jackson", "given" : "Gregory", "non-dropping-particle" : "", "parse-names" : false, "suffix" : "" } ], "container-title" : "Economy and Society", "id" : "ITEM-2", "issue" : "4", "issued" : { "date-parts" : [ [ "2009" ] ] }, "page" : "606-629", "title" : "The Japanese firm and its diversity", "type" : "article-journal", "volume" : "38" }, "uris" : [ "http://www.mendeley.com/documents/?uuid=11e6ef0d-0ab3-4eaa-8a78-a536988411a9" ] } ], "mendeley" : { "formattedCitation" : "(Deeg 2009; Jackson 2009)", "manualFormatting" : "(Deeg, 2009; Jackson, 2009)", "plainTextFormattedCitation" : "(Deeg 2009; Jackson 2009)", "previouslyFormattedCitation" : "(Deeg 2009; Jackson 2009)" }, "properties" : { "noteIndex" : 0 }, "schema" : "https://github.com/citation-style-language/schema/raw/master/csl-citation.json" }</w:instrText>
      </w:r>
      <w:r w:rsidRPr="00452E2E">
        <w:rPr>
          <w:szCs w:val="24"/>
        </w:rPr>
        <w:fldChar w:fldCharType="separate"/>
      </w:r>
      <w:r w:rsidRPr="00452E2E">
        <w:rPr>
          <w:noProof/>
          <w:szCs w:val="24"/>
        </w:rPr>
        <w:t>(Deeg, 2009; Jackson, 2009)</w:t>
      </w:r>
      <w:r w:rsidRPr="00452E2E">
        <w:rPr>
          <w:szCs w:val="24"/>
        </w:rPr>
        <w:fldChar w:fldCharType="end"/>
      </w:r>
      <w:r w:rsidRPr="00452E2E">
        <w:rPr>
          <w:szCs w:val="24"/>
        </w:rPr>
        <w:t xml:space="preserve">. Accordingly, such diversity, where it exists, is usually bounded; reflecting the emergence and persistence of few alternative paradigms </w:t>
      </w:r>
      <w:r w:rsidRPr="00452E2E">
        <w:rPr>
          <w:szCs w:val="24"/>
        </w:rPr>
        <w:fldChar w:fldCharType="begin" w:fldLock="1"/>
      </w:r>
      <w:r w:rsidRPr="00452E2E">
        <w:rPr>
          <w:szCs w:val="24"/>
        </w:rPr>
        <w:instrText>ADDIN CSL_CITATION { "citationItems" : [ { "id" : "ITEM-1", "itemData" : { "DOI" : "10.2753/JEI0021-3624430111", "ISBN" : "0021-3624", "ISSN" : "0021-3624", "abstract" : "This is a study of the nature of internal diversity within liberal and collaborative market economies. Based on large scale comparative survey data, we assess the extent to which specific clusters of practices are associated with specific varieties of capitalism. Given that recent literature has pointed to internal diversity within specific national contexts, we explore the nature of internal diversity within both liberal and collaborative market economies, and what makes each variety of capitalism distinct. We find that more than one cluster of practices is indeed likely to be encountered in a particular national context, but that this diversity was bounded: only a limited number of alternative paradigms are likely to emerge and persist. The survey findings not only shed light on the nature of this internal diversity, but also reveal the fact that liberal and collaborative markets remain distinct, with the rights accruing to employees being more deeply embedded in a wide cross section of firms within the latter.", "author" : [ { "dropping-particle" : "", "family" : "Wood", "given" : "Geoffrey", "non-dropping-particle" : "", "parse-names" : false, "suffix" : "" }, { "dropping-particle" : "", "family" : "Croucher", "given" : "Richard", "non-dropping-particle" : "", "parse-names" : false, "suffix" : "" }, { "dropping-particle" : "", "family" : "Brewster", "given" : "Chris", "non-dropping-particle" : "", "parse-names" : false, "suffix" : "" }, { "dropping-particle" : "", "family" : "Collings", "given" : "David G.", "non-dropping-particle" : "", "parse-names" : false, "suffix" : "" }, { "dropping-particle" : "", "family" : "Brookes", "given" : "Michael", "non-dropping-particle" : "", "parse-names" : false, "suffix" : "" } ], "container-title" : "Journal of Economic Issues", "id" : "ITEM-1", "issue" : "1", "issued" : { "date-parts" : [ [ "2009" ] ] }, "page" : "239-258", "title" : "Varieties of firm: Complementarity and bounded diversity", "type" : "article-journal", "volume" : "XLIII" }, "uris" : [ "http://www.mendeley.com/documents/?uuid=9c8f1ff4-ccf8-4f8d-88a0-97169400b233" ] }, { "id" : "ITEM-2",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"ITEM-2", "issue" : "6", "issued" : { "date-parts" : [ [ "2014" ] ] }, "page" : "795-809", "title" : "Direct involvement, partnership and setting: A study in bounded diversity", "type" : "article-journal", "volume" : "25" }, "uris" : [ "http://www.mendeley.com/documents/?uuid=e20c0258-4a3f-4b03-bcbb-2f7953a311a9" ] } ], "mendeley" : { "formattedCitation" : "(Wood et al. 2009; Brewster et al. 2014)", "manualFormatting" : "(Wood et al., 2009; Brewster et al., 2014)", "plainTextFormattedCitation" : "(Wood et al. 2009; Brewster et al. 2014)", "previouslyFormattedCitation" : "(Wood et al. 2009; Brewster et al. 2014)"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xml:space="preserve">., 2009; Brewster </w:t>
      </w:r>
      <w:r w:rsidRPr="00452E2E">
        <w:rPr>
          <w:i/>
          <w:noProof/>
          <w:szCs w:val="24"/>
        </w:rPr>
        <w:t>et al</w:t>
      </w:r>
      <w:r w:rsidRPr="00452E2E">
        <w:rPr>
          <w:noProof/>
          <w:szCs w:val="24"/>
        </w:rPr>
        <w:t>., 2014)</w:t>
      </w:r>
      <w:r w:rsidRPr="00452E2E">
        <w:rPr>
          <w:szCs w:val="24"/>
        </w:rPr>
        <w:fldChar w:fldCharType="end"/>
      </w:r>
      <w:r w:rsidR="00051E58" w:rsidRPr="00452E2E">
        <w:rPr>
          <w:szCs w:val="24"/>
        </w:rPr>
        <w:t>.</w:t>
      </w:r>
      <w:r w:rsidRPr="00452E2E">
        <w:rPr>
          <w:szCs w:val="24"/>
        </w:rPr>
        <w:t xml:space="preserve"> Interestingly, the existence of complementarities has also been identified as a cause of diversity within national economies </w:t>
      </w:r>
      <w:r w:rsidRPr="00452E2E">
        <w:rPr>
          <w:szCs w:val="24"/>
        </w:rPr>
        <w:fldChar w:fldCharType="begin" w:fldLock="1"/>
      </w:r>
      <w:r w:rsidRPr="00452E2E">
        <w:rPr>
          <w:szCs w:val="24"/>
        </w:rPr>
        <w:instrText>ADDIN CSL_CITATION { "citationItems" : [ { "id" : "ITEM-1", "itemData" : { "author" : [ { "dropping-particle" : "", "family" : "Crouch", "given" : "C.", "non-dropping-particle" : "", "parse-names" : false, "suffix" : "" } ], "container-title" : "Socio-Economic Review", "id" : "ITEM-1", "issue" : "2", "issued" : { "date-parts" : [ [ "2005" ] ] }, "page" : "359-363", "title" : "Three meanings of complementarity", "type" : "article-journal", "volume" : "3" }, "uris" : [ "http://www.mendeley.com/documents/?uuid=43b8b077-41a8-4ceb-a8a7-1ac67b164244" ] }, { "id" : "ITEM-2",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"ITEM-2", "issue" : "4", "issued" : { "date-parts" : [ [ "2009" ] ] }, "page" : "531-551", "title" : "Capitalist diversity and diversity within capitalism", "type" : "article-journal", "volume" : "38" }, "uris" : [ "http://www.mendeley.com/documents/?uuid=7b3af461-5ee4-40a7-bcce-00cc0eaef4dd" ] } ], "mendeley" : { "formattedCitation" : "(Crouch 2005; Lane &amp; Wood 2009)", "manualFormatting" : "(Crouch, 2005; Lane &amp; Wood, 2009)", "plainTextFormattedCitation" : "(Crouch 2005; Lane &amp; Wood 2009)", "previouslyFormattedCitation" : "(Crouch 2005; Lane &amp; Wood 2009)" }, "properties" : { "noteIndex" : 0 }, "schema" : "https://github.com/citation-style-language/schema/raw/master/csl-citation.json" }</w:instrText>
      </w:r>
      <w:r w:rsidRPr="00452E2E">
        <w:rPr>
          <w:szCs w:val="24"/>
        </w:rPr>
        <w:fldChar w:fldCharType="separate"/>
      </w:r>
      <w:r w:rsidRPr="00452E2E">
        <w:rPr>
          <w:noProof/>
          <w:szCs w:val="24"/>
        </w:rPr>
        <w:t>(Crouch, 2005; Lane &amp; Wood, 2009)</w:t>
      </w:r>
      <w:r w:rsidRPr="00452E2E">
        <w:rPr>
          <w:szCs w:val="24"/>
        </w:rPr>
        <w:fldChar w:fldCharType="end"/>
      </w:r>
      <w:r w:rsidRPr="00452E2E">
        <w:rPr>
          <w:szCs w:val="24"/>
        </w:rPr>
        <w:t xml:space="preserve">. Complementarity exists where the performance of one institution strengthens the performance of the other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"(Hall &amp; Soskice 2001; Wood et al. 2012)", "manualFormatting" : "(Wood et al., 2012)", "plainTextFormattedCitation" : "(Hall &amp; Soskice 2001; Wood et al. 2012)", "previouslyFormattedCitation" : "(Hall &amp; Soskice 2001;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2012)</w:t>
      </w:r>
      <w:r w:rsidRPr="00452E2E">
        <w:rPr>
          <w:szCs w:val="24"/>
        </w:rPr>
        <w:fldChar w:fldCharType="end"/>
      </w:r>
      <w:r w:rsidRPr="00452E2E">
        <w:rPr>
          <w:szCs w:val="24"/>
        </w:rPr>
        <w:t xml:space="preserve">. In other words, the efficiency of one institution is driven by how efficient the other is, through the synergy that they share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"mendeley" : { "formattedCitation" : "(Hall &amp; Soskice 2001)", "manualFormatting" : "(Wood et al., 2014a)", "plainTextFormattedCitation" : "(Hall &amp; Soskice 2001)", "previouslyFormattedCitation" : "(Hall &amp; Soskice 2001)" }, "properties" : { "noteIndex" : 0 }, "schema" : "https://github.com/citation-style-language/schema/raw/master/csl-citation.json" }</w:instrText>
      </w:r>
      <w:r w:rsidRPr="00452E2E">
        <w:rPr>
          <w:szCs w:val="24"/>
        </w:rPr>
        <w:fldChar w:fldCharType="separate"/>
      </w:r>
      <w:r w:rsidRPr="00452E2E">
        <w:rPr>
          <w:noProof/>
          <w:szCs w:val="24"/>
        </w:rPr>
        <w:t xml:space="preserve">(Wood </w:t>
      </w:r>
      <w:r w:rsidRPr="00452E2E">
        <w:rPr>
          <w:i/>
          <w:noProof/>
          <w:szCs w:val="24"/>
        </w:rPr>
        <w:t>et al</w:t>
      </w:r>
      <w:r w:rsidRPr="00452E2E">
        <w:rPr>
          <w:noProof/>
          <w:szCs w:val="24"/>
        </w:rPr>
        <w:t>., 2014</w:t>
      </w:r>
      <w:r w:rsidRPr="00452E2E">
        <w:rPr>
          <w:i/>
          <w:noProof/>
          <w:szCs w:val="24"/>
        </w:rPr>
        <w:t>a</w:t>
      </w:r>
      <w:r w:rsidRPr="00452E2E">
        <w:rPr>
          <w:noProof/>
          <w:szCs w:val="24"/>
        </w:rPr>
        <w:t>)</w:t>
      </w:r>
      <w:r w:rsidRPr="00452E2E">
        <w:rPr>
          <w:szCs w:val="24"/>
        </w:rPr>
        <w:fldChar w:fldCharType="end"/>
      </w:r>
      <w:r w:rsidRPr="00452E2E">
        <w:rPr>
          <w:szCs w:val="24"/>
        </w:rPr>
        <w:t xml:space="preserve">. However, whilst complementarity was initially  conceptualized only in terms of synergistic outcomes </w:t>
      </w:r>
      <w:r w:rsidRPr="00452E2E">
        <w:rPr>
          <w:szCs w:val="24"/>
        </w:rPr>
        <w:fldChar w:fldCharType="begin" w:fldLock="1"/>
      </w:r>
      <w:r w:rsidRPr="00452E2E">
        <w:rPr>
          <w:szCs w:val="24"/>
        </w:rPr>
        <w:instrText>ADDIN CSL_CITATION { "citationItems" : [ { "id" : "ITEM-1", "itemData" : { "author" : [ { "dropping-particle" : "", "family" : "Hall", "given" : "Peter", "non-dropping-particle" : "", "parse-names" : false, "suffix" : "" }, { "dropping-particle" : "", "family" : "Soskice", "given" : "David", "non-dropping-particle" : "", "parse-names" : false, "suffix" : "" } ], "chapter-number" : "1", "container-title" : "Varieties of capitalism", "editor" : [ { "dropping-particle" : "", "family" : "Hall", "given" : "Peter", "non-dropping-particle" : "", "parse-names" : false, "suffix" : "" }, { "dropping-particle" : "", "family" : "Soskice", "given" : "David", "non-dropping-particle" : "", "parse-names" : false, "suffix" : "" } ], "id" : "ITEM-1", "issued" : { "date-parts" : [ [ "2001" ] ] }, "page" : "1-68", "publisher" : "Oxford University Press", "publisher-place" : "Oxford", "title" : "An introduction to varieties of capitalism", "type" : "chapter" }, "uris" : [ "http://www.mendeley.com/documents/?uuid=4cedcad4-9fdf-402d-ad04-913dfcbdb15f" ] } ], "mendeley" : { "formattedCitation" : "(Hall &amp; Soskice 2001)", "manualFormatting" : "(Hall &amp; Soskice, 2001; cf. Lane &amp; Wood, 2009)", "plainTextFormattedCitation" : "(Hall &amp; Soskice 2001)", "previouslyFormattedCitation" : "(Hall &amp; Soskice 2001)" }, "properties" : { "noteIndex" : 0 }, "schema" : "https://github.com/citation-style-language/schema/raw/master/csl-citation.json" }</w:instrText>
      </w:r>
      <w:r w:rsidRPr="00452E2E">
        <w:rPr>
          <w:szCs w:val="24"/>
        </w:rPr>
        <w:fldChar w:fldCharType="separate"/>
      </w:r>
      <w:r w:rsidRPr="00452E2E">
        <w:rPr>
          <w:noProof/>
          <w:szCs w:val="24"/>
        </w:rPr>
        <w:t xml:space="preserve">(Hall &amp; Soskice, 2001; cf. </w:t>
      </w:r>
      <w:r w:rsidRPr="00452E2E">
        <w:rPr>
          <w:noProof/>
          <w:szCs w:val="24"/>
        </w:rPr>
        <w:lastRenderedPageBreak/>
        <w:t>Lane &amp; Wood, 2009)</w:t>
      </w:r>
      <w:r w:rsidRPr="00452E2E">
        <w:rPr>
          <w:szCs w:val="24"/>
        </w:rPr>
        <w:fldChar w:fldCharType="end"/>
      </w:r>
      <w:r w:rsidRPr="00452E2E">
        <w:rPr>
          <w:szCs w:val="24"/>
        </w:rPr>
        <w:t xml:space="preserve">, a later conceptualization  by Crouch (2005) indicates that complementarity has more than one meaning - some complementarities are not synergistic but compensatory in nature </w:t>
      </w:r>
      <w:r w:rsidRPr="00452E2E">
        <w:rPr>
          <w:szCs w:val="24"/>
        </w:rPr>
        <w:fldChar w:fldCharType="begin" w:fldLock="1"/>
      </w:r>
      <w:r w:rsidRPr="00452E2E">
        <w:rPr>
          <w:szCs w:val="24"/>
        </w:rPr>
        <w:instrText>ADDIN CSL_CITATION { "citationItems" : [ { "id" : "ITEM-1", "itemData" : { "author" : [ { "dropping-particle" : "", "family" : "Crouch", "given" : "C.", "non-dropping-particle" : "", "parse-names" : false, "suffix" : "" } ], "container-title" : "Socio-Economic Review", "id" : "ITEM-1", "issue" : "2", "issued" : { "date-parts" : [ [ "2005" ] ] }, "page" : "359-363", "title" : "Three meanings of complementarity", "type" : "article-journal", "volume" : "3" }, "uris" : [ "http://www.mendeley.com/documents/?uuid=43b8b077-41a8-4ceb-a8a7-1ac67b164244" ] }, { "id" : "ITEM-2",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"ITEM-2", "issue" : "4", "issued" : { "date-parts" : [ [ "2009" ] ] }, "page" : "531-551", "title" : "Capitalist diversity and diversity within capitalism", "type" : "article-journal", "volume" : "38" }, "uris" : [ "http://www.mendeley.com/documents/?uuid=7b3af461-5ee4-40a7-bcce-00cc0eaef4dd" ] }, { "id" : "ITEM-3",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"ITEM-3", "issued" : { "date-parts" : [ [ "2012" ] ] }, "page" : "27-50", "publisher" : "Edward Elgar", "publisher-place" : "Cheltenham, UK", "title" : "Institutional approaches to comparative HRM", "type" : "chapter" }, "uris" : [ "http://www.mendeley.com/documents/?uuid=114bb210-2b22-471c-be19-75c88558b0de" ] } ], "mendeley" : { "formattedCitation" : "(Crouch 2005; Lane &amp; Wood 2009; Wood et al. 2012)", "manualFormatting" : "(Crouch, 2005; Lane &amp; Wood, 2009; Wood et al., 2012; Brewster et al., 2014)", "plainTextFormattedCitation" : "(Crouch 2005; Lane &amp; Wood 2009; Wood et al. 2012)", "previouslyFormattedCitation" : "(Crouch 2005; Lane &amp; Wood 2009; Wood et al. 2012)" }, "properties" : { "noteIndex" : 0 }, "schema" : "https://github.com/citation-style-language/schema/raw/master/csl-citation.json" }</w:instrText>
      </w:r>
      <w:r w:rsidRPr="00452E2E">
        <w:rPr>
          <w:szCs w:val="24"/>
        </w:rPr>
        <w:fldChar w:fldCharType="separate"/>
      </w:r>
      <w:r w:rsidRPr="00452E2E">
        <w:rPr>
          <w:noProof/>
          <w:szCs w:val="24"/>
        </w:rPr>
        <w:t xml:space="preserve">(Crouch, 2005; Lane &amp; Wood, 2009; Wood </w:t>
      </w:r>
      <w:r w:rsidRPr="00452E2E">
        <w:rPr>
          <w:i/>
          <w:noProof/>
          <w:szCs w:val="24"/>
        </w:rPr>
        <w:t>et al</w:t>
      </w:r>
      <w:r w:rsidRPr="00452E2E">
        <w:rPr>
          <w:noProof/>
          <w:szCs w:val="24"/>
        </w:rPr>
        <w:t xml:space="preserve">., 2012; Brewster </w:t>
      </w:r>
      <w:r w:rsidRPr="00452E2E">
        <w:rPr>
          <w:i/>
          <w:noProof/>
          <w:szCs w:val="24"/>
        </w:rPr>
        <w:t>et al</w:t>
      </w:r>
      <w:r w:rsidRPr="00452E2E">
        <w:rPr>
          <w:noProof/>
          <w:szCs w:val="24"/>
        </w:rPr>
        <w:t>., 2014)</w:t>
      </w:r>
      <w:r w:rsidRPr="00452E2E">
        <w:rPr>
          <w:szCs w:val="24"/>
        </w:rPr>
        <w:fldChar w:fldCharType="end"/>
      </w:r>
      <w:r w:rsidRPr="00452E2E">
        <w:rPr>
          <w:szCs w:val="24"/>
        </w:rPr>
        <w:t xml:space="preserve">. This indicates, as Lane </w:t>
      </w:r>
      <w:r w:rsidR="004D4289" w:rsidRPr="00452E2E">
        <w:rPr>
          <w:szCs w:val="24"/>
        </w:rPr>
        <w:t>&amp;</w:t>
      </w:r>
      <w:r w:rsidRPr="00452E2E">
        <w:rPr>
          <w:szCs w:val="24"/>
        </w:rPr>
        <w:t xml:space="preserve"> Wood (2009) note, that, it is possible for different sets and types of complementarities to exist within a national economy – some synergistic and others compensatory- thereby creating internal diversity (Brewster </w:t>
      </w:r>
      <w:r w:rsidRPr="00452E2E">
        <w:rPr>
          <w:i/>
          <w:szCs w:val="24"/>
        </w:rPr>
        <w:t>et al</w:t>
      </w:r>
      <w:r w:rsidRPr="00452E2E">
        <w:rPr>
          <w:szCs w:val="24"/>
        </w:rPr>
        <w:t xml:space="preserve">., 2014). </w:t>
      </w:r>
    </w:p>
    <w:p w:rsidR="00D03A8E" w:rsidRPr="00452E2E" w:rsidRDefault="00D03A8E" w:rsidP="00D03A8E">
      <w:pPr>
        <w:spacing w:line="360" w:lineRule="auto"/>
        <w:jc w:val="both"/>
        <w:rPr>
          <w:szCs w:val="24"/>
        </w:rPr>
      </w:pPr>
      <w:r w:rsidRPr="00452E2E">
        <w:rPr>
          <w:szCs w:val="24"/>
        </w:rPr>
        <w:t>Relatedly, the level of regulation may differ in some sectors and regions in a national context</w:t>
      </w:r>
      <w:r w:rsidR="000968C8" w:rsidRPr="00452E2E">
        <w:rPr>
          <w:szCs w:val="24"/>
        </w:rPr>
        <w:t>,</w:t>
      </w:r>
      <w:r w:rsidRPr="00452E2E">
        <w:rPr>
          <w:szCs w:val="24"/>
        </w:rPr>
        <w:t xml:space="preserve"> which increases internal diversity </w:t>
      </w:r>
      <w:r w:rsidRPr="00452E2E">
        <w:rPr>
          <w:szCs w:val="24"/>
        </w:rPr>
        <w:fldChar w:fldCharType="begin" w:fldLock="1"/>
      </w:r>
      <w:r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"id" : "ITEM-2", "itemData" : { "DOI" : "10.1080/03085140903190367", "ISBN" : "03085147", "ISSN" : "0308-5147", "PMID" : "1080322", "abstract" : "During recent decades, the varieties of capitalism approach has provided one of themost important contributions on the analysis of advanced capitalism. However, thereare national experiences that seem to be hard to explain from this theoreticalperspective. In this article we underline that this is particularly true for countriesthat are characterized by a high degree of internal diversity, such as the Italian case.For this reason we propose to combine the national and regional dimensions,studying what can be defined as a 'regionalized capitalism': a complex andheterogeneous system that entails both remarkable dysfunctions and elements ofstrength. Analysing the Italian case, we show the importance of centre-peripheryrelations, which produce a mix of local economic dynamism and national publicdisorder (public deficit and debt, inefficient policies). At a local level, SMEs andtheir networks cooperate in a flexible and neo-voluntaristic way to produceterritorial competitive advantages: a networked economy based on relationalcapacities. However, the success of local economies has delayed the adjustment ofpublic policies at a central level. In the last decade, this process has endangeredeconomic development, while Italian firms were challenged by increasing globalization.Drawing attention to the regional dimension, this research approach offers notonly useful insights for understanding a single national case study, but also holdsbroad theoretical implications for the analysis of change and restructuring ofadvanced economies.", "author" : [ { "dropping-particle" : "", "family" : "Trigilia", "given" : "Carlo", "non-dropping-particle" : "", "parse-names" : false, "suffix" : "" }, { "dropping-particle" : "", "family" : "Burroni", "given" : "Luigi", "non-dropping-particle" : "", "parse-names" : false, "suffix" : "" } ], "container-title" : "Economy and Society", "id" : "ITEM-2", "issue" : "4", "issued" : { "date-parts" : [ [ "2009" ] ] }, "page" : "630-653", "title" : "Italy: rise, decline and restructuring of a regionalized capitalism", "type" : "article-journal", "volume" : "38" }, "uris" : [ "http://www.mendeley.com/documents/?uuid=c61ac973-f072-4d04-84ec-411ca0edf54b" ] }, { "id" : "ITEM-3", "itemData" : { "abstract" : "\u00a9 International Labour Organization 2015. The informal economy accounts for the bulk of employment in many emerging economies. Regulation theory suggests that all economic activity is characterized by a complex combination of formal and informal regulation. Looking at the case of Mozambique, this article explores the pressures towards and against formalization, and the forms regulation can take, drawing on qualitative research based on in-depth elite interviews and observation. The findings highlight how the State's role in promoting formalization of the informal economy is ambivalent; its approach incorporates both \"progressive\" elements, which focus on the modernization of regulations and institutions, and \"conservative\" elements, which inhibit this process of change.", "author" : [ { "dropping-particle" : "", "family" : "Dibben", "given" : "Pauline", "non-dropping-particle" : "", "parse-names" : false, "suffix" : "" }, { "dropping-particle" : "", "family" : "Wood", "given" : "Geoffrey", "non-dropping-particle" : "", "parse-names" : false, "suffix" : "" }, { "dropping-particle" : "", "family" : "Williams", "given" : "Colin C.", "non-dropping-particle" : "", "parse-names" : false, "suffix" : "" } ], "container-title" : "International Labour Review", "id" : "ITEM-3", "issue" : "3", "issued" : { "date-parts" : [ [ "2015" ] ] }, "page" : "373-392", "title" : "Pressures towards and against formalization: Regulation and informal employment in Mozambique", "type" : "article-journal", "volume" : "154" }, "uris" : [ "http://www.mendeley.com/documents/?uuid=358a3caa-3e8d-4239-8273-0539b61eb300" ] } ], "mendeley" : { "formattedCitation" : "(Lane &amp; Wood 2009; Trigilia &amp; Burroni 2009; Dibben et al. 2015)", "manualFormatting" : "(Lane &amp; Wood, 2009; Trigilia &amp; Burroni, 2009; Dibben et al., 2015)", "plainTextFormattedCitation" : "(Lane &amp; Wood 2009; Trigilia &amp; Burroni 2009; Dibben et al. 2015)", "previouslyFormattedCitation" : "(Lane &amp; Wood 2009; Trigilia &amp; Burroni 2009; Dibben et al. 2015)" }, "properties" : { "noteIndex" : 0 }, "schema" : "https://github.com/citation-style-language/schema/raw/master/csl-citation.json" }</w:instrText>
      </w:r>
      <w:r w:rsidRPr="00452E2E">
        <w:rPr>
          <w:szCs w:val="24"/>
        </w:rPr>
        <w:fldChar w:fldCharType="separate"/>
      </w:r>
      <w:r w:rsidRPr="00452E2E">
        <w:rPr>
          <w:noProof/>
          <w:szCs w:val="24"/>
        </w:rPr>
        <w:t xml:space="preserve">(Lane &amp; Wood, 2009; Trigilia &amp; Burroni, 2009; Dibben </w:t>
      </w:r>
      <w:r w:rsidRPr="00452E2E">
        <w:rPr>
          <w:i/>
          <w:noProof/>
          <w:szCs w:val="24"/>
        </w:rPr>
        <w:t>et al</w:t>
      </w:r>
      <w:r w:rsidRPr="00452E2E">
        <w:rPr>
          <w:noProof/>
          <w:szCs w:val="24"/>
        </w:rPr>
        <w:t>., 2015)</w:t>
      </w:r>
      <w:r w:rsidRPr="00452E2E">
        <w:rPr>
          <w:szCs w:val="24"/>
        </w:rPr>
        <w:fldChar w:fldCharType="end"/>
      </w:r>
      <w:r w:rsidRPr="00452E2E">
        <w:rPr>
          <w:szCs w:val="24"/>
        </w:rPr>
        <w:t xml:space="preserve">. There exist subnational institutional frameworks in particular countries that encourage economic activities in specific sectors or regions </w:t>
      </w:r>
      <w:r w:rsidRPr="00452E2E">
        <w:rPr>
          <w:szCs w:val="24"/>
        </w:rPr>
        <w:fldChar w:fldCharType="begin" w:fldLock="1"/>
      </w:r>
      <w:r w:rsidRPr="00452E2E">
        <w:rPr>
          <w:szCs w:val="24"/>
        </w:rPr>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"id" : "ITEM-2", "itemData" : { "DOI" : "10.1080/03085140903190367", "ISBN" : "03085147", "ISSN" : "0308-5147", "PMID" : "1080322", "abstract" : "During recent decades, the varieties of capitalism approach has provided one of themost important contributions on the analysis of advanced capitalism. However, thereare national experiences that seem to be hard to explain from this theoreticalperspective. In this article we underline that this is particularly true for countriesthat are characterized by a high degree of internal diversity, such as the Italian case.For this reason we propose to combine the national and regional dimensions,studying what can be defined as a 'regionalized capitalism': a complex andheterogeneous system that entails both remarkable dysfunctions and elements ofstrength. Analysing the Italian case, we show the importance of centre-peripheryrelations, which produce a mix of local economic dynamism and national publicdisorder (public deficit and debt, inefficient policies). At a local level, SMEs andtheir networks cooperate in a flexible and neo-voluntaristic way to produceterritorial competitive advantages: a networked economy based on relationalcapacities. However, the success of local economies has delayed the adjustment ofpublic policies at a central level. In the last decade, this process has endangeredeconomic development, while Italian firms were challenged by increasing globalization.Drawing attention to the regional dimension, this research approach offers notonly useful insights for understanding a single national case study, but also holdsbroad theoretical implications for the analysis of change and restructuring ofadvanced economies.", "author" : [ { "dropping-particle" : "", "family" : "Trigilia", "given" : "Carlo", "non-dropping-particle" : "", "parse-names" : false, "suffix" : "" }, { "dropping-particle" : "", "family" : "Burroni", "given" : "Luigi", "non-dropping-particle" : "", "parse-names" : false, "suffix" : "" } ], "container-title" : "Economy and Society", "id" : "ITEM-2", "issue" : "4", "issued" : { "date-parts" : [ [ "2009" ] ] }, "page" : "630-653", "title" : "Italy: rise, decline and restructuring of a regionalized capitalism", "type" : "article-journal", "volume" : "38" }, "uris" : [ "http://www.mendeley.com/documents/?uuid=c61ac973-f072-4d04-84ec-411ca0edf54b" ] } ], "mendeley" : { "formattedCitation" : "(Lane &amp; Wood 2009; Trigilia &amp; Burroni 2009)", "manualFormatting" : "(Lane &amp; Wood, 2009; Trigilia &amp; Burroni, 2009; Wood et al., 2014a; Dibben et al., 2015)", "plainTextFormattedCitation" : "(Lane &amp; Wood 2009; Trigilia &amp; Burroni 2009)", "previouslyFormattedCitation" : "(Lane &amp; Wood 2009; Trigilia &amp; Burroni 2009)" }, "properties" : { "noteIndex" : 0 }, "schema" : "https://github.com/citation-style-language/schema/raw/master/csl-citation.json" }</w:instrText>
      </w:r>
      <w:r w:rsidRPr="00452E2E">
        <w:rPr>
          <w:szCs w:val="24"/>
        </w:rPr>
        <w:fldChar w:fldCharType="separate"/>
      </w:r>
      <w:r w:rsidRPr="00452E2E">
        <w:rPr>
          <w:noProof/>
          <w:szCs w:val="24"/>
        </w:rPr>
        <w:t xml:space="preserve">(Lane &amp; Wood, 2009; Trigilia &amp; Burroni, 2009; Wood </w:t>
      </w:r>
      <w:r w:rsidRPr="00452E2E">
        <w:rPr>
          <w:i/>
          <w:noProof/>
          <w:szCs w:val="24"/>
        </w:rPr>
        <w:t>et al</w:t>
      </w:r>
      <w:r w:rsidRPr="00452E2E">
        <w:rPr>
          <w:noProof/>
          <w:szCs w:val="24"/>
        </w:rPr>
        <w:t>., 2014</w:t>
      </w:r>
      <w:r w:rsidRPr="00452E2E">
        <w:rPr>
          <w:i/>
          <w:noProof/>
          <w:szCs w:val="24"/>
        </w:rPr>
        <w:t>a</w:t>
      </w:r>
      <w:r w:rsidRPr="00452E2E">
        <w:rPr>
          <w:noProof/>
          <w:szCs w:val="24"/>
        </w:rPr>
        <w:t xml:space="preserve">; Dibben </w:t>
      </w:r>
      <w:r w:rsidRPr="00452E2E">
        <w:rPr>
          <w:i/>
          <w:noProof/>
          <w:szCs w:val="24"/>
        </w:rPr>
        <w:t>et al</w:t>
      </w:r>
      <w:r w:rsidRPr="00452E2E">
        <w:rPr>
          <w:noProof/>
          <w:szCs w:val="24"/>
        </w:rPr>
        <w:t>., 2015)</w:t>
      </w:r>
      <w:r w:rsidRPr="00452E2E">
        <w:rPr>
          <w:szCs w:val="24"/>
        </w:rPr>
        <w:fldChar w:fldCharType="end"/>
      </w:r>
      <w:r w:rsidRPr="00452E2E">
        <w:rPr>
          <w:szCs w:val="24"/>
        </w:rPr>
        <w:t xml:space="preserve">. This may reflect the historical legacies in particular contexts such as the regionalized capitalism found in Italy </w:t>
      </w:r>
      <w:r w:rsidRPr="00452E2E">
        <w:rPr>
          <w:szCs w:val="24"/>
        </w:rPr>
        <w:fldChar w:fldCharType="begin" w:fldLock="1"/>
      </w:r>
      <w:r w:rsidRPr="00452E2E">
        <w:rPr>
          <w:szCs w:val="24"/>
        </w:rPr>
        <w:instrText>ADDIN CSL_CITATION { "citationItems" : [ { "id" : "ITEM-1", "itemData" : { "DOI" : "10.1080/03085140903190367", "ISBN" : "03085147", "ISSN" : "0308-5147", "PMID" : "1080322", "abstract" : "During recent decades, the varieties of capitalism approach has provided one of themost important contributions on the analysis of advanced capitalism. However, thereare national experiences that seem to be hard to explain from this theoreticalperspective. In this article we underline that this is particularly true for countriesthat are characterized by a high degree of internal diversity, such as the Italian case.For this reason we propose to combine the national and regional dimensions,studying what can be defined as a 'regionalized capitalism': a complex andheterogeneous system that entails both remarkable dysfunctions and elements ofstrength. Analysing the Italian case, we show the importance of centre-peripheryrelations, which produce a mix of local economic dynamism and national publicdisorder (public deficit and debt, inefficient policies). At a local level, SMEs andtheir networks cooperate in a flexible and neo-voluntaristic way to produceterritorial competitive advantages: a networked economy based on relationalcapacities. However, the success of local economies has delayed the adjustment ofpublic policies at a central level. In the last decade, this process has endangeredeconomic development, while Italian firms were challenged by increasing globalization.Drawing attention to the regional dimension, this research approach offers notonly useful insights for understanding a single national case study, but also holdsbroad theoretical implications for the analysis of change and restructuring ofadvanced economies.", "author" : [ { "dropping-particle" : "", "family" : "Trigilia", "given" : "Carlo", "non-dropping-particle" : "", "parse-names" : false, "suffix" : "" }, { "dropping-particle" : "", "family" : "Burroni", "given" : "Luigi", "non-dropping-particle" : "", "parse-names" : false, "suffix" : "" } ], "container-title" : "Economy and Society", "id" : "ITEM-1", "issue" : "4", "issued" : { "date-parts" : [ [ "2009" ] ] }, "page" : "630-653", "title" : "Italy: rise, decline and restructuring of a regionalized capitalism", "type" : "article-journal", "volume" : "38" }, "uris" : [ "http://www.mendeley.com/documents/?uuid=c61ac973-f072-4d04-84ec-411ca0edf54b" ] } ], "mendeley" : { "formattedCitation" : "(Trigilia &amp; Burroni 2009)", "manualFormatting" : "(Trigilia &amp; Burroni, 2009)", "plainTextFormattedCitation" : "(Trigilia &amp; Burroni 2009)", "previouslyFormattedCitation" : "(Trigilia &amp; Burroni 2009)" }, "properties" : { "noteIndex" : 0 }, "schema" : "https://github.com/citation-style-language/schema/raw/master/csl-citation.json" }</w:instrText>
      </w:r>
      <w:r w:rsidRPr="00452E2E">
        <w:rPr>
          <w:szCs w:val="24"/>
        </w:rPr>
        <w:fldChar w:fldCharType="separate"/>
      </w:r>
      <w:r w:rsidRPr="00452E2E">
        <w:rPr>
          <w:noProof/>
          <w:szCs w:val="24"/>
        </w:rPr>
        <w:t>(Trigilia &amp; Burroni, 2009)</w:t>
      </w:r>
      <w:r w:rsidRPr="00452E2E">
        <w:rPr>
          <w:szCs w:val="24"/>
        </w:rPr>
        <w:fldChar w:fldCharType="end"/>
      </w:r>
      <w:r w:rsidRPr="00452E2E">
        <w:rPr>
          <w:szCs w:val="24"/>
        </w:rPr>
        <w:t xml:space="preserve"> or systems that address </w:t>
      </w:r>
      <w:r w:rsidR="000218C4" w:rsidRPr="00452E2E">
        <w:rPr>
          <w:szCs w:val="24"/>
        </w:rPr>
        <w:t>ethnic diversity</w:t>
      </w:r>
      <w:r w:rsidRPr="00452E2E">
        <w:rPr>
          <w:szCs w:val="24"/>
        </w:rPr>
        <w:t xml:space="preserve"> in most African societies </w:t>
      </w:r>
      <w:r w:rsidRPr="00452E2E">
        <w:rPr>
          <w:szCs w:val="24"/>
        </w:rPr>
        <w:fldChar w:fldCharType="begin" w:fldLock="1"/>
      </w:r>
      <w:r w:rsidRPr="00452E2E">
        <w:rPr>
          <w:szCs w:val="24"/>
        </w:rPr>
        <w:instrText>ADDIN CSL_CITATION { "citationItems" : [ { "id" : "ITEM-1", "itemData" : { "DOI" : "10.1002/jid", "abstract" : "Nigeria, South Africa and Namibia, all divided societies, have affirmative action programmes aimed at bridging the profound inequalities between different segments of their population. Many others African countries have milder versions, such as parliamentary quotas for women. This study examines the necessity for affirmative action and the effectiveness of the Federal Character Commission (FCC), set up in Nigeria to oversee the process. It examines the historical connections between ethnic inequalities, governance and conflict in Nigeria and the various efforts at reforming the entrenched ethnic imbalances in the Nigerian public sector. It advances both philosophical and instrumentalist arguments in defence of affirmative action and, against this background, examines the effectiveness of the commission. A core argument is that the commission should be evaluated on both its intended and unintended effects on Nigerian public life. If this wider standard is used, then the commission has contributed positively to the management of ethnic inequalities in the Nigerian public sector. Some of the challenges facing the commission are also highlighted.", "author" : [ { "dropping-particle" : "", "family" : "Mustapha", "given" : "Abdul Raufu", "non-dropping-particle" : "", "parse-names" : false, "suffix" : "" } ], "container-title" : "Journal of International Development", "id" : "ITEM-1", "issue" : "43", "issued" : { "date-parts" : [ [ "2009" ] ] }, "page" : "561-576", "title" : "Institutionalising ethnic representation : how effective is affirmative action in Nigeria ?", "type" : "article-journal", "volume" : "576" }, "uris" : [ "http://www.mendeley.com/documents/?uuid=225bc6b9-e852-41cf-a452-00ea8c4f9ace"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"id" : "ITEM-3",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"ITEM-3",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"(Mustapha 2009; Webster &amp; Wood 2005; Wood et al. 2011)", "manualFormatting" : "(Mustapha, 2009; Webster &amp; Wood, 2005; Wood et al., 2011)", "plainTextFormattedCitation" : "(Mustapha 2009; Webster &amp; Wood 2005; Wood et al. 2011)", "previouslyFormattedCitation" : "(Mustapha 2009; Webster &amp; Wood 2005; Wood et al. 2011)" }, "properties" : { "noteIndex" : 0 }, "schema" : "https://github.com/citation-style-language/schema/raw/master/csl-citation.json" }</w:instrText>
      </w:r>
      <w:r w:rsidRPr="00452E2E">
        <w:rPr>
          <w:szCs w:val="24"/>
        </w:rPr>
        <w:fldChar w:fldCharType="separate"/>
      </w:r>
      <w:r w:rsidRPr="00452E2E">
        <w:rPr>
          <w:noProof/>
          <w:szCs w:val="24"/>
        </w:rPr>
        <w:t xml:space="preserve">(Mustapha, 2009; Webster &amp; Wood, 2005; Wood </w:t>
      </w:r>
      <w:r w:rsidRPr="00452E2E">
        <w:rPr>
          <w:i/>
          <w:noProof/>
          <w:szCs w:val="24"/>
        </w:rPr>
        <w:t>et al</w:t>
      </w:r>
      <w:r w:rsidRPr="00452E2E">
        <w:rPr>
          <w:noProof/>
          <w:szCs w:val="24"/>
        </w:rPr>
        <w:t>., 2011)</w:t>
      </w:r>
      <w:r w:rsidRPr="00452E2E">
        <w:rPr>
          <w:szCs w:val="24"/>
        </w:rPr>
        <w:fldChar w:fldCharType="end"/>
      </w:r>
      <w:r w:rsidRPr="00452E2E">
        <w:rPr>
          <w:szCs w:val="24"/>
        </w:rPr>
        <w:t xml:space="preserve">. This study therefore seeks to explore the nature of internal diversity in HRM between public and private sectors in Nigeria vis-à-vis the effect of HR practices on employee attitudes in both sectors. A discussion of the nature of HR practices and how HR practices are shaped by the institutional context is provided in the next section. </w:t>
      </w:r>
    </w:p>
    <w:p w:rsidR="00D03A8E" w:rsidRPr="00452E2E" w:rsidRDefault="003673B8" w:rsidP="00170224">
      <w:pPr>
        <w:pStyle w:val="Heading3"/>
      </w:pPr>
      <w:bookmarkStart w:id="47" w:name="_Toc465271170"/>
      <w:bookmarkStart w:id="48" w:name="_Toc473808114"/>
      <w:r w:rsidRPr="00452E2E">
        <w:t>2.4</w:t>
      </w:r>
      <w:r w:rsidR="00D03A8E" w:rsidRPr="00452E2E">
        <w:t xml:space="preserve"> HR Practices</w:t>
      </w:r>
      <w:bookmarkEnd w:id="47"/>
      <w:bookmarkEnd w:id="48"/>
    </w:p>
    <w:p w:rsidR="000D6570" w:rsidRPr="00452E2E" w:rsidRDefault="00D03A8E" w:rsidP="00D03A8E">
      <w:pPr>
        <w:spacing w:line="360" w:lineRule="auto"/>
        <w:jc w:val="both"/>
        <w:rPr>
          <w:szCs w:val="24"/>
        </w:rPr>
      </w:pPr>
      <w:r w:rsidRPr="00452E2E">
        <w:rPr>
          <w:szCs w:val="24"/>
        </w:rPr>
        <w:t xml:space="preserve">HR practices are specific approaches organizations use in managing people in line with the HR policy of the organization </w:t>
      </w:r>
      <w:r w:rsidRPr="00452E2E">
        <w:rPr>
          <w:szCs w:val="24"/>
        </w:rPr>
        <w:fldChar w:fldCharType="begin" w:fldLock="1"/>
      </w:r>
      <w:r w:rsidRPr="00452E2E">
        <w:rPr>
          <w:szCs w:val="24"/>
        </w:rPr>
        <w:instrText>ADDIN CSL_CITATION { "citationItems" : [ { "id" : "ITEM-1", "itemData" : { "author" : [ { "dropping-particle" : "", "family" : "Armstrong", "given" : "Michael", "non-dropping-particle" : "", "parse-names" : false, "suffix" : "" } ], "id" : "ITEM-1", "issued" : { "date-parts" : [ [ "2011" ] ] }, "publisher" : "Kogan Page", "publisher-place" : "London", "title" : "Armstrong's handbook of strategic human resource management", "type" : "book" }, "uris" : [ "http://www.mendeley.com/documents/?uuid=a57c6449-002a-4037-9e2e-150ccd719d87" ] } ], "mendeley" : { "formattedCitation" : "(Armstrong 2011)", "manualFormatting" : "(Armstrong, 2011)", "plainTextFormattedCitation" : "(Armstrong 2011)", "previouslyFormattedCitation" : "(Armstrong 2011)" }, "properties" : { "noteIndex" : 0 }, "schema" : "https://github.com/citation-style-language/schema/raw/master/csl-citation.json" }</w:instrText>
      </w:r>
      <w:r w:rsidRPr="00452E2E">
        <w:rPr>
          <w:szCs w:val="24"/>
        </w:rPr>
        <w:fldChar w:fldCharType="separate"/>
      </w:r>
      <w:r w:rsidRPr="00452E2E">
        <w:rPr>
          <w:noProof/>
          <w:szCs w:val="24"/>
        </w:rPr>
        <w:t>(Armstrong, 2011)</w:t>
      </w:r>
      <w:r w:rsidRPr="00452E2E">
        <w:rPr>
          <w:szCs w:val="24"/>
        </w:rPr>
        <w:fldChar w:fldCharType="end"/>
      </w:r>
      <w:r w:rsidRPr="00452E2E">
        <w:rPr>
          <w:szCs w:val="24"/>
        </w:rPr>
        <w:t xml:space="preserve">. On the other hand, an organization’s HR policy provides guidelines on how human resources are managed (Jiang </w:t>
      </w:r>
      <w:r w:rsidRPr="00452E2E">
        <w:rPr>
          <w:i/>
          <w:szCs w:val="24"/>
        </w:rPr>
        <w:t>et al</w:t>
      </w:r>
      <w:r w:rsidRPr="00452E2E">
        <w:rPr>
          <w:szCs w:val="24"/>
        </w:rPr>
        <w:t xml:space="preserve">., 2012b). This means that HR practices are used to implement the HR policy of the organization and hence the choice of HR practices is determined by the HR policy adopted by the organization (Jiang </w:t>
      </w:r>
      <w:r w:rsidRPr="00452E2E">
        <w:rPr>
          <w:i/>
          <w:szCs w:val="24"/>
        </w:rPr>
        <w:t>et al</w:t>
      </w:r>
      <w:r w:rsidRPr="00452E2E">
        <w:rPr>
          <w:szCs w:val="24"/>
        </w:rPr>
        <w:t xml:space="preserve">., 2012b). There are many HR practices such that it would be difficult to cover all of them in a research of this nature </w:t>
      </w:r>
      <w:r w:rsidRPr="00452E2E">
        <w:rPr>
          <w:szCs w:val="24"/>
        </w:rPr>
        <w:fldChar w:fldCharType="begin" w:fldLock="1"/>
      </w:r>
      <w:r w:rsidRPr="00452E2E">
        <w:rPr>
          <w:szCs w:val="24"/>
        </w:rPr>
        <w:instrText>ADDIN CSL_CITATION { "citationItems" : [ { "id" : "ITEM-1", "itemData" : { "author" : [ { "dropping-particle" : "", "family" : "Crawshaw", "given" : "J.R.", "non-dropping-particle" : "", "parse-names" : false, "suffix" : "" }, { "dropping-particle" : "", "family" : "Hatch", "given" : "Alastair",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"2-25", "publisher" : "SAGE", "publisher-place" : "London", "title" : "Introduction: Context and challenges for HRM", "type" : "chapter" }, "uris" : [ "http://www.mendeley.com/documents/?uuid=84ce5326-441a-41fd-83ea-4c959ef8be86" ] } ], "mendeley" : { "formattedCitation" : "(Crawshaw &amp; Hatch 2014)", "manualFormatting" : "(Crawshaw &amp; Hatch, 2014)", "plainTextFormattedCitation" : "(Crawshaw &amp; Hatch 2014)", "previouslyFormattedCitation" : "(Crawshaw &amp; Hatch 2014)" }, "properties" : { "noteIndex" : 0 }, "schema" : "https://github.com/citation-style-language/schema/raw/master/csl-citation.json" }</w:instrText>
      </w:r>
      <w:r w:rsidRPr="00452E2E">
        <w:rPr>
          <w:szCs w:val="24"/>
        </w:rPr>
        <w:fldChar w:fldCharType="separate"/>
      </w:r>
      <w:r w:rsidRPr="00452E2E">
        <w:rPr>
          <w:noProof/>
          <w:szCs w:val="24"/>
        </w:rPr>
        <w:t>(Crawshaw &amp; Hatch, 2014)</w:t>
      </w:r>
      <w:r w:rsidRPr="00452E2E">
        <w:rPr>
          <w:szCs w:val="24"/>
        </w:rPr>
        <w:fldChar w:fldCharType="end"/>
      </w:r>
      <w:r w:rsidRPr="00452E2E">
        <w:rPr>
          <w:szCs w:val="24"/>
        </w:rPr>
        <w:t xml:space="preserve">. Consequently, the HR practices covered in </w:t>
      </w:r>
      <w:r w:rsidRPr="00452E2E">
        <w:rPr>
          <w:i/>
          <w:szCs w:val="24"/>
        </w:rPr>
        <w:t>study 1</w:t>
      </w:r>
      <w:r w:rsidRPr="00452E2E">
        <w:rPr>
          <w:szCs w:val="24"/>
        </w:rPr>
        <w:t xml:space="preserve"> of this </w:t>
      </w:r>
      <w:r w:rsidR="00D02314" w:rsidRPr="00452E2E">
        <w:rPr>
          <w:szCs w:val="24"/>
        </w:rPr>
        <w:t>research</w:t>
      </w:r>
      <w:r w:rsidRPr="00452E2E">
        <w:rPr>
          <w:szCs w:val="24"/>
        </w:rPr>
        <w:t xml:space="preserve"> are: recruitment and selection, training, employee benefits, and employee participation. These four dimensions of HR practices reflect the practices that have been widely considered as being of </w:t>
      </w:r>
      <w:r w:rsidRPr="00452E2E">
        <w:rPr>
          <w:szCs w:val="24"/>
        </w:rPr>
        <w:lastRenderedPageBreak/>
        <w:t xml:space="preserve">strategic importance to </w:t>
      </w:r>
      <w:r w:rsidR="004C3A54" w:rsidRPr="00452E2E">
        <w:rPr>
          <w:szCs w:val="24"/>
        </w:rPr>
        <w:t>most</w:t>
      </w:r>
      <w:r w:rsidR="003A61E2" w:rsidRPr="00452E2E">
        <w:rPr>
          <w:szCs w:val="24"/>
        </w:rPr>
        <w:t xml:space="preserve"> </w:t>
      </w:r>
      <w:r w:rsidRPr="00452E2E">
        <w:rPr>
          <w:szCs w:val="24"/>
        </w:rPr>
        <w:t xml:space="preserve">organizations </w:t>
      </w:r>
      <w:r w:rsidRPr="00452E2E">
        <w:rPr>
          <w:szCs w:val="24"/>
        </w:rPr>
        <w:fldChar w:fldCharType="begin" w:fldLock="1"/>
      </w:r>
      <w:r w:rsidRPr="00452E2E">
        <w:rPr>
          <w:szCs w:val="24"/>
        </w:rPr>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"ITEM-1",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"(Darwish et al. 2016; Webster &amp; Wood 2005)", "manualFormatting" : "(Webster &amp; Wood, 2005; Darwish et al., 2016)", "plainTextFormattedCitation" : "(Darwish et al. 2016; Webster &amp; Wood 2005)", "previouslyFormattedCitation" : "(Darwish et al. 2016; Webster &amp; Wood 2005)" }, "properties" : { "noteIndex" : 0 }, "schema" : "https://github.com/citation-style-language/schema/raw/master/csl-citation.json" }</w:instrText>
      </w:r>
      <w:r w:rsidRPr="00452E2E">
        <w:rPr>
          <w:szCs w:val="24"/>
        </w:rPr>
        <w:fldChar w:fldCharType="separate"/>
      </w:r>
      <w:r w:rsidRPr="00452E2E">
        <w:rPr>
          <w:noProof/>
          <w:szCs w:val="24"/>
        </w:rPr>
        <w:t xml:space="preserve">(Webster &amp; Wood, 2005; Darwish </w:t>
      </w:r>
      <w:r w:rsidRPr="00452E2E">
        <w:rPr>
          <w:i/>
          <w:noProof/>
          <w:szCs w:val="24"/>
        </w:rPr>
        <w:t>et al</w:t>
      </w:r>
      <w:r w:rsidRPr="00452E2E">
        <w:rPr>
          <w:noProof/>
          <w:szCs w:val="24"/>
        </w:rPr>
        <w:t>., 2016)</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However, as I </w:t>
      </w:r>
      <w:r w:rsidR="008A2FBC" w:rsidRPr="00452E2E">
        <w:rPr>
          <w:szCs w:val="24"/>
        </w:rPr>
        <w:t>will</w:t>
      </w:r>
      <w:r w:rsidRPr="00452E2E">
        <w:rPr>
          <w:szCs w:val="24"/>
        </w:rPr>
        <w:t xml:space="preserve"> show in the next chapter, only the later three HR practices are included in </w:t>
      </w:r>
      <w:r w:rsidRPr="00452E2E">
        <w:rPr>
          <w:i/>
          <w:szCs w:val="24"/>
        </w:rPr>
        <w:t>study 2</w:t>
      </w:r>
      <w:r w:rsidRPr="00452E2E">
        <w:rPr>
          <w:szCs w:val="24"/>
        </w:rPr>
        <w:t xml:space="preserve"> of this research </w:t>
      </w:r>
      <w:r w:rsidR="00290EBE" w:rsidRPr="00452E2E">
        <w:rPr>
          <w:szCs w:val="24"/>
        </w:rPr>
        <w:t>since the study seeks to examine the perceptions of employees about the HR practices they encounter in their organizations</w:t>
      </w:r>
      <w:r w:rsidR="00903437" w:rsidRPr="00452E2E">
        <w:rPr>
          <w:szCs w:val="24"/>
        </w:rPr>
        <w:t xml:space="preserve"> (see chapter three for details)</w:t>
      </w:r>
      <w:r w:rsidR="00290EBE" w:rsidRPr="00452E2E">
        <w:rPr>
          <w:szCs w:val="24"/>
        </w:rPr>
        <w:t xml:space="preserve">. </w:t>
      </w:r>
      <w:r w:rsidRPr="00452E2E">
        <w:rPr>
          <w:szCs w:val="24"/>
        </w:rPr>
        <w:t xml:space="preserve">It is worth stating that although pay is equally of strategic importance to </w:t>
      </w:r>
      <w:r w:rsidR="00972C59" w:rsidRPr="00452E2E">
        <w:rPr>
          <w:szCs w:val="24"/>
        </w:rPr>
        <w:t xml:space="preserve">most </w:t>
      </w:r>
      <w:r w:rsidRPr="00452E2E">
        <w:rPr>
          <w:szCs w:val="24"/>
        </w:rPr>
        <w:t xml:space="preserve">organizations, in the context of Nigeria where the current study is situated, employee benefits are considered the most important aspect of compensation due to the generally low wages in the country (Ovadje &amp; Ankomah, 2001). </w:t>
      </w:r>
      <w:r w:rsidR="008A4D5E" w:rsidRPr="00452E2E">
        <w:rPr>
          <w:szCs w:val="24"/>
        </w:rPr>
        <w:t>Moreover, the</w:t>
      </w:r>
      <w:r w:rsidR="001A48EE" w:rsidRPr="00452E2E">
        <w:rPr>
          <w:szCs w:val="24"/>
        </w:rPr>
        <w:t>re is</w:t>
      </w:r>
      <w:r w:rsidR="008A4D5E" w:rsidRPr="00452E2E">
        <w:rPr>
          <w:szCs w:val="24"/>
        </w:rPr>
        <w:t xml:space="preserve"> considerable difference in the pay structure of organizations in the public and private sector in Nigeria </w:t>
      </w:r>
      <w:r w:rsidR="00B61C2A" w:rsidRPr="00452E2E">
        <w:rPr>
          <w:szCs w:val="24"/>
        </w:rPr>
        <w:t xml:space="preserve">and </w:t>
      </w:r>
      <w:r w:rsidR="008A4D5E" w:rsidRPr="00452E2E">
        <w:rPr>
          <w:szCs w:val="24"/>
        </w:rPr>
        <w:t xml:space="preserve">since </w:t>
      </w:r>
      <w:r w:rsidR="00F574B9" w:rsidRPr="00452E2E">
        <w:rPr>
          <w:szCs w:val="24"/>
        </w:rPr>
        <w:t xml:space="preserve">the </w:t>
      </w:r>
      <w:r w:rsidR="00B61C2A" w:rsidRPr="00452E2E">
        <w:rPr>
          <w:szCs w:val="24"/>
        </w:rPr>
        <w:t xml:space="preserve">aim of the study is to examine </w:t>
      </w:r>
      <w:r w:rsidR="002337BB" w:rsidRPr="00452E2E">
        <w:rPr>
          <w:szCs w:val="24"/>
        </w:rPr>
        <w:t>the attitudinal response of</w:t>
      </w:r>
      <w:r w:rsidR="00B61C2A" w:rsidRPr="00452E2E">
        <w:rPr>
          <w:szCs w:val="24"/>
        </w:rPr>
        <w:t xml:space="preserve"> employees in the public and private sector </w:t>
      </w:r>
      <w:r w:rsidR="002337BB" w:rsidRPr="00452E2E">
        <w:rPr>
          <w:szCs w:val="24"/>
        </w:rPr>
        <w:t xml:space="preserve">in Nigeria </w:t>
      </w:r>
      <w:r w:rsidR="00B61C2A" w:rsidRPr="00452E2E">
        <w:rPr>
          <w:szCs w:val="24"/>
        </w:rPr>
        <w:t xml:space="preserve">to similar </w:t>
      </w:r>
      <w:r w:rsidR="001562FC" w:rsidRPr="00452E2E">
        <w:rPr>
          <w:szCs w:val="24"/>
        </w:rPr>
        <w:t xml:space="preserve">HR </w:t>
      </w:r>
      <w:r w:rsidR="00B61C2A" w:rsidRPr="00452E2E">
        <w:rPr>
          <w:szCs w:val="24"/>
        </w:rPr>
        <w:t xml:space="preserve">practices, </w:t>
      </w:r>
      <w:r w:rsidRPr="00452E2E">
        <w:rPr>
          <w:szCs w:val="24"/>
        </w:rPr>
        <w:t xml:space="preserve">pay is </w:t>
      </w:r>
      <w:r w:rsidR="002B22E8" w:rsidRPr="00452E2E">
        <w:rPr>
          <w:szCs w:val="24"/>
        </w:rPr>
        <w:t xml:space="preserve">therefore </w:t>
      </w:r>
      <w:r w:rsidRPr="00452E2E">
        <w:rPr>
          <w:szCs w:val="24"/>
        </w:rPr>
        <w:t>excluded from the study</w:t>
      </w:r>
      <w:r w:rsidR="00B61C2A" w:rsidRPr="00452E2E">
        <w:rPr>
          <w:szCs w:val="24"/>
        </w:rPr>
        <w:t>.</w:t>
      </w:r>
      <w:r w:rsidRPr="00452E2E">
        <w:rPr>
          <w:szCs w:val="24"/>
        </w:rPr>
        <w:t xml:space="preserve"> </w:t>
      </w:r>
      <w:r w:rsidR="00B61C2A" w:rsidRPr="00452E2E">
        <w:rPr>
          <w:szCs w:val="24"/>
        </w:rPr>
        <w:t xml:space="preserve">Nevertheless, as I will show in </w:t>
      </w:r>
      <w:r w:rsidR="007237DD" w:rsidRPr="00452E2E">
        <w:rPr>
          <w:szCs w:val="24"/>
        </w:rPr>
        <w:t>chapter</w:t>
      </w:r>
      <w:r w:rsidRPr="00452E2E">
        <w:rPr>
          <w:szCs w:val="24"/>
        </w:rPr>
        <w:t xml:space="preserve"> </w:t>
      </w:r>
      <w:r w:rsidR="007237DD" w:rsidRPr="00452E2E">
        <w:rPr>
          <w:szCs w:val="24"/>
        </w:rPr>
        <w:t xml:space="preserve">seven, pay is included among the control variables in the course of data analysis. </w:t>
      </w:r>
      <w:r w:rsidRPr="00452E2E">
        <w:rPr>
          <w:szCs w:val="24"/>
        </w:rPr>
        <w:t>Each of these HR practices are discussed in the sub-sections below, beginning with recruitment and selection.</w:t>
      </w:r>
    </w:p>
    <w:p w:rsidR="00D03A8E" w:rsidRPr="00452E2E" w:rsidRDefault="00D03A8E" w:rsidP="00D03A8E">
      <w:pPr>
        <w:pStyle w:val="Heading4"/>
      </w:pPr>
      <w:bookmarkStart w:id="49" w:name="_Toc473808115"/>
      <w:r w:rsidRPr="00452E2E">
        <w:t>2.</w:t>
      </w:r>
      <w:r w:rsidR="001E5E63" w:rsidRPr="00452E2E">
        <w:t>4</w:t>
      </w:r>
      <w:r w:rsidRPr="00452E2E">
        <w:t>.1 Recruitment and Selection</w:t>
      </w:r>
      <w:bookmarkEnd w:id="49"/>
    </w:p>
    <w:p w:rsidR="000D6570" w:rsidRPr="00452E2E" w:rsidRDefault="00D03A8E" w:rsidP="00D03A8E">
      <w:pPr>
        <w:spacing w:line="360" w:lineRule="auto"/>
        <w:jc w:val="both"/>
        <w:rPr>
          <w:szCs w:val="24"/>
        </w:rPr>
      </w:pPr>
      <w:r w:rsidRPr="00452E2E">
        <w:rPr>
          <w:szCs w:val="24"/>
        </w:rPr>
        <w:t xml:space="preserve">Recruitment and selection are two of the most important aspects of human resource management since they enable both new and existing organizations to meet their staffing needs </w:t>
      </w:r>
      <w:r w:rsidRPr="00452E2E">
        <w:rPr>
          <w:szCs w:val="24"/>
        </w:rPr>
        <w:fldChar w:fldCharType="begin" w:fldLock="1"/>
      </w:r>
      <w:r w:rsidRPr="00452E2E">
        <w:rPr>
          <w:szCs w:val="24"/>
        </w:rPr>
        <w:instrText>ADDIN CSL_CITATION { "citationItems" : [ { "id" : "ITEM-1", "itemData" : { "author" : [ { "dropping-particle" : "", "family" : "Derous", "given" : "Eva", "non-dropping-particle" : "", "parse-names" : false, "suffix" : "" }, { "dropping-particle" : "", "family" : "Fruyt", "given" : "Filip", "non-dropping-particle" : "de", "parse-names" : false, "suffix" : "" } ], "container-title" : "International Journal of Selection and Assessment", "id" : "ITEM-1", "issue" : "1", "issued" : { "date-parts" : [ [ "2016" ] ] }, "page" : "1-3", "title" : "Developments in recruitment and selection research", "type" : "article-journal", "volume" : "24" }, "uris" : [ "http://www.mendeley.com/documents/?uuid=31c49bb8-1d39-415c-83c6-bf244db3a054" ] }, { "id" : "ITEM-2", "itemData" : { "DOI" : "10.5093/tr2013a1", "ISSN" : "2174-0534", "abstract" : "An introduction is presented in which the authors discuss employee selection processes and personnel management, the main theme of this issue.", "author" : [ { "dropping-particle" : "", "family" : "Garc\u00eda-Izquierdo", "given" : "Antonio L.", "non-dropping-particle" : "", "parse-names" : false, "suffix" : "" }, { "dropping-particle" : "", "family" : "Derous", "given" : "Eva", "non-dropping-particle" : "", "parse-names" : false, "suffix" : "" }, { "dropping-particle" : "", "family" : "Searle", "given" : "Rosalind", "non-dropping-particle" : "", "parse-names" : false, "suffix" : "" } ], "container-title" : "Journal of Work and Organizational Psychology", "id" : "ITEM-2", "issue" : "1", "issued" : { "date-parts" : [ [ "2013" ] ] }, "page" : "1-2", "publisher" : "Elsevier", "title" : "Recruitment and Selection in Europe: One step beyond", "type" : "article-journal", "volume" : "29" }, "uris" : [ "http://www.mendeley.com/documents/?uuid=8321be76-9d18-4fc0-a31c-a11f50e270b1" ] }, { "id" : "ITEM-3",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"ITEM-3", "issued" : { "date-parts" : [ [ "2010" ] ] }, "page" : "135-154", "publisher" : "SAGE", "publisher-place" : "London", "title" : "Recruitment and selection", "type" : "chapter" }, "uris" : [ "http://www.mendeley.com/documents/?uuid=e189e2f4-1a71-4115-a1e6-cd4315467cbe" ] } ], "mendeley" : { "formattedCitation" : "(Derous &amp; de Fruyt 2016; Garc\u00eda-Izquierdo et al. 2013; Lievens &amp; Chapman 2010)", "manualFormatting" : "(Breaugh, 2008; Lievens &amp; Chapman, 2010; Garc\u00eda-Izquierdo et al., 2013; Derous &amp; de Fruyt, 2016)", "plainTextFormattedCitation" : "(Derous &amp; de Fruyt 2016; Garc\u00eda-Izquierdo et al. 2013; Lievens &amp; Chapman 2010)", "previouslyFormattedCitation" : "(Derous &amp; de Fruyt 2016; Garc\u00eda-Izquierdo et al. 2013; Lievens &amp; Chapman 2010)" }, "properties" : { "noteIndex" : 0 }, "schema" : "https://github.com/citation-style-language/schema/raw/master/csl-citation.json" }</w:instrText>
      </w:r>
      <w:r w:rsidRPr="00452E2E">
        <w:rPr>
          <w:szCs w:val="24"/>
        </w:rPr>
        <w:fldChar w:fldCharType="separate"/>
      </w:r>
      <w:r w:rsidRPr="00452E2E">
        <w:rPr>
          <w:noProof/>
          <w:szCs w:val="24"/>
        </w:rPr>
        <w:t xml:space="preserve">(Breaugh, 2008; Lievens &amp; Chapman, 2010; García-Izquierdo </w:t>
      </w:r>
      <w:r w:rsidRPr="00452E2E">
        <w:rPr>
          <w:i/>
          <w:noProof/>
          <w:szCs w:val="24"/>
        </w:rPr>
        <w:t>et al</w:t>
      </w:r>
      <w:r w:rsidRPr="00452E2E">
        <w:rPr>
          <w:noProof/>
          <w:szCs w:val="24"/>
        </w:rPr>
        <w:t>., 2013; Derous &amp; de Fruyt, 2016)</w:t>
      </w:r>
      <w:r w:rsidRPr="00452E2E">
        <w:rPr>
          <w:szCs w:val="24"/>
        </w:rPr>
        <w:fldChar w:fldCharType="end"/>
      </w:r>
      <w:r w:rsidRPr="00452E2E">
        <w:rPr>
          <w:szCs w:val="24"/>
        </w:rPr>
        <w:t xml:space="preserve">. Hence, the topic of recruitment and selection has generated interest from both practitioners and researchers </w:t>
      </w:r>
      <w:r w:rsidRPr="00452E2E">
        <w:rPr>
          <w:szCs w:val="24"/>
        </w:rPr>
        <w:fldChar w:fldCharType="begin" w:fldLock="1"/>
      </w:r>
      <w:r w:rsidRPr="00452E2E">
        <w:rPr>
          <w:szCs w:val="24"/>
        </w:rPr>
        <w:instrText>ADDIN CSL_CITATION { "citationItems" : [ { "id" : "ITEM-1", "itemData" : { "ISSN" : "10534822", "abstract" : "Over the last forty years, research on employee recruitment has increased dramatically. In this paper, I review research on recruitment topics that have received considerable attention (e.g., recruitment methods, realistic job previews). I also address topics (e.g., targeted recruitment, the site visit) that have received relatively little attention but that have the potential to be quite important. In examining these topics, job applicant variables (e.g., self-insight), that should influence how an employer conducts the recruitment process but that have frequently been neglected, are discussed. Throughout the paper, important areas for future research are suggested. ?? 2008 Elsevier Inc. All rights reserved.", "author" : [ { "dropping-particle" : "", "family" : "Breaugh", "given" : "James A.", "non-dropping-particle" : "", "parse-names" : false, "suffix" : "" } ], "container-title" : "Human Resource Management Review", "id" : "ITEM-1", "issue" : "3", "issued" : { "date-parts" : [ [ "2008" ] ] }, "page" : "103-118", "title" : "Employee recruitment: Current knowledge and important areas for future research", "type" : "article-journal", "volume" : "18" }, "uris" : [ "http://www.mendeley.com/documents/?uuid=bd950740-de4c-40b6-9c22-9e860fbf9a98" ] }, { "id" : "ITEM-2", "itemData" : { "author" : [ { "dropping-particle" : "", "family" : "Derous", "given" : "Eva", "non-dropping-particle" : "", "parse-names" : false, "suffix" : "" }, { "dropping-particle" : "", "family" : "Fruyt", "given" : "Filip", "non-dropping-particle" : "de", "parse-names" : false, "suffix" : "" } ], "container-title" : "International Journal of Selection and Assessment", "id" : "ITEM-2", "issue" : "1", "issued" : { "date-parts" : [ [ "2016" ] ] }, "page" : "1-3", "title" : "Developments in recruitment and selection research", "type" : "article-journal", "volume" : "24" }, "uris" : [ "http://www.mendeley.com/documents/?uuid=31c49bb8-1d39-415c-83c6-bf244db3a054" ] } ], "mendeley" : { "formattedCitation" : "(Breaugh 2008; Derous &amp; de Fruyt 2016)", "manualFormatting" : "(Breaugh, 2008; Derous &amp; de Fruyt, 2016)", "plainTextFormattedCitation" : "(Breaugh 2008; Derous &amp; de Fruyt 2016)", "previouslyFormattedCitation" : "(Breaugh 2008; Derous &amp; de Fruyt 2016)" }, "properties" : { "noteIndex" : 0 }, "schema" : "https://github.com/citation-style-language/schema/raw/master/csl-citation.json" }</w:instrText>
      </w:r>
      <w:r w:rsidRPr="00452E2E">
        <w:rPr>
          <w:szCs w:val="24"/>
        </w:rPr>
        <w:fldChar w:fldCharType="separate"/>
      </w:r>
      <w:r w:rsidRPr="00452E2E">
        <w:rPr>
          <w:noProof/>
          <w:szCs w:val="24"/>
        </w:rPr>
        <w:t>(Breaugh, 2008; Derous &amp; de Fruyt, 2016)</w:t>
      </w:r>
      <w:r w:rsidRPr="00452E2E">
        <w:rPr>
          <w:szCs w:val="24"/>
        </w:rPr>
        <w:fldChar w:fldCharType="end"/>
      </w:r>
      <w:r w:rsidRPr="00452E2E">
        <w:rPr>
          <w:szCs w:val="24"/>
        </w:rPr>
        <w:t xml:space="preserve">. </w:t>
      </w:r>
      <w:r w:rsidR="006314BF" w:rsidRPr="00452E2E">
        <w:rPr>
          <w:szCs w:val="24"/>
        </w:rPr>
        <w:t xml:space="preserve">Of course, </w:t>
      </w:r>
      <w:r w:rsidRPr="00452E2E">
        <w:rPr>
          <w:szCs w:val="24"/>
        </w:rPr>
        <w:t xml:space="preserve">Searle (2009) observe that although both concepts are often treated as if they were the same, they are different. At the same time, whilst distinct, they represent interrelated elements of the same process- staffing. Recruitment is defined as “the attraction of capable candidates to a vacancy, whilst selection concerns the assessment and identification of the suitability of such applicants from this pool” </w:t>
      </w:r>
      <w:r w:rsidRPr="00452E2E">
        <w:rPr>
          <w:szCs w:val="24"/>
        </w:rPr>
        <w:fldChar w:fldCharType="begin" w:fldLock="1"/>
      </w:r>
      <w:r w:rsidRPr="00452E2E">
        <w:rPr>
          <w:szCs w:val="24"/>
        </w:rPr>
        <w:instrText>ADDIN CSL_CITATION { "citationItems" : [ { "id" : "ITEM-1",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"151-168", "publisher" : "Routledge", "publisher-place" : "London", "title" : "Recruitment and selection", "type" : "chapter" }, "uris" : [ "http://www.mendeley.com/documents/?uuid=0d5526ae-614d-4e31-8ba6-1068e6f6f064" ] } ], "mendeley" : { "formattedCitation" : "(Searle 2009)", "manualFormatting" : "(Searle, 2009 p.151)", "plainTextFormattedCitation" : "(Searle 2009)", "previouslyFormattedCitation" : "(Searle 2009)" }, "properties" : { "noteIndex" : 0 }, "schema" : "https://github.com/citation-style-language/schema/raw/master/csl-citation.json" }</w:instrText>
      </w:r>
      <w:r w:rsidRPr="00452E2E">
        <w:rPr>
          <w:szCs w:val="24"/>
        </w:rPr>
        <w:fldChar w:fldCharType="separate"/>
      </w:r>
      <w:r w:rsidRPr="00452E2E">
        <w:rPr>
          <w:noProof/>
          <w:szCs w:val="24"/>
        </w:rPr>
        <w:t>(Searle, 2009 p.151)</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Hence, the aim of recruitment and selection is to attract, identify, and retain employees </w:t>
      </w:r>
      <w:r w:rsidRPr="00452E2E">
        <w:rPr>
          <w:szCs w:val="24"/>
        </w:rPr>
        <w:fldChar w:fldCharType="begin" w:fldLock="1"/>
      </w:r>
      <w:r w:rsidRPr="00452E2E">
        <w:rPr>
          <w:szCs w:val="24"/>
        </w:rPr>
        <w:instrText>ADDIN CSL_CITATION { "citationItems" : [ { "id" : "ITEM-1", "itemData" : { "author" : [ { "dropping-particle" : "", "family" : "Derous", "given" : "Eva", "non-dropping-particle" : "", "parse-names" : false, "suffix" : "" }, { "dropping-particle" : "", "family" : "Fruyt", "given" : "Filip", "non-dropping-particle" : "de", "parse-names" : false, "suffix" : "" } ], "container-title" : "International Journal of Selection and Assessment", "id" : "ITEM-1", "issue" : "1", "issued" : { "date-parts" : [ [ "2016" ] ] }, "page" : "1-3", "title" : "Developments in recruitment and selection research", "type" : "article-journal", "volume" : "24" }, "uris" : [ "http://www.mendeley.com/documents/?uuid=31c49bb8-1d39-415c-83c6-bf244db3a054" ] }, { "id" : "ITEM-2",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"ITEM-2", "issued" : { "date-parts" : [ [ "2009" ] ] }, "page" : "151-168", "publisher" : "Routledge", "publisher-place" : "London", "title" : "Recruitment and selection", "type" : "chapter" }, "uris" : [ "http://www.mendeley.com/documents/?uuid=0d5526ae-614d-4e31-8ba6-1068e6f6f064" ] } ], "mendeley" : { "formattedCitation" : "(Derous &amp; de Fruyt 2016; Searle 2009)", "manualFormatting" : "(Billsberry, 2007; Searle, 2009)", "plainTextFormattedCitation" : "(Derous &amp; de Fruyt 2016; Searle 2009)", "previouslyFormattedCitation" : "(Derous &amp; de Fruyt 2016; Searle 2009)" }, "properties" : { "noteIndex" : 0 }, "schema" : "https://github.com/citation-style-language/schema/raw/master/csl-citation.json" }</w:instrText>
      </w:r>
      <w:r w:rsidRPr="00452E2E">
        <w:rPr>
          <w:szCs w:val="24"/>
        </w:rPr>
        <w:fldChar w:fldCharType="separate"/>
      </w:r>
      <w:r w:rsidRPr="00452E2E">
        <w:rPr>
          <w:noProof/>
          <w:szCs w:val="24"/>
        </w:rPr>
        <w:t>(Billsberry, 2007; Searle, 2009)</w:t>
      </w:r>
      <w:r w:rsidRPr="00452E2E">
        <w:rPr>
          <w:szCs w:val="24"/>
        </w:rPr>
        <w:fldChar w:fldCharType="end"/>
      </w:r>
      <w:r w:rsidRPr="00452E2E">
        <w:rPr>
          <w:szCs w:val="24"/>
        </w:rPr>
        <w:t xml:space="preserve">. As a result, recruitment and selection </w:t>
      </w:r>
      <w:r w:rsidRPr="00452E2E">
        <w:rPr>
          <w:szCs w:val="24"/>
        </w:rPr>
        <w:lastRenderedPageBreak/>
        <w:t xml:space="preserve">are one of the first stages of the HR cycle and may affect the effectiveness of other stages of the HR cycle </w:t>
      </w:r>
      <w:r w:rsidRPr="00452E2E">
        <w:rPr>
          <w:szCs w:val="24"/>
        </w:rPr>
        <w:fldChar w:fldCharType="begin" w:fldLock="1"/>
      </w:r>
      <w:r w:rsidRPr="00452E2E">
        <w:rPr>
          <w:szCs w:val="24"/>
        </w:rPr>
        <w:instrText>ADDIN CSL_CITATION { "citationItems" : [ { "id" : "ITEM-1", "itemData" : { "author" : [ { "dropping-particle" : "", "family" : "Billsberry", "given" : "J", "non-dropping-particle" : "", "parse-names" : false, "suffix" : "" } ], "id" : "ITEM-1", "issued" : { "date-parts" : [ [ "2007" ] ] }, "publisher" : "John Wiley and Sons", "publisher-place" : "Chichester", "title" : "Experiencing recruitment and selection", "type" : "book" }, "uris" : [ "http://www.mendeley.com/documents/?uuid=b8713359-18fa-4990-860b-16e1c47a07ca" ] }, { "id" : "ITEM-2",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"ITEM-2", "issued" : { "date-parts" : [ [ "2010" ] ] }, "page" : "135-154", "publisher" : "SAGE", "publisher-place" : "London", "title" : "Recruitment and selection", "type" : "chapter" }, "uris" : [ "http://www.mendeley.com/documents/?uuid=e189e2f4-1a71-4115-a1e6-cd4315467cbe" ] } ], "mendeley" : { "formattedCitation" : "(Billsberry 2007; Lievens &amp; Chapman 2010)", "manualFormatting" : "(Billsberry, 2007; Lievens &amp; Chapman, 2010)", "plainTextFormattedCitation" : "(Billsberry 2007; Lievens &amp; Chapman 2010)", "previouslyFormattedCitation" : "(Billsberry 2007; Lievens &amp; Chapman 2010)" }, "properties" : { "noteIndex" : 0 }, "schema" : "https://github.com/citation-style-language/schema/raw/master/csl-citation.json" }</w:instrText>
      </w:r>
      <w:r w:rsidRPr="00452E2E">
        <w:rPr>
          <w:szCs w:val="24"/>
        </w:rPr>
        <w:fldChar w:fldCharType="separate"/>
      </w:r>
      <w:r w:rsidRPr="00452E2E">
        <w:rPr>
          <w:noProof/>
          <w:szCs w:val="24"/>
        </w:rPr>
        <w:t>(Billsberry, 2007; Lievens &amp; Chapman, 2010)</w:t>
      </w:r>
      <w:r w:rsidRPr="00452E2E">
        <w:rPr>
          <w:szCs w:val="24"/>
        </w:rPr>
        <w:fldChar w:fldCharType="end"/>
      </w:r>
      <w:r w:rsidRPr="00452E2E">
        <w:rPr>
          <w:szCs w:val="24"/>
        </w:rPr>
        <w:t xml:space="preserve">. For example, HR functions such as training, compensation, participation, among others, depend on the calibre of staff attracted and retained by the organization. </w:t>
      </w:r>
    </w:p>
    <w:p w:rsidR="00D03A8E" w:rsidRPr="00452E2E" w:rsidRDefault="00D03A8E" w:rsidP="00D03A8E">
      <w:pPr>
        <w:spacing w:line="360" w:lineRule="auto"/>
        <w:jc w:val="both"/>
        <w:rPr>
          <w:szCs w:val="24"/>
        </w:rPr>
      </w:pPr>
      <w:r w:rsidRPr="00452E2E">
        <w:rPr>
          <w:szCs w:val="24"/>
        </w:rPr>
        <w:t xml:space="preserve">Recruitment and selection provide an initial opportunity for formal interaction between would-be employees and the organization and may shape the pre-employment relationship between both parties </w:t>
      </w:r>
      <w:r w:rsidRPr="00452E2E">
        <w:rPr>
          <w:szCs w:val="24"/>
        </w:rPr>
        <w:fldChar w:fldCharType="begin" w:fldLock="1"/>
      </w:r>
      <w:r w:rsidRPr="00452E2E">
        <w:rPr>
          <w:szCs w:val="24"/>
        </w:rPr>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"mendeley" : { "formattedCitation" : "(Lievens &amp; Chapman 2010)", "manualFormatting" : "(Lievens &amp; Chapman, 2010)", "plainTextFormattedCitation" : "(Lievens &amp; Chapman 2010)", "previouslyFormattedCitation" : "(Lievens &amp; Chapman 2010)" }, "properties" : { "noteIndex" : 0 }, "schema" : "https://github.com/citation-style-language/schema/raw/master/csl-citation.json" }</w:instrText>
      </w:r>
      <w:r w:rsidRPr="00452E2E">
        <w:rPr>
          <w:szCs w:val="24"/>
        </w:rPr>
        <w:fldChar w:fldCharType="separate"/>
      </w:r>
      <w:r w:rsidRPr="00452E2E">
        <w:rPr>
          <w:noProof/>
          <w:szCs w:val="24"/>
        </w:rPr>
        <w:t>(Lievens &amp; Chapman, 2010)</w:t>
      </w:r>
      <w:r w:rsidRPr="00452E2E">
        <w:rPr>
          <w:szCs w:val="24"/>
        </w:rPr>
        <w:fldChar w:fldCharType="end"/>
      </w:r>
      <w:r w:rsidRPr="00452E2E">
        <w:rPr>
          <w:szCs w:val="24"/>
        </w:rPr>
        <w:t xml:space="preserve">. Therefore, an effective recruitment and selection process is determined by the quality of new hires the organization is able to attract and how well they blend in the organization; the ability of the organization to retain them; their relationship with existing employees and their contribution to the organization as a whole </w:t>
      </w:r>
      <w:r w:rsidRPr="00452E2E">
        <w:rPr>
          <w:szCs w:val="24"/>
        </w:rPr>
        <w:fldChar w:fldCharType="begin" w:fldLock="1"/>
      </w:r>
      <w:r w:rsidR="002211CF" w:rsidRPr="00452E2E">
        <w:rPr>
          <w:szCs w:val="24"/>
        </w:rPr>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"id" : "ITEM-2",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"ITEM-2", "issued" : { "date-parts" : [ [ "2009" ] ] }, "page" : "151-168", "publisher" : "Routledge", "publisher-place" : "London", "title" : "Recruitment and selection", "type" : "chapter" }, "uris" : [ "http://www.mendeley.com/documents/?uuid=0d5526ae-614d-4e31-8ba6-1068e6f6f064" ] } ], "mendeley" : { "formattedCitation" : "(Lievens &amp; Chapman 2010; Searle 2009)", "manualFormatting" : " (Searle, 2009; Lievens &amp; Chapman, 2010)", "plainTextFormattedCitation" : "(Lievens &amp; Chapman 2010; Searle 2009)", "previouslyFormattedCitation" : "(Lievens &amp; Chapman 2010; Searle 2009)" }, "properties" : { "noteIndex" : 0 }, "schema" : "https://github.com/citation-style-language/schema/raw/master/csl-citation.json" }</w:instrText>
      </w:r>
      <w:r w:rsidRPr="00452E2E">
        <w:rPr>
          <w:szCs w:val="24"/>
        </w:rPr>
        <w:fldChar w:fldCharType="separate"/>
      </w:r>
      <w:r w:rsidR="00D705BF" w:rsidRPr="00452E2E">
        <w:rPr>
          <w:noProof/>
          <w:szCs w:val="24"/>
        </w:rPr>
        <w:t xml:space="preserve"> </w:t>
      </w:r>
      <w:r w:rsidR="00633A37" w:rsidRPr="00452E2E">
        <w:rPr>
          <w:noProof/>
          <w:szCs w:val="24"/>
        </w:rPr>
        <w:t>(</w:t>
      </w:r>
      <w:r w:rsidR="00D705BF" w:rsidRPr="00452E2E">
        <w:rPr>
          <w:noProof/>
          <w:szCs w:val="24"/>
        </w:rPr>
        <w:t>Searle, 2009; Lievens &amp; Chapman, 2010</w:t>
      </w:r>
      <w:r w:rsidRPr="00452E2E">
        <w:rPr>
          <w:noProof/>
          <w:szCs w:val="24"/>
        </w:rPr>
        <w:t>)</w:t>
      </w:r>
      <w:r w:rsidRPr="00452E2E">
        <w:rPr>
          <w:szCs w:val="24"/>
        </w:rPr>
        <w:fldChar w:fldCharType="end"/>
      </w:r>
      <w:r w:rsidRPr="00452E2E">
        <w:rPr>
          <w:szCs w:val="24"/>
        </w:rPr>
        <w:t>. Each of these practices are discussed in the subsequent sub-sections, beginning with recruitment.</w:t>
      </w:r>
    </w:p>
    <w:p w:rsidR="00D03A8E" w:rsidRPr="00452E2E" w:rsidRDefault="001E5E63" w:rsidP="00D03A8E">
      <w:pPr>
        <w:pStyle w:val="Heading5"/>
      </w:pPr>
      <w:bookmarkStart w:id="50" w:name="_Toc473808116"/>
      <w:r w:rsidRPr="00452E2E">
        <w:t>2.4</w:t>
      </w:r>
      <w:r w:rsidR="00D03A8E" w:rsidRPr="00452E2E">
        <w:t>.1.1 Recruitment</w:t>
      </w:r>
      <w:bookmarkEnd w:id="50"/>
    </w:p>
    <w:p w:rsidR="00D03A8E" w:rsidRPr="00452E2E" w:rsidRDefault="00D03A8E" w:rsidP="00D03A8E">
      <w:pPr>
        <w:spacing w:line="360" w:lineRule="auto"/>
        <w:jc w:val="both"/>
        <w:rPr>
          <w:szCs w:val="24"/>
        </w:rPr>
      </w:pPr>
      <w:r w:rsidRPr="00452E2E">
        <w:rPr>
          <w:szCs w:val="24"/>
        </w:rPr>
        <w:t xml:space="preserve">As a result of increased competition and expansion needs, organizations are increasingly adopting ways to attract the best candidates to apply for existing vacancies </w:t>
      </w:r>
      <w:r w:rsidRPr="00452E2E">
        <w:rPr>
          <w:szCs w:val="24"/>
        </w:rPr>
        <w:fldChar w:fldCharType="begin" w:fldLock="1"/>
      </w:r>
      <w:r w:rsidRPr="00452E2E">
        <w:rPr>
          <w:szCs w:val="24"/>
        </w:rPr>
        <w:instrText>ADDIN CSL_CITATION { "citationItems" : [ { "id" : "ITEM-1", "itemData" : { "author" : [ { "dropping-particle" : "", "family" : "Derous", "given" : "Eva", "non-dropping-particle" : "", "parse-names" : false, "suffix" : "" }, { "dropping-particle" : "", "family" : "Fruyt", "given" : "Filip", "non-dropping-particle" : "de", "parse-names" : false, "suffix" : "" } ], "container-title" : "International Journal of Selection and Assessment", "id" : "ITEM-1", "issue" : "1", "issued" : { "date-parts" : [ [ "2016" ] ] }, "page" : "1-3", "title" : "Developments in recruitment and selection research", "type" : "article-journal", "volume" : "24" }, "uris" : [ "http://www.mendeley.com/documents/?uuid=31c49bb8-1d39-415c-83c6-bf244db3a054" ] }, { "id" : "ITEM-2", "itemData" : { "DOI" : "10.1016/j.hrmr.2006.08.005", "ISBN" : "1053-4822", "ISSN" : "10534822", "abstract" : "Organizational growth inevitably involves expansion in employee numbers, and hence recruitment and selection. To achieve this, prescriptive human resource management (HRM) texts tend to recommend processes that are founded on complex job analysis and time-consuming techniques such as advertising and testing. This approach to people management is informed by functionalist, often positivist research. In this review I argue that this version of HRM is of little use or meaning to small firm managers as they recruit and select. I suggest that analyses of recruitment and selection based on detailed qualitative, interpretive research provide a more meaningful basis for scholars and practitioners to understand recruitment and selection processes in smaller firms. The article concludes with a proposal for future research that draws on critical realism, with the aim of bringing practice, analysis, and legislation into one reflective iterative process to work towards more socially just methods of recruiting and selecting staff for smaller, growth organizations. ?? 2006 Elsevier Inc. All rights reserved.", "author" : [ { "dropping-particle" : "", "family" : "Taylor", "given" : "Scott", "non-dropping-particle" : "", "parse-names" : false, "suffix" : "" } ], "container-title" : "Human Resource Management Review", "id" : "ITEM-2", "issue" : "4", "issued" : { "date-parts" : [ [ "2006" ] ] }, "page" : "478-489", "title" : "Acquaintance, meritocracy and critical realism: Researching recruitment and selection processes in smaller and growth organizations", "type" : "article-journal", "volume" : "16" }, "uris" : [ "http://www.mendeley.com/documents/?uuid=71664082-a1df-43af-bb84-9609d266e9e5" ] } ], "mendeley" : { "formattedCitation" : "(Derous &amp; de Fruyt 2016; Taylor 2006)", "manualFormatting" : "(Taylor, 2006)", "plainTextFormattedCitation" : "(Derous &amp; de Fruyt 2016; Taylor 2006)", "previouslyFormattedCitation" : "(Derous &amp; de Fruyt 2016; Taylor 2006)" }, "properties" : { "noteIndex" : 0 }, "schema" : "https://github.com/citation-style-language/schema/raw/master/csl-citation.json" }</w:instrText>
      </w:r>
      <w:r w:rsidRPr="00452E2E">
        <w:rPr>
          <w:szCs w:val="24"/>
        </w:rPr>
        <w:fldChar w:fldCharType="separate"/>
      </w:r>
      <w:r w:rsidRPr="00452E2E">
        <w:rPr>
          <w:noProof/>
          <w:szCs w:val="24"/>
        </w:rPr>
        <w:t>(Taylor, 2006)</w:t>
      </w:r>
      <w:r w:rsidRPr="00452E2E">
        <w:rPr>
          <w:szCs w:val="24"/>
        </w:rPr>
        <w:fldChar w:fldCharType="end"/>
      </w:r>
      <w:r w:rsidRPr="00452E2E">
        <w:rPr>
          <w:szCs w:val="24"/>
        </w:rPr>
        <w:t xml:space="preserve">. This is particularly challenging in contexts where the level of employment is high </w:t>
      </w:r>
      <w:r w:rsidRPr="00452E2E">
        <w:rPr>
          <w:szCs w:val="24"/>
        </w:rPr>
        <w:fldChar w:fldCharType="begin" w:fldLock="1"/>
      </w:r>
      <w:r w:rsidRPr="00452E2E">
        <w:rPr>
          <w:szCs w:val="24"/>
        </w:rPr>
        <w:instrText>ADDIN CSL_CITATION { "citationItems" : [ { "id" : "ITEM-1", "itemData" : { "DOI" : "10.1016/S1053-4822(02)00065-7", "ISSN" : "10534822", "abstract" : "With very low unemployment levels, competition for the best employees is extremely keen. Firms that strive to maximize job candidates' job offer acceptance should realize increased competitive advantage through more effective recruitment programs. It is clear that applicants are interested in job attributes and pay schemes, but in the current \u201cseller's market,\u201d pay and job enrichment levels may be considerably depreciated. This paper proposes a model of the recruitment interview process, which emphasizes organizations' strategic efforts to maximize the acquisition of top talent in competitive markets through interviewer persuasion and active promotion of organization reputation. Implications of this conceptualization for research and practice are discussed.", "author" : [ { "dropping-particle" : "", "family" : "Ferris", "given" : "Gerald R", "non-dropping-particle" : "", "parse-names" : false, "suffix" : "" }, { "dropping-particle" : "", "family" : "Berkson", "given" : "Howard M", "non-dropping-particle" : "", "parse-names" : false, "suffix" : "" }, { "dropping-particle" : "", "family" : "Harris", "given" : "Michael M", "non-dropping-particle" : "", "parse-names" : false, "suffix" : "" } ], "container-title" : "Human Resource Management Review", "id" : "ITEM-1", "issue" : "3", "issued" : { "date-parts" : [ [ "2002" ] ] }, "page" : "359-375", "title" : "The recruitment interview process: Persuasion and organization reputation promotion in competitive labor markets", "type" : "article-journal", "volume" : "12" }, "uris" : [ "http://www.mendeley.com/documents/?uuid=114c6292-5602-4829-9bcc-a7b55e71e3ec" ] } ], "mendeley" : { "formattedCitation" : "(Ferris et al. 2002)", "manualFormatting" : "(Ferris et al., 2002)", "plainTextFormattedCitation" : "(Ferris et al. 2002)", "previouslyFormattedCitation" : "(Ferris et al. 2002)" }, "properties" : { "noteIndex" : 0 }, "schema" : "https://github.com/citation-style-language/schema/raw/master/csl-citation.json" }</w:instrText>
      </w:r>
      <w:r w:rsidRPr="00452E2E">
        <w:rPr>
          <w:szCs w:val="24"/>
        </w:rPr>
        <w:fldChar w:fldCharType="separate"/>
      </w:r>
      <w:r w:rsidRPr="00452E2E">
        <w:rPr>
          <w:noProof/>
          <w:szCs w:val="24"/>
        </w:rPr>
        <w:t xml:space="preserve">(Ferris </w:t>
      </w:r>
      <w:r w:rsidRPr="00452E2E">
        <w:rPr>
          <w:i/>
          <w:noProof/>
          <w:szCs w:val="24"/>
        </w:rPr>
        <w:t>et al</w:t>
      </w:r>
      <w:r w:rsidRPr="00452E2E">
        <w:rPr>
          <w:noProof/>
          <w:szCs w:val="24"/>
        </w:rPr>
        <w:t>., 2002)</w:t>
      </w:r>
      <w:r w:rsidRPr="00452E2E">
        <w:rPr>
          <w:szCs w:val="24"/>
        </w:rPr>
        <w:fldChar w:fldCharType="end"/>
      </w:r>
      <w:r w:rsidRPr="00452E2E">
        <w:rPr>
          <w:szCs w:val="24"/>
        </w:rPr>
        <w:t xml:space="preserve">. In contrast, where unemployment is high, applicants are more likely to be attracted to the organization. This reflects the situation in most developing countries of Africa </w:t>
      </w:r>
      <w:r w:rsidRPr="00452E2E">
        <w:rPr>
          <w:szCs w:val="24"/>
        </w:rPr>
        <w:fldChar w:fldCharType="begin" w:fldLock="1"/>
      </w:r>
      <w:r w:rsidRPr="00452E2E">
        <w:rPr>
          <w:szCs w:val="24"/>
        </w:rPr>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"(Okpara &amp; Wynn 2008; Wood et al. 2011)", "manualFormatting" : "(Okpara &amp; Wynn, 2008; Wood et al., 2011)", "plainTextFormattedCitation" : "(Okpara &amp; Wynn 2008; Wood et al. 2011)", "previouslyFormattedCitation" : "(Okpara &amp; Wynn 2008; Wood et al. 2011)" }, "properties" : { "noteIndex" : 0 }, "schema" : "https://github.com/citation-style-language/schema/raw/master/csl-citation.json" }</w:instrText>
      </w:r>
      <w:r w:rsidRPr="00452E2E">
        <w:rPr>
          <w:szCs w:val="24"/>
        </w:rPr>
        <w:fldChar w:fldCharType="separate"/>
      </w:r>
      <w:r w:rsidRPr="00452E2E">
        <w:rPr>
          <w:noProof/>
          <w:szCs w:val="24"/>
        </w:rPr>
        <w:t xml:space="preserve">(Okpara &amp; Wynn, 2008; Wood </w:t>
      </w:r>
      <w:r w:rsidRPr="00452E2E">
        <w:rPr>
          <w:i/>
          <w:noProof/>
          <w:szCs w:val="24"/>
        </w:rPr>
        <w:t>et al</w:t>
      </w:r>
      <w:r w:rsidRPr="00452E2E">
        <w:rPr>
          <w:noProof/>
          <w:szCs w:val="24"/>
        </w:rPr>
        <w:t>., 2011)</w:t>
      </w:r>
      <w:r w:rsidRPr="00452E2E">
        <w:rPr>
          <w:szCs w:val="24"/>
        </w:rPr>
        <w:fldChar w:fldCharType="end"/>
      </w:r>
      <w:r w:rsidRPr="00452E2E">
        <w:rPr>
          <w:szCs w:val="24"/>
        </w:rPr>
        <w:t xml:space="preserve">; although a few exceptions exist on the continent, such as Eritrea where the labour is in short supply </w:t>
      </w:r>
      <w:r w:rsidRPr="00452E2E">
        <w:rPr>
          <w:szCs w:val="24"/>
        </w:rPr>
        <w:fldChar w:fldCharType="begin" w:fldLock="1"/>
      </w:r>
      <w:r w:rsidRPr="00452E2E">
        <w:rPr>
          <w:szCs w:val="24"/>
        </w:rPr>
        <w:instrText>ADDIN CSL_CITATION { "citationItems" : [ { "id" : "ITEM-1", "itemData" : { "DOI" : "10.1108/01425450610639374", "ISBN" : "0142-5455", "ISSN" : "0142-5455", "abstract" : "Purpose: This article seeks to examine the challenges and prospects of human resource management (HRM) in a developing-country context. It focuses on contextual factors and employee involvement in analysing HRM to provide theoretical insights. Design/methodology/approach: To explore the above theme, on-site interviews were carried out with general managers, human resource professionals, line managers and union leaders in eight firms. Furthermore, a sample of 252 employees was included, thereby contributing to the generalisability of the findings. Findings: This article provides substantial and current information on HRM knowledge and practices in Eritrea. The paper argues that some contextual variables impose certain challenges to HRM practices. However, evidence also reveals that the concept and knowledge of HRM practices, such as training, recruitment, compensation, employee participation, performance appraisal and reward systems, are in place with some indicators of local influence. Research limitations/implications: In light of the above findings, the article informs multinational companies that transferring managerial expertise to Africa may not necessarily be required, as the knowledge already exists there. A major limitation may derive from the use of convenience sampling in selecting the firms, but extreme caution is taken to get a faithful representation. Originality/value: Contrary to the dominant view that African management is characterised by authoritarianism, this study shows the participative style of managers. Moreover, it incorporates the attitudes and perceptions of employees, a generally neglected part of HRM studies. (PsycINFO Database Record (c) 2012 APA, all rights reserved). (journal abstract)", "author" : [ { "dropping-particle" : "", "family" : "Ghebregiorgis", "given" : "Fitsum", "non-dropping-particle" : "", "parse-names" : false, "suffix" : "" }, { "dropping-particle" : "", "family" : "Karsten", "given" : "Luchien", "non-dropping-particle" : "", "parse-names" : false, "suffix" : "" } ], "container-title" : "Employee Relations", "id" : "ITEM-1", "issue" : "2", "issued" : { "date-parts" : [ [ "2006" ] ] }, "page" : "144-163", "title" : "Human resource management practices in Eritrea: challenges and prospects", "type" : "article-journal", "volume" : "28" }, "uris" : [ "http://www.mendeley.com/documents/?uuid=7c22e595-8a34-41e5-a1da-f0e76565028a" ] } ], "mendeley" : { "formattedCitation" : "(Ghebregiorgis &amp; Karsten 2006)", "manualFormatting" : "(Ghebregiorgis &amp; Karsten, 2006)", "plainTextFormattedCitation" : "(Ghebregiorgis &amp; Karsten 2006)", "previouslyFormattedCitation" : "(Ghebregiorgis &amp; Karsten 2006)" }, "properties" : { "noteIndex" : 0 }, "schema" : "https://github.com/citation-style-language/schema/raw/master/csl-citation.json" }</w:instrText>
      </w:r>
      <w:r w:rsidRPr="00452E2E">
        <w:rPr>
          <w:szCs w:val="24"/>
        </w:rPr>
        <w:fldChar w:fldCharType="separate"/>
      </w:r>
      <w:r w:rsidRPr="00452E2E">
        <w:rPr>
          <w:noProof/>
          <w:szCs w:val="24"/>
        </w:rPr>
        <w:t>(Ghebregiorgis &amp; Karsten, 2006)</w:t>
      </w:r>
      <w:r w:rsidRPr="00452E2E">
        <w:rPr>
          <w:szCs w:val="24"/>
        </w:rPr>
        <w:fldChar w:fldCharType="end"/>
      </w:r>
      <w:r w:rsidRPr="00452E2E">
        <w:rPr>
          <w:szCs w:val="24"/>
        </w:rPr>
        <w:t xml:space="preserve">. Whether in contexts of high or low employment, recruitment presents the opportunity for organizations to market themselves to applicants </w:t>
      </w:r>
      <w:r w:rsidRPr="00452E2E">
        <w:rPr>
          <w:szCs w:val="24"/>
        </w:rPr>
        <w:fldChar w:fldCharType="begin" w:fldLock="1"/>
      </w:r>
      <w:r w:rsidRPr="00452E2E">
        <w:rPr>
          <w:szCs w:val="24"/>
        </w:rPr>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"mendeley" : { "formattedCitation" : "(Lievens &amp; Chapman 2010)", "manualFormatting" : "(Lievens &amp; Chapman, 2010)", "plainTextFormattedCitation" : "(Lievens &amp; Chapman 2010)", "previouslyFormattedCitation" : "(Lievens &amp; Chapman 2010)" }, "properties" : { "noteIndex" : 0 }, "schema" : "https://github.com/citation-style-language/schema/raw/master/csl-citation.json" }</w:instrText>
      </w:r>
      <w:r w:rsidRPr="00452E2E">
        <w:rPr>
          <w:szCs w:val="24"/>
        </w:rPr>
        <w:fldChar w:fldCharType="separate"/>
      </w:r>
      <w:r w:rsidRPr="00452E2E">
        <w:rPr>
          <w:noProof/>
          <w:szCs w:val="24"/>
        </w:rPr>
        <w:t>(Lievens &amp; Chapman, 2010)</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Recruitment can be internal or external; the former is targeted at current employees while the latter is targeted at individuals that do not currently work for the organization </w:t>
      </w:r>
      <w:r w:rsidRPr="00452E2E">
        <w:rPr>
          <w:szCs w:val="24"/>
        </w:rPr>
        <w:fldChar w:fldCharType="begin" w:fldLock="1"/>
      </w:r>
      <w:r w:rsidRPr="00452E2E">
        <w:rPr>
          <w:szCs w:val="24"/>
        </w:rPr>
        <w:instrText>ADDIN CSL_CITATION { "citationItems" : [ { "id" : "ITEM-1", "itemData" : { "ISSN" : "10534822", "abstract" : "Over the last forty years, research on employee recruitment has increased dramatically. In this paper, I review research on recruitment topics that have received considerable attention (e.g., recruitment methods, realistic job previews). I also address topics (e.g., targeted recruitment, the site visit) that have received relatively little attention but that have the potential to be quite important. In examining these topics, job applicant variables (e.g., self-insight), that should influence how an employer conducts the recruitment process but that have frequently been neglected, are discussed. Throughout the paper, important areas for future research are suggested. ?? 2008 Elsevier Inc. All rights reserved.", "author" : [ { "dropping-particle" : "", "family" : "Breaugh", "given" : "James A.", "non-dropping-particle" : "", "parse-names" : false, "suffix" : "" } ], "container-title" : "Human Resource Management Review", "id" : "ITEM-1", "issue" : "3", "issued" : { "date-parts" : [ [ "2008" ] ] }, "page" : "103-118", "title" : "Employee recruitment: Current knowledge and important areas for future research", "type" : "article-journal", "volume" : "18" }, "uris" : [ "http://www.mendeley.com/documents/?uuid=bd950740-de4c-40b6-9c22-9e860fbf9a98" ] }, { "id" : "ITEM-2", "itemData" : { "author" : [ { "dropping-particle" : "", "family" : "Ivancevich", "given" : "J.M.", "non-dropping-particle" : "", "parse-names" : false, "suffix" : "" } ], "edition" : "11th ed.", "id" : "ITEM-2", "issued" : { "date-parts" : [ [ "2010" ] ] }, "publisher" : "McGraw-Hill", "publisher-place" : "New York", "title" : "Human resource management", "type" : "book" }, "uris" : [ "http://www.mendeley.com/documents/?uuid=f299c3ba-0c23-4eed-a38d-6a8e9bcfdd89" ] } ], "mendeley" : { "formattedCitation" : "(Breaugh 2008; Ivancevich 2010)", "manualFormatting" : "(Breaugh, 2008; Ivancevich, 2010)", "plainTextFormattedCitation" : "(Breaugh 2008; Ivancevich 2010)", "previouslyFormattedCitation" : "(Breaugh 2008; Ivancevich 2010)" }, "properties" : { "noteIndex" : 0 }, "schema" : "https://github.com/citation-style-language/schema/raw/master/csl-citation.json" }</w:instrText>
      </w:r>
      <w:r w:rsidRPr="00452E2E">
        <w:rPr>
          <w:szCs w:val="24"/>
        </w:rPr>
        <w:fldChar w:fldCharType="separate"/>
      </w:r>
      <w:r w:rsidRPr="00452E2E">
        <w:rPr>
          <w:noProof/>
          <w:szCs w:val="24"/>
        </w:rPr>
        <w:t>(Breaugh, 2008; Ivancevich, 2010)</w:t>
      </w:r>
      <w:r w:rsidRPr="00452E2E">
        <w:rPr>
          <w:szCs w:val="24"/>
        </w:rPr>
        <w:fldChar w:fldCharType="end"/>
      </w:r>
      <w:r w:rsidRPr="00452E2E">
        <w:rPr>
          <w:szCs w:val="24"/>
        </w:rPr>
        <w:t xml:space="preserve">. The typical methods organizations use to attract external applicants to the organization include: advertisement (radio or television, newspaper, or specialist press), e-recruitment and social media, word of mouth, recruitment agencies, special –events recruiting, among others </w:t>
      </w:r>
      <w:r w:rsidRPr="00452E2E">
        <w:rPr>
          <w:szCs w:val="24"/>
        </w:rPr>
        <w:fldChar w:fldCharType="begin" w:fldLock="1"/>
      </w:r>
      <w:r w:rsidRPr="00452E2E">
        <w:rPr>
          <w:szCs w:val="24"/>
        </w:rPr>
        <w:instrText>ADDIN CSL_CITATION { "citationItems" : [ { "id" : "ITEM-1", "itemData" : { "author" : [ { "dropping-particle" : "", "family" : "Ivancevich", "given" : "J.M.", "non-dropping-particle" : "", "parse-names" : false, "suffix" : "" } ], "edition" : "11th ed.", "id" : "ITEM-1", "issued" : { "date-parts" : [ [ "2010" ] ] }, "publisher" : "McGraw-Hill", "publisher-place" : "New York", "title" : "Human resource management", "type" : "book" }, "uris" : [ "http://www.mendeley.com/documents/?uuid=f299c3ba-0c23-4eed-a38d-6a8e9bcfdd89" ] }, { "id" : "ITEM-2", "itemData" : { "author" : [ { "dropping-particle" : "", "family" : "Marchington", "given" : "Mick", "non-dropping-particle" : "", "parse-names" : false, "suffix" : "" }, { "dropping-particle" : "", "family" : "Wilkinson", "given" : "Adrian", "non-dropping-particle" : "", "parse-names" : false, "suffix" : "" } ], "edition" : "4th ed.", "id" : "ITEM-2", "issued" : { "date-parts" : [ [ "2009" ] ] }, "publisher" : "CIPD", "publisher-place" : "London", "title" : "Human resource management at work", "type" : "book" }, "uris" : [ "http://www.mendeley.com/documents/?uuid=05392cfb-8d4f-474c-8cd3-6c0553c9aefe" ] }, { "id" : "ITEM-3",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"ITEM-3", "issued" : { "date-parts" : [ [ "2009" ] ] }, "page" : "151-168", "publisher" : "Routledge", "publisher-place" : "London", "title" : "Recruitment and selection", "type" : "chapter" }, "uris" : [ "http://www.mendeley.com/documents/?uuid=0d5526ae-614d-4e31-8ba6-1068e6f6f064" ] } ], "mendeley" : { "formattedCitation" : "(Ivancevich 2010; Marchington &amp; Wilkinson 2009; Searle 2009)", "manualFormatting" : "(Searle, 2009; Ivancevich, 2010; Marchington &amp; Wilkinson, 2012)", "plainTextFormattedCitation" : "(Ivancevich 2010; Marchington &amp; Wilkinson 2009; Searle 2009)", "previouslyFormattedCitation" : "(Ivancevich 2010; Marchington &amp; Wilkinson 2009; Searle 2009)" }, "properties" : { "noteIndex" : 0 }, "schema" : "https://github.com/citation-style-language/schema/raw/master/csl-citation.json" }</w:instrText>
      </w:r>
      <w:r w:rsidRPr="00452E2E">
        <w:rPr>
          <w:szCs w:val="24"/>
        </w:rPr>
        <w:fldChar w:fldCharType="separate"/>
      </w:r>
      <w:r w:rsidRPr="00452E2E">
        <w:rPr>
          <w:noProof/>
          <w:szCs w:val="24"/>
        </w:rPr>
        <w:t xml:space="preserve">(Searle, 2009; Ivancevich, 2010; Marchington &amp; </w:t>
      </w:r>
      <w:r w:rsidRPr="00452E2E">
        <w:rPr>
          <w:noProof/>
          <w:szCs w:val="24"/>
        </w:rPr>
        <w:lastRenderedPageBreak/>
        <w:t>Wilkinson, 2012)</w:t>
      </w:r>
      <w:r w:rsidRPr="00452E2E">
        <w:rPr>
          <w:szCs w:val="24"/>
        </w:rPr>
        <w:fldChar w:fldCharType="end"/>
      </w:r>
      <w:r w:rsidRPr="00452E2E">
        <w:rPr>
          <w:szCs w:val="24"/>
        </w:rPr>
        <w:t xml:space="preserve">. Each method has its merits and demerits </w:t>
      </w:r>
      <w:r w:rsidRPr="00452E2E">
        <w:rPr>
          <w:szCs w:val="24"/>
        </w:rPr>
        <w:fldChar w:fldCharType="begin" w:fldLock="1"/>
      </w:r>
      <w:r w:rsidRPr="00452E2E">
        <w:rPr>
          <w:szCs w:val="24"/>
        </w:rPr>
        <w:instrText>ADDIN CSL_CITATION { "citationItems" : [ { "id" : "ITEM-1", "itemData" : { "author" : [ { "dropping-particle" : "", "family" : "Ivancevich", "given" : "J.M.", "non-dropping-particle" : "", "parse-names" : false, "suffix" : "" } ], "edition" : "11th ed.", "id" : "ITEM-1", "issued" : { "date-parts" : [ [ "2010" ] ] }, "publisher" : "McGraw-Hill", "publisher-place" : "New York", "title" : "Human resource management", "type" : "book" }, "uris" : [ "http://www.mendeley.com/documents/?uuid=f299c3ba-0c23-4eed-a38d-6a8e9bcfdd89" ] } ], "mendeley" : { "formattedCitation" : "(Ivancevich 2010)", "manualFormatting" : "(Ivancevich, 2010)", "plainTextFormattedCitation" : "(Ivancevich 2010)", "previouslyFormattedCitation" : "(Ivancevich 2010)" }, "properties" : { "noteIndex" : 0 }, "schema" : "https://github.com/citation-style-language/schema/raw/master/csl-citation.json" }</w:instrText>
      </w:r>
      <w:r w:rsidRPr="00452E2E">
        <w:rPr>
          <w:szCs w:val="24"/>
        </w:rPr>
        <w:fldChar w:fldCharType="separate"/>
      </w:r>
      <w:r w:rsidRPr="00452E2E">
        <w:rPr>
          <w:noProof/>
          <w:szCs w:val="24"/>
        </w:rPr>
        <w:t>(Ivancevich, 2010)</w:t>
      </w:r>
      <w:r w:rsidRPr="00452E2E">
        <w:rPr>
          <w:szCs w:val="24"/>
        </w:rPr>
        <w:fldChar w:fldCharType="end"/>
      </w:r>
      <w:r w:rsidRPr="00452E2E">
        <w:rPr>
          <w:szCs w:val="24"/>
        </w:rPr>
        <w:t xml:space="preserve"> and the frequency of use depends on the context </w:t>
      </w:r>
      <w:r w:rsidRPr="00452E2E">
        <w:rPr>
          <w:szCs w:val="24"/>
        </w:rPr>
        <w:fldChar w:fldCharType="begin" w:fldLock="1"/>
      </w:r>
      <w:r w:rsidRPr="00452E2E">
        <w:rPr>
          <w:szCs w:val="24"/>
        </w:rPr>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"(Anakwe 2002; Webster &amp; Wood 2005)", "manualFormatting" : "(Anakwe, 2002; Webster &amp; Wood, 2005;Marchington &amp; Wilkinson, 2012)", "plainTextFormattedCitation" : "(Anakwe 2002; Webster &amp; Wood 2005)", "previouslyFormattedCitation" : "(Anakwe 2002; Webster &amp; Wood 2005)" }, "properties" : { "noteIndex" : 0 }, "schema" : "https://github.com/citation-style-language/schema/raw/master/csl-citation.json" }</w:instrText>
      </w:r>
      <w:r w:rsidRPr="00452E2E">
        <w:rPr>
          <w:szCs w:val="24"/>
        </w:rPr>
        <w:fldChar w:fldCharType="separate"/>
      </w:r>
      <w:r w:rsidRPr="00452E2E">
        <w:rPr>
          <w:noProof/>
          <w:szCs w:val="24"/>
        </w:rPr>
        <w:t>(Anakwe, 2002; Webster &amp; Wood, 2005;</w:t>
      </w:r>
      <w:r w:rsidR="002211CF" w:rsidRPr="00452E2E">
        <w:rPr>
          <w:noProof/>
          <w:szCs w:val="24"/>
        </w:rPr>
        <w:t xml:space="preserve"> </w:t>
      </w:r>
      <w:r w:rsidRPr="00452E2E">
        <w:rPr>
          <w:noProof/>
          <w:szCs w:val="24"/>
        </w:rPr>
        <w:t>Marchington &amp; Wilkinson, 2012)</w:t>
      </w:r>
      <w:r w:rsidRPr="00452E2E">
        <w:rPr>
          <w:szCs w:val="24"/>
        </w:rPr>
        <w:fldChar w:fldCharType="end"/>
      </w:r>
      <w:r w:rsidRPr="00452E2E">
        <w:rPr>
          <w:szCs w:val="24"/>
        </w:rPr>
        <w:t xml:space="preserve">. As an example, e-recruitment is hailed for its cost effectiveness as it enables organizations incur less expenses to convey substantial volume of information to candidates compared to conventional advertisement media like newspapers </w:t>
      </w:r>
      <w:r w:rsidRPr="00452E2E">
        <w:rPr>
          <w:szCs w:val="24"/>
        </w:rPr>
        <w:fldChar w:fldCharType="begin" w:fldLock="1"/>
      </w:r>
      <w:r w:rsidRPr="00452E2E">
        <w:rPr>
          <w:szCs w:val="24"/>
        </w:rPr>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"mendeley" : { "formattedCitation" : "(Lievens &amp; Chapman 2010)", "manualFormatting" : "(Lievens &amp; Chapman, 2010)", "plainTextFormattedCitation" : "(Lievens &amp; Chapman 2010)", "previouslyFormattedCitation" : "(Lievens &amp; Chapman 2010)" }, "properties" : { "noteIndex" : 0 }, "schema" : "https://github.com/citation-style-language/schema/raw/master/csl-citation.json" }</w:instrText>
      </w:r>
      <w:r w:rsidRPr="00452E2E">
        <w:rPr>
          <w:szCs w:val="24"/>
        </w:rPr>
        <w:fldChar w:fldCharType="separate"/>
      </w:r>
      <w:r w:rsidRPr="00452E2E">
        <w:rPr>
          <w:noProof/>
          <w:szCs w:val="24"/>
        </w:rPr>
        <w:t>(Lievens &amp; Chapman, 2010)</w:t>
      </w:r>
      <w:r w:rsidRPr="00452E2E">
        <w:rPr>
          <w:szCs w:val="24"/>
        </w:rPr>
        <w:fldChar w:fldCharType="end"/>
      </w:r>
      <w:r w:rsidRPr="00452E2E">
        <w:rPr>
          <w:szCs w:val="24"/>
        </w:rPr>
        <w:t xml:space="preserve">. In addition, it saves time for both the organization and candidates as it specifies the job requirements and allows only candidates that meet the requirements to apply </w:t>
      </w:r>
      <w:r w:rsidRPr="00452E2E">
        <w:rPr>
          <w:szCs w:val="24"/>
        </w:rPr>
        <w:fldChar w:fldCharType="begin" w:fldLock="1"/>
      </w:r>
      <w:r w:rsidRPr="00452E2E">
        <w:rPr>
          <w:szCs w:val="24"/>
        </w:rPr>
        <w:instrText>ADDIN CSL_CITATION { "citationItems" : [ { "id" : "ITEM-1",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"151-168", "publisher" : "Routledge", "publisher-place" : "London", "title" : "Recruitment and selection", "type" : "chapter" }, "uris" : [ "http://www.mendeley.com/documents/?uuid=0d5526ae-614d-4e31-8ba6-1068e6f6f064" ] } ], "mendeley" : { "formattedCitation" : "(Searle 2009)", "manualFormatting" : "(Searle, 2009)", "plainTextFormattedCitation" : "(Searle 2009)", "previouslyFormattedCitation" : "(Searle 2009)" }, "properties" : { "noteIndex" : 0 }, "schema" : "https://github.com/citation-style-language/schema/raw/master/csl-citation.json" }</w:instrText>
      </w:r>
      <w:r w:rsidRPr="00452E2E">
        <w:rPr>
          <w:szCs w:val="24"/>
        </w:rPr>
        <w:fldChar w:fldCharType="separate"/>
      </w:r>
      <w:r w:rsidRPr="00452E2E">
        <w:rPr>
          <w:noProof/>
          <w:szCs w:val="24"/>
        </w:rPr>
        <w:t>(Searle, 2009)</w:t>
      </w:r>
      <w:r w:rsidRPr="00452E2E">
        <w:rPr>
          <w:szCs w:val="24"/>
        </w:rPr>
        <w:fldChar w:fldCharType="end"/>
      </w:r>
      <w:r w:rsidRPr="00452E2E">
        <w:rPr>
          <w:szCs w:val="24"/>
        </w:rPr>
        <w:t xml:space="preserve">. However, it has been criticised for limiting human interaction and can only be effective in contexts with developed internet infrastructure </w:t>
      </w:r>
      <w:r w:rsidRPr="00452E2E">
        <w:rPr>
          <w:szCs w:val="24"/>
        </w:rPr>
        <w:fldChar w:fldCharType="begin" w:fldLock="1"/>
      </w:r>
      <w:r w:rsidRPr="00452E2E">
        <w:rPr>
          <w:szCs w:val="24"/>
        </w:rPr>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"id" : "ITEM-2", "itemData" : { "DOI" : "10.1108/ER-07-2013-0088", "ISBN" : "0263557091093", "ISSN" : "01425455", "abstract" : "Purpose: Up to now, there has been little research on the impact of the external environment on recruitment practices of organizations, and in part it lags behind practice. The purpose of this paper is to rectify this by studying recent changes in recruitment practices of Danish organizations and the adoption of e-recruitment from a macro organizational perspective. Design/methodology/approach: The study employs new institutional theory as a theoretical lens in order to understand how external pressures impact upon recruitment professionals and their practices. The empirical part is based on interpretive methods and the inductive analysis of data. The data were collected from a number of sources, such as exploratory interviews, observations, web sites, and other secondary material from 2008 to 2013. Findings: The findings indicate that recruitment practices are strongly influenced by changes stemming from functional and social pressures of the wider society, such as the labour market and the penetration of the internet into Danish society. That is reflected in the widespread use of digital HRM in general, and e-recruitment in particular. The study concludes that the recruitment field has transformed and reviewed its practices to a great extent due to the changes in how individuals search for employment and expect to be hired. Research limitations/implications: The empirical part of this study is limited to Denmark, and its economic, social, and cultural domains, yet the research design can be applied elsewhere. Originality/value: The paper contributes to a better understanding of HRM in context, the pressures and mechanisms for adoption of new recruitment practices, and more specifically the rationale for adopting e-recruitment practices. Additionally, it offers a novel research framework for future research on recruitment from the neoinstitutional perspective. \u00a9 Emerald Group Publishing Limited.", "author" : [ { "dropping-particle" : "", "family" : "Holm", "given" : "A.", "non-dropping-particle" : "", "parse-names" : false, "suffix" : "" } ], "container-title" : "Employee Relations", "id" : "ITEM-2", "issue" : "4", "issued" : { "date-parts" : [ [ "2014" ] ] }, "page" : "432-455", "title" : "Institutional context and e-recruitment practices of Danish organizations", "type" : "article-journal", "volume" : "36" }, "uris" : [ "http://www.mendeley.com/documents/?uuid=82dac40a-9e41-4c5a-a80e-259a373fab17" ] } ], "mendeley" : { "formattedCitation" : "(Lievens &amp; Chapman 2010; Holm 2014)", "manualFormatting" : "(Lievens &amp; Chapman, 2010; Holm, 2014)", "plainTextFormattedCitation" : "(Lievens &amp; Chapman 2010; Holm 2014)", "previouslyFormattedCitation" : "(Lievens &amp; Chapman 2010; Holm 2014)" }, "properties" : { "noteIndex" : 0 }, "schema" : "https://github.com/citation-style-language/schema/raw/master/csl-citation.json" }</w:instrText>
      </w:r>
      <w:r w:rsidRPr="00452E2E">
        <w:rPr>
          <w:szCs w:val="24"/>
        </w:rPr>
        <w:fldChar w:fldCharType="separate"/>
      </w:r>
      <w:r w:rsidRPr="00452E2E">
        <w:rPr>
          <w:noProof/>
          <w:szCs w:val="24"/>
        </w:rPr>
        <w:t>(Lievens &amp; Chapman, 2010; Holm, 2014)</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Based on the foregoing, it is evident that recruitment is context-dependent </w:t>
      </w:r>
      <w:r w:rsidRPr="00452E2E">
        <w:rPr>
          <w:szCs w:val="24"/>
        </w:rPr>
        <w:fldChar w:fldCharType="begin" w:fldLock="1"/>
      </w:r>
      <w:r w:rsidRPr="00452E2E">
        <w:rPr>
          <w:szCs w:val="24"/>
        </w:rPr>
        <w:instrText>ADDIN CSL_CITATION { "citationItems" : [ { "id" : "ITEM-1", "itemData" : { "DOI" : "10.1108/ER-07-2013-0088", "ISBN" : "0263557091093", "ISSN" : "01425455", "abstract" : "Purpose: Up to now, there has been little research on the impact of the external environment on recruitment practices of organizations, and in part it lags behind practice. The purpose of this paper is to rectify this by studying recent changes in recruitment practices of Danish organizations and the adoption of e-recruitment from a macro organizational perspective. Design/methodology/approach: The study employs new institutional theory as a theoretical lens in order to understand how external pressures impact upon recruitment professionals and their practices. The empirical part is based on interpretive methods and the inductive analysis of data. The data were collected from a number of sources, such as exploratory interviews, observations, web sites, and other secondary material from 2008 to 2013. Findings: The findings indicate that recruitment practices are strongly influenced by changes stemming from functional and social pressures of the wider society, such as the labour market and the penetration of the internet into Danish society. That is reflected in the widespread use of digital HRM in general, and e-recruitment in particular. The study concludes that the recruitment field has transformed and reviewed its practices to a great extent due to the changes in how individuals search for employment and expect to be hired. Research limitations/implications: The empirical part of this study is limited to Denmark, and its economic, social, and cultural domains, yet the research design can be applied elsewhere. Originality/value: The paper contributes to a better understanding of HRM in context, the pressures and mechanisms for adoption of new recruitment practices, and more specifically the rationale for adopting e-recruitment practices. Additionally, it offers a novel research framework for future research on recruitment from the neoinstitutional perspective. \u00a9 Emerald Group Publishing Limited.", "author" : [ { "dropping-particle" : "", "family" : "Holm", "given" : "A.", "non-dropping-particle" : "", "parse-names" : false, "suffix" : "" } ], "container-title" : "Employee Relations", "id" : "ITEM-1", "issue" : "4", "issued" : { "date-parts" : [ [ "2014" ] ] }, "page" : "432-455", "title" : "Institutional context and e-recruitment practices of Danish organizations", "type" : "article-journal", "volume" : "36" }, "uris" : [ "http://www.mendeley.com/documents/?uuid=82dac40a-9e41-4c5a-a80e-259a373fab17" ] } ], "mendeley" : { "formattedCitation" : "(Holm 2014)", "manualFormatting" : "(Holm, 2014)", "plainTextFormattedCitation" : "(Holm 2014)", "previouslyFormattedCitation" : "(Holm 2014)" }, "properties" : { "noteIndex" : 0 }, "schema" : "https://github.com/citation-style-language/schema/raw/master/csl-citation.json" }</w:instrText>
      </w:r>
      <w:r w:rsidRPr="00452E2E">
        <w:rPr>
          <w:szCs w:val="24"/>
        </w:rPr>
        <w:fldChar w:fldCharType="separate"/>
      </w:r>
      <w:r w:rsidRPr="00452E2E">
        <w:rPr>
          <w:noProof/>
          <w:szCs w:val="24"/>
        </w:rPr>
        <w:t>(Holm, 2014)</w:t>
      </w:r>
      <w:r w:rsidRPr="00452E2E">
        <w:rPr>
          <w:szCs w:val="24"/>
        </w:rPr>
        <w:fldChar w:fldCharType="end"/>
      </w:r>
      <w:r w:rsidRPr="00452E2E">
        <w:rPr>
          <w:szCs w:val="24"/>
        </w:rPr>
        <w:t xml:space="preserve">. For instance, in unstable political contexts, employers adopt a ‘coping method’ by attracting only candidates that they trust </w:t>
      </w:r>
      <w:r w:rsidRPr="00452E2E">
        <w:rPr>
          <w:szCs w:val="24"/>
        </w:rPr>
        <w:fldChar w:fldCharType="begin" w:fldLock="1"/>
      </w:r>
      <w:r w:rsidRPr="00452E2E">
        <w:rPr>
          <w:szCs w:val="24"/>
        </w:rPr>
        <w:instrText>ADDIN CSL_CITATION { "citationItems" : [ { "id" : "ITEM-1", "itemData" : { "DOI" : "10.1177/1470595803003003007", "ISBN" : "1470-5958", "ISSN" : "14705958", "abstract" : "Research on recruitment has neglected the possible influence of political instability and civil wars. This article seeks to redress this gap, by providing insights into recruitment and selection criteria in African countries during a time of political instability, based on the case of Algeria. The research focuses on how small businesses in highly unstable political environments vet candidates, the recruitment channels they use, and the type of criteria small businesses use during the recruitment process. Through interviews with 14 managers of small and medium sized enterprises, data were collected on recruitment and selection criteria of 144 employees. It was found that a tradition of basing recruitment on extended family networks has mutated into narrower and more confining networks based on trust. Copyright \u00a9 2003 SAGE Publications.", "author" : [ { "dropping-particle" : "", "family" : "Mellahi", "given" : "Kamel", "non-dropping-particle" : "", "parse-names" : false, "suffix" : "" }, { "dropping-particle" : "", "family" : "Wood", "given" : "Geoffrey T.", "non-dropping-particle" : "", "parse-names" : false, "suffix" : "" } ], "container-title" : "International Journal of Cross Cultural Management", "id" : "ITEM-1", "issue" : "3", "issued" : { "date-parts" : [ [ "2003" ] ] }, "page" : "369-381", "title" : "From kinship to trust: Changing recruitment practices in unstable political contexts", "type" : "article-journal", "volume" : "3" }, "uris" : [ "http://www.mendeley.com/documents/?uuid=24af9a65-8959-43b9-a68e-6aa268bbec1b" ] } ], "mendeley" : { "formattedCitation" : "(Mellahi &amp; Wood 2003)", "manualFormatting" : "(Mellahi &amp; Wood, 2003)", "plainTextFormattedCitation" : "(Mellahi &amp; Wood 2003)", "previouslyFormattedCitation" : "(Mellahi &amp; Wood 2003)" }, "properties" : { "noteIndex" : 0 }, "schema" : "https://github.com/citation-style-language/schema/raw/master/csl-citation.json" }</w:instrText>
      </w:r>
      <w:r w:rsidRPr="00452E2E">
        <w:rPr>
          <w:szCs w:val="24"/>
        </w:rPr>
        <w:fldChar w:fldCharType="separate"/>
      </w:r>
      <w:r w:rsidRPr="00452E2E">
        <w:rPr>
          <w:noProof/>
          <w:szCs w:val="24"/>
        </w:rPr>
        <w:t>(Mellahi &amp; Wood, 2003)</w:t>
      </w:r>
      <w:r w:rsidRPr="00452E2E">
        <w:rPr>
          <w:szCs w:val="24"/>
        </w:rPr>
        <w:fldChar w:fldCharType="end"/>
      </w:r>
      <w:r w:rsidRPr="00452E2E">
        <w:rPr>
          <w:szCs w:val="24"/>
        </w:rPr>
        <w:t xml:space="preserve">. In such contexts, recruitment is based on the employer’s previous knowledge of the applicant or recommendation from a trusted friend or family member </w:t>
      </w:r>
      <w:r w:rsidRPr="00452E2E">
        <w:rPr>
          <w:szCs w:val="24"/>
        </w:rPr>
        <w:fldChar w:fldCharType="begin" w:fldLock="1"/>
      </w:r>
      <w:r w:rsidRPr="00452E2E">
        <w:rPr>
          <w:szCs w:val="24"/>
        </w:rPr>
        <w:instrText>ADDIN CSL_CITATION { "citationItems" : [ { "id" : "ITEM-1", "itemData" : { "DOI" : "10.1177/1470595803003003007", "ISBN" : "1470-5958", "ISSN" : "14705958", "abstract" : "Research on recruitment has neglected the possible influence of political instability and civil wars. This article seeks to redress this gap, by providing insights into recruitment and selection criteria in African countries during a time of political instability, based on the case of Algeria. The research focuses on how small businesses in highly unstable political environments vet candidates, the recruitment channels they use, and the type of criteria small businesses use during the recruitment process. Through interviews with 14 managers of small and medium sized enterprises, data were collected on recruitment and selection criteria of 144 employees. It was found that a tradition of basing recruitment on extended family networks has mutated into narrower and more confining networks based on trust. Copyright \u00a9 2003 SAGE Publications.", "author" : [ { "dropping-particle" : "", "family" : "Mellahi", "given" : "Kamel", "non-dropping-particle" : "", "parse-names" : false, "suffix" : "" }, { "dropping-particle" : "", "family" : "Wood", "given" : "Geoffrey T.", "non-dropping-particle" : "", "parse-names" : false, "suffix" : "" } ], "container-title" : "International Journal of Cross Cultural Management", "id" : "ITEM-1", "issue" : "3", "issued" : { "date-parts" : [ [ "2003" ] ] }, "page" : "369-381", "title" : "From kinship to trust: Changing recruitment practices in unstable political contexts", "type" : "article-journal", "volume" : "3" }, "uris" : [ "http://www.mendeley.com/documents/?uuid=24af9a65-8959-43b9-a68e-6aa268bbec1b" ] } ], "mendeley" : { "formattedCitation" : "(Mellahi &amp; Wood 2003)", "manualFormatting" : "(Mellahi &amp; Wood, 2003; Webster &amp; Wood, 2005)", "plainTextFormattedCitation" : "(Mellahi &amp; Wood 2003)", "previouslyFormattedCitation" : "(Mellahi &amp; Wood 2003)" }, "properties" : { "noteIndex" : 0 }, "schema" : "https://github.com/citation-style-language/schema/raw/master/csl-citation.json" }</w:instrText>
      </w:r>
      <w:r w:rsidRPr="00452E2E">
        <w:rPr>
          <w:szCs w:val="24"/>
        </w:rPr>
        <w:fldChar w:fldCharType="separate"/>
      </w:r>
      <w:r w:rsidRPr="00452E2E">
        <w:rPr>
          <w:noProof/>
          <w:szCs w:val="24"/>
        </w:rPr>
        <w:t>(Mellahi &amp; Wood, 2003; Webster &amp; Wood, 2005)</w:t>
      </w:r>
      <w:r w:rsidRPr="00452E2E">
        <w:rPr>
          <w:szCs w:val="24"/>
        </w:rPr>
        <w:fldChar w:fldCharType="end"/>
      </w:r>
      <w:r w:rsidRPr="00452E2E">
        <w:rPr>
          <w:szCs w:val="24"/>
        </w:rPr>
        <w:t>. In Mozambique, research has indicated that the use of word of mouth was more common especially in</w:t>
      </w:r>
      <w:r w:rsidR="00FA532D" w:rsidRPr="00452E2E">
        <w:rPr>
          <w:szCs w:val="24"/>
        </w:rPr>
        <w:t xml:space="preserve"> recruiting manual workers whilst</w:t>
      </w:r>
      <w:r w:rsidRPr="00452E2E">
        <w:rPr>
          <w:szCs w:val="24"/>
        </w:rPr>
        <w:t xml:space="preserve"> other methods such as advertisement and recruitment agencies were sparingly used; although mostly for recruiting management staff </w:t>
      </w:r>
      <w:r w:rsidRPr="00452E2E">
        <w:rPr>
          <w:szCs w:val="24"/>
        </w:rPr>
        <w:fldChar w:fldCharType="begin" w:fldLock="1"/>
      </w:r>
      <w:r w:rsidRPr="00452E2E">
        <w:rPr>
          <w:szCs w:val="24"/>
        </w:rPr>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rPr>
          <w:szCs w:val="24"/>
        </w:rPr>
        <w:fldChar w:fldCharType="separate"/>
      </w:r>
      <w:r w:rsidRPr="00452E2E">
        <w:rPr>
          <w:noProof/>
          <w:szCs w:val="24"/>
        </w:rPr>
        <w:t>(Webster &amp; Wood, 2005)</w:t>
      </w:r>
      <w:r w:rsidRPr="00452E2E">
        <w:rPr>
          <w:szCs w:val="24"/>
        </w:rPr>
        <w:fldChar w:fldCharType="end"/>
      </w:r>
      <w:r w:rsidRPr="00452E2E">
        <w:rPr>
          <w:szCs w:val="24"/>
        </w:rPr>
        <w:t>. However, research on recruitment in Nigeria indicates that the main method of recruitment is advertisement in nati</w:t>
      </w:r>
      <w:r w:rsidR="00FA532D" w:rsidRPr="00452E2E">
        <w:rPr>
          <w:szCs w:val="24"/>
        </w:rPr>
        <w:t>onal and local newspapers, whilst</w:t>
      </w:r>
      <w:r w:rsidRPr="00452E2E">
        <w:rPr>
          <w:szCs w:val="24"/>
        </w:rPr>
        <w:t xml:space="preserve"> other methods such as radio and television advertisement, visit to schools, internal referrals/ other employees are also in use </w:t>
      </w:r>
      <w:r w:rsidRPr="00452E2E">
        <w:rPr>
          <w:szCs w:val="24"/>
        </w:rPr>
        <w:fldChar w:fldCharType="begin" w:fldLock="1"/>
      </w:r>
      <w:r w:rsidRPr="00452E2E">
        <w:rPr>
          <w:szCs w:val="24"/>
        </w:rPr>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"ITEM-2", "issue" : "1", "issued" : { "date-parts" : [ [ "2009" ] ] }, "page" : "62-82", "title" : "Managerial perspectives on HRM in Nigeria: Evolving hybridization?", "type" : "article-journal", "volume" : "16" }, "uris" : [ "http://www.mendeley.com/documents/?uuid=cde70e16-aeda-4832-89c0-f5554c70c93e" ] }, { "id" : "ITEM-3",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"ITEM-3",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"(Anakwe 2002; Azolukwam &amp; Perkins 2009; Okpara &amp; Wynn 2008)", "manualFormatting" : "(Anakwe, 2002; Okpara &amp; Wynn, 2008; Azolukwam &amp; Perkins, 2009)", "plainTextFormattedCitation" : "(Anakwe 2002; Azolukwam &amp; Perkins 2009; Okpara &amp; Wynn 2008)", "previouslyFormattedCitation" : "(Anakwe 2002; Azolukwam &amp; Perkins 2009; Okpara &amp; Wynn 2008)" }, "properties" : { "noteIndex" : 0 }, "schema" : "https://github.com/citation-style-language/schema/raw/master/csl-citation.json" }</w:instrText>
      </w:r>
      <w:r w:rsidRPr="00452E2E">
        <w:rPr>
          <w:szCs w:val="24"/>
        </w:rPr>
        <w:fldChar w:fldCharType="separate"/>
      </w:r>
      <w:r w:rsidRPr="00452E2E">
        <w:rPr>
          <w:noProof/>
          <w:szCs w:val="24"/>
        </w:rPr>
        <w:t>(Anakwe, 2002; Okpara &amp; Wynn, 2008; Azolukwam &amp; Perkins, 2009)</w:t>
      </w:r>
      <w:r w:rsidRPr="00452E2E">
        <w:rPr>
          <w:szCs w:val="24"/>
        </w:rPr>
        <w:fldChar w:fldCharType="end"/>
      </w:r>
      <w:r w:rsidRPr="00452E2E">
        <w:rPr>
          <w:szCs w:val="24"/>
        </w:rPr>
        <w:t>. However, what we are not sure of is whether all organizations in Nigeria use similar recruitment techniques, and if not, which techniques are used by what type of organization and for what category of employees. Next is a discussion of selection practices in organizations.</w:t>
      </w:r>
    </w:p>
    <w:p w:rsidR="00D03A8E" w:rsidRPr="00452E2E" w:rsidRDefault="001E5E63" w:rsidP="00D03A8E">
      <w:pPr>
        <w:pStyle w:val="Heading5"/>
      </w:pPr>
      <w:bookmarkStart w:id="51" w:name="_Toc473808117"/>
      <w:r w:rsidRPr="00452E2E">
        <w:t>2.4</w:t>
      </w:r>
      <w:r w:rsidR="00D03A8E" w:rsidRPr="00452E2E">
        <w:t>.1.2 Selection</w:t>
      </w:r>
      <w:bookmarkEnd w:id="51"/>
    </w:p>
    <w:p w:rsidR="00D03A8E" w:rsidRPr="00452E2E" w:rsidRDefault="00D03A8E" w:rsidP="00D03A8E">
      <w:pPr>
        <w:spacing w:line="360" w:lineRule="auto"/>
        <w:jc w:val="both"/>
        <w:rPr>
          <w:szCs w:val="24"/>
        </w:rPr>
      </w:pPr>
      <w:r w:rsidRPr="00452E2E">
        <w:rPr>
          <w:szCs w:val="24"/>
        </w:rPr>
        <w:t xml:space="preserve">Selection involves identifying suitably qualified candidates from the pool of applicants to occupy existing vacancies in the organization (Searle, 2009). </w:t>
      </w:r>
      <w:r w:rsidRPr="00452E2E">
        <w:rPr>
          <w:szCs w:val="24"/>
        </w:rPr>
        <w:lastRenderedPageBreak/>
        <w:t xml:space="preserve">Organizations use different selection methods which include: interviews, cognitive ability tests, personality tests, integrity tests, qualifications, biodata, references, background tests, assessment centres, among others </w:t>
      </w:r>
      <w:r w:rsidRPr="00452E2E">
        <w:rPr>
          <w:szCs w:val="24"/>
        </w:rPr>
        <w:fldChar w:fldCharType="begin" w:fldLock="1"/>
      </w:r>
      <w:r w:rsidRPr="00452E2E">
        <w:rPr>
          <w:szCs w:val="24"/>
        </w:rPr>
        <w:instrText>ADDIN CSL_CITATION { "citationItems" : [ { "id" : "ITEM-1", "itemData" : { "DOI" : "10.1016/j.hrmr.2009.02.003", "ISBN" : "1053-4822", "ISSN" : "10534822", "abstract" : "Although biodata has been shown to be one of the best predictors of employee performance and turnover, a number of important issues remain unresolved (e.g., how broadly or narrowly should biodata be defined?). This paper has three main objectives. The first objective is to provide a selective but representative review of the research that has been conducted on the use of biodata for employee selection. The second objective is to constructively critique this research. This critique is intended to highlight deficiencies of this research that may limit the conclusions that should be drawn. The paper's third objective is to stimulate important future research on biodata that avoids the limitations of past research. ?? 2009 Elsevier Inc. All rights reserved.", "author" : [ { "dropping-particle" : "", "family" : "Breaugh", "given" : "James A.", "non-dropping-particle" : "", "parse-names" : false, "suffix" : "" } ], "container-title" : "Human Resource Management Review", "id" : "ITEM-1", "issue" : "3", "issued" : { "date-parts" : [ [ "2009" ] ] }, "page" : "219-231", "publisher" : "Elsevier Inc.", "title" : "The use of biodata for employee selection: Past research and future directions", "type" : "article-journal", "volume" : "19" }, "uris" : [ "http://www.mendeley.com/documents/?uuid=7e5cead5-b583-427a-9eb1-a2c47b8ffa48" ] }, { "id" : "ITEM-2", "itemData" : { "author" : [ { "dropping-particle" : "", "family" : "Ivancevich", "given" : "J.M.", "non-dropping-particle" : "", "parse-names" : false, "suffix" : "" } ], "edition" : "11th ed.", "id" : "ITEM-2", "issued" : { "date-parts" : [ [ "2010" ] ] }, "publisher" : "McGraw-Hill", "publisher-place" : "New York", "title" : "Human resource management", "type" : "book" }, "uris" : [ "http://www.mendeley.com/documents/?uuid=f299c3ba-0c23-4eed-a38d-6a8e9bcfdd89" ] }, { "id" : "ITEM-3", "itemData" : { "author" : [ { "dropping-particle" : "", "family" : "Marchington", "given" : "Mick", "non-dropping-particle" : "", "parse-names" : false, "suffix" : "" }, { "dropping-particle" : "", "family" : "Wilkinson", "given" : "Adrian", "non-dropping-particle" : "", "parse-names" : false, "suffix" : "" } ], "edition" : "4th ed.", "id" : "ITEM-3", "issued" : { "date-parts" : [ [ "2009" ] ] }, "publisher" : "CIPD", "publisher-place" : "London", "title" : "Human resource management at work", "type" : "book" }, "uris" : [ "http://www.mendeley.com/documents/?uuid=05392cfb-8d4f-474c-8cd3-6c0553c9aefe" ] }, { "id" : "ITEM-4",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"ITEM-4", "issued" : { "date-parts" : [ [ "2009" ] ] }, "page" : "151-168", "publisher" : "Routledge", "publisher-place" : "London", "title" : "Recruitment and selection", "type" : "chapter" }, "uris" : [ "http://www.mendeley.com/documents/?uuid=0d5526ae-614d-4e31-8ba6-1068e6f6f064" ] } ], "mendeley" : { "formattedCitation" : "(Breaugh 2009; Ivancevich 2010; Marchington &amp; Wilkinson 2009; Searle 2009)", "manualFormatting" : "(Breaugh, 2009; Searle 2009; Ivancevich 2010; Marchington &amp; Wilkinson 2012)", "plainTextFormattedCitation" : "(Breaugh 2009; Ivancevich 2010; Marchington &amp; Wilkinson 2009; Searle 2009)", "previouslyFormattedCitation" : "(Breaugh 2009; Ivancevich 2010; Marchington &amp; Wilkinson 2009; Searle 2009)" }, "properties" : { "noteIndex" : 0 }, "schema" : "https://github.com/citation-style-language/schema/raw/master/csl-citation.json" }</w:instrText>
      </w:r>
      <w:r w:rsidRPr="00452E2E">
        <w:rPr>
          <w:szCs w:val="24"/>
        </w:rPr>
        <w:fldChar w:fldCharType="separate"/>
      </w:r>
      <w:r w:rsidRPr="00452E2E">
        <w:rPr>
          <w:noProof/>
          <w:szCs w:val="24"/>
        </w:rPr>
        <w:t>(Breaugh, 2009; Searle 2009; Ivancevich 2010; Marchington &amp; Wilkinson 2012)</w:t>
      </w:r>
      <w:r w:rsidRPr="00452E2E">
        <w:rPr>
          <w:szCs w:val="24"/>
        </w:rPr>
        <w:fldChar w:fldCharType="end"/>
      </w:r>
      <w:r w:rsidRPr="00452E2E">
        <w:rPr>
          <w:szCs w:val="24"/>
        </w:rPr>
        <w:t xml:space="preserve">. In practice, organizations do combine different selection methods such as interviews and tests to enhance the selection of quality candidates. However, interviews remain the most commonly used method of selection </w:t>
      </w:r>
      <w:r w:rsidRPr="00452E2E">
        <w:rPr>
          <w:szCs w:val="24"/>
        </w:rPr>
        <w:fldChar w:fldCharType="begin" w:fldLock="1"/>
      </w:r>
      <w:r w:rsidRPr="00452E2E">
        <w:rPr>
          <w:szCs w:val="24"/>
        </w:rPr>
        <w:instrText>ADDIN CSL_CITATION { "citationItems" : [ { "id" : "ITEM-1", "itemData" : { "author" : [ { "dropping-particle" : "", "family" : "Marchington", "given" : "Mick", "non-dropping-particle" : "", "parse-names" : false, "suffix" : "" }, { "dropping-particle" : "", "family" : "Wilkinson", "given" : "Adrian", "non-dropping-particle" : "", "parse-names" : false, "suffix" : "" } ], "edition" : "4th ed.", "id" : "ITEM-1", "issued" : { "date-parts" : [ [ "2009" ] ] }, "publisher" : "CIPD", "publisher-place" : "London", "title" : "Human resource management at work", "type" : "book" }, "uris" : [ "http://www.mendeley.com/documents/?uuid=05392cfb-8d4f-474c-8cd3-6c0553c9aefe" ] } ], "mendeley" : { "formattedCitation" : "(Marchington &amp; Wilkinson 2009)", "manualFormatting" : "(Searle, 2009; Marchington &amp; Wilkinson, 2012)", "plainTextFormattedCitation" : "(Marchington &amp; Wilkinson 2009)", "previouslyFormattedCitation" : "(Marchington &amp; Wilkinson 2009)" }, "properties" : { "noteIndex" : 0 }, "schema" : "https://github.com/citation-style-language/schema/raw/master/csl-citation.json" }</w:instrText>
      </w:r>
      <w:r w:rsidRPr="00452E2E">
        <w:rPr>
          <w:szCs w:val="24"/>
        </w:rPr>
        <w:fldChar w:fldCharType="separate"/>
      </w:r>
      <w:r w:rsidRPr="00452E2E">
        <w:rPr>
          <w:noProof/>
          <w:szCs w:val="24"/>
        </w:rPr>
        <w:t>(Searle, 2009; Marchington &amp; Wilkinson, 2012)</w:t>
      </w:r>
      <w:r w:rsidRPr="00452E2E">
        <w:rPr>
          <w:szCs w:val="24"/>
        </w:rPr>
        <w:fldChar w:fldCharType="end"/>
      </w:r>
      <w:r w:rsidRPr="00452E2E">
        <w:rPr>
          <w:szCs w:val="24"/>
        </w:rPr>
        <w:t xml:space="preserve"> and have been found effective in selecting candidates that improve performance of the organization </w:t>
      </w:r>
      <w:r w:rsidRPr="00452E2E">
        <w:rPr>
          <w:szCs w:val="24"/>
        </w:rPr>
        <w:fldChar w:fldCharType="begin" w:fldLock="1"/>
      </w:r>
      <w:r w:rsidRPr="00452E2E">
        <w:rPr>
          <w:szCs w:val="24"/>
        </w:rPr>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"id" : "ITEM-2",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"ITEM-2", "issued" : { "date-parts" : [ [ "2009" ] ] }, "page" : "151-168", "publisher" : "Routledge", "publisher-place" : "London", "title" : "Recruitment and selection", "type" : "chapter" }, "uris" : [ "http://www.mendeley.com/documents/?uuid=0d5526ae-614d-4e31-8ba6-1068e6f6f064" ] } ], "mendeley" : { "formattedCitation" : "(Lievens &amp; Chapman 2010; Searle 2009)", "manualFormatting" : "(Searle, 2009; Lievens &amp; Chapman, 2010)", "plainTextFormattedCitation" : "(Lievens &amp; Chapman 2010; Searle 2009)", "previouslyFormattedCitation" : "(Lievens &amp; Chapman 2010; Searle 2009)" }, "properties" : { "noteIndex" : 0 }, "schema" : "https://github.com/citation-style-language/schema/raw/master/csl-citation.json" }</w:instrText>
      </w:r>
      <w:r w:rsidRPr="00452E2E">
        <w:rPr>
          <w:szCs w:val="24"/>
        </w:rPr>
        <w:fldChar w:fldCharType="separate"/>
      </w:r>
      <w:r w:rsidRPr="00452E2E">
        <w:rPr>
          <w:noProof/>
          <w:szCs w:val="24"/>
        </w:rPr>
        <w:t>(Searle, 2009; Lievens &amp; Chapman, 2010)</w:t>
      </w:r>
      <w:r w:rsidRPr="00452E2E">
        <w:rPr>
          <w:szCs w:val="24"/>
        </w:rPr>
        <w:fldChar w:fldCharType="end"/>
      </w:r>
      <w:r w:rsidRPr="00452E2E">
        <w:rPr>
          <w:szCs w:val="24"/>
        </w:rPr>
        <w:t xml:space="preserve">. </w:t>
      </w:r>
    </w:p>
    <w:p w:rsidR="002A17C8" w:rsidRPr="00452E2E" w:rsidRDefault="00D03A8E" w:rsidP="00D03A8E">
      <w:pPr>
        <w:spacing w:line="360" w:lineRule="auto"/>
        <w:jc w:val="both"/>
        <w:rPr>
          <w:szCs w:val="24"/>
        </w:rPr>
      </w:pPr>
      <w:r w:rsidRPr="00452E2E">
        <w:rPr>
          <w:szCs w:val="24"/>
        </w:rPr>
        <w:t xml:space="preserve">Interviews allow candidates and the organization to interact and make assessment of each other during the selection process </w:t>
      </w:r>
      <w:r w:rsidRPr="00452E2E">
        <w:rPr>
          <w:szCs w:val="24"/>
        </w:rPr>
        <w:fldChar w:fldCharType="begin" w:fldLock="1"/>
      </w:r>
      <w:r w:rsidRPr="00452E2E">
        <w:rPr>
          <w:szCs w:val="24"/>
        </w:rPr>
        <w:instrText>ADDIN CSL_CITATION { "citationItems" : [ { "id" : "ITEM-1", "itemData" : { "author" : [ { "dropping-particle" : "", "family" : "Billsberry", "given" : "J", "non-dropping-particle" : "", "parse-names" : false, "suffix" : "" } ], "id" : "ITEM-1", "issued" : { "date-parts" : [ [ "2007" ] ] }, "publisher" : "John Wiley and Sons", "publisher-place" : "Chichester", "title" : "Experiencing recruitment and selection", "type" : "book" }, "uris" : [ "http://www.mendeley.com/documents/?uuid=b8713359-18fa-4990-860b-16e1c47a07ca" ] } ], "mendeley" : { "formattedCitation" : "(Billsberry 2007)", "manualFormatting" : "(Billsberry, 2007)", "plainTextFormattedCitation" : "(Billsberry 2007)", "previouslyFormattedCitation" : "(Billsberry 2007)" }, "properties" : { "noteIndex" : 0 }, "schema" : "https://github.com/citation-style-language/schema/raw/master/csl-citation.json" }</w:instrText>
      </w:r>
      <w:r w:rsidRPr="00452E2E">
        <w:rPr>
          <w:szCs w:val="24"/>
        </w:rPr>
        <w:fldChar w:fldCharType="separate"/>
      </w:r>
      <w:r w:rsidRPr="00452E2E">
        <w:rPr>
          <w:noProof/>
          <w:szCs w:val="24"/>
        </w:rPr>
        <w:t>(Billsberry, 2007)</w:t>
      </w:r>
      <w:r w:rsidRPr="00452E2E">
        <w:rPr>
          <w:szCs w:val="24"/>
        </w:rPr>
        <w:fldChar w:fldCharType="end"/>
      </w:r>
      <w:r w:rsidRPr="00452E2E">
        <w:rPr>
          <w:szCs w:val="24"/>
        </w:rPr>
        <w:t xml:space="preserve">. On one hand, organizations can interact with candidates on a different range of issues during the interview process, including discussions about candidates’ past behaviours and what they can bring on the job if selected </w:t>
      </w:r>
      <w:r w:rsidRPr="00452E2E">
        <w:rPr>
          <w:szCs w:val="24"/>
        </w:rPr>
        <w:fldChar w:fldCharType="begin" w:fldLock="1"/>
      </w:r>
      <w:r w:rsidRPr="00452E2E">
        <w:rPr>
          <w:szCs w:val="24"/>
        </w:rPr>
        <w:instrText>ADDIN CSL_CITATION { "citationItems" : [ { "id" : "ITEM-1", "itemData" : { "DOI" : "10.1027/1866-5888/a000024", "ISBN" : "2190-5150(Electronic);1866-5888(Print)", "ISSN" : "18665888", "abstract" : "Today\u2019s job market is competitive, leading applicants to try and \u201cstand out from the crowd.\u201d The job interview is an ideal situation for doing so, for instance by preparing original or unique answers to traditional interview questions. This study tested empirically how an applicant providing a unique answer was evaluated relative to applicants providing qualitatively equivalent but nonunique answers. Applicants providing unique answers obtained higher evaluations and improved their chances to get a job offer. Our results suggest that interviewers may be influenced by the uniqueness of applicants\u2019 answers, irrespective of applicants\u2019 true abilities to perform on the job. (PsycINFO Database Record (c) 2012 APA, all rights reserved)", "author" : [ { "dropping-particle" : "", "family" : "Roulin", "given" : "Nicolas", "non-dropping-particle" : "", "parse-names" : false, "suffix" : "" }, { "dropping-particle" : "", "family" : "Bangerter", "given" : "Adrian", "non-dropping-particle" : "", "parse-names" : false, "suffix" : "" }, { "dropping-particle" : "", "family" : "Yerly", "given" : "Elise", "non-dropping-particle" : "", "parse-names" : false, "suffix" : "" } ], "container-title" : "Journal of Personnel Psychology", "id" : "ITEM-1", "issue" : "1", "issued" : { "date-parts" : [ [ "2011" ] ] }, "page" : "43-47", "title" : "The uniqueness effect in selection interviews", "type" : "article-journal", "volume" : "10" }, "uris" : [ "http://www.mendeley.com/documents/?uuid=dad51369-7d24-4301-9ee5-95a41d7c6340" ] }, { "id" : "ITEM-2", "itemData" : { "DOI" : "10.1007/s10551-012-1525-x", "ISBN" : "10.1007/s10551-012-1525-x", "ISSN" : "01674544", "abstract" : "The use of deception during social interactions is a serious ethical concern for business. Interpersonal Deception Theory ({IDT)} proposes that strategies for using deception are influenced by personal factors. We tested this proposal by assessing participants' strategies for using deception during an employment interview. Specifically, we examined three personal factors [gender, Machiavellianism, and self-monitoring ({SM)]} and intentions toward four types of deceptive behaviors (Extensive Image Creation, Image Protection, Ingratiation, and Slight Image Creation). We used path analysis to examine the intentions of 125 undergraduate students. Our results partially confirm the proposal of {IDT} by showing that intentions toward using Extensive Image Creation (i.e., generating wholly untrue personal information) are higher for men than women. Intentions toward Image Protection (i.e., hiding unattractive personal truths) are higher for men and for women high in Machiavellianism relative to women low in Machiavellianism. Intentions toward using deceptive Ingratiation are highest for men and high Machiavellianism women, but only when sufficient {SM} skills are present. For intentions toward Slight Image Creation (i.e., mild exaggerations to personal truths) there are no gender, Machiavellianism, or {SM} effects. Our research has implications for understanding how deception in the workplace can begin before an individual is hired, and we offer suggestions for several lines of future research.", "author" : [ { "dropping-particle" : "", "family" : "Hogue", "given" : "Mary", "non-dropping-particle" : "", "parse-names" : false, "suffix" : "" }, { "dropping-particle" : "", "family" : "Levashina", "given" : "Julia", "non-dropping-particle" : "", "parse-names" : false, "suffix" : "" }, { "dropping-particle" : "", "family" : "Hang", "given" : "Hongli", "non-dropping-particle" : "", "parse-names" : false, "suffix" : "" } ], "container-title" : "Journal of Business Ethics", "id" : "ITEM-2", "issue" : "2", "issued" : { "date-parts" : [ [ "2013" ] ] }, "page" : "399-411", "title" : "Will I fake it? The interplay of gender, machiavellianism, and self-monitoring on strategies for honesty in job interviews", "type" : "article-journal", "volume" : "117" }, "uris" : [ "http://www.mendeley.com/documents/?uuid=2c0583c1-b21f-4a88-8eb9-c26d736c45e7" ] } ], "mendeley" : { "formattedCitation" : "(Roulin et al. 2011; Hogue et al. 2013)", "manualFormatting" : "(Roulin et al., 2011; Hogue et al., 2013)", "plainTextFormattedCitation" : "(Roulin et al. 2011; Hogue et al. 2013)", "previouslyFormattedCitation" : "(Roulin et al. 2011; Hogue et al. 2013)" }, "properties" : { "noteIndex" : 0 }, "schema" : "https://github.com/citation-style-language/schema/raw/master/csl-citation.json" }</w:instrText>
      </w:r>
      <w:r w:rsidRPr="00452E2E">
        <w:rPr>
          <w:szCs w:val="24"/>
        </w:rPr>
        <w:fldChar w:fldCharType="separate"/>
      </w:r>
      <w:r w:rsidRPr="00452E2E">
        <w:rPr>
          <w:noProof/>
          <w:szCs w:val="24"/>
        </w:rPr>
        <w:t xml:space="preserve">(Roulin </w:t>
      </w:r>
      <w:r w:rsidRPr="00452E2E">
        <w:rPr>
          <w:i/>
          <w:noProof/>
          <w:szCs w:val="24"/>
        </w:rPr>
        <w:t>et al</w:t>
      </w:r>
      <w:r w:rsidRPr="00452E2E">
        <w:rPr>
          <w:noProof/>
          <w:szCs w:val="24"/>
        </w:rPr>
        <w:t xml:space="preserve">., 2011; Hogue </w:t>
      </w:r>
      <w:r w:rsidRPr="00452E2E">
        <w:rPr>
          <w:i/>
          <w:noProof/>
          <w:szCs w:val="24"/>
        </w:rPr>
        <w:t>et al</w:t>
      </w:r>
      <w:r w:rsidRPr="00452E2E">
        <w:rPr>
          <w:noProof/>
          <w:szCs w:val="24"/>
        </w:rPr>
        <w:t>., 2013)</w:t>
      </w:r>
      <w:r w:rsidRPr="00452E2E">
        <w:rPr>
          <w:szCs w:val="24"/>
        </w:rPr>
        <w:fldChar w:fldCharType="end"/>
      </w:r>
      <w:r w:rsidRPr="00452E2E">
        <w:rPr>
          <w:szCs w:val="24"/>
        </w:rPr>
        <w:t xml:space="preserve">. On the other hand, candidates are able assess the fairness of the process which may inform their decisions to accept the job offer </w:t>
      </w:r>
      <w:r w:rsidRPr="00452E2E">
        <w:rPr>
          <w:szCs w:val="24"/>
        </w:rPr>
        <w:fldChar w:fldCharType="begin" w:fldLock="1"/>
      </w:r>
      <w:r w:rsidRPr="00452E2E">
        <w:rPr>
          <w:szCs w:val="24"/>
        </w:rPr>
        <w:instrText>ADDIN CSL_CITATION { "citationItems" : [ { "id" : "ITEM-1", "itemData" : { "DOI" : "10.1037/a0034300", "ISSN" : "1065-9293", "abstract" : "This study examined reactions to different types of interviews. It used a 2 \u00d7 2 \u00d7 2 between-subjects design in which interview script was manipulated in terms of interview structure, interviewer warmth, and interview outcome. Eight job interviews were videotaped using the same 2 people to role-play the job applicant and the interviewer. Undergraduate psychology students participated in this study (N = 257), and were randomly assigned to 1 of the 8 conditions. Participants watched the videos and then completed a questionnaire measuring organizational attractiveness, recommendation intentions, whether they would accept a job offer, and perceptions of organizational justice. The main findings were a significant 3-way interaction found between interview outcome, interview structure, and warmth of the interviewer for accepting a job offer; as well as mediating effects of procedural and interactional justice on the relationship between interviewer warmth on recommendation intentions, organizational attractiveness, and accepting a job offer. Implications for organizational practice include incorporating interviewer warmth into the structured interview process, as well as hiring recruiters who demonstrate warm behaviors. This way, organizations might concurrently make optimal selection decisions, while also creating positive and fair impressions of the organization to applicants. (PsycINFO Database Record (c) 2013 APA, all rights reserved). (journal abstract)", "author" : [ { "dropping-particle" : "", "family" : "Farago", "given" : "Bonnie", "non-dropping-particle" : "", "parse-names" : false, "suffix" : "" }, { "dropping-particle" : "", "family" : "Zide", "given" : "Julie S", "non-dropping-particle" : "", "parse-names" : false, "suffix" : "" }, { "dropping-particle" : "", "family" : "Shahani-Denning", "given" : "Comila", "non-dropping-particle" : "", "parse-names" : false, "suffix" : "" } ], "container-title" : "Consulting Psychology Journal: Practice and Research", "id" : "ITEM-1", "issue" : "3", "issued" : { "date-parts" : [ [ "2013" ] ] }, "page" : "224-239", "title" : "Selection interviews: Role of interviewer warmth, interview structure, and interview outcome in applicants\u2019 perceptions of organizations", "type" : "article-journal", "volume" : "65" }, "uris" : [ "http://www.mendeley.com/documents/?uuid=e5219d9f-bab4-4ccb-b969-59db247c406b" ] }, { "id" : "ITEM-2", "itemData" : { "DOI" : "10.1002/job", "ISBN" : "0143-7739", "ISSN" : "12045357", "PMID" : "21451395", "abstract" : "Unhappy IT workers will eventually leave their company. Some employees seek new positions with different firms. Others will choose to leave the IT field altogether. These mutually exclusive options have different outcomes for IT workers, organizations, and the computing professions. This research investigates the causes and consequences of each. A content analysis is first performed in order to identify possible determinants. Next, a canonical correlation analysis is conducted to determine which constructs load with job change intention and which associate with career change intentions among IT workers in the United States. The analysis was conducted using data from a survey of IT professionals. The results indicate that quantitative demands, cognitive demands, work pace, stress, work family conflict, and predictability lead to job change intention, while meaning of work, job satisfaction, recognition, role conflicts, role clarity, job insecurity, burnout, and perceived supervisor support lead IT workers to consider changing careers. Implications for theory and practice are provided.", "author" : [ { "dropping-particle" : "", "family" : "Klotz", "given" : "A.C.", "non-dropping-particle" : "", "parse-names" : false, "suffix" : "" }, { "dropping-particle" : "", "family" : "Veiga", "given" : "D.M.", "non-dropping-particle" : "", "parse-names" : false, "suffix" : "" }, { "dropping-particle" : "", "family" : "Buckley", "given" : "M.R.", "non-dropping-particle" : "", "parse-names" : false, "suffix" : "" }, { "dropping-particle" : "", "family" : "Gavin", "given" : "M.B.", "non-dropping-particle" : "", "parse-names" : false, "suffix" : "" } ], "container-title" : "Journal of Organizational Behavior", "id" : "ITEM-2", "issued" : { "date-parts" : [ [ "2013" ] ] }, "page" : "S104-S119", "title" : "The role of trustworthiness in recruitment and selection: A review and guide for future research", "type" : "article-journal", "volume" : "34" }, "uris" : [ "http://www.mendeley.com/documents/?uuid=fc27b8f1-1573-4bda-831b-7a45aaae3e1b" ] } ], "mendeley" : { "formattedCitation" : "(Farago et al. 2013; Klotz et al. 2013)", "manualFormatting" : "(Farago et al., 2013; Klotz et al., 2013)", "plainTextFormattedCitation" : "(Farago et al. 2013; Klotz et al. 2013)", "previouslyFormattedCitation" : "(Farago et al. 2013; Klotz et al. 2013)" }, "properties" : { "noteIndex" : 0 }, "schema" : "https://github.com/citation-style-language/schema/raw/master/csl-citation.json" }</w:instrText>
      </w:r>
      <w:r w:rsidRPr="00452E2E">
        <w:rPr>
          <w:szCs w:val="24"/>
        </w:rPr>
        <w:fldChar w:fldCharType="separate"/>
      </w:r>
      <w:r w:rsidRPr="00452E2E">
        <w:rPr>
          <w:noProof/>
          <w:szCs w:val="24"/>
        </w:rPr>
        <w:t xml:space="preserve">(Farago </w:t>
      </w:r>
      <w:r w:rsidRPr="00452E2E">
        <w:rPr>
          <w:i/>
          <w:noProof/>
          <w:szCs w:val="24"/>
        </w:rPr>
        <w:t>et al</w:t>
      </w:r>
      <w:r w:rsidRPr="00452E2E">
        <w:rPr>
          <w:noProof/>
          <w:szCs w:val="24"/>
        </w:rPr>
        <w:t xml:space="preserve">., 2013; Klotz </w:t>
      </w:r>
      <w:r w:rsidRPr="00452E2E">
        <w:rPr>
          <w:i/>
          <w:noProof/>
          <w:szCs w:val="24"/>
        </w:rPr>
        <w:t>et al</w:t>
      </w:r>
      <w:r w:rsidRPr="00452E2E">
        <w:rPr>
          <w:noProof/>
          <w:szCs w:val="24"/>
        </w:rPr>
        <w:t>., 2013)</w:t>
      </w:r>
      <w:r w:rsidRPr="00452E2E">
        <w:rPr>
          <w:szCs w:val="24"/>
        </w:rPr>
        <w:fldChar w:fldCharType="end"/>
      </w:r>
      <w:r w:rsidRPr="00452E2E">
        <w:rPr>
          <w:szCs w:val="24"/>
        </w:rPr>
        <w:t xml:space="preserve">. However, there are concerns about bias from interviewers which may result </w:t>
      </w:r>
      <w:r w:rsidR="00DC506B" w:rsidRPr="00452E2E">
        <w:rPr>
          <w:szCs w:val="24"/>
        </w:rPr>
        <w:t>in</w:t>
      </w:r>
      <w:r w:rsidRPr="00452E2E">
        <w:rPr>
          <w:szCs w:val="24"/>
        </w:rPr>
        <w:t xml:space="preserve"> overlooking the most qualified candidates </w:t>
      </w:r>
      <w:r w:rsidRPr="00452E2E">
        <w:rPr>
          <w:szCs w:val="24"/>
        </w:rPr>
        <w:fldChar w:fldCharType="begin" w:fldLock="1"/>
      </w:r>
      <w:r w:rsidRPr="00452E2E">
        <w:rPr>
          <w:szCs w:val="24"/>
        </w:rPr>
        <w:instrText>ADDIN CSL_CITATION { "citationItems" : [ { "id" : "ITEM-1", "itemData" : { "DOI" : "10.1037/apl0000036", "ISBN" : "0021-9010", "ISSN" : "00219010", "abstract" : "(C) 2015 by the American Psychological Association", "author" : [ { "dropping-particle" : "", "family" : "Martinez", "given" : "Larry", "non-dropping-particle" : "", "parse-names" : false, "suffix" : "" }, { "dropping-particle" : "", "family" : "White", "given" : "Craig", "non-dropping-particle" : "", "parse-names" : false, "suffix" : "" }, { "dropping-particle" : "", "family" : "Shapiro", "given" : "Jenessa", "non-dropping-particle" : "", "parse-names" : false, "suffix" : "" }, { "dropping-particle" : "", "family" : "Hebl", "given" : "Michelle", "non-dropping-particle" : "", "parse-names" : false, "suffix" : "" } ], "container-title" : "Journal of Applied Psychology", "id" : "ITEM-1", "issue" : "1", "issued" : { "date-parts" : [ [ "2015" ] ] }, "page" : "122-128", "title" : "Selection bias: Stereotypes and discrimination related to having a history of cancer", "type" : "article-journal", "volume" : "101" }, "uris" : [ "http://www.mendeley.com/documents/?uuid=9ce94f01-7795-4868-b08c-e924811311f3" ] }, { "id" : "ITEM-2", "itemData" : { "DOI" : "10.1027/1866-5888/a000024", "ISBN" : "2190-5150(Electronic);1866-5888(Print)", "ISSN" : "18665888", "abstract" : "Today\u2019s job market is competitive, leading applicants to try and \u201cstand out from the crowd.\u201d The job interview is an ideal situation for doing so, for instance by preparing original or unique answers to traditional interview questions. This study tested empirically how an applicant providing a unique answer was evaluated relative to applicants providing qualitatively equivalent but nonunique answers. Applicants providing unique answers obtained higher evaluations and improved their chances to get a job offer. Our results suggest that interviewers may be influenced by the uniqueness of applicants\u2019 answers, irrespective of applicants\u2019 true abilities to perform on the job. (PsycINFO Database Record (c) 2012 APA, all rights reserved)", "author" : [ { "dropping-particle" : "", "family" : "Roulin", "given" : "Nicolas", "non-dropping-particle" : "", "parse-names" : false, "suffix" : "" }, { "dropping-particle" : "", "family" : "Bangerter", "given" : "Adrian", "non-dropping-particle" : "", "parse-names" : false, "suffix" : "" }, { "dropping-particle" : "", "family" : "Yerly", "given" : "Elise", "non-dropping-particle" : "", "parse-names" : false, "suffix" : "" } ], "container-title" : "Journal of Personnel Psychology", "id" : "ITEM-2", "issue" : "1", "issued" : { "date-parts" : [ [ "2011" ] ] }, "page" : "43-47", "title" : "The uniqueness effect in selection interviews", "type" : "article-journal", "volume" : "10" }, "uris" : [ "http://www.mendeley.com/documents/?uuid=dad51369-7d24-4301-9ee5-95a41d7c6340" ] } ], "mendeley" : { "formattedCitation" : "(Martinez et al. 2015; Roulin et al. 2011)", "manualFormatting" : "(Roulin et al., 2011; Martinez et al., 2015)", "plainTextFormattedCitation" : "(Martinez et al. 2015; Roulin et al. 2011)", "previouslyFormattedCitation" : "(Martinez et al. 2015; Roulin et al. 2011)" }, "properties" : { "noteIndex" : 0 }, "schema" : "https://github.com/citation-style-language/schema/raw/master/csl-citation.json" }</w:instrText>
      </w:r>
      <w:r w:rsidRPr="00452E2E">
        <w:rPr>
          <w:szCs w:val="24"/>
        </w:rPr>
        <w:fldChar w:fldCharType="separate"/>
      </w:r>
      <w:r w:rsidRPr="00452E2E">
        <w:rPr>
          <w:noProof/>
          <w:szCs w:val="24"/>
        </w:rPr>
        <w:t xml:space="preserve">(Roulin </w:t>
      </w:r>
      <w:r w:rsidRPr="00452E2E">
        <w:rPr>
          <w:i/>
          <w:noProof/>
          <w:szCs w:val="24"/>
        </w:rPr>
        <w:t>et al</w:t>
      </w:r>
      <w:r w:rsidRPr="00452E2E">
        <w:rPr>
          <w:noProof/>
          <w:szCs w:val="24"/>
        </w:rPr>
        <w:t xml:space="preserve">., 2011; Martinez </w:t>
      </w:r>
      <w:r w:rsidRPr="00452E2E">
        <w:rPr>
          <w:i/>
          <w:noProof/>
          <w:szCs w:val="24"/>
        </w:rPr>
        <w:t>et al</w:t>
      </w:r>
      <w:r w:rsidRPr="00452E2E">
        <w:rPr>
          <w:noProof/>
          <w:szCs w:val="24"/>
        </w:rPr>
        <w:t>., 2015)</w:t>
      </w:r>
      <w:r w:rsidRPr="00452E2E">
        <w:rPr>
          <w:szCs w:val="24"/>
        </w:rPr>
        <w:fldChar w:fldCharType="end"/>
      </w:r>
      <w:r w:rsidRPr="00452E2E">
        <w:rPr>
          <w:szCs w:val="24"/>
        </w:rPr>
        <w:t xml:space="preserve">. Thus, the need for interviewers to be fair and project a positive reputation and image of the organization during the interview process in order to enhance job acceptance from candidates has been well emphasized in the literature </w:t>
      </w:r>
      <w:r w:rsidRPr="00452E2E">
        <w:rPr>
          <w:szCs w:val="24"/>
        </w:rPr>
        <w:fldChar w:fldCharType="begin" w:fldLock="1"/>
      </w:r>
      <w:r w:rsidRPr="00452E2E">
        <w:rPr>
          <w:szCs w:val="24"/>
        </w:rPr>
        <w:instrText>ADDIN CSL_CITATION { "citationItems" : [ { "id" : "ITEM-1", "itemData" : { "DOI" : "10.1037/a0034300", "ISSN" : "1065-9293", "abstract" : "This study examined reactions to different types of interviews. It used a 2 \u00d7 2 \u00d7 2 between-subjects design in which interview script was manipulated in terms of interview structure, interviewer warmth, and interview outcome. Eight job interviews were videotaped using the same 2 people to role-play the job applicant and the interviewer. Undergraduate psychology students participated in this study (N = 257), and were randomly assigned to 1 of the 8 conditions. Participants watched the videos and then completed a questionnaire measuring organizational attractiveness, recommendation intentions, whether they would accept a job offer, and perceptions of organizational justice. The main findings were a significant 3-way interaction found between interview outcome, interview structure, and warmth of the interviewer for accepting a job offer; as well as mediating effects of procedural and interactional justice on the relationship between interviewer warmth on recommendation intentions, organizational attractiveness, and accepting a job offer. Implications for organizational practice include incorporating interviewer warmth into the structured interview process, as well as hiring recruiters who demonstrate warm behaviors. This way, organizations might concurrently make optimal selection decisions, while also creating positive and fair impressions of the organization to applicants. (PsycINFO Database Record (c) 2013 APA, all rights reserved). (journal abstract)", "author" : [ { "dropping-particle" : "", "family" : "Farago", "given" : "Bonnie", "non-dropping-particle" : "", "parse-names" : false, "suffix" : "" }, { "dropping-particle" : "", "family" : "Zide", "given" : "Julie S", "non-dropping-particle" : "", "parse-names" : false, "suffix" : "" }, { "dropping-particle" : "", "family" : "Shahani-Denning", "given" : "Comila", "non-dropping-particle" : "", "parse-names" : false, "suffix" : "" } ], "container-title" : "Consulting Psychology Journal: Practice and Research", "id" : "ITEM-1", "issue" : "3", "issued" : { "date-parts" : [ [ "2013" ] ] }, "page" : "224-239", "title" : "Selection interviews: Role of interviewer warmth, interview structure, and interview outcome in applicants\u2019 perceptions of organizations", "type" : "article-journal", "volume" : "65" }, "uris" : [ "http://www.mendeley.com/documents/?uuid=e5219d9f-bab4-4ccb-b969-59db247c406b" ] }, { "id" : "ITEM-2", "itemData" : { "DOI" : "10.1016/S1053-4822(02)00065-7", "ISSN" : "10534822", "abstract" : "With very low unemployment levels, competition for the best employees is extremely keen. Firms that strive to maximize job candidates' job offer acceptance should realize increased competitive advantage through more effective recruitment programs. It is clear that applicants are interested in job attributes and pay schemes, but in the current \u201cseller's market,\u201d pay and job enrichment levels may be considerably depreciated. This paper proposes a model of the recruitment interview process, which emphasizes organizations' strategic efforts to maximize the acquisition of top talent in competitive markets through interviewer persuasion and active promotion of organization reputation. Implications of this conceptualization for research and practice are discussed.", "author" : [ { "dropping-particle" : "", "family" : "Ferris", "given" : "Gerald R", "non-dropping-particle" : "", "parse-names" : false, "suffix" : "" }, { "dropping-particle" : "", "family" : "Berkson", "given" : "Howard M", "non-dropping-particle" : "", "parse-names" : false, "suffix" : "" }, { "dropping-particle" : "", "family" : "Harris", "given" : "Michael M", "non-dropping-particle" : "", "parse-names" : false, "suffix" : "" } ], "container-title" : "Human Resource Management Review", "id" : "ITEM-2", "issue" : "3", "issued" : { "date-parts" : [ [ "2002" ] ] }, "page" : "359-375", "title" : "The recruitment interview process: Persuasion and organization reputation promotion in competitive labor markets", "type" : "article-journal", "volume" : "12" }, "uris" : [ "http://www.mendeley.com/documents/?uuid=114c6292-5602-4829-9bcc-a7b55e71e3ec" ] }, { "id" : "ITEM-3",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"ITEM-3", "issued" : { "date-parts" : [ [ "2010" ] ] }, "page" : "135-154", "publisher" : "SAGE", "publisher-place" : "London", "title" : "Recruitment and selection", "type" : "chapter" }, "uris" : [ "http://www.mendeley.com/documents/?uuid=e189e2f4-1a71-4115-a1e6-cd4315467cbe" ] } ], "mendeley" : { "formattedCitation" : "(Farago et al. 2013; Ferris et al. 2002; Lievens &amp; Chapman 2010)", "manualFormatting" : "(Ferris et al., 2002; Lievens &amp; Chapman, 2010; Farago et al., 2013)", "plainTextFormattedCitation" : "(Farago et al. 2013; Ferris et al. 2002; Lievens &amp; Chapman 2010)", "previouslyFormattedCitation" : "(Farago et al. 2013; Ferris et al. 2002; Lievens &amp; Chapman 2010)" }, "properties" : { "noteIndex" : 0 }, "schema" : "https://github.com/citation-style-language/schema/raw/master/csl-citation.json" }</w:instrText>
      </w:r>
      <w:r w:rsidRPr="00452E2E">
        <w:rPr>
          <w:szCs w:val="24"/>
        </w:rPr>
        <w:fldChar w:fldCharType="separate"/>
      </w:r>
      <w:r w:rsidRPr="00452E2E">
        <w:rPr>
          <w:noProof/>
          <w:szCs w:val="24"/>
        </w:rPr>
        <w:t xml:space="preserve">(Ferris </w:t>
      </w:r>
      <w:r w:rsidRPr="00452E2E">
        <w:rPr>
          <w:i/>
          <w:noProof/>
          <w:szCs w:val="24"/>
        </w:rPr>
        <w:t>et al</w:t>
      </w:r>
      <w:r w:rsidRPr="00452E2E">
        <w:rPr>
          <w:noProof/>
          <w:szCs w:val="24"/>
        </w:rPr>
        <w:t xml:space="preserve">., 2002; Lievens &amp; Chapman, 2010; Farago </w:t>
      </w:r>
      <w:r w:rsidRPr="00452E2E">
        <w:rPr>
          <w:i/>
          <w:noProof/>
          <w:szCs w:val="24"/>
        </w:rPr>
        <w:t>et al</w:t>
      </w:r>
      <w:r w:rsidRPr="00452E2E">
        <w:rPr>
          <w:noProof/>
          <w:szCs w:val="24"/>
        </w:rPr>
        <w:t>., 2013)</w:t>
      </w:r>
      <w:r w:rsidRPr="00452E2E">
        <w:rPr>
          <w:szCs w:val="24"/>
        </w:rPr>
        <w:fldChar w:fldCharType="end"/>
      </w:r>
      <w:r w:rsidRPr="00452E2E">
        <w:rPr>
          <w:szCs w:val="24"/>
        </w:rPr>
        <w:t>.</w:t>
      </w:r>
    </w:p>
    <w:p w:rsidR="00D03A8E" w:rsidRPr="00452E2E" w:rsidRDefault="00D03A8E" w:rsidP="00D03A8E">
      <w:pPr>
        <w:spacing w:line="360" w:lineRule="auto"/>
        <w:jc w:val="both"/>
        <w:rPr>
          <w:szCs w:val="24"/>
        </w:rPr>
      </w:pPr>
      <w:r w:rsidRPr="00452E2E">
        <w:rPr>
          <w:szCs w:val="24"/>
        </w:rPr>
        <w:t xml:space="preserve"> In fact, the decision of candidates to accept a job offer after undergoing an interview or selection process generally may depend on the context. In many countries of Africa where unemployment levels are high, the concern of candidates may be about the availability of jobs rather than the nature of the selection process. This high level of unemployment, coupled with weak labour legislation in such contexts strengthen employers’ hands against applicants and employees </w:t>
      </w:r>
      <w:r w:rsidRPr="00452E2E">
        <w:rPr>
          <w:szCs w:val="24"/>
        </w:rPr>
        <w:fldChar w:fldCharType="begin" w:fldLock="1"/>
      </w:r>
      <w:r w:rsidRPr="00452E2E">
        <w:rPr>
          <w:szCs w:val="24"/>
        </w:rPr>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"ITEM-2", "issue" : "1", "issued" : { "date-parts" : [ [ "2008" ] ] }, "page" : "57-76", "title" : "Human resource management practices in a transition economy: Challenges and prospects", "type" : "article-journal", "volume" : "31" }, "uris" : [ "http://www.mendeley.com/documents/?uuid=95a1a97b-b7f5-40f1-a40b-8040c1a14505" ] }, { "id" : "ITEM-3",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"ITEM-3", "issue" : "4", "issued" : { "date-parts" : [ [ "2005" ] ] }, "page" : "369-385", "title" : "Human resource management practice and institutional constraints: The case of Mozambique", "type" : "article-journal", "volume" : "27" }, "uris" : [ "http://www.mendeley.com/documents/?uuid=ed55cad7-4201-408e-9447-f98c9e159fd3" ] }, { "id" : "ITEM-4",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"ITEM-4",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"(Anakwe 2002; Okpara &amp; Wynn 2008; Webster &amp; Wood 2005; Wood et al. 2011)", "manualFormatting" : "(Anakwe, 2002; Webster &amp; Wood, 2005; Okpara &amp; Wynn, 2008; Wood et al., 2011)", "plainTextFormattedCitation" : "(Anakwe 2002; Okpara &amp; Wynn 2008; Webster &amp; Wood 2005; Wood et al. 2011)", "previouslyFormattedCitation" : "(Anakwe 2002; Okpara &amp; Wynn 2008; Webster &amp; Wood 2005; Wood et al. 2011)" }, "properties" : { "noteIndex" : 0 }, "schema" : "https://github.com/citation-style-language/schema/raw/master/csl-citation.json" }</w:instrText>
      </w:r>
      <w:r w:rsidRPr="00452E2E">
        <w:rPr>
          <w:szCs w:val="24"/>
        </w:rPr>
        <w:fldChar w:fldCharType="separate"/>
      </w:r>
      <w:r w:rsidRPr="00452E2E">
        <w:rPr>
          <w:noProof/>
          <w:szCs w:val="24"/>
        </w:rPr>
        <w:t xml:space="preserve">(Anakwe, 2002; Webster &amp; Wood, 2005; Okpara &amp; Wynn, 2008; Wood </w:t>
      </w:r>
      <w:r w:rsidRPr="00452E2E">
        <w:rPr>
          <w:i/>
          <w:noProof/>
          <w:szCs w:val="24"/>
        </w:rPr>
        <w:t>et al</w:t>
      </w:r>
      <w:r w:rsidRPr="00452E2E">
        <w:rPr>
          <w:noProof/>
          <w:szCs w:val="24"/>
        </w:rPr>
        <w:t>., 2011)</w:t>
      </w:r>
      <w:r w:rsidRPr="00452E2E">
        <w:rPr>
          <w:szCs w:val="24"/>
        </w:rPr>
        <w:fldChar w:fldCharType="end"/>
      </w:r>
      <w:r w:rsidRPr="00452E2E">
        <w:rPr>
          <w:szCs w:val="24"/>
        </w:rPr>
        <w:t>. A discussion of training is the focus of the next section.</w:t>
      </w:r>
    </w:p>
    <w:p w:rsidR="00D03A8E" w:rsidRPr="00452E2E" w:rsidRDefault="001E5E63" w:rsidP="00D03A8E">
      <w:pPr>
        <w:pStyle w:val="Heading4"/>
      </w:pPr>
      <w:bookmarkStart w:id="52" w:name="_Toc473808118"/>
      <w:r w:rsidRPr="00452E2E">
        <w:lastRenderedPageBreak/>
        <w:t>2.4</w:t>
      </w:r>
      <w:r w:rsidR="00D03A8E" w:rsidRPr="00452E2E">
        <w:t>.2 Training</w:t>
      </w:r>
      <w:bookmarkEnd w:id="52"/>
    </w:p>
    <w:p w:rsidR="00DF0150" w:rsidRPr="00452E2E" w:rsidRDefault="00D03A8E" w:rsidP="00D03A8E">
      <w:pPr>
        <w:spacing w:line="360" w:lineRule="auto"/>
        <w:jc w:val="both"/>
        <w:rPr>
          <w:szCs w:val="24"/>
        </w:rPr>
      </w:pPr>
      <w:r w:rsidRPr="00452E2E">
        <w:rPr>
          <w:szCs w:val="24"/>
        </w:rPr>
        <w:t xml:space="preserve">There is increased interest in training due to its importance in improving employees’ knowledge and skills to perform the job </w:t>
      </w:r>
      <w:r w:rsidRPr="00452E2E">
        <w:rPr>
          <w:szCs w:val="24"/>
        </w:rPr>
        <w:fldChar w:fldCharType="begin" w:fldLock="1"/>
      </w:r>
      <w:r w:rsidRPr="00452E2E">
        <w:rPr>
          <w:szCs w:val="24"/>
        </w:rPr>
        <w:instrText>ADDIN CSL_CITATION { "citationItems" : [ { "id" : "ITEM-1", "itemData" : { "abstract" : "This article provides a review of the training and development literature since the year 2000. We review the literature focusing on the benefits of training and development for individuals and teams, organizations, and society. We adopt a multidisciplinary, multilevel, and global perspective to demonstrate that training and development activities in work organizations can produce important benefits for each of these stakeholders. We also review the literature on needs assessment and pretraining states, training design and delivery, training evaluation, and transfer of training to identify the conditions under which the benefits of training and development are maximized. Finally, we identify research gaps and offer directions for future research.", "author" : [ { "dropping-particle" : "", "family" : "Aguinis", "given" : "Herman", "non-dropping-particle" : "", "parse-names" : false, "suffix" : "" }, { "dropping-particle" : "", "family" : "Kraiger", "given" : "Kurt", "non-dropping-particle" : "", "parse-names" : false, "suffix" : "" } ], "container-title" : "Annual Review of Psychology", "id" : "ITEM-1", "issued" : { "date-parts" : [ [ "2009" ] ] }, "page" : "451-474", "title" : "Benefits of training and development for individuals and teams, organizations, and society", "type" : "article-journal", "volume" : "60" }, "uris" : [ "http://www.mendeley.com/documents/?uuid=88d006ad-00f5-4239-82a5-aa10e3718853" ] }, { "id" : "ITEM-2", "itemData" : { "DOI" : "10.1016/j.hrmr.2007.07.004", "ISBN" : "1053-4822", "ISSN" : "10534822", "PMID" : "26488629", "abstract" : "This paper aims to advance understanding of the effects of training on organizational-level outcomes by reviewing the results of previous studies that have investigated the relationship between training and human resource, performance, and financial outcomes. The results of meta-analysis from 67 studies suggest that training is positively related to human resource outcomes and organizational performance but is only very weakly related to financial outcomes. The relationship between training and firm performance may be mediated by employee attitudes and human capital. Furthermore, training appears to be more strongly related to organizational outcomes when it is matched with key contextual factors such as organization capital intensity and business strategy, in support of the contingency perspective. Further, training is related independently to organizational outcomes in support of the universalistic perspective of strategic human resource management rather than a configurational perspective. The paper concludes with a critique of previous studies and directions for future research. Particular emphasis is given to the need for future research to integrate individual-level (micro) and organizational-level (macro) training research, models, and theory. ?? 2007 Elsevier Inc. All rights reserved.", "author" : [ { "dropping-particle" : "", "family" : "Tharenou", "given" : "Phyllis", "non-dropping-particle" : "", "parse-names" : false, "suffix" : "" }, { "dropping-particle" : "", "family" : "Saks", "given" : "Alan M.", "non-dropping-particle" : "", "parse-names" : false, "suffix" : "" }, { "dropping-particle" : "", "family" : "Moore", "given" : "Celia", "non-dropping-particle" : "", "parse-names" : false, "suffix" : "" } ], "container-title" : "Human Resource Management Review", "id" : "ITEM-2", "issue" : "3", "issued" : { "date-parts" : [ [ "2007" ] ] }, "page" : "251-273", "title" : "A review and critique of research on training and organizational-level outcomes", "type" : "article-journal", "volume" : "17" }, "uris" : [ "http://www.mendeley.com/documents/?uuid=e70ccfd2-405c-4a40-a406-6f9c73c24820" ] } ], "mendeley" : { "formattedCitation" : "(Aguinis &amp; Kraiger 2009; Tharenou et al. 2007)", "manualFormatting" : "(Tharenou et al., 2007; Aguinis &amp; Kraiger, 2009)", "plainTextFormattedCitation" : "(Aguinis &amp; Kraiger 2009; Tharenou et al. 2007)", "previouslyFormattedCitation" : "(Aguinis &amp; Kraiger 2009; Tharenou et al. 2007)" }, "properties" : { "noteIndex" : 0 }, "schema" : "https://github.com/citation-style-language/schema/raw/master/csl-citation.json" }</w:instrText>
      </w:r>
      <w:r w:rsidRPr="00452E2E">
        <w:rPr>
          <w:szCs w:val="24"/>
        </w:rPr>
        <w:fldChar w:fldCharType="separate"/>
      </w:r>
      <w:r w:rsidRPr="00452E2E">
        <w:rPr>
          <w:noProof/>
          <w:szCs w:val="24"/>
        </w:rPr>
        <w:t xml:space="preserve">(Tharenou </w:t>
      </w:r>
      <w:r w:rsidRPr="00452E2E">
        <w:rPr>
          <w:i/>
          <w:noProof/>
          <w:szCs w:val="24"/>
        </w:rPr>
        <w:t>et al</w:t>
      </w:r>
      <w:r w:rsidRPr="00452E2E">
        <w:rPr>
          <w:noProof/>
          <w:szCs w:val="24"/>
        </w:rPr>
        <w:t>., 2007; Aguinis &amp; Kraiger, 2009)</w:t>
      </w:r>
      <w:r w:rsidRPr="00452E2E">
        <w:rPr>
          <w:szCs w:val="24"/>
        </w:rPr>
        <w:fldChar w:fldCharType="end"/>
      </w:r>
      <w:r w:rsidRPr="00452E2E">
        <w:rPr>
          <w:szCs w:val="24"/>
        </w:rPr>
        <w:t xml:space="preserve">. This means that as organizations continue to rely on the skills of employees to function effectively, the more training becomes significant </w:t>
      </w:r>
      <w:r w:rsidRPr="00452E2E">
        <w:rPr>
          <w:szCs w:val="24"/>
        </w:rPr>
        <w:fldChar w:fldCharType="begin" w:fldLock="1"/>
      </w:r>
      <w:r w:rsidRPr="00452E2E">
        <w:rPr>
          <w:szCs w:val="24"/>
        </w:rPr>
        <w:instrText>ADDIN CSL_CITATION { "citationItems" : [ { "id" : "ITEM-1", "itemData" : { "abstract" : "The purpose of this article is to discuss progress and gaps in the scientific training and development literature. In particular, we first delineate three criteria against which scientific progress in Human Resource Management fields can be evaluated. We then review examples from the training and development literature that illustrate progress toward meeting each scientific criterion. Finally, we identify several gaps in the literature that require further theory development and empirical research. Although our general assessment of scientific progress in the training and development literature is positive, we also argue that more multilevel research is needed to better understand how learning is influenced by factors residing at multiple levels of analysis, as well as how learning generalizes to influence practically meaningful outcomes at higher organizational levels. ?? 2007 Elsevier Inc. All rights reserved.", "author" : [ { "dropping-particle" : "", "family" : "Chen", "given" : "Gilad", "non-dropping-particle" : "", "parse-names" : false, "suffix" : "" }, { "dropping-particle" : "", "family" : "Klimoski", "given" : "Richard J.", "non-dropping-particle" : "", "parse-names" : false, "suffix" : "" } ], "container-title" : "Human Resource Management Review", "id" : "ITEM-1", "issue" : "2", "issued" : { "date-parts" : [ [ "2007" ] ] }, "page" : "180-190", "title" : "Training and development of human resources at work: Is the state of our science strong?", "type" : "article-journal", "volume" : "17" }, "uris" : [ "http://www.mendeley.com/documents/?uuid=cb1e9fb4-54c6-4ab3-8554-2f768a36db6b" ] }, { "id" : "ITEM-2", "itemData" : { "DOI" : "10.1177/1529100612436661", "ISBN" : "15291006", "ISSN" : "1529-1006", "PMID" : "26173283", "abstract" : "Organizations in the United States alone spend billions on training each year. These training and development activities allow organizations to adapt, compete, excel, innovate, produce, be safe, improve service, and reach goals. Training has successfully been used to reduce errors in such high-risk settings as emergency rooms, aviation, and the military. However, training is also important in more conventional organizations. These organizations understand that training helps them to remain competitive by continually educating their workforce. They understand that investing in their employees yields greater results. However, training is not as intuitive as it may seem. There is a science of training that shows that there is a right way and a wrong way to design, deliver, and implement a training program. The research on training clearly shows two things: (a) training works, and (b) the way training is designed, delivered, and implemented matters. This article aims to explain why training is important and how to use training appropriately. Using the training literature as a guide, we explain what training is, why it is important, and provide recommendations for implementing a training program in an organization. In particular, we argue that training is a systematic process, and we explain what matters before, during, and after training. Steps to take at each of these three time periods are listed and described and are summarized in a checklist for ease of use. We conclude with a discussion of implications for both leaders and policymakers and an exploration of issues that may come up when deciding to implement a training program. Furthermore, we include key questions that executives and policymakers should ask about the design, delivery, or implementation of a training program. Finally, we consider future research that is important in this area, including some still unanswered questions and room for development in this evolving field. (PsycINFO Database Record (c) 2012 APA, all rights reserved)", "author" : [ { "dropping-particle" : "", "family" : "Salas", "given" : "Eduardo", "non-dropping-particle" : "", "parse-names" : false, "suffix" : "" }, { "dropping-particle" : "", "family" : "Tannenbaum", "given" : "Scott", "non-dropping-particle" : "", "parse-names" : false, "suffix" : "" }, { "dropping-particle" : "", "family" : "Kraiger", "given" : "Kurt", "non-dropping-particle" : "", "parse-names" : false, "suffix" : "" }, { "dropping-particle" : "", "family" : "Smith-Jentsch", "given" : "Kimberly", "non-dropping-particle" : "", "parse-names" : false, "suffix" : "" } ], "container-title" : "Psychological Science in the Public Interest", "id" : "ITEM-2", "issue" : "2", "issued" : { "date-parts" : [ [ "2012" ] ] }, "page" : "74-101", "title" : "The science of training and development in organizations: What matters in practice.", "type" : "article-journal", "volume" : "13" }, "uris" : [ "http://www.mendeley.com/documents/?uuid=821b56f9-953a-4157-8e1b-b4071f9be1d7" ] } ], "mendeley" : { "formattedCitation" : "(Chen &amp; Klimoski 2007; Salas et al. 2012)", "manualFormatting" : "(Chen &amp; Klimoski, 2007; Salas et al., 2012)", "plainTextFormattedCitation" : "(Chen &amp; Klimoski 2007; Salas et al. 2012)", "previouslyFormattedCitation" : "(Chen &amp; Klimoski 2007; Salas et al. 2012)" }, "properties" : { "noteIndex" : 0 }, "schema" : "https://github.com/citation-style-language/schema/raw/master/csl-citation.json" }</w:instrText>
      </w:r>
      <w:r w:rsidRPr="00452E2E">
        <w:rPr>
          <w:szCs w:val="24"/>
        </w:rPr>
        <w:fldChar w:fldCharType="separate"/>
      </w:r>
      <w:r w:rsidRPr="00452E2E">
        <w:rPr>
          <w:noProof/>
          <w:szCs w:val="24"/>
        </w:rPr>
        <w:t xml:space="preserve">(Chen &amp; Klimoski, 2007; Salas </w:t>
      </w:r>
      <w:r w:rsidRPr="00452E2E">
        <w:rPr>
          <w:i/>
          <w:noProof/>
          <w:szCs w:val="24"/>
        </w:rPr>
        <w:t>et al</w:t>
      </w:r>
      <w:r w:rsidRPr="00452E2E">
        <w:rPr>
          <w:noProof/>
          <w:szCs w:val="24"/>
        </w:rPr>
        <w:t>., 2012)</w:t>
      </w:r>
      <w:r w:rsidRPr="00452E2E">
        <w:rPr>
          <w:szCs w:val="24"/>
        </w:rPr>
        <w:fldChar w:fldCharType="end"/>
      </w:r>
      <w:r w:rsidRPr="00452E2E">
        <w:rPr>
          <w:szCs w:val="24"/>
        </w:rPr>
        <w:t xml:space="preserve">. Such is the value of training that business firms and non-profit organizations alike have realized the need to invest in training of employees </w:t>
      </w:r>
      <w:r w:rsidRPr="00452E2E">
        <w:rPr>
          <w:szCs w:val="24"/>
        </w:rPr>
        <w:fldChar w:fldCharType="begin" w:fldLock="1"/>
      </w:r>
      <w:r w:rsidRPr="00452E2E">
        <w:rPr>
          <w:szCs w:val="24"/>
        </w:rPr>
        <w:instrText>ADDIN CSL_CITATION { "citationItems" : [ { "id" : "ITEM-1", "itemData" : { "author" : [ { "dropping-particle" : "", "family" : "Carvalho", "given" : "Ana", "non-dropping-particle" : "", "parse-names" : false, "suffix" : "" }, { "dropping-particle" : "", "family" : "Melo", "given" : "Solange", "non-dropping-particle" : "", "parse-names" : false, "suffix" : "" }, { "dropping-particle" : "", "family" : "Ferreira", "given" : "Ana Paula", "non-dropping-particle" : "", "parse-names" : false, "suffix" : "" } ], "container-title" : "International Journal of Training and Development", "id" : "ITEM-1", "issue" : "1", "issued" : { "date-parts" : [ [ "2016" ] ] }, "page" : "78-91", "title" : "Training in Portuguese non-profit organizations: The quest towards professionalization", "type" : "article-journal", "volume" : "20" }, "uris" : [ "http://www.mendeley.com/documents/?uuid=4ca18ab7-7c38-4770-bc2d-c17dab13e085" ] } ], "mendeley" : { "formattedCitation" : "(Carvalho et al. 2016)", "manualFormatting" : "(Carvalho et al., 2016)", "plainTextFormattedCitation" : "(Carvalho et al. 2016)", "previouslyFormattedCitation" : "(Carvalho et al. 2016)" }, "properties" : { "noteIndex" : 0 }, "schema" : "https://github.com/citation-style-language/schema/raw/master/csl-citation.json" }</w:instrText>
      </w:r>
      <w:r w:rsidRPr="00452E2E">
        <w:rPr>
          <w:szCs w:val="24"/>
        </w:rPr>
        <w:fldChar w:fldCharType="separate"/>
      </w:r>
      <w:r w:rsidRPr="00452E2E">
        <w:rPr>
          <w:noProof/>
          <w:szCs w:val="24"/>
        </w:rPr>
        <w:t xml:space="preserve">(Carvalho </w:t>
      </w:r>
      <w:r w:rsidRPr="00452E2E">
        <w:rPr>
          <w:i/>
          <w:noProof/>
          <w:szCs w:val="24"/>
        </w:rPr>
        <w:t>et al</w:t>
      </w:r>
      <w:r w:rsidRPr="00452E2E">
        <w:rPr>
          <w:noProof/>
          <w:szCs w:val="24"/>
        </w:rPr>
        <w:t>., 2016)</w:t>
      </w:r>
      <w:r w:rsidRPr="00452E2E">
        <w:rPr>
          <w:szCs w:val="24"/>
        </w:rPr>
        <w:fldChar w:fldCharType="end"/>
      </w:r>
      <w:r w:rsidRPr="00452E2E">
        <w:rPr>
          <w:szCs w:val="24"/>
        </w:rPr>
        <w:t xml:space="preserve">. </w:t>
      </w:r>
      <w:r w:rsidRPr="00452E2E">
        <w:rPr>
          <w:szCs w:val="24"/>
        </w:rPr>
        <w:fldChar w:fldCharType="begin" w:fldLock="1"/>
      </w:r>
      <w:r w:rsidRPr="00452E2E">
        <w:rPr>
          <w:szCs w:val="24"/>
        </w:rPr>
        <w:instrText>ADDIN CSL_CITATION { "citationItems" : [ { "id" : "ITEM-1", "itemData" : { "author" : [ { "dropping-particle" : "", "family" : "Kraiger", "given" : "K.", "non-dropping-particle" : "", "parse-names" : false, "suffix" : "" } ], "container-title" : "Handbook of psychology: Industrial and organizational psychology", "editor" : [ { "dropping-particle" : "", "family" : "Borman", "given" : "W.C.", "non-dropping-particle" : "", "parse-names" : false, "suffix" : "" }, { "dropping-particle" : "", "family" : "Ilgen", "given" : "D.R.", "non-dropping-particle" : "", "parse-names" : false, "suffix" : "" }, { "dropping-particle" : "", "family" : "Klimoski", "given" : "R.J.", "non-dropping-particle" : "", "parse-names" : false, "suffix" : "" } ], "id" : "ITEM-1", "issued" : { "date-parts" : [ [ "2003" ] ] }, "page" : "171-192", "publisher" : "John Wiley and Sons", "publisher-place" : "Hoboken, NJ", "title" : "Perspectives on training and development", "type" : "chapter" }, "uris" : [ "http://www.mendeley.com/documents/?uuid=87863724-7d6a-4ec4-84ee-9b95482e43a0" ] } ], "mendeley" : { "formattedCitation" : "(Kraiger 2003)", "manualFormatting" : "As Kraiger (2003)", "plainTextFormattedCitation" : "(Kraiger 2003)", "previouslyFormattedCitation" : "(Kraiger 2003)" }, "properties" : { "noteIndex" : 0 }, "schema" : "https://github.com/citation-style-language/schema/raw/master/csl-citation.json" }</w:instrText>
      </w:r>
      <w:r w:rsidRPr="00452E2E">
        <w:rPr>
          <w:szCs w:val="24"/>
        </w:rPr>
        <w:fldChar w:fldCharType="separate"/>
      </w:r>
      <w:r w:rsidRPr="00452E2E">
        <w:rPr>
          <w:noProof/>
          <w:szCs w:val="24"/>
        </w:rPr>
        <w:t>As Kraiger (2003)</w:t>
      </w:r>
      <w:r w:rsidRPr="00452E2E">
        <w:rPr>
          <w:szCs w:val="24"/>
        </w:rPr>
        <w:fldChar w:fldCharType="end"/>
      </w:r>
      <w:r w:rsidRPr="00452E2E">
        <w:rPr>
          <w:szCs w:val="24"/>
        </w:rPr>
        <w:t xml:space="preserve"> earlier noted, the investment in training sets apart successful organizations from others. This indicates that organizations and countries require training of its workforce in order to be competitive </w:t>
      </w:r>
      <w:r w:rsidRPr="00452E2E">
        <w:rPr>
          <w:szCs w:val="24"/>
        </w:rPr>
        <w:fldChar w:fldCharType="begin" w:fldLock="1"/>
      </w:r>
      <w:r w:rsidRPr="00452E2E">
        <w:rPr>
          <w:szCs w:val="24"/>
        </w:rPr>
        <w:instrText>ADDIN CSL_CITATION { "citationItems" : [ { "id" : "ITEM-1", "itemData" : { "DOI" : "10.1177/1529100612436661", "ISBN" : "15291006", "ISSN" : "1529-1006", "PMID" : "26173283", "abstract" : "Organizations in the United States alone spend billions on training each year. These training and development activities allow organizations to adapt, compete, excel, innovate, produce, be safe, improve service, and reach goals. Training has successfully been used to reduce errors in such high-risk settings as emergency rooms, aviation, and the military. However, training is also important in more conventional organizations. These organizations understand that training helps them to remain competitive by continually educating their workforce. They understand that investing in their employees yields greater results. However, training is not as intuitive as it may seem. There is a science of training that shows that there is a right way and a wrong way to design, deliver, and implement a training program. The research on training clearly shows two things: (a) training works, and (b) the way training is designed, delivered, and implemented matters. This article aims to explain why training is important and how to use training appropriately. Using the training literature as a guide, we explain what training is, why it is important, and provide recommendations for implementing a training program in an organization. In particular, we argue that training is a systematic process, and we explain what matters before, during, and after training. Steps to take at each of these three time periods are listed and described and are summarized in a checklist for ease of use. We conclude with a discussion of implications for both leaders and policymakers and an exploration of issues that may come up when deciding to implement a training program. Furthermore, we include key questions that executives and policymakers should ask about the design, delivery, or implementation of a training program. Finally, we consider future research that is important in this area, including some still unanswered questions and room for development in this evolving field. (PsycINFO Database Record (c) 2012 APA, all rights reserved)", "author" : [ { "dropping-particle" : "", "family" : "Salas", "given" : "Eduardo", "non-dropping-particle" : "", "parse-names" : false, "suffix" : "" }, { "dropping-particle" : "", "family" : "Tannenbaum", "given" : "Scott", "non-dropping-particle" : "", "parse-names" : false, "suffix" : "" }, { "dropping-particle" : "", "family" : "Kraiger", "given" : "Kurt", "non-dropping-particle" : "", "parse-names" : false, "suffix" : "" }, { "dropping-particle" : "", "family" : "Smith-Jentsch", "given" : "Kimberly", "non-dropping-particle" : "", "parse-names" : false, "suffix" : "" } ], "container-title" : "Psychological Science in the Public Interest", "id" : "ITEM-1", "issue" : "2", "issued" : { "date-parts" : [ [ "2012" ] ] }, "page" : "74-101", "title" : "The science of training and development in organizations: What matters in practice.", "type" : "article-journal", "volume" : "13" }, "uris" : [ "http://www.mendeley.com/documents/?uuid=821b56f9-953a-4157-8e1b-b4071f9be1d7" ] } ], "mendeley" : { "formattedCitation" : "(Salas et al. 2012)", "manualFormatting" : "(Salas et al., 2012)", "plainTextFormattedCitation" : "(Salas et al. 2012)", "previouslyFormattedCitation" : "(Salas et al. 2012)" }, "properties" : { "noteIndex" : 0 }, "schema" : "https://github.com/citation-style-language/schema/raw/master/csl-citation.json" }</w:instrText>
      </w:r>
      <w:r w:rsidRPr="00452E2E">
        <w:rPr>
          <w:szCs w:val="24"/>
        </w:rPr>
        <w:fldChar w:fldCharType="separate"/>
      </w:r>
      <w:r w:rsidRPr="00452E2E">
        <w:rPr>
          <w:noProof/>
          <w:szCs w:val="24"/>
        </w:rPr>
        <w:t xml:space="preserve">(Salas </w:t>
      </w:r>
      <w:r w:rsidRPr="00452E2E">
        <w:rPr>
          <w:i/>
          <w:noProof/>
          <w:szCs w:val="24"/>
        </w:rPr>
        <w:t>et al</w:t>
      </w:r>
      <w:r w:rsidRPr="00452E2E">
        <w:rPr>
          <w:noProof/>
          <w:szCs w:val="24"/>
        </w:rPr>
        <w:t>., 2012)</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Due to the importance of training to economic growth of nations through improvement in human capital </w:t>
      </w:r>
      <w:r w:rsidRPr="00452E2E">
        <w:rPr>
          <w:szCs w:val="24"/>
        </w:rPr>
        <w:fldChar w:fldCharType="begin" w:fldLock="1"/>
      </w:r>
      <w:r w:rsidRPr="00452E2E">
        <w:rPr>
          <w:szCs w:val="24"/>
        </w:rPr>
        <w:instrText>ADDIN CSL_CITATION { "citationItems" : [ { "id" : "ITEM-1", "itemData" : { "DOI" : "10.1016/j.euroecorev.2012.09.004", "ISSN" : "00142921", "abstract" : "This paper seeks to gain insights into the relationship between growth and unemployment in a setting with heterogeneous skills, human capital accumulation, on-the-job training and capital-skill complementarity. We use an endogenous job destruction framework in the style of Mortensen and Pissarides (1998) with directed search. We show that when growth accelerates, a larger share of unskilled workers seeks training, increasing firms' incentives to update job-specific technology (rather than destroying it). By magnifying the impact of growth on employment, the introduction of human capital issues allows the model to more closely match the estimated sensitivity of unemployment with respect to growth. When calibrated, the model manages to reproduce the aggregate capitalization effect estimated using OECD data. We find that growth reduces unemployment for individuals receiving training, while it increases the unemployment rate of unskilled workers without training (creative destruction effect). ?? 2012 Elsevier B.V.", "author" : [ { "dropping-particle" : "", "family" : "Moreno-Galbis", "given" : "Eva", "non-dropping-particle" : "", "parse-names" : false, "suffix" : "" } ], "container-title" : "European Economic Review", "id" : "ITEM-1", "issue" : "8", "issued" : { "date-parts" : [ [ "2012" ] ] }, "page" : "1692-1713", "publisher" : "Elsevier", "title" : "The impact of TFP growth on the unemployment rate: Does on-the-job training matter?", "type" : "article-journal", "volume" : "56" }, "uris" : [ "http://www.mendeley.com/documents/?uuid=92b43357-c575-473f-809c-e3211878fd89" ] } ], "mendeley" : { "formattedCitation" : "(Moreno-Galbis 2012)", "manualFormatting" : "(Moreno-Galbis, 2012)", "plainTextFormattedCitation" : "(Moreno-Galbis 2012)", "previouslyFormattedCitation" : "(Moreno-Galbis 2012)" }, "properties" : { "noteIndex" : 0 }, "schema" : "https://github.com/citation-style-language/schema/raw/master/csl-citation.json" }</w:instrText>
      </w:r>
      <w:r w:rsidRPr="00452E2E">
        <w:rPr>
          <w:szCs w:val="24"/>
        </w:rPr>
        <w:fldChar w:fldCharType="separate"/>
      </w:r>
      <w:r w:rsidRPr="00452E2E">
        <w:rPr>
          <w:noProof/>
          <w:szCs w:val="24"/>
        </w:rPr>
        <w:t>(Moreno-Galbis, 2012)</w:t>
      </w:r>
      <w:r w:rsidRPr="00452E2E">
        <w:rPr>
          <w:szCs w:val="24"/>
        </w:rPr>
        <w:fldChar w:fldCharType="end"/>
      </w:r>
      <w:r w:rsidRPr="00452E2E">
        <w:rPr>
          <w:szCs w:val="24"/>
        </w:rPr>
        <w:t xml:space="preserve">, many countries have fashioned out policies to ensure that employers provide training to employees </w:t>
      </w: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"222-236", "publisher" : "Routledge", "publisher-place" : "London", "title" : "Human resource development", "type" : "chapter" }, "uris" : [ "http://www.mendeley.com/documents/?uuid=07875ec2-ef24-4f0a-a573-2d6ff9218869" ] } ], "mendeley" : { "formattedCitation" : "(Grugulis 2009)", "manualFormatting" : "(Grugulis, 2013)", "plainTextFormattedCitation" : "(Grugulis 2009)", "previouslyFormattedCitation" : "(Grugulis 2009)" }, "properties" : { "noteIndex" : 0 }, "schema" : "https://github.com/citation-style-language/schema/raw/master/csl-citation.json" }</w:instrText>
      </w:r>
      <w:r w:rsidRPr="00452E2E">
        <w:rPr>
          <w:szCs w:val="24"/>
        </w:rPr>
        <w:fldChar w:fldCharType="separate"/>
      </w:r>
      <w:r w:rsidRPr="00452E2E">
        <w:rPr>
          <w:noProof/>
          <w:szCs w:val="24"/>
        </w:rPr>
        <w:t>(Grugulis, 2013)</w:t>
      </w:r>
      <w:r w:rsidRPr="00452E2E">
        <w:rPr>
          <w:szCs w:val="24"/>
        </w:rPr>
        <w:fldChar w:fldCharType="end"/>
      </w:r>
      <w:r w:rsidRPr="00452E2E">
        <w:rPr>
          <w:szCs w:val="24"/>
        </w:rPr>
        <w:t xml:space="preserve">. According to </w:t>
      </w:r>
      <w:r w:rsidRPr="00452E2E">
        <w:rPr>
          <w:szCs w:val="24"/>
        </w:rPr>
        <w:fldChar w:fldCharType="begin" w:fldLock="1"/>
      </w:r>
      <w:r w:rsidRPr="00452E2E">
        <w:rPr>
          <w:szCs w:val="24"/>
        </w:rPr>
        <w:instrText>ADDIN CSL_CITATION { "citationItems" : [ { "id" : "ITEM-1", "itemData" : { "DOI" : "10.1016/j.hrmr.2007.07.004", "ISBN" : "1053-4822", "ISSN" : "10534822", "PMID" : "26488629", "abstract" : "This paper aims to advance understanding of the effects of training on organizational-level outcomes by reviewing the results of previous studies that have investigated the relationship between training and human resource, performance, and financial outcomes. The results of meta-analysis from 67 studies suggest that training is positively related to human resource outcomes and organizational performance but is only very weakly related to financial outcomes. The relationship between training and firm performance may be mediated by employee attitudes and human capital. Furthermore, training appears to be more strongly related to organizational outcomes when it is matched with key contextual factors such as organization capital intensity and business strategy, in support of the contingency perspective. Further, training is related independently to organizational outcomes in support of the universalistic perspective of strategic human resource management rather than a configurational perspective. The paper concludes with a critique of previous studies and directions for future research. Particular emphasis is given to the need for future research to integrate individual-level (micro) and organizational-level (macro) training research, models, and theory. ?? 2007 Elsevier Inc. All rights reserved.", "author" : [ { "dropping-particle" : "", "family" : "Tharenou", "given" : "Phyllis", "non-dropping-particle" : "", "parse-names" : false, "suffix" : "" }, { "dropping-particle" : "", "family" : "Saks", "given" : "Alan M.", "non-dropping-particle" : "", "parse-names" : false, "suffix" : "" }, { "dropping-particle" : "", "family" : "Moore", "given" : "Celia", "non-dropping-particle" : "", "parse-names" : false, "suffix" : "" } ], "container-title" : "Human Resource Management Review", "id" : "ITEM-1", "issue" : "3", "issued" : { "date-parts" : [ [ "2007" ] ] }, "page" : "251-273", "title" : "A review and critique of research on training and organizational-level outcomes", "type" : "article-journal", "volume" : "17" }, "uris" : [ "http://www.mendeley.com/documents/?uuid=e70ccfd2-405c-4a40-a406-6f9c73c24820" ] } ], "mendeley" : { "formattedCitation" : "(Tharenou et al. 2007)", "manualFormatting" : "Tharenou et al. (2007 p. 252)", "plainTextFormattedCitation" : "(Tharenou et al. 2007)", "previouslyFormattedCitation" : "(Tharenou et al. 2007)" }, "properties" : { "noteIndex" : 0 }, "schema" : "https://github.com/citation-style-language/schema/raw/master/csl-citation.json" }</w:instrText>
      </w:r>
      <w:r w:rsidRPr="00452E2E">
        <w:rPr>
          <w:szCs w:val="24"/>
        </w:rPr>
        <w:fldChar w:fldCharType="separate"/>
      </w:r>
      <w:r w:rsidRPr="00452E2E">
        <w:rPr>
          <w:noProof/>
          <w:szCs w:val="24"/>
        </w:rPr>
        <w:t xml:space="preserve">Tharenou </w:t>
      </w:r>
      <w:r w:rsidRPr="00452E2E">
        <w:rPr>
          <w:i/>
          <w:noProof/>
          <w:szCs w:val="24"/>
        </w:rPr>
        <w:t>et al</w:t>
      </w:r>
      <w:r w:rsidRPr="00452E2E">
        <w:rPr>
          <w:noProof/>
          <w:szCs w:val="24"/>
        </w:rPr>
        <w:t>. (2007 p. 252)</w:t>
      </w:r>
      <w:r w:rsidRPr="00452E2E">
        <w:rPr>
          <w:szCs w:val="24"/>
        </w:rPr>
        <w:fldChar w:fldCharType="end"/>
      </w:r>
      <w:r w:rsidRPr="00452E2E">
        <w:rPr>
          <w:szCs w:val="24"/>
        </w:rPr>
        <w:t xml:space="preserve">, training is the “systematic acquisition and development of the knowledge, skills, and attitudes required by employees to adequately perform a task or job or to improve performance in the job environment”.  This suggests that training results to the increase in skills and productivity with </w:t>
      </w:r>
      <w:r w:rsidR="002D4F5D" w:rsidRPr="00452E2E">
        <w:rPr>
          <w:szCs w:val="24"/>
        </w:rPr>
        <w:t>a</w:t>
      </w:r>
      <w:r w:rsidRPr="00452E2E">
        <w:rPr>
          <w:szCs w:val="24"/>
        </w:rPr>
        <w:t xml:space="preserve"> potential effect on competitiveness</w:t>
      </w:r>
      <w:r w:rsidR="00DF0150" w:rsidRPr="00452E2E">
        <w:rPr>
          <w:szCs w:val="24"/>
        </w:rPr>
        <w:t>,</w:t>
      </w:r>
      <w:r w:rsidRPr="00452E2E">
        <w:rPr>
          <w:szCs w:val="24"/>
        </w:rPr>
        <w:t xml:space="preserve"> thereby benefitting different stakeholders such as employees, teams, organizations, and even national economies </w:t>
      </w:r>
      <w:r w:rsidRPr="00452E2E">
        <w:rPr>
          <w:szCs w:val="24"/>
        </w:rPr>
        <w:fldChar w:fldCharType="begin" w:fldLock="1"/>
      </w:r>
      <w:r w:rsidRPr="00452E2E">
        <w:rPr>
          <w:szCs w:val="24"/>
        </w:rPr>
        <w:instrText>ADDIN CSL_CITATION { "citationItems" : [ { "id" : "ITEM-1", "itemData" : { "abstract" : "This article provides a review of the training and development literature since the year 2000. We review the literature focusing on the benefits of training and development for individuals and teams, organizations, and society. We adopt a multidisciplinary, multilevel, and global perspective to demonstrate that training and development activities in work organizations can produce important benefits for each of these stakeholders. We also review the literature on needs assessment and pretraining states, training design and delivery, training evaluation, and transfer of training to identify the conditions under which the benefits of training and development are maximized. Finally, we identify research gaps and offer directions for future research.", "author" : [ { "dropping-particle" : "", "family" : "Aguinis", "given" : "Herman", "non-dropping-particle" : "", "parse-names" : false, "suffix" : "" }, { "dropping-particle" : "", "family" : "Kraiger", "given" : "Kurt", "non-dropping-particle" : "", "parse-names" : false, "suffix" : "" } ], "container-title" : "Annual Review of Psychology", "id" : "ITEM-1", "issued" : { "date-parts" : [ [ "2009" ] ] }, "page" : "451-474", "title" : "Benefits of training and development for individuals and teams, organizations, and society", "type" : "article-journal", "volume" : "60" }, "uris" : [ "http://www.mendeley.com/documents/?uuid=88d006ad-00f5-4239-82a5-aa10e3718853" ] }, { "id" : "ITEM-2", "itemData" : { "author" : [ { "dropping-particle" : "", "family" : "Grugulis", "given" : "I.",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"ITEM-2", "issued" : { "date-parts" : [ [ "2009" ] ] }, "page" : "222-236", "publisher" : "Routledge", "publisher-place" : "London", "title" : "Human resource development", "type" : "chapter" }, "uris" : [ "http://www.mendeley.com/documents/?uuid=07875ec2-ef24-4f0a-a573-2d6ff9218869" ] } ], "mendeley" : { "formattedCitation" : "(Aguinis &amp; Kraiger 2009; Grugulis 2009)", "manualFormatting" : "(Aguinis &amp; Kraiger, 2009; Grugulis, 2009)", "plainTextFormattedCitation" : "(Aguinis &amp; Kraiger 2009; Grugulis 2009)", "previouslyFormattedCitation" : "(Aguinis &amp; Kraiger 2009; Grugulis 2009)" }, "properties" : { "noteIndex" : 0 }, "schema" : "https://github.com/citation-style-language/schema/raw/master/csl-citation.json" }</w:instrText>
      </w:r>
      <w:r w:rsidRPr="00452E2E">
        <w:rPr>
          <w:szCs w:val="24"/>
        </w:rPr>
        <w:fldChar w:fldCharType="separate"/>
      </w:r>
      <w:r w:rsidRPr="00452E2E">
        <w:rPr>
          <w:noProof/>
          <w:szCs w:val="24"/>
        </w:rPr>
        <w:t>(Aguinis &amp; Kraiger, 2009; Grugulis, 2009)</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More so, training helps in preparing employees for future jobs whilst guarding organizations against skill shortages </w:t>
      </w: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"222-236", "publisher" : "Routledge", "publisher-place" : "London", "title" : "Human resource development", "type" : "chapter" }, "uris" : [ "http://www.mendeley.com/documents/?uuid=07875ec2-ef24-4f0a-a573-2d6ff9218869" ] } ], "mendeley" : { "formattedCitation" : "(Grugulis 2009)", "manualFormatting" : "(Grugulis, 2009)", "plainTextFormattedCitation" : "(Grugulis 2009)", "previouslyFormattedCitation" : "(Grugulis 2009)" }, "properties" : { "noteIndex" : 0 }, "schema" : "https://github.com/citation-style-language/schema/raw/master/csl-citation.json" }</w:instrText>
      </w:r>
      <w:r w:rsidRPr="00452E2E">
        <w:rPr>
          <w:szCs w:val="24"/>
        </w:rPr>
        <w:fldChar w:fldCharType="separate"/>
      </w:r>
      <w:r w:rsidRPr="00452E2E">
        <w:rPr>
          <w:noProof/>
          <w:szCs w:val="24"/>
        </w:rPr>
        <w:t>(Grugulis, 2009)</w:t>
      </w:r>
      <w:r w:rsidRPr="00452E2E">
        <w:rPr>
          <w:szCs w:val="24"/>
        </w:rPr>
        <w:fldChar w:fldCharType="end"/>
      </w:r>
      <w:r w:rsidRPr="00452E2E">
        <w:rPr>
          <w:szCs w:val="24"/>
        </w:rPr>
        <w:t xml:space="preserve">. Consequently, where there is need to fill vacancies internally, organizations can easily do so when they have trained employees with the right amount of skills required </w:t>
      </w: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"chapter-number" : "5",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"ITEM-1", "issued" : { "date-parts" : [ [ "2013" ] ] }, "page" : "151-175", "publisher" : "Pearson", "publisher-place" : "Harlow", "title" : "Training and development", "type" : "chapter" }, "uris" : [ "http://www.mendeley.com/documents/?uuid=5c08e6dd-f632-4e80-a2e0-e92629316748" ] } ], "mendeley" : { "formattedCitation" : "(Grugulis 2013)", "manualFormatting" : "(Grugulis, 2013)", "plainTextFormattedCitation" : "(Grugulis 2013)", "previouslyFormattedCitation" : "(Grugulis 2013)" }, "properties" : { "noteIndex" : 0 }, "schema" : "https://github.com/citation-style-language/schema/raw/master/csl-citation.json" }</w:instrText>
      </w:r>
      <w:r w:rsidRPr="00452E2E">
        <w:rPr>
          <w:szCs w:val="24"/>
        </w:rPr>
        <w:fldChar w:fldCharType="separate"/>
      </w:r>
      <w:r w:rsidRPr="00452E2E">
        <w:rPr>
          <w:noProof/>
          <w:szCs w:val="24"/>
        </w:rPr>
        <w:t>(Grugulis, 2013)</w:t>
      </w:r>
      <w:r w:rsidRPr="00452E2E">
        <w:rPr>
          <w:szCs w:val="24"/>
        </w:rPr>
        <w:fldChar w:fldCharType="end"/>
      </w:r>
      <w:r w:rsidRPr="00452E2E">
        <w:rPr>
          <w:szCs w:val="24"/>
        </w:rPr>
        <w:t xml:space="preserve">. Training also signals to employees that organizations care for their development and well-being which in turn engender positive attitudinal outcomes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"DOI" : "10.1016/j.hrmr.2009.03.002", "ISBN" : "1053-4822", "ISSN" : "10534822", "abstract" : "Training is an important function of human resource management. However, prior research about the relation between culture and training mostly focuses on a particular region, uses a few single case studies or examines only one or a few dimensions of culture at a time. We believe a more holistic and systematic approach is warranted. To address this need, we provide a theoretical framework which proposes that cultural factors affect training effectiveness via (1) contents and methods, (2) selection of trainers, and (3) learners' motivation, valence and learning style. In the context of cross-cultural training, we also reason that the congruence between parent and host culture influences training process and effectiveness. Implications for practice and future research are discussed. \u00a9 2009 Elsevier Inc. All rights reserved.", "author" : [ { "dropping-particle" : "", "family" : "Yang", "given" : "Baiyin", "non-dropping-particle" : "", "parse-names" : false, "suffix" : "" }, { "dropping-particle" : "", "family" : "Wang", "given" : "Yingchun", "non-dropping-particle" : "", "parse-names" : false, "suffix" : "" }, { "dropping-particle" : "", "family" : "Drewry", "given" : "Anne Wang", "non-dropping-particle" : "", "parse-names" : false, "suffix" : "" } ], "container-title" : "Human Resource Management Review", "id" : "ITEM-2", "issue" : "4", "issued" : { "date-parts" : [ [ "2009" ] ] }, "page" : "324-333", "publisher" : "Elsevier Inc.", "title" : "Does it matter where to conduct training? Accounting for cultural factors", "type" : "article-journal", "volume" : "19" }, "uris" : [ "http://www.mendeley.com/documents/?uuid=f14d6470-059b-41bc-8509-d4aaf007b2b0" ] } ], "mendeley" : { "formattedCitation" : "(Meyer &amp; Smith 2000; Yang et al. 2009)", "manualFormatting" : "(Meyer &amp; Smith, 2000; Yang et al., 2009)", "plainTextFormattedCitation" : "(Meyer &amp; Smith 2000; Yang et al. 2009)", "previouslyFormattedCitation" : "(Meyer &amp; Smith 2000; Yang et al. 2009)" }, "properties" : { "noteIndex" : 0 }, "schema" : "https://github.com/citation-style-language/schema/raw/master/csl-citation.json" }</w:instrText>
      </w:r>
      <w:r w:rsidRPr="00452E2E">
        <w:rPr>
          <w:szCs w:val="24"/>
        </w:rPr>
        <w:fldChar w:fldCharType="separate"/>
      </w:r>
      <w:r w:rsidRPr="00452E2E">
        <w:rPr>
          <w:noProof/>
          <w:szCs w:val="24"/>
        </w:rPr>
        <w:t xml:space="preserve">(Meyer &amp; Smith, 2000; Yang </w:t>
      </w:r>
      <w:r w:rsidRPr="00452E2E">
        <w:rPr>
          <w:i/>
          <w:noProof/>
          <w:szCs w:val="24"/>
        </w:rPr>
        <w:t>et al</w:t>
      </w:r>
      <w:r w:rsidRPr="00452E2E">
        <w:rPr>
          <w:noProof/>
          <w:szCs w:val="24"/>
        </w:rPr>
        <w:t>., 2009)</w:t>
      </w:r>
      <w:r w:rsidRPr="00452E2E">
        <w:rPr>
          <w:szCs w:val="24"/>
        </w:rPr>
        <w:fldChar w:fldCharType="end"/>
      </w:r>
      <w:r w:rsidRPr="00452E2E">
        <w:rPr>
          <w:szCs w:val="24"/>
        </w:rPr>
        <w:t xml:space="preserve">. Additionally, in contexts where participation is promoted, training equips employees with the capacity to contribute meaningfully to work processes with a resultant effect on employee motivation and productivity </w:t>
      </w:r>
      <w:r w:rsidRPr="00452E2E">
        <w:rPr>
          <w:szCs w:val="24"/>
        </w:rPr>
        <w:fldChar w:fldCharType="begin" w:fldLock="1"/>
      </w:r>
      <w:r w:rsidRPr="00452E2E">
        <w:rPr>
          <w:szCs w:val="24"/>
        </w:rPr>
        <w:instrText>ADDIN CSL_CITATION { "citationItems" : [ { "id" : "ITEM-1", "itemData" : { "abstract" : "This article provides a review of the training and development literature since the year 2000. We review the literature focusing on the benefits of training and development for individuals and teams, organizations, and society. We adopt a multidisciplinary, multilevel, and global perspective to demonstrate that training and development activities in work organizations can produce important benefits for each of these stakeholders. We also review the literature on needs assessment and pretraining states, training design and delivery, training evaluation, and transfer of training to identify the conditions under which the benefits of training and development are maximized. Finally, we identify research gaps and offer directions for future research.", "author" : [ { "dropping-particle" : "", "family" : "Aguinis", "given" : "Herman", "non-dropping-particle" : "", "parse-names" : false, "suffix" : "" }, { "dropping-particle" : "", "family" : "Kraiger", "given" : "Kurt", "non-dropping-particle" : "", "parse-names" : false, "suffix" : "" } ], "container-title" : "Annual Review of Psychology", "id" : "ITEM-1", "issued" : { "date-parts" : [ [ "2009" ] ] }, "page" : "451-474", "title" : "Benefits of training and development for individuals and teams, organizations, and society", "type" : "article-journal", "volume" : "60" }, "uris" : [ "http://www.mendeley.com/documents/?uuid=88d006ad-00f5-4239-82a5-aa10e3718853" ] }, { "id" : "ITEM-2", "itemData" : { "DOI" : "10.1016/j.hrmr.2007.07.004", "ISBN" : "1053-4822", "ISSN" : "10534822", "PMID" : "26488629", "abstract" : "This paper aims to advance understanding of the effects of training on organizational-level outcomes by reviewing the results of previous studies that have investigated the relationship between training and human resource, performance, and financial outcomes. The results of meta-analysis from 67 studies suggest that training is positively related to human resource outcomes and organizational performance but is only very weakly related to financial outcomes. The relationship between training and firm performance may be mediated by employee attitudes and human capital. Furthermore, training appears to be more strongly related to organizational outcomes when it is matched with key contextual factors such as organization capital intensity and business strategy, in support of the contingency perspective. Further, training is related independently to organizational outcomes in support of the universalistic perspective of strategic human resource management rather than a configurational perspective. The paper concludes with a critique of previous studies and directions for future research. Particular emphasis is given to the need for future research to integrate individual-level (micro) and organizational-level (macro) training research, models, and theory. ?? 2007 Elsevier Inc. All rights reserved.", "author" : [ { "dropping-particle" : "", "family" : "Tharenou", "given" : "Phyllis", "non-dropping-particle" : "", "parse-names" : false, "suffix" : "" }, { "dropping-particle" : "", "family" : "Saks", "given" : "Alan M.", "non-dropping-particle" : "", "parse-names" : false, "suffix" : "" }, { "dropping-particle" : "", "family" : "Moore", "given" : "Celia", "non-dropping-particle" : "", "parse-names" : false, "suffix" : "" } ], "container-title" : "Human Resource Management Review", "id" : "ITEM-2", "issue" : "3", "issued" : { "date-parts" : [ [ "2007" ] ] }, "page" : "251-273", "title" : "A review and critique of research on training and organizational-level outcomes", "type" : "article-journal", "volume" : "17" }, "uris" : [ "http://www.mendeley.com/documents/?uuid=e70ccfd2-405c-4a40-a406-6f9c73c24820" ] }, { "id" : "ITEM-3", "itemData" : { "author" : [ { "dropping-particle" : "", "family" : "Grugulis", "given" : "I.", "non-dropping-particle" : "", "parse-names" : false, "suffix" : "" } ], "chapter-number" : "5",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"ITEM-3", "issued" : { "date-parts" : [ [ "2013" ] ] }, "page" : "151-175", "publisher" : "Pearson", "publisher-place" : "Harlow", "title" : "Training and development", "type" : "chapter" }, "uris" : [ "http://www.mendeley.com/documents/?uuid=5c08e6dd-f632-4e80-a2e0-e92629316748" ] } ], "mendeley" : { "formattedCitation" : "(Aguinis &amp; Kraiger 2009; Tharenou et al. 2007; Grugulis 2013)", "manualFormatting" : "(Tharenou et al., 2007; Aguinis &amp; Kraiger, 2009; Grugulis, 2013)", "plainTextFormattedCitation" : "(Aguinis &amp; Kraiger 2009; Tharenou et al. 2007; Grugulis 2013)", "previouslyFormattedCitation" : "(Aguinis &amp; Kraiger 2009; Tharenou et al. 2007; Grugulis 2013)" }, "properties" : { "noteIndex" : 0 }, "schema" : "https://github.com/citation-style-language/schema/raw/master/csl-citation.json" }</w:instrText>
      </w:r>
      <w:r w:rsidRPr="00452E2E">
        <w:rPr>
          <w:szCs w:val="24"/>
        </w:rPr>
        <w:fldChar w:fldCharType="separate"/>
      </w:r>
      <w:r w:rsidRPr="00452E2E">
        <w:rPr>
          <w:noProof/>
          <w:szCs w:val="24"/>
        </w:rPr>
        <w:t xml:space="preserve">(Tharenou </w:t>
      </w:r>
      <w:r w:rsidRPr="00452E2E">
        <w:rPr>
          <w:i/>
          <w:noProof/>
          <w:szCs w:val="24"/>
        </w:rPr>
        <w:t>et al</w:t>
      </w:r>
      <w:r w:rsidRPr="00452E2E">
        <w:rPr>
          <w:noProof/>
          <w:szCs w:val="24"/>
        </w:rPr>
        <w:t>., 2007; Aguinis &amp; Kraiger, 2009; Grugulis, 2013)</w:t>
      </w:r>
      <w:r w:rsidRPr="00452E2E">
        <w:rPr>
          <w:szCs w:val="24"/>
        </w:rPr>
        <w:fldChar w:fldCharType="end"/>
      </w:r>
      <w:r w:rsidRPr="00452E2E">
        <w:rPr>
          <w:szCs w:val="24"/>
        </w:rPr>
        <w:t xml:space="preserve">. </w:t>
      </w:r>
      <w:r w:rsidRPr="00452E2E">
        <w:rPr>
          <w:szCs w:val="24"/>
        </w:rPr>
        <w:lastRenderedPageBreak/>
        <w:t xml:space="preserve">Accordingly, HR practices such as team-working, total quality management, participation and quality improvement initiatives work better in environments where training is prioritized </w:t>
      </w: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"222-236", "publisher" : "Routledge", "publisher-place" : "London", "title" : "Human resource development", "type" : "chapter" }, "uris" : [ "http://www.mendeley.com/documents/?uuid=07875ec2-ef24-4f0a-a573-2d6ff9218869" ] } ], "mendeley" : { "formattedCitation" : "(Grugulis 2009)", "manualFormatting" : "(Grugulis 2009; 2013)", "plainTextFormattedCitation" : "(Grugulis 2009)", "previouslyFormattedCitation" : "(Grugulis 2009)" }, "properties" : { "noteIndex" : 0 }, "schema" : "https://github.com/citation-style-language/schema/raw/master/csl-citation.json" }</w:instrText>
      </w:r>
      <w:r w:rsidRPr="00452E2E">
        <w:rPr>
          <w:szCs w:val="24"/>
        </w:rPr>
        <w:fldChar w:fldCharType="separate"/>
      </w:r>
      <w:r w:rsidRPr="00452E2E">
        <w:rPr>
          <w:noProof/>
          <w:szCs w:val="24"/>
        </w:rPr>
        <w:t>(Grugulis 2009; 2013)</w:t>
      </w:r>
      <w:r w:rsidRPr="00452E2E">
        <w:rPr>
          <w:szCs w:val="24"/>
        </w:rPr>
        <w:fldChar w:fldCharType="end"/>
      </w:r>
      <w:r w:rsidRPr="00452E2E">
        <w:rPr>
          <w:szCs w:val="24"/>
        </w:rPr>
        <w:t xml:space="preserve">. On the other hand, where training is not given due attention, employees become less proficient in the performance of their jobs resulting </w:t>
      </w:r>
      <w:r w:rsidR="00F66F1A" w:rsidRPr="00452E2E">
        <w:rPr>
          <w:szCs w:val="24"/>
        </w:rPr>
        <w:t>in</w:t>
      </w:r>
      <w:r w:rsidRPr="00452E2E">
        <w:rPr>
          <w:szCs w:val="24"/>
        </w:rPr>
        <w:t xml:space="preserve"> costly errors, high turnover, a reduction in quality of products and services, and customer complaints </w:t>
      </w:r>
      <w:r w:rsidRPr="00452E2E">
        <w:rPr>
          <w:szCs w:val="24"/>
        </w:rPr>
        <w:fldChar w:fldCharType="begin" w:fldLock="1"/>
      </w:r>
      <w:r w:rsidRPr="00452E2E">
        <w:rPr>
          <w:szCs w:val="24"/>
        </w:rPr>
        <w:instrText>ADDIN CSL_CITATION { "citationItems" : [ { "id" : "ITEM-1", "itemData" : { "DOI" : "10.1080/09585192.2011.606113", "ISBN" : "0958-5192", "ISSN" : "0958-5192", "abstract" : "Despite the dithyramb on training found throughout the literature, its impact on organizational performance still remains a \u2018black box\u2019 yet to be unlocked. Indeed, neither the intervening process nor the factors that mediate training effectiveness have been substantively explored or linked together in a framework. In this paper, gaining insights from the concept of the balanced scorecard and using the service profit chain as a strategy map, an attempt is made to formulate a casual linkage value chain that highlights one possible route through which training can impact organizational performance. Using a predictive design, data were collected from multiple sources (employees, customers, and the bank's financial records) and raters from a sample of 30 branches of a Greek bank. The findings confirmed a framework illuminating a value exchange process ignited by training. More precisely, the results suggested that a formal, structured, and long-term approach to training, as well as certain pre- and post-training conditions and activities, improve training effectiveness by creating positive perceptions about the training's value. The generated for employees value results to higher levels of job satisfaction which boosts employee loyalty, creating in this sense value for the organization. This value is reflected to customers, in terms of better service quality, and reciprocated to the organization through higher customer satisfaction and branch loyalty leading to improved profitability at the branch level. [ABSTRACT FROM PUBLISHER]", "author" : [ { "dropping-particle" : "", "family" : "Glaveli", "given" : "Niki", "non-dropping-particle" : "", "parse-names" : false, "suffix" : "" }, { "dropping-particle" : "", "family" : "Karassavidou", "given" : "Eleonora", "non-dropping-particle" : "", "parse-names" : false, "suffix" : "" } ], "container-title" : "The International Journal of Human Resource Management", "id" : "ITEM-1", "issue" : "14", "issued" : { "date-parts" : [ [ "2011" ] ] }, "page" : "2892-2923", "title" : "Exploring a possible route through which training affects organizational performance: The case of a Greek bank", "type" : "article-journal", "volume" : "22" }, "uris" : [ "http://www.mendeley.com/documents/?uuid=5ac07b88-76aa-4bf6-accc-d3fb3e2864f0" ] } ], "mendeley" : { "formattedCitation" : "(Glaveli &amp; Karassavidou 2011)", "manualFormatting" : "(Glaveli &amp; Karassavidou, 2011)", "plainTextFormattedCitation" : "(Glaveli &amp; Karassavidou 2011)", "previouslyFormattedCitation" : "(Glaveli &amp; Karassavidou 2011)" }, "properties" : { "noteIndex" : 0 }, "schema" : "https://github.com/citation-style-language/schema/raw/master/csl-citation.json" }</w:instrText>
      </w:r>
      <w:r w:rsidRPr="00452E2E">
        <w:rPr>
          <w:szCs w:val="24"/>
        </w:rPr>
        <w:fldChar w:fldCharType="separate"/>
      </w:r>
      <w:r w:rsidRPr="00452E2E">
        <w:rPr>
          <w:noProof/>
          <w:szCs w:val="24"/>
        </w:rPr>
        <w:t>(Glaveli &amp; Karassavidou, 2011)</w:t>
      </w:r>
      <w:r w:rsidRPr="00452E2E">
        <w:rPr>
          <w:szCs w:val="24"/>
        </w:rPr>
        <w:fldChar w:fldCharType="end"/>
      </w:r>
      <w:r w:rsidRPr="00452E2E">
        <w:rPr>
          <w:szCs w:val="24"/>
        </w:rPr>
        <w:t xml:space="preserve">. This may create additional costs to the organization perhaps more than the cost that would have been incurred to appropriately train employees. Hence, research evidence abound that show a link between training and performance </w:t>
      </w:r>
      <w:r w:rsidRPr="00452E2E">
        <w:rPr>
          <w:szCs w:val="24"/>
        </w:rPr>
        <w:fldChar w:fldCharType="begin" w:fldLock="1"/>
      </w:r>
      <w:r w:rsidRPr="00452E2E">
        <w:rPr>
          <w:szCs w:val="24"/>
        </w:rPr>
        <w:instrText>ADDIN CSL_CITATION { "citationItems" : [ { "id" : "ITEM-1", "itemData" : { "abstract" : "This article provides a review of the training and development literature since the year 2000. We review the literature focusing on the benefits of training and development for individuals and teams, organizations, and society. We adopt a multidisciplinary, multilevel, and global perspective to demonstrate that training and development activities in work organizations can produce important benefits for each of these stakeholders. We also review the literature on needs assessment and pretraining states, training design and delivery, training evaluation, and transfer of training to identify the conditions under which the benefits of training and development are maximized. Finally, we identify research gaps and offer directions for future research.", "author" : [ { "dropping-particle" : "", "family" : "Aguinis", "given" : "Herman", "non-dropping-particle" : "", "parse-names" : false, "suffix" : "" }, { "dropping-particle" : "", "family" : "Kraiger", "given" : "Kurt", "non-dropping-particle" : "", "parse-names" : false, "suffix" : "" } ], "container-title" : "Annual Review of Psychology", "id" : "ITEM-1", "issued" : { "date-parts" : [ [ "2009" ] ] }, "page" : "451-474", "title" : "Benefits of training and development for individuals and teams, organizations, and society", "type" : "article-journal", "volume" : "60" }, "uris" : [ "http://www.mendeley.com/documents/?uuid=88d006ad-00f5-4239-82a5-aa10e3718853" ] }, { "id" : "ITEM-2", "itemData" : { "abstract" : "The authors used meta-analytic procedures to examine the relationship between specified training design and evaluation features and the effectiveness of training in organizations. Results of the meta-analysis revealed training effectiveness sample-weighted mean ds of 0.60 (k = 15, N = 936) for reaction criteria, 0.63 (k = 234, N = 15,014) for learning criteria, 0.62 (k = 122, N = 15,627) for behavioral criteria, and 0.62 (k = 26, N = 1,748) for results criteria. These results suggest a medium to large effect size for organizational training. In addition, the training method used, the skill or task characteristic trained, and the choice of evaluation criteria were related to the effectiveness of training programs. Limitations of the study along with suggestions for future research are discussed.", "author" : [ { "dropping-particle" : "", "family" : "Arthur", "given" : "Winfred", "non-dropping-particle" : "", "parse-names" : false, "suffix" : "" }, { "dropping-particle" : "", "family" : "Bennett", "given" : "Winston", "non-dropping-particle" : "", "parse-names" : false, "suffix" : "" }, { "dropping-particle" : "", "family" : "Edens", "given" : "Pamela S.", "non-dropping-particle" : "", "parse-names" : false, "suffix" : "" }, { "dropping-particle" : "", "family" : "Bell", "given" : "Suzanne T.", "non-dropping-particle" : "", "parse-names" : false, "suffix" : "" } ], "container-title" : "Journal of Applied Psychology", "id" : "ITEM-2", "issue" : "2", "issued" : { "date-parts" : [ [ "2003" ] ] }, "page" : "234-245", "title" : "Effectiveness of training in organizations: A meta-analysis of design and evaluation features", "type" : "article-journal", "volume" : "88" }, "uris" : [ "http://www.mendeley.com/documents/?uuid=15c98514-2ad2-4549-825c-c8f61e9c12a8" ] }, { "id" : "ITEM-3", "itemData" : { "DOI" : "10.1080/09585192.2011.606113", "ISBN" : "0958-5192", "ISSN" : "0958-5192", "abstract" : "Despite the dithyramb on training found throughout the literature, its impact on organizational performance still remains a \u2018black box\u2019 yet to be unlocked. Indeed, neither the intervening process nor the factors that mediate training effectiveness have been substantively explored or linked together in a framework. In this paper, gaining insights from the concept of the balanced scorecard and using the service profit chain as a strategy map, an attempt is made to formulate a casual linkage value chain that highlights one possible route through which training can impact organizational performance. Using a predictive design, data were collected from multiple sources (employees, customers, and the bank's financial records) and raters from a sample of 30 branches of a Greek bank. The findings confirmed a framework illuminating a value exchange process ignited by training. More precisely, the results suggested that a formal, structured, and long-term approach to training, as well as certain pre- and post-training conditions and activities, improve training effectiveness by creating positive perceptions about the training's value. The generated for employees value results to higher levels of job satisfaction which boosts employee loyalty, creating in this sense value for the organization. This value is reflected to customers, in terms of better service quality, and reciprocated to the organization through higher customer satisfaction and branch loyalty leading to improved profitability at the branch level. [ABSTRACT FROM PUBLISHER]", "author" : [ { "dropping-particle" : "", "family" : "Glaveli", "given" : "Niki", "non-dropping-particle" : "", "parse-names" : false, "suffix" : "" }, { "dropping-particle" : "", "family" : "Karassavidou", "given" : "Eleonora", "non-dropping-particle" : "", "parse-names" : false, "suffix" : "" } ], "container-title" : "The International Journal of Human Resource Management", "id" : "ITEM-3", "issue" : "14", "issued" : { "date-parts" : [ [ "2011" ] ] }, "page" : "2892-2923", "title" : "Exploring a possible route through which training affects organizational performance: The case of a Greek bank", "type" : "article-journal", "volume" : "22" }, "uris" : [ "http://www.mendeley.com/documents/?uuid=5ac07b88-76aa-4bf6-accc-d3fb3e2864f0" ] }, { "id" : "ITEM-4", "itemData" : { "DOI" : "10.1016/j.hrmr.2007.07.004", "ISBN" : "1053-4822", "ISSN" : "10534822", "PMID" : "26488629", "abstract" : "This paper aims to advance understanding of the effects of training on organizational-level outcomes by reviewing the results of previous studies that have investigated the relationship between training and human resource, performance, and financial outcomes. The results of meta-analysis from 67 studies suggest that training is positively related to human resource outcomes and organizational performance but is only very weakly related to financial outcomes. The relationship between training and firm performance may be mediated by employee attitudes and human capital. Furthermore, training appears to be more strongly related to organizational outcomes when it is matched with key contextual factors such as organization capital intensity and business strategy, in support of the contingency perspective. Further, training is related independently to organizational outcomes in support of the universalistic perspective of strategic human resource management rather than a configurational perspective. The paper concludes with a critique of previous studies and directions for future research. Particular emphasis is given to the need for future research to integrate individual-level (micro) and organizational-level (macro) training research, models, and theory. ?? 2007 Elsevier Inc. All rights reserved.", "author" : [ { "dropping-particle" : "", "family" : "Tharenou", "given" : "Phyllis", "non-dropping-particle" : "", "parse-names" : false, "suffix" : "" }, { "dropping-particle" : "", "family" : "Saks", "given" : "Alan M.", "non-dropping-particle" : "", "parse-names" : false, "suffix" : "" }, { "dropping-particle" : "", "family" : "Moore", "given" : "Celia", "non-dropping-particle" : "", "parse-names" : false, "suffix" : "" } ], "container-title" : "Human Resource Management Review", "id" : "ITEM-4", "issue" : "3", "issued" : { "date-parts" : [ [ "2007" ] ] }, "page" : "251-273", "title" : "A review and critique of research on training and organizational-level outcomes", "type" : "article-journal", "volume" : "17" }, "uris" : [ "http://www.mendeley.com/documents/?uuid=e70ccfd2-405c-4a40-a406-6f9c73c24820" ] } ], "mendeley" : { "formattedCitation" : "(Aguinis &amp; Kraiger 2009; Arthur et al. 2003; Glaveli &amp; Karassavidou 2011; Tharenou et al. 2007)", "manualFormatting" : "(Arthur et al., 2003; Tharenou et al., 2007; Aguinis &amp; Kraiger, 2009; Glaveli &amp; Karassavidou, 2011)", "plainTextFormattedCitation" : "(Aguinis &amp; Kraiger 2009; Arthur et al. 2003; Glaveli &amp; Karassavidou 2011; Tharenou et al. 2007)", "previouslyFormattedCitation" : "(Aguinis &amp; Kraiger 2009; Arthur et al. 2003; Glaveli &amp; Karassavidou 2011; Tharenou et al. 2007)" }, "properties" : { "noteIndex" : 0 }, "schema" : "https://github.com/citation-style-language/schema/raw/master/csl-citation.json" }</w:instrText>
      </w:r>
      <w:r w:rsidRPr="00452E2E">
        <w:rPr>
          <w:szCs w:val="24"/>
        </w:rPr>
        <w:fldChar w:fldCharType="separate"/>
      </w:r>
      <w:r w:rsidRPr="00452E2E">
        <w:rPr>
          <w:noProof/>
          <w:szCs w:val="24"/>
        </w:rPr>
        <w:t xml:space="preserve">(Arthur </w:t>
      </w:r>
      <w:r w:rsidRPr="00452E2E">
        <w:rPr>
          <w:i/>
          <w:noProof/>
          <w:szCs w:val="24"/>
        </w:rPr>
        <w:t>et al</w:t>
      </w:r>
      <w:r w:rsidRPr="00452E2E">
        <w:rPr>
          <w:noProof/>
          <w:szCs w:val="24"/>
        </w:rPr>
        <w:t xml:space="preserve">., 2003; Tharenou </w:t>
      </w:r>
      <w:r w:rsidRPr="00452E2E">
        <w:rPr>
          <w:i/>
          <w:noProof/>
          <w:szCs w:val="24"/>
        </w:rPr>
        <w:t>et al</w:t>
      </w:r>
      <w:r w:rsidRPr="00452E2E">
        <w:rPr>
          <w:noProof/>
          <w:szCs w:val="24"/>
        </w:rPr>
        <w:t>., 2007; Aguinis &amp; Kraiger, 2009; Glaveli &amp; Karassavidou, 2011)</w:t>
      </w:r>
      <w:r w:rsidRPr="00452E2E">
        <w:rPr>
          <w:szCs w:val="24"/>
        </w:rPr>
        <w:fldChar w:fldCharType="end"/>
      </w:r>
      <w:r w:rsidRPr="00452E2E">
        <w:rPr>
          <w:szCs w:val="24"/>
        </w:rPr>
        <w:t xml:space="preserve">. </w:t>
      </w:r>
    </w:p>
    <w:p w:rsidR="00B845E8" w:rsidRPr="00452E2E" w:rsidRDefault="00D03A8E" w:rsidP="00D03A8E">
      <w:pPr>
        <w:spacing w:line="360" w:lineRule="auto"/>
        <w:jc w:val="both"/>
        <w:rPr>
          <w:szCs w:val="24"/>
        </w:rPr>
      </w:pPr>
      <w:r w:rsidRPr="00452E2E">
        <w:rPr>
          <w:szCs w:val="24"/>
        </w:rPr>
        <w:t xml:space="preserve">Training can be provided on the job at workplace or through sponsored courses outside the workplace </w:t>
      </w:r>
      <w:r w:rsidRPr="00452E2E">
        <w:rPr>
          <w:szCs w:val="24"/>
        </w:rPr>
        <w:fldChar w:fldCharType="begin" w:fldLock="1"/>
      </w:r>
      <w:r w:rsidRPr="00452E2E">
        <w:rPr>
          <w:szCs w:val="24"/>
        </w:rPr>
        <w:instrText>ADDIN CSL_CITATION { "citationItems" : [ { "id" : "ITEM-1", "itemData" : { "author" : [ { "dropping-particle" : "", "family" : "Marchington", "given" : "Mick", "non-dropping-particle" : "", "parse-names" : false, "suffix" : "" }, { "dropping-particle" : "", "family" : "Wilkinson", "given" : "Adrian", "non-dropping-particle" : "", "parse-names" : false, "suffix" : "" } ], "edition" : "4th ed.", "id" : "ITEM-1", "issued" : { "date-parts" : [ [ "2009" ] ] }, "publisher" : "CIPD", "publisher-place" : "London", "title" : "Human resource management at work", "type" : "book" }, "uris" : [ "http://www.mendeley.com/documents/?uuid=05392cfb-8d4f-474c-8cd3-6c0553c9aefe"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"(Marchington &amp; Wilkinson 2009; Webster &amp; Wood 2005)", "manualFormatting" : "(Webster &amp; Wood, 2005; Marchington &amp; Wilkinson, 2012)", "plainTextFormattedCitation" : "(Marchington &amp; Wilkinson 2009; Webster &amp; Wood 2005)", "previouslyFormattedCitation" : "(Marchington &amp; Wilkinson 2009; Webster &amp; Wood 2005)" }, "properties" : { "noteIndex" : 0 }, "schema" : "https://github.com/citation-style-language/schema/raw/master/csl-citation.json" }</w:instrText>
      </w:r>
      <w:r w:rsidRPr="00452E2E">
        <w:rPr>
          <w:szCs w:val="24"/>
        </w:rPr>
        <w:fldChar w:fldCharType="separate"/>
      </w:r>
      <w:r w:rsidRPr="00452E2E">
        <w:rPr>
          <w:noProof/>
          <w:szCs w:val="24"/>
        </w:rPr>
        <w:t>(Webster &amp; Wood, 2005; Marchington &amp; Wilkinson, 2012)</w:t>
      </w:r>
      <w:r w:rsidRPr="00452E2E">
        <w:rPr>
          <w:szCs w:val="24"/>
        </w:rPr>
        <w:fldChar w:fldCharType="end"/>
      </w:r>
      <w:r w:rsidRPr="00452E2E">
        <w:rPr>
          <w:szCs w:val="24"/>
        </w:rPr>
        <w:t xml:space="preserve">. The choice of training method will depend on the aim of the training as well as how much employers are willing to invest in training </w:t>
      </w: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"222-236", "publisher" : "Routledge", "publisher-place" : "London", "title" : "Human resource development", "type" : "chapter" }, "uris" : [ "http://www.mendeley.com/documents/?uuid=07875ec2-ef24-4f0a-a573-2d6ff9218869" ] } ], "mendeley" : { "formattedCitation" : "(Grugulis 2009)", "manualFormatting" : "(Grugulis, 2013)", "plainTextFormattedCitation" : "(Grugulis 2009)", "previouslyFormattedCitation" : "(Grugulis 2009)" }, "properties" : { "noteIndex" : 0 }, "schema" : "https://github.com/citation-style-language/schema/raw/master/csl-citation.json" }</w:instrText>
      </w:r>
      <w:r w:rsidRPr="00452E2E">
        <w:rPr>
          <w:szCs w:val="24"/>
        </w:rPr>
        <w:fldChar w:fldCharType="separate"/>
      </w:r>
      <w:r w:rsidRPr="00452E2E">
        <w:rPr>
          <w:noProof/>
          <w:szCs w:val="24"/>
        </w:rPr>
        <w:t>(Grugulis, 2013)</w:t>
      </w:r>
      <w:r w:rsidRPr="00452E2E">
        <w:rPr>
          <w:szCs w:val="24"/>
        </w:rPr>
        <w:fldChar w:fldCharType="end"/>
      </w:r>
      <w:r w:rsidRPr="00452E2E">
        <w:rPr>
          <w:szCs w:val="24"/>
        </w:rPr>
        <w:t>. Training can be</w:t>
      </w:r>
      <w:r w:rsidR="00595641" w:rsidRPr="00452E2E">
        <w:rPr>
          <w:szCs w:val="24"/>
        </w:rPr>
        <w:t xml:space="preserve"> extensive or narrow,</w:t>
      </w:r>
      <w:r w:rsidRPr="00452E2E">
        <w:rPr>
          <w:szCs w:val="24"/>
        </w:rPr>
        <w:t xml:space="preserve"> with the former aimed at enabling employees acquire a broad spectrum of skills whilst the latter is aimed at furnishing employees with specific skills to perform a particular job </w:t>
      </w:r>
      <w:r w:rsidRPr="00452E2E">
        <w:rPr>
          <w:szCs w:val="24"/>
        </w:rPr>
        <w:fldChar w:fldCharType="begin" w:fldLock="1"/>
      </w:r>
      <w:r w:rsidRPr="00452E2E">
        <w:rPr>
          <w:szCs w:val="24"/>
        </w:rPr>
        <w:instrText>ADDIN CSL_CITATION { "citationItems" : [ { "id" : "ITEM-1", "itemData" : { "author" : [ { "dropping-particle" : "", "family" : "Birdi", "given" : "Kamal", "non-dropping-particle" : "", "parse-names" : false, "suffix" : "" }, { "dropping-particle" : "", "family" : "Clegg", "given" : "Chris", "non-dropping-particle" : "", "parse-names" : false, "suffix" : "" }, { "dropping-particle" : "", "family" : "Patterson", "given" : "Malcom", "non-dropping-particle" : "", "parse-names" : false, "suffix" : "" }, { "dropping-particle" : "", "family" : "Robinson", "given" : "Andrew", "non-dropping-particle" : "", "parse-names" : false, "suffix" : "" }, { "dropping-particle" : "", "family" : "Stride", "given" : "Chris", "non-dropping-particle" : "", "parse-names" : false, "suffix" : "" }, { "dropping-particle" : "", "family" : "Wall", "given" : "Toby D.", "non-dropping-particle" : "", "parse-names" : false, "suffix" : "" }, { "dropping-particle" : "", "family" : "Wood", "given" : "Stephen J", "non-dropping-particle" : "", "parse-names" : false, "suffix" : "" } ], "container-title" : "Personnel Psychology", "id" : "ITEM-1", "issued" : { "date-parts" : [ [ "2008" ] ] }, "page" : "467-501", "title" : "The impact of human resource and operational management practices on company productivity: A longitudinal study", "type" : "article-journal", "volume" : "61" }, "uris" : [ "http://www.mendeley.com/documents/?uuid=42240540-8ca0-4b35-91f4-5c6c318912f2" ] } ], "mendeley" : { "formattedCitation" : "(Birdi et al. 2008)", "manualFormatting" : "(Birdi et al., 2008)", "plainTextFormattedCitation" : "(Birdi et al. 2008)", "previouslyFormattedCitation" : "(Birdi et al. 2008)" }, "properties" : { "noteIndex" : 0 }, "schema" : "https://github.com/citation-style-language/schema/raw/master/csl-citation.json" }</w:instrText>
      </w:r>
      <w:r w:rsidRPr="00452E2E">
        <w:rPr>
          <w:szCs w:val="24"/>
        </w:rPr>
        <w:fldChar w:fldCharType="separate"/>
      </w:r>
      <w:r w:rsidRPr="00452E2E">
        <w:rPr>
          <w:noProof/>
          <w:szCs w:val="24"/>
        </w:rPr>
        <w:t xml:space="preserve">(Birdi </w:t>
      </w:r>
      <w:r w:rsidRPr="00452E2E">
        <w:rPr>
          <w:i/>
          <w:noProof/>
          <w:szCs w:val="24"/>
        </w:rPr>
        <w:t>et al</w:t>
      </w:r>
      <w:r w:rsidRPr="00452E2E">
        <w:rPr>
          <w:noProof/>
          <w:szCs w:val="24"/>
        </w:rPr>
        <w:t>., 2008)</w:t>
      </w:r>
      <w:r w:rsidRPr="00452E2E">
        <w:rPr>
          <w:szCs w:val="24"/>
        </w:rPr>
        <w:fldChar w:fldCharType="end"/>
      </w:r>
      <w:r w:rsidRPr="00452E2E">
        <w:rPr>
          <w:szCs w:val="24"/>
        </w:rPr>
        <w:t xml:space="preserve">. However, not all training programmes are aimed at improving the skills of employees (Grugulis, 2009). Whilst some training programmes may be provided for social reasons, others may be aimed at meeting regulatory requirements such as the provision of health and safety training </w:t>
      </w:r>
      <w:r w:rsidRPr="00452E2E">
        <w:rPr>
          <w:szCs w:val="24"/>
        </w:rPr>
        <w:fldChar w:fldCharType="begin" w:fldLock="1"/>
      </w:r>
      <w:r w:rsidRPr="00452E2E">
        <w:rPr>
          <w:szCs w:val="24"/>
        </w:rPr>
        <w:instrText>ADDIN CSL_CITATION { "citationItems" : [ { "id" : "ITEM-1", "itemData" : { "abstract" : "Employee training: ticking the box or building business competence?", "author" : [ { "dropping-particle" : "", "family" : "Cadman", "given" : "Charlie", "non-dropping-particle" : "", "parse-names" : false, "suffix" : "" } ], "container-title" : "Industrial and Commercial Training", "id" : "ITEM-1", "issue" : "1", "issued" : { "date-parts" : [ [ "2013" ] ] }, "page" : "32-35", "title" : "Employee training: Ticking the box or building business competence?", "type" : "article-journal", "volume" : "45" }, "uris" : [ "http://www.mendeley.com/documents/?uuid=45303667-1f8a-42cc-ae61-c0b8f34354b9" ] }, { "id" : "ITEM-2", "itemData" : { "author" : [ { "dropping-particle" : "", "family" : "Grugulis", "given" : "I.", "non-dropping-particle" : "", "parse-names" : false, "suffix" : "" } ], "chapter-number" : "5",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"ITEM-2", "issued" : { "date-parts" : [ [ "2013" ] ] }, "page" : "151-175", "publisher" : "Pearson", "publisher-place" : "Harlow", "title" : "Training and development", "type" : "chapter" }, "uris" : [ "http://www.mendeley.com/documents/?uuid=5c08e6dd-f632-4e80-a2e0-e92629316748" ] }, { "id" : "ITEM-3", "itemData" : { "DOI" : "10.1016/j.hrmr.2007.07.004", "ISBN" : "1053-4822", "ISSN" : "10534822", "PMID" : "26488629", "abstract" : "This paper aims to advance understanding of the effects of training on organizational-level outcomes by reviewing the results of previous studies that have investigated the relationship between training and human resource, performance, and financial outcomes. The results of meta-analysis from 67 studies suggest that training is positively related to human resource outcomes and organizational performance but is only very weakly related to financial outcomes. The relationship between training and firm performance may be mediated by employee attitudes and human capital. Furthermore, training appears to be more strongly related to organizational outcomes when it is matched with key contextual factors such as organization capital intensity and business strategy, in support of the contingency perspective. Further, training is related independently to organizational outcomes in support of the universalistic perspective of strategic human resource management rather than a configurational perspective. The paper concludes with a critique of previous studies and directions for future research. Particular emphasis is given to the need for future research to integrate individual-level (micro) and organizational-level (macro) training research, models, and theory. ?? 2007 Elsevier Inc. All rights reserved.", "author" : [ { "dropping-particle" : "", "family" : "Tharenou", "given" : "Phyllis", "non-dropping-particle" : "", "parse-names" : false, "suffix" : "" }, { "dropping-particle" : "", "family" : "Saks", "given" : "Alan M.", "non-dropping-particle" : "", "parse-names" : false, "suffix" : "" }, { "dropping-particle" : "", "family" : "Moore", "given" : "Celia", "non-dropping-particle" : "", "parse-names" : false, "suffix" : "" } ], "container-title" : "Human Resource Management Review", "id" : "ITEM-3", "issue" : "3", "issued" : { "date-parts" : [ [ "2007" ] ] }, "page" : "251-273", "title" : "A review and critique of research on training and organizational-level outcomes", "type" : "article-journal", "volume" : "17" }, "uris" : [ "http://www.mendeley.com/documents/?uuid=e70ccfd2-405c-4a40-a406-6f9c73c24820" ] } ], "mendeley" : { "formattedCitation" : "(Cadman 2013; Grugulis 2013; Tharenou et al. 2007)", "manualFormatting" : "(Cadman, 2013; Grugulis, 2013)", "plainTextFormattedCitation" : "(Cadman 2013; Grugulis 2013; Tharenou et al. 2007)", "previouslyFormattedCitation" : "(Cadman 2013; Grugulis 2013; Tharenou et al. 2007)" }, "properties" : { "noteIndex" : 0 }, "schema" : "https://github.com/citation-style-language/schema/raw/master/csl-citation.json" }</w:instrText>
      </w:r>
      <w:r w:rsidRPr="00452E2E">
        <w:rPr>
          <w:szCs w:val="24"/>
        </w:rPr>
        <w:fldChar w:fldCharType="separate"/>
      </w:r>
      <w:r w:rsidRPr="00452E2E">
        <w:rPr>
          <w:noProof/>
          <w:szCs w:val="24"/>
        </w:rPr>
        <w:t>(Cadman, 2013; Grugulis, 2013)</w:t>
      </w:r>
      <w:r w:rsidRPr="00452E2E">
        <w:rPr>
          <w:szCs w:val="24"/>
        </w:rPr>
        <w:fldChar w:fldCharType="end"/>
      </w:r>
      <w:r w:rsidRPr="00452E2E">
        <w:rPr>
          <w:szCs w:val="24"/>
        </w:rPr>
        <w:t xml:space="preserve">. Nonetheless, as </w:t>
      </w:r>
      <w:r w:rsidRPr="00452E2E">
        <w:rPr>
          <w:szCs w:val="24"/>
        </w:rPr>
        <w:fldChar w:fldCharType="begin" w:fldLock="1"/>
      </w:r>
      <w:r w:rsidR="001F2594" w:rsidRPr="00452E2E">
        <w:rPr>
          <w:szCs w:val="24"/>
        </w:rPr>
        <w:instrText>ADDIN CSL_CITATION { "citationItems" : [ { "id" : "ITEM-1", "itemData" : { "abstract" : "Employee training: ticking the box or building business competence?", "author" : [ { "dropping-particle" : "", "family" : "Cadman", "given" : "Charlie", "non-dropping-particle" : "", "parse-names" : false, "suffix" : "" } ], "container-title" : "Industrial and Commercial Training", "id" : "ITEM-1", "issue" : "1", "issued" : { "date-parts" : [ [ "2013" ] ] }, "page" : "32-35", "title" : "Employee training: Ticking the box or building business competence?", "type" : "article-journal", "volume" : "45" }, "uris" : [ "http://www.mendeley.com/documents/?uuid=45303667-1f8a-42cc-ae61-c0b8f34354b9" ] } ], "mendeley" : { "formattedCitation" : "(Cadman 2013)", "manualFormatting" : "Cadman (2013, p. 34)", "plainTextFormattedCitation" : "(Cadman 2013)", "previouslyFormattedCitation" : "(Cadman 2013)" }, "properties" : { "noteIndex" : 0 }, "schema" : "https://github.com/citation-style-language/schema/raw/master/csl-citation.json" }</w:instrText>
      </w:r>
      <w:r w:rsidRPr="00452E2E">
        <w:rPr>
          <w:szCs w:val="24"/>
        </w:rPr>
        <w:fldChar w:fldCharType="separate"/>
      </w:r>
      <w:r w:rsidRPr="00452E2E">
        <w:rPr>
          <w:noProof/>
          <w:szCs w:val="24"/>
        </w:rPr>
        <w:t>Cadman (2013</w:t>
      </w:r>
      <w:r w:rsidR="001F2594" w:rsidRPr="00452E2E">
        <w:rPr>
          <w:noProof/>
          <w:szCs w:val="24"/>
        </w:rPr>
        <w:t>, p. 34</w:t>
      </w:r>
      <w:r w:rsidRPr="00452E2E">
        <w:rPr>
          <w:noProof/>
          <w:szCs w:val="24"/>
        </w:rPr>
        <w:t>)</w:t>
      </w:r>
      <w:r w:rsidRPr="00452E2E">
        <w:rPr>
          <w:szCs w:val="24"/>
        </w:rPr>
        <w:fldChar w:fldCharType="end"/>
      </w:r>
      <w:r w:rsidRPr="00452E2E">
        <w:rPr>
          <w:szCs w:val="24"/>
        </w:rPr>
        <w:t xml:space="preserve"> note, “ensuring employees have the right skills goes beyond meeting regulatory requirements”. </w:t>
      </w:r>
    </w:p>
    <w:p w:rsidR="00D03A8E" w:rsidRPr="00452E2E" w:rsidRDefault="00D03A8E" w:rsidP="00D03A8E">
      <w:pPr>
        <w:spacing w:line="360" w:lineRule="auto"/>
        <w:jc w:val="both"/>
        <w:rPr>
          <w:szCs w:val="24"/>
        </w:rPr>
      </w:pPr>
      <w:r w:rsidRPr="00452E2E">
        <w:rPr>
          <w:szCs w:val="24"/>
        </w:rPr>
        <w:t xml:space="preserve">Meanwhile, for organizations to reap the much heralded benefits of training, there has to be a conducive environment for transfer of training </w:t>
      </w:r>
      <w:r w:rsidRPr="00452E2E">
        <w:rPr>
          <w:szCs w:val="24"/>
        </w:rPr>
        <w:fldChar w:fldCharType="begin" w:fldLock="1"/>
      </w:r>
      <w:r w:rsidRPr="00452E2E">
        <w:rPr>
          <w:szCs w:val="24"/>
        </w:rPr>
        <w:instrText>ADDIN CSL_CITATION { "citationItems" : [ { "id" : "ITEM-1", "itemData" : { "DOI" : "10.1016/j.hrmr.2007.07.004", "ISBN" : "1053-4822", "ISSN" : "10534822", "PMID" : "26488629", "abstract" : "This paper aims to advance understanding of the effects of training on organizational-level outcomes by reviewing the results of previous studies that have investigated the relationship between training and human resource, performance, and financial outcomes. The results of meta-analysis from 67 studies suggest that training is positively related to human resource outcomes and organizational performance but is only very weakly related to financial outcomes. The relationship between training and firm performance may be mediated by employee attitudes and human capital. Furthermore, training appears to be more strongly related to organizational outcomes when it is matched with key contextual factors such as organization capital intensity and business strategy, in support of the contingency perspective. Further, training is related independently to organizational outcomes in support of the universalistic perspective of strategic human resource management rather than a configurational perspective. The paper concludes with a critique of previous studies and directions for future research. Particular emphasis is given to the need for future research to integrate individual-level (micro) and organizational-level (macro) training research, models, and theory. ?? 2007 Elsevier Inc. All rights reserved.", "author" : [ { "dropping-particle" : "", "family" : "Tharenou", "given" : "Phyllis", "non-dropping-particle" : "", "parse-names" : false, "suffix" : "" }, { "dropping-particle" : "", "family" : "Saks", "given" : "Alan M.", "non-dropping-particle" : "", "parse-names" : false, "suffix" : "" }, { "dropping-particle" : "", "family" : "Moore", "given" : "Celia", "non-dropping-particle" : "", "parse-names" : false, "suffix" : "" } ], "container-title" : "Human Resource Management Review", "id" : "ITEM-1", "issue" : "3", "issued" : { "date-parts" : [ [ "2007" ] ] }, "page" : "251-273", "title" : "A review and critique of research on training and organizational-level outcomes", "type" : "article-journal", "volume" : "17" }, "uris" : [ "http://www.mendeley.com/documents/?uuid=e70ccfd2-405c-4a40-a406-6f9c73c24820" ] } ], "mendeley" : { "formattedCitation" : "(Tharenou et al. 2007)", "manualFormatting" : "(Saks &amp; Burke-Smalley, 2014)", "plainTextFormattedCitation" : "(Tharenou et al. 2007)", "previouslyFormattedCitation" : "(Tharenou et al. 2007)" }, "properties" : { "noteIndex" : 0 }, "schema" : "https://github.com/citation-style-language/schema/raw/master/csl-citation.json" }</w:instrText>
      </w:r>
      <w:r w:rsidRPr="00452E2E">
        <w:rPr>
          <w:szCs w:val="24"/>
        </w:rPr>
        <w:fldChar w:fldCharType="separate"/>
      </w:r>
      <w:r w:rsidRPr="00452E2E">
        <w:rPr>
          <w:noProof/>
          <w:szCs w:val="24"/>
        </w:rPr>
        <w:t>(Saks &amp; Burke-Smalley, 2014)</w:t>
      </w:r>
      <w:r w:rsidRPr="00452E2E">
        <w:rPr>
          <w:szCs w:val="24"/>
        </w:rPr>
        <w:fldChar w:fldCharType="end"/>
      </w:r>
      <w:r w:rsidRPr="00452E2E">
        <w:rPr>
          <w:szCs w:val="24"/>
        </w:rPr>
        <w:t xml:space="preserve">. Consequently, organizations can reap the benefits of training when employees have the freedom to put into use the knowledge and skills acquired through training </w:t>
      </w:r>
      <w:r w:rsidRPr="00452E2E">
        <w:rPr>
          <w:szCs w:val="24"/>
        </w:rPr>
        <w:fldChar w:fldCharType="begin" w:fldLock="1"/>
      </w:r>
      <w:r w:rsidRPr="00452E2E">
        <w:rPr>
          <w:szCs w:val="24"/>
        </w:rPr>
        <w:instrText>ADDIN CSL_CITATION { "citationItems" : [ { "id" : "ITEM-1", "itemData" : { "DOI" : "10.1108/ICT-11-2014-0071", "ISBN" : "0309059131131", "ISSN" : "0019-7858", "abstract" : "Purpose \u2013 Of the various factors directly or indirectly influencing transfer of training, supervisor support as a work environment variable is found to have diverse relationships with transfer, further complicated with the perspective of time. The purpose of this paper is to bring together findings from past research to have a better insight on the impact of supervisor support on training transfer. Design/methodology/approach \u2013 A qualitative approach has been adopted to review existing research on the selected constructs. Findings \u2013 Literature reveals divergent influences of supervisor support on transfer: some researchers have established a direct-indirect relationship, some opine a positive-negative relationship and few show mixed results. Usually the relation is found to be indirect when trainee characteristics have been used as mediators. The authors may infer that the influence of supervisor support on transfer is contextual and nothing can be said affirmatively on their relation", "author" : [ { "dropping-particle" : "", "family" : "Ghosh", "given" : "Piyali", "non-dropping-particle" : "", "parse-names" : false, "suffix" : "" }, { "dropping-particle" : "", "family" : "Chauhan", "given" : "Ragini", "non-dropping-particle" : "", "parse-names" : false, "suffix" : "" }, { "dropping-particle" : "", "family" : "Rai", "given" : "Alka", "non-dropping-particle" : "", "parse-names" : false, "suffix" : "" } ], "container-title" : "Industrial and Commercial Training", "id" : "ITEM-1", "issue" : "4", "issued" : { "date-parts" : [ [ "2015" ] ] }, "page" : "201-207", "title" : "Supervisor support in transfer of training: Looking back at past research", "type" : "article-journal", "volume" : "47" }, "uris" : [ "http://www.mendeley.com/documents/?uuid=17d2a8d4-0ff9-4713-bdf0-3901eb28dac5" ] }, { "id" : "ITEM-2", "itemData" : { "DOI" : "10.1111/ijtd.12029", "ISSN" : "13603736", "abstract" : "The purpose of this study was to bridge the gap between micro-training research on the transfer of training and macro-training research on training and firm performance by testing the relationship between transfer of training and firm performance. Training and development professionals completed a survey about the training methods used in their organization (on-the-job, classroom, computer-based), the transfer of training, and their firm's performance. The results indicated that transfer of training was positively related to firm performance and mediated the relationship between training methods and firm performance. The results also suggest that among the three training methods, on-the-job training was the most strongly related to transfer of training and firm performance. These results highlight the importance of transfer of training for firm performance and suggest that meaningful organizational outcomes can be obtained by implementing training programs and strategies to facilitate and improve the transfer of training.", "author" : [ { "dropping-particle" : "", "family" : "Saks", "given" : "Alan M", "non-dropping-particle" : "", "parse-names" : false, "suffix" : "" }, { "dropping-particle" : "", "family" : "Burke-Smalley", "given" : "Lisa A", "non-dropping-particle" : "", "parse-names" : false, "suffix" : "" } ], "container-title" : "International Journal of Training and Development", "id" : "ITEM-2", "issue" : "2", "issued" : { "date-parts" : [ [ "2014" ] ] }, "page" : "104-115", "title" : "Is transfer of training related to firm performance?", "type" : "article-journal", "volume" : "18" }, "uris" : [ "http://www.mendeley.com/documents/?uuid=dc4b0156-c9c3-4f9e-9800-f79131694f1c" ] } ], "mendeley" : { "formattedCitation" : "(Ghosh et al. 2015; Saks &amp; Burke-Smalley 2014)", "manualFormatting" : "(Saks &amp; Burke-Smalley, 2014; Ghosh et al., 2015)", "plainTextFormattedCitation" : "(Ghosh et al. 2015; Saks &amp; Burke-Smalley 2014)", "previouslyFormattedCitation" : "(Ghosh et al. 2015; Saks &amp; Burke-Smalley 2014)" }, "properties" : { "noteIndex" : 0 }, "schema" : "https://github.com/citation-style-language/schema/raw/master/csl-citation.json" }</w:instrText>
      </w:r>
      <w:r w:rsidRPr="00452E2E">
        <w:rPr>
          <w:szCs w:val="24"/>
        </w:rPr>
        <w:fldChar w:fldCharType="separate"/>
      </w:r>
      <w:r w:rsidRPr="00452E2E">
        <w:rPr>
          <w:noProof/>
          <w:szCs w:val="24"/>
        </w:rPr>
        <w:t xml:space="preserve">(Saks &amp; Burke-Smalley, 2014; Ghosh </w:t>
      </w:r>
      <w:r w:rsidRPr="00452E2E">
        <w:rPr>
          <w:i/>
          <w:noProof/>
          <w:szCs w:val="24"/>
        </w:rPr>
        <w:t>et al</w:t>
      </w:r>
      <w:r w:rsidRPr="00452E2E">
        <w:rPr>
          <w:noProof/>
          <w:szCs w:val="24"/>
        </w:rPr>
        <w:t>., 2015)</w:t>
      </w:r>
      <w:r w:rsidRPr="00452E2E">
        <w:rPr>
          <w:szCs w:val="24"/>
        </w:rPr>
        <w:fldChar w:fldCharType="end"/>
      </w:r>
      <w:r w:rsidRPr="00452E2E">
        <w:rPr>
          <w:szCs w:val="24"/>
        </w:rPr>
        <w:t xml:space="preserve">. Research has shown that social support from the organization, especially from supervisors encourage the transfer of training </w:t>
      </w:r>
      <w:r w:rsidRPr="00452E2E">
        <w:rPr>
          <w:szCs w:val="24"/>
        </w:rPr>
        <w:fldChar w:fldCharType="begin" w:fldLock="1"/>
      </w:r>
      <w:r w:rsidRPr="00452E2E">
        <w:rPr>
          <w:szCs w:val="24"/>
        </w:rPr>
        <w:instrText>ADDIN CSL_CITATION { "citationItems" : [ { "id" : "ITEM-1", "itemData" : { "author" : [ { "dropping-particle" : "", "family" : "Chiaburu", "given" : "Dan S", "non-dropping-particle" : "", "parse-names" : false, "suffix" : "" }, { "dropping-particle" : "Van", "family" : "Dam", "given" : "Karen", "non-dropping-particle" : "", "parse-names" : false, "suffix" : "" }, { "dropping-particle" : "", "family" : "Hutchins", "given" : "Holly M", "non-dropping-particle" : "", "parse-names" : false, "suffix" : "" } ], "container-title" : "International Journal of Selection and Assessment", "id" : "ITEM-1", "issue" : "2", "issued" : { "date-parts" : [ [ "2010" ] ] }, "page" : "187-200", "title" : "Social support in the workplace and training transfer : A longitudinal analysis", "type" : "article-journal", "volume" : "18" }, "uris" : [ "http://www.mendeley.com/documents/?uuid=88ce8761-3f0e-49fd-bd69-876622d45f8e" ] }, { "id" : "ITEM-2", "itemData" : { "DOI" : "10.1108/ICT-11-2014-0071", "ISBN" : "0309059131131", "ISSN" : "0019-7858", "abstract" : "Purpose \u2013 Of the various factors directly or indirectly influencing transfer of training, supervisor support as a work environment variable is found to have diverse relationships with transfer, further complicated with the perspective of time. The purpose of this paper is to bring together findings from past research to have a better insight on the impact of supervisor support on training transfer. Design/methodology/approach \u2013 A qualitative approach has been adopted to review existing research on the selected constructs. Findings \u2013 Literature reveals divergent influences of supervisor support on transfer: some researchers have established a direct-indirect relationship, some opine a positive-negative relationship and few show mixed results. Usually the relation is found to be indirect when trainee characteristics have been used as mediators. The authors may infer that the influence of supervisor support on transfer is contextual and nothing can be said affirmatively on their relation", "author" : [ { "dropping-particle" : "", "family" : "Ghosh", "given" : "Piyali", "non-dropping-particle" : "", "parse-names" : false, "suffix" : "" }, { "dropping-particle" : "", "family" : "Chauhan", "given" : "Ragini", "non-dropping-particle" : "", "parse-names" : false, "suffix" : "" }, { "dropping-particle" : "", "family" : "Rai", "given" : "Alka", "non-dropping-particle" : "", "parse-names" : false, "suffix" : "" } ], "container-title" : "Industrial and Commercial Training", "id" : "ITEM-2", "issue" : "4", "issued" : { "date-parts" : [ [ "2015" ] ] }, "page" : "201-207", "title" : "Supervisor support in transfer of training: Looking back at past research", "type" : "article-journal", "volume" : "47" }, "uris" : [ "http://www.mendeley.com/documents/?uuid=17d2a8d4-0ff9-4713-bdf0-3901eb28dac5" ] } ], "mendeley" : { "formattedCitation" : "(Chiaburu et al. 2010; Ghosh et al. 2015)", "manualFormatting" : "(Chiaburu et al., 2010; Ghosh et al., 2015)", "plainTextFormattedCitation" : "(Chiaburu et al. 2010; Ghosh et al. 2015)", "previouslyFormattedCitation" : "(Chiaburu et al. 2010; Ghosh et al. 2015)" }, "properties" : { "noteIndex" : 0 }, "schema" : "https://github.com/citation-style-language/schema/raw/master/csl-citation.json" }</w:instrText>
      </w:r>
      <w:r w:rsidRPr="00452E2E">
        <w:rPr>
          <w:szCs w:val="24"/>
        </w:rPr>
        <w:fldChar w:fldCharType="separate"/>
      </w:r>
      <w:r w:rsidRPr="00452E2E">
        <w:rPr>
          <w:noProof/>
          <w:szCs w:val="24"/>
        </w:rPr>
        <w:t xml:space="preserve">(Chiaburu </w:t>
      </w:r>
      <w:r w:rsidRPr="00452E2E">
        <w:rPr>
          <w:i/>
          <w:noProof/>
          <w:szCs w:val="24"/>
        </w:rPr>
        <w:t>et al</w:t>
      </w:r>
      <w:r w:rsidRPr="00452E2E">
        <w:rPr>
          <w:noProof/>
          <w:szCs w:val="24"/>
        </w:rPr>
        <w:t xml:space="preserve">., 2010; Ghosh </w:t>
      </w:r>
      <w:r w:rsidRPr="00452E2E">
        <w:rPr>
          <w:i/>
          <w:noProof/>
          <w:szCs w:val="24"/>
        </w:rPr>
        <w:t>et al</w:t>
      </w:r>
      <w:r w:rsidRPr="00452E2E">
        <w:rPr>
          <w:noProof/>
          <w:szCs w:val="24"/>
        </w:rPr>
        <w:t>., 2015)</w:t>
      </w:r>
      <w:r w:rsidRPr="00452E2E">
        <w:rPr>
          <w:szCs w:val="24"/>
        </w:rPr>
        <w:fldChar w:fldCharType="end"/>
      </w:r>
      <w:r w:rsidRPr="00452E2E">
        <w:rPr>
          <w:szCs w:val="24"/>
        </w:rPr>
        <w:t xml:space="preserve">. Thus, where the knowledge acquired from training is transferred on </w:t>
      </w:r>
      <w:r w:rsidRPr="00452E2E">
        <w:rPr>
          <w:szCs w:val="24"/>
        </w:rPr>
        <w:lastRenderedPageBreak/>
        <w:t xml:space="preserve">the job, there is bound to be improvement in performance </w:t>
      </w:r>
      <w:r w:rsidRPr="00452E2E">
        <w:rPr>
          <w:szCs w:val="24"/>
        </w:rPr>
        <w:fldChar w:fldCharType="begin" w:fldLock="1"/>
      </w:r>
      <w:r w:rsidRPr="00452E2E">
        <w:rPr>
          <w:szCs w:val="24"/>
        </w:rPr>
        <w:instrText>ADDIN CSL_CITATION { "citationItems" : [ { "id" : "ITEM-1", "itemData" : { "DOI" : "10.1111/ijtd.12029", "ISSN" : "13603736", "abstract" : "The purpose of this study was to bridge the gap between micro-training research on the transfer of training and macro-training research on training and firm performance by testing the relationship between transfer of training and firm performance. Training and development professionals completed a survey about the training methods used in their organization (on-the-job, classroom, computer-based), the transfer of training, and their firm's performance. The results indicated that transfer of training was positively related to firm performance and mediated the relationship between training methods and firm performance. The results also suggest that among the three training methods, on-the-job training was the most strongly related to transfer of training and firm performance. These results highlight the importance of transfer of training for firm performance and suggest that meaningful organizational outcomes can be obtained by implementing training programs and strategies to facilitate and improve the transfer of training.", "author" : [ { "dropping-particle" : "", "family" : "Saks", "given" : "Alan M", "non-dropping-particle" : "", "parse-names" : false, "suffix" : "" }, { "dropping-particle" : "", "family" : "Burke-Smalley", "given" : "Lisa A", "non-dropping-particle" : "", "parse-names" : false, "suffix" : "" } ], "container-title" : "International Journal of Training and Development", "id" : "ITEM-1", "issue" : "2", "issued" : { "date-parts" : [ [ "2014" ] ] }, "page" : "104-115", "title" : "Is transfer of training related to firm performance?", "type" : "article-journal", "volume" : "18" }, "uris" : [ "http://www.mendeley.com/documents/?uuid=dc4b0156-c9c3-4f9e-9800-f79131694f1c" ] } ], "mendeley" : { "formattedCitation" : "(Saks &amp; Burke-Smalley 2014)", "plainTextFormattedCitation" : "(Saks &amp; Burke-Smalley 2014)", "previouslyFormattedCitation" : "(Saks &amp; Burke-Smalley 2014)" }, "properties" : { "noteIndex" : 0 }, "schema" : "https://github.com/citation-style-language/schema/raw/master/csl-citation.json" }</w:instrText>
      </w:r>
      <w:r w:rsidRPr="00452E2E">
        <w:rPr>
          <w:szCs w:val="24"/>
        </w:rPr>
        <w:fldChar w:fldCharType="separate"/>
      </w:r>
      <w:r w:rsidRPr="00452E2E">
        <w:rPr>
          <w:noProof/>
          <w:szCs w:val="24"/>
        </w:rPr>
        <w:t>(Saks &amp; Burke-Smalley 2014)</w:t>
      </w:r>
      <w:r w:rsidRPr="00452E2E">
        <w:rPr>
          <w:szCs w:val="24"/>
        </w:rPr>
        <w:fldChar w:fldCharType="end"/>
      </w:r>
      <w:r w:rsidRPr="00452E2E">
        <w:rPr>
          <w:szCs w:val="24"/>
        </w:rPr>
        <w:t>.</w:t>
      </w:r>
    </w:p>
    <w:p w:rsidR="000C4994" w:rsidRPr="00452E2E" w:rsidRDefault="00D03A8E" w:rsidP="00D03A8E">
      <w:pPr>
        <w:spacing w:line="360" w:lineRule="auto"/>
        <w:jc w:val="both"/>
        <w:rPr>
          <w:szCs w:val="24"/>
        </w:rPr>
      </w:pP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"chapter-number" : "5",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"ITEM-1", "issued" : { "date-parts" : [ [ "2013" ] ] }, "page" : "151-175", "publisher" : "Pearson", "publisher-place" : "Harlow", "title" : "Training and development", "type" : "chapter" }, "uris" : [ "http://www.mendeley.com/documents/?uuid=5c08e6dd-f632-4e80-a2e0-e92629316748" ] } ], "mendeley" : { "formattedCitation" : "(Grugulis 2013)", "manualFormatting" : "Grugulis (2009)", "plainTextFormattedCitation" : "(Grugulis 2013)", "previouslyFormattedCitation" : "(Grugulis 2013)" }, "properties" : { "noteIndex" : 0 }, "schema" : "https://github.com/citation-style-language/schema/raw/master/csl-citation.json" }</w:instrText>
      </w:r>
      <w:r w:rsidRPr="00452E2E">
        <w:rPr>
          <w:szCs w:val="24"/>
        </w:rPr>
        <w:fldChar w:fldCharType="separate"/>
      </w:r>
      <w:r w:rsidRPr="00452E2E">
        <w:rPr>
          <w:noProof/>
          <w:szCs w:val="24"/>
        </w:rPr>
        <w:t>Grugulis (2009)</w:t>
      </w:r>
      <w:r w:rsidRPr="00452E2E">
        <w:rPr>
          <w:szCs w:val="24"/>
        </w:rPr>
        <w:fldChar w:fldCharType="end"/>
      </w:r>
      <w:r w:rsidRPr="00452E2E">
        <w:rPr>
          <w:szCs w:val="24"/>
        </w:rPr>
        <w:t xml:space="preserve"> observe</w:t>
      </w:r>
      <w:r w:rsidR="00CD318A" w:rsidRPr="00452E2E">
        <w:rPr>
          <w:szCs w:val="24"/>
        </w:rPr>
        <w:t>s</w:t>
      </w:r>
      <w:r w:rsidRPr="00452E2E">
        <w:rPr>
          <w:szCs w:val="24"/>
        </w:rPr>
        <w:t xml:space="preserve"> that despite overwhelming research evidence linking training with important work outcomes, there is a wide gap between research and reality. This means that although employers understand the value of training, </w:t>
      </w:r>
      <w:r w:rsidR="00CD318A" w:rsidRPr="00452E2E">
        <w:rPr>
          <w:szCs w:val="24"/>
        </w:rPr>
        <w:t>in many instances</w:t>
      </w:r>
      <w:r w:rsidRPr="00452E2E">
        <w:rPr>
          <w:szCs w:val="24"/>
        </w:rPr>
        <w:t xml:space="preserve"> they fail to provide employees with adequate training </w:t>
      </w:r>
      <w:r w:rsidRPr="00452E2E">
        <w:rPr>
          <w:szCs w:val="24"/>
        </w:rPr>
        <w:fldChar w:fldCharType="begin" w:fldLock="1"/>
      </w:r>
      <w:r w:rsidRPr="00452E2E">
        <w:rPr>
          <w:szCs w:val="24"/>
        </w:rPr>
        <w:instrText>ADDIN CSL_CITATION { "citationItems" : [ { "id" : "ITEM-1", "itemData" : { "abstract" : "Employee training: ticking the box or building business competence?", "author" : [ { "dropping-particle" : "", "family" : "Cadman", "given" : "Charlie", "non-dropping-particle" : "", "parse-names" : false, "suffix" : "" } ], "container-title" : "Industrial and Commercial Training", "id" : "ITEM-1", "issue" : "1", "issued" : { "date-parts" : [ [ "2013" ] ] }, "page" : "32-35", "title" : "Employee training: Ticking the box or building business competence?", "type" : "article-journal", "volume" : "45" }, "uris" : [ "http://www.mendeley.com/documents/?uuid=45303667-1f8a-42cc-ae61-c0b8f34354b9" ] } ], "mendeley" : { "formattedCitation" : "(Cadman 2013)", "manualFormatting" : "(Cadman, 2013)", "plainTextFormattedCitation" : "(Cadman 2013)", "previouslyFormattedCitation" : "(Cadman 2013)" }, "properties" : { "noteIndex" : 0 }, "schema" : "https://github.com/citation-style-language/schema/raw/master/csl-citation.json" }</w:instrText>
      </w:r>
      <w:r w:rsidRPr="00452E2E">
        <w:rPr>
          <w:szCs w:val="24"/>
        </w:rPr>
        <w:fldChar w:fldCharType="separate"/>
      </w:r>
      <w:r w:rsidRPr="00452E2E">
        <w:rPr>
          <w:noProof/>
          <w:szCs w:val="24"/>
        </w:rPr>
        <w:t>(Cadman, 2013)</w:t>
      </w:r>
      <w:r w:rsidRPr="00452E2E">
        <w:rPr>
          <w:szCs w:val="24"/>
        </w:rPr>
        <w:fldChar w:fldCharType="end"/>
      </w:r>
      <w:r w:rsidRPr="00452E2E">
        <w:rPr>
          <w:szCs w:val="24"/>
        </w:rPr>
        <w:t xml:space="preserve">. The provision of training is dependent on the national regulatory context as well as the nature of the organization </w:t>
      </w: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"222-236", "publisher" : "Routledge", "publisher-place" : "London", "title" : "Human resource development", "type" : "chapter" }, "uris" : [ "http://www.mendeley.com/documents/?uuid=07875ec2-ef24-4f0a-a573-2d6ff9218869" ] }, { "id" : "ITEM-2", "itemData" : { "author" : [ { "dropping-particle" : "", "family" : "Shury", "given" : "J.", "non-dropping-particle" : "", "parse-names" : false, "suffix" : "" }, { "dropping-particle" : "", "family" : "Winterbotham", "given" : "M.", "non-dropping-particle" : "", "parse-names" : false, "suffix" : "" }, { "dropping-particle" : "", "family" : "Davies", "given" : "B.", "non-dropping-particle" : "", "parse-names" : false, "suffix" : "" }, { "dropping-particle" : "", "family" : "Oldfield", "given" : "K.", "non-dropping-particle" : "", "parse-names" : false, "suffix" : "" }, { "dropping-particle" : "", "family" : "Spilsbury", "given" : "M.", "non-dropping-particle" : "", "parse-names" : false, "suffix" : "" }, { "dropping-particle" : "", "family" : "Constable", "given" : "S.", "non-dropping-particle" : "", "parse-names" : false, "suffix" : "" } ], "id" : "ITEM-2", "issued" : { "date-parts" : [ [ "2010" ] ] }, "publisher" : "UKCES", "publisher-place" : "London", "title" : "National employer skills survey for England 2009: Main report", "type" : "book" }, "uris" : [ "http://www.mendeley.com/documents/?uuid=9716a176-eb32-4acc-9120-40f00ac11f71" ] } ], "mendeley" : { "formattedCitation" : "(Grugulis 2009; Shury et al. 2010)", "manualFormatting" : "(Grugulis, 2009; Shury et al., 2010)", "plainTextFormattedCitation" : "(Grugulis 2009; Shury et al. 2010)", "previouslyFormattedCitation" : "(Grugulis 2009; Shury et al. 2010)" }, "properties" : { "noteIndex" : 0 }, "schema" : "https://github.com/citation-style-language/schema/raw/master/csl-citation.json" }</w:instrText>
      </w:r>
      <w:r w:rsidRPr="00452E2E">
        <w:rPr>
          <w:szCs w:val="24"/>
        </w:rPr>
        <w:fldChar w:fldCharType="separate"/>
      </w:r>
      <w:r w:rsidRPr="00452E2E">
        <w:rPr>
          <w:noProof/>
          <w:szCs w:val="24"/>
        </w:rPr>
        <w:t xml:space="preserve">(Grugulis, 2009; Shury </w:t>
      </w:r>
      <w:r w:rsidRPr="00452E2E">
        <w:rPr>
          <w:i/>
          <w:noProof/>
          <w:szCs w:val="24"/>
        </w:rPr>
        <w:t>et al</w:t>
      </w:r>
      <w:r w:rsidRPr="00452E2E">
        <w:rPr>
          <w:noProof/>
          <w:szCs w:val="24"/>
        </w:rPr>
        <w:t>., 2010)</w:t>
      </w:r>
      <w:r w:rsidRPr="00452E2E">
        <w:rPr>
          <w:szCs w:val="24"/>
        </w:rPr>
        <w:fldChar w:fldCharType="end"/>
      </w:r>
      <w:r w:rsidRPr="00452E2E">
        <w:rPr>
          <w:szCs w:val="24"/>
        </w:rPr>
        <w:t>. At the national level, Grugulis (2009) distinguish</w:t>
      </w:r>
      <w:r w:rsidR="00534903" w:rsidRPr="00452E2E">
        <w:rPr>
          <w:szCs w:val="24"/>
        </w:rPr>
        <w:t>es</w:t>
      </w:r>
      <w:r w:rsidRPr="00452E2E">
        <w:rPr>
          <w:szCs w:val="24"/>
        </w:rPr>
        <w:t xml:space="preserve"> two approaches to training as the voluntarist or market-based approach and the regulated or educational approach. </w:t>
      </w:r>
    </w:p>
    <w:p w:rsidR="00D03A8E" w:rsidRPr="00452E2E" w:rsidRDefault="00D03A8E" w:rsidP="00D03A8E">
      <w:pPr>
        <w:spacing w:line="360" w:lineRule="auto"/>
        <w:jc w:val="both"/>
        <w:rPr>
          <w:szCs w:val="24"/>
        </w:rPr>
      </w:pPr>
      <w:r w:rsidRPr="00452E2E">
        <w:rPr>
          <w:szCs w:val="24"/>
        </w:rPr>
        <w:t xml:space="preserve">The </w:t>
      </w:r>
      <w:r w:rsidR="000C4994" w:rsidRPr="00452E2E">
        <w:rPr>
          <w:szCs w:val="24"/>
        </w:rPr>
        <w:t>market-based approach</w:t>
      </w:r>
      <w:r w:rsidRPr="00452E2E">
        <w:rPr>
          <w:szCs w:val="24"/>
        </w:rPr>
        <w:t xml:space="preserve"> is premised on the assumption that market pressures should determine the appropriate training employees receive; allowing employers to decide on the training areas in which to invest and re</w:t>
      </w:r>
      <w:r w:rsidR="000C4994" w:rsidRPr="00452E2E">
        <w:rPr>
          <w:szCs w:val="24"/>
        </w:rPr>
        <w:t>main competitive, while in the regulated approach</w:t>
      </w:r>
      <w:r w:rsidRPr="00452E2E">
        <w:rPr>
          <w:szCs w:val="24"/>
        </w:rPr>
        <w:t>, there is state intervention through legislation and provision of educational infrastructure to enable employees receive training that will serve long-term needs of organizations and the economy at large (Grugulis, 2009; 2013). Whilst both approaches can be successful, regulation of training results to more coverage and better quality training programmes that a</w:t>
      </w:r>
      <w:r w:rsidR="009849B6" w:rsidRPr="00452E2E">
        <w:rPr>
          <w:szCs w:val="24"/>
        </w:rPr>
        <w:t>im to provide long term skill</w:t>
      </w:r>
      <w:r w:rsidR="00534903" w:rsidRPr="00452E2E">
        <w:rPr>
          <w:szCs w:val="24"/>
        </w:rPr>
        <w:t xml:space="preserve"> needs for industries,</w:t>
      </w:r>
      <w:r w:rsidRPr="00452E2E">
        <w:rPr>
          <w:szCs w:val="24"/>
        </w:rPr>
        <w:t xml:space="preserve"> thereby resulting </w:t>
      </w:r>
      <w:r w:rsidR="00534903" w:rsidRPr="00452E2E">
        <w:rPr>
          <w:szCs w:val="24"/>
        </w:rPr>
        <w:t>in</w:t>
      </w:r>
      <w:r w:rsidRPr="00452E2E">
        <w:rPr>
          <w:szCs w:val="24"/>
        </w:rPr>
        <w:t xml:space="preserve"> job security of employees </w:t>
      </w:r>
      <w:r w:rsidRPr="00452E2E">
        <w:rPr>
          <w:szCs w:val="24"/>
        </w:rPr>
        <w:fldChar w:fldCharType="begin" w:fldLock="1"/>
      </w:r>
      <w:r w:rsidRPr="00452E2E">
        <w:rPr>
          <w:szCs w:val="24"/>
        </w:rPr>
        <w:instrText>ADDIN CSL_CITATION { "citationItems" : [ { "id" : "ITEM-1", "itemData" : { "DOI" : "10.1177/0959680107078247", "ISBN" : "0959-6801", "ISSN" : "0959-6801", "abstract" : "During the heyday of neoliberalism, employment protection was widely believed to be one of the main causes of Europe's poor economic performance and high unemployment. We challenge this view and instead argue that employment protection is crucial to preserving Europe's export success in higher value-added industries. In particular, we explore the relationship between employment protection and skills development.", "author" : [ { "dropping-particle" : "", "family" : "Harcourt", "given" : "Mark", "non-dropping-particle" : "", "parse-names" : false, "suffix" : "" }, { "dropping-particle" : "", "family" : "Wood", "given" : "Geoffrey", "non-dropping-particle" : "", "parse-names" : false, "suffix" : "" } ], "container-title" : "European Journal of Industrial Relations", "id" : "ITEM-1", "issue" : "2", "issued" : { "date-parts" : [ [ "2007" ] ] }, "page" : "141-159", "title" : "The importance of employment protection for skill development in coordinated market economies", "type" : "article-journal", "volume" : "13" }, "uris" : [ "http://www.mendeley.com/documents/?uuid=ce832357-ab49-4066-9128-400dbaec95c5" ] } ], "mendeley" : { "formattedCitation" : "(Harcourt &amp; Wood 2007)", "manualFormatting" : "(Harcourt &amp; Wood, 2007; Grugulis, 2013)", "plainTextFormattedCitation" : "(Harcourt &amp; Wood 2007)", "previouslyFormattedCitation" : "(Harcourt &amp; Wood 2007)" }, "properties" : { "noteIndex" : 0 }, "schema" : "https://github.com/citation-style-language/schema/raw/master/csl-citation.json" }</w:instrText>
      </w:r>
      <w:r w:rsidRPr="00452E2E">
        <w:rPr>
          <w:szCs w:val="24"/>
        </w:rPr>
        <w:fldChar w:fldCharType="separate"/>
      </w:r>
      <w:r w:rsidRPr="00452E2E">
        <w:rPr>
          <w:noProof/>
          <w:szCs w:val="24"/>
        </w:rPr>
        <w:t>(Harcourt &amp; Wood, 2007; Grugulis, 2013)</w:t>
      </w:r>
      <w:r w:rsidRPr="00452E2E">
        <w:rPr>
          <w:szCs w:val="24"/>
        </w:rPr>
        <w:fldChar w:fldCharType="end"/>
      </w:r>
      <w:r w:rsidRPr="00452E2E">
        <w:rPr>
          <w:szCs w:val="24"/>
        </w:rPr>
        <w:t xml:space="preserve">. On the other hand, in unregulated contexts, some occupations deliberately disregard training even when it is disadvantageous to them </w:t>
      </w:r>
      <w:r w:rsidRPr="00452E2E">
        <w:rPr>
          <w:szCs w:val="24"/>
        </w:rPr>
        <w:fldChar w:fldCharType="begin" w:fldLock="1"/>
      </w:r>
      <w:r w:rsidRPr="00452E2E">
        <w:rPr>
          <w:szCs w:val="24"/>
        </w:rPr>
        <w:instrText>ADDIN CSL_CITATION { "citationItems" : [ { "id" : "ITEM-1", "itemData" : { "author" : [ { "dropping-particle" : "", "family" : "Grugulis", "given" : "I.", "non-dropping-particle" : "", "parse-names" : false, "suffix" : "" } ], "chapter-number" : "5",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"ITEM-1", "issued" : { "date-parts" : [ [ "2013" ] ] }, "page" : "151-175", "publisher" : "Pearson", "publisher-place" : "Harlow", "title" : "Training and development", "type" : "chapter" }, "uris" : [ "http://www.mendeley.com/documents/?uuid=5c08e6dd-f632-4e80-a2e0-e92629316748" ] } ], "mendeley" : { "formattedCitation" : "(Grugulis 2013)", "manualFormatting" : "(Grugulis, 2013)", "plainTextFormattedCitation" : "(Grugulis 2013)", "previouslyFormattedCitation" : "(Grugulis 2013)" }, "properties" : { "noteIndex" : 0 }, "schema" : "https://github.com/citation-style-language/schema/raw/master/csl-citation.json" }</w:instrText>
      </w:r>
      <w:r w:rsidRPr="00452E2E">
        <w:rPr>
          <w:szCs w:val="24"/>
        </w:rPr>
        <w:fldChar w:fldCharType="separate"/>
      </w:r>
      <w:r w:rsidRPr="00452E2E">
        <w:rPr>
          <w:noProof/>
          <w:szCs w:val="24"/>
        </w:rPr>
        <w:t>(Grugulis, 2013)</w:t>
      </w:r>
      <w:r w:rsidRPr="00452E2E">
        <w:rPr>
          <w:szCs w:val="24"/>
        </w:rPr>
        <w:fldChar w:fldCharType="end"/>
      </w:r>
      <w:r w:rsidRPr="00452E2E">
        <w:rPr>
          <w:szCs w:val="24"/>
        </w:rPr>
        <w:t xml:space="preserve">. </w:t>
      </w:r>
      <w:r w:rsidR="00CF5B51" w:rsidRPr="00452E2E">
        <w:rPr>
          <w:szCs w:val="24"/>
        </w:rPr>
        <w:t>The market-based approach and regulated approach to training are typical of LMEs and CMEs respectively.</w:t>
      </w:r>
    </w:p>
    <w:p w:rsidR="00D03A8E" w:rsidRPr="00452E2E" w:rsidRDefault="00D03A8E" w:rsidP="00D03A8E">
      <w:pPr>
        <w:spacing w:line="360" w:lineRule="auto"/>
        <w:jc w:val="both"/>
        <w:rPr>
          <w:szCs w:val="24"/>
        </w:rPr>
      </w:pPr>
      <w:r w:rsidRPr="00452E2E">
        <w:rPr>
          <w:szCs w:val="24"/>
        </w:rPr>
        <w:t xml:space="preserve">Research evidence suggests that organizations competing on quality may value and invest more in training  than those competing on the basis of cost </w:t>
      </w:r>
      <w:r w:rsidRPr="00452E2E">
        <w:rPr>
          <w:szCs w:val="24"/>
        </w:rPr>
        <w:fldChar w:fldCharType="begin" w:fldLock="1"/>
      </w:r>
      <w:r w:rsidRPr="00452E2E">
        <w:rPr>
          <w:szCs w:val="24"/>
        </w:rPr>
        <w:instrText>ADDIN CSL_CITATION { "citationItems" : [ { "id" : "ITEM-1", "itemData" : { "author" : [ { "dropping-particle" : "", "family" : "Shury", "given" : "J.", "non-dropping-particle" : "", "parse-names" : false, "suffix" : "" }, { "dropping-particle" : "", "family" : "Winterbotham", "given" : "M.", "non-dropping-particle" : "", "parse-names" : false, "suffix" : "" }, { "dropping-particle" : "", "family" : "Davies", "given" : "B.", "non-dropping-particle" : "", "parse-names" : false, "suffix" : "" }, { "dropping-particle" : "", "family" : "Oldfield", "given" : "K.", "non-dropping-particle" : "", "parse-names" : false, "suffix" : "" }, { "dropping-particle" : "", "family" : "Spilsbury", "given" : "M.", "non-dropping-particle" : "", "parse-names" : false, "suffix" : "" }, { "dropping-particle" : "", "family" : "Constable", "given" : "S.", "non-dropping-particle" : "", "parse-names" : false, "suffix" : "" } ], "id" : "ITEM-1", "issued" : { "date-parts" : [ [ "2010" ] ] }, "publisher" : "UKCES", "publisher-place" : "London", "title" : "National employer skills survey for England 2009: Main report", "type" : "book" }, "uris" : [ "http://www.mendeley.com/documents/?uuid=9716a176-eb32-4acc-9120-40f00ac11f71" ] } ], "mendeley" : { "formattedCitation" : "(Shury et al. 2010)", "manualFormatting" : "(Shury et al., 2010)", "plainTextFormattedCitation" : "(Shury et al. 2010)", "previouslyFormattedCitation" : "(Shury et al. 2010)" }, "properties" : { "noteIndex" : 0 }, "schema" : "https://github.com/citation-style-language/schema/raw/master/csl-citation.json" }</w:instrText>
      </w:r>
      <w:r w:rsidRPr="00452E2E">
        <w:rPr>
          <w:szCs w:val="24"/>
        </w:rPr>
        <w:fldChar w:fldCharType="separate"/>
      </w:r>
      <w:r w:rsidRPr="00452E2E">
        <w:rPr>
          <w:noProof/>
          <w:szCs w:val="24"/>
        </w:rPr>
        <w:t xml:space="preserve">(Shury </w:t>
      </w:r>
      <w:r w:rsidRPr="00452E2E">
        <w:rPr>
          <w:i/>
          <w:noProof/>
          <w:szCs w:val="24"/>
        </w:rPr>
        <w:t>et al</w:t>
      </w:r>
      <w:r w:rsidRPr="00452E2E">
        <w:rPr>
          <w:noProof/>
          <w:szCs w:val="24"/>
        </w:rPr>
        <w:t>., 2010)</w:t>
      </w:r>
      <w:r w:rsidRPr="00452E2E">
        <w:rPr>
          <w:szCs w:val="24"/>
        </w:rPr>
        <w:fldChar w:fldCharType="end"/>
      </w:r>
      <w:r w:rsidRPr="00452E2E">
        <w:rPr>
          <w:szCs w:val="24"/>
        </w:rPr>
        <w:t xml:space="preserve">. For those competing on cost, training is seen as an unnecessary expense that should be eliminated </w:t>
      </w:r>
      <w:r w:rsidRPr="00452E2E">
        <w:rPr>
          <w:szCs w:val="24"/>
        </w:rPr>
        <w:fldChar w:fldCharType="begin" w:fldLock="1"/>
      </w:r>
      <w:r w:rsidRPr="00452E2E">
        <w:rPr>
          <w:szCs w:val="24"/>
        </w:rPr>
        <w:instrText>ADDIN CSL_CITATION { "citationItems" : [ { "id" : "ITEM-1", "itemData" : { "DOI" : "10.1016/j.hrmr.2007.07.004", "ISBN" : "1053-4822", "ISSN" : "10534822", "PMID" : "26488629", "abstract" : "This paper aims to advance understanding of the effects of training on organizational-level outcomes by reviewing the results of previous studies that have investigated the relationship between training and human resource, performance, and financial outcomes. The results of meta-analysis from 67 studies suggest that training is positively related to human resource outcomes and organizational performance but is only very weakly related to financial outcomes. The relationship between training and firm performance may be mediated by employee attitudes and human capital. Furthermore, training appears to be more strongly related to organizational outcomes when it is matched with key contextual factors such as organization capital intensity and business strategy, in support of the contingency perspective. Further, training is related independently to organizational outcomes in support of the universalistic perspective of strategic human resource management rather than a configurational perspective. The paper concludes with a critique of previous studies and directions for future research. Particular emphasis is given to the need for future research to integrate individual-level (micro) and organizational-level (macro) training research, models, and theory. ?? 2007 Elsevier Inc. All rights reserved.", "author" : [ { "dropping-particle" : "", "family" : "Tharenou", "given" : "Phyllis", "non-dropping-particle" : "", "parse-names" : false, "suffix" : "" }, { "dropping-particle" : "", "family" : "Saks", "given" : "Alan M.", "non-dropping-particle" : "", "parse-names" : false, "suffix" : "" }, { "dropping-particle" : "", "family" : "Moore", "given" : "Celia", "non-dropping-particle" : "", "parse-names" : false, "suffix" : "" } ], "container-title" : "Human Resource Management Review", "id" : "ITEM-1", "issue" : "3", "issued" : { "date-parts" : [ [ "2007" ] ] }, "page" : "251-273", "title" : "A review and critique of research on training and organizational-level outcomes", "type" : "article-journal", "volume" : "17" }, "uris" : [ "http://www.mendeley.com/documents/?uuid=e70ccfd2-405c-4a40-a406-6f9c73c24820" ] } ], "mendeley" : { "formattedCitation" : "(Tharenou et al. 2007)", "manualFormatting" : "(Tharenou et al., 2007)", "plainTextFormattedCitation" : "(Tharenou et al. 2007)", "previouslyFormattedCitation" : "(Tharenou et al. 2007)" }, "properties" : { "noteIndex" : 0 }, "schema" : "https://github.com/citation-style-language/schema/raw/master/csl-citation.json" }</w:instrText>
      </w:r>
      <w:r w:rsidRPr="00452E2E">
        <w:rPr>
          <w:szCs w:val="24"/>
        </w:rPr>
        <w:fldChar w:fldCharType="separate"/>
      </w:r>
      <w:r w:rsidRPr="00452E2E">
        <w:rPr>
          <w:noProof/>
          <w:szCs w:val="24"/>
        </w:rPr>
        <w:t xml:space="preserve">(Tharenou </w:t>
      </w:r>
      <w:r w:rsidRPr="00452E2E">
        <w:rPr>
          <w:i/>
          <w:noProof/>
          <w:szCs w:val="24"/>
        </w:rPr>
        <w:t>et al</w:t>
      </w:r>
      <w:r w:rsidRPr="00452E2E">
        <w:rPr>
          <w:noProof/>
          <w:szCs w:val="24"/>
        </w:rPr>
        <w:t>., 2007)</w:t>
      </w:r>
      <w:r w:rsidRPr="00452E2E">
        <w:rPr>
          <w:szCs w:val="24"/>
        </w:rPr>
        <w:fldChar w:fldCharType="end"/>
      </w:r>
      <w:r w:rsidRPr="00452E2E">
        <w:rPr>
          <w:szCs w:val="24"/>
        </w:rPr>
        <w:t xml:space="preserve">. As a result of trade liberalization in many countries in Africa and the consequent influx of more quality products from advanced economies, organizations resort to competition on the basis of cost in order to stand a chance of survival </w:t>
      </w:r>
      <w:r w:rsidRPr="00452E2E">
        <w:rPr>
          <w:szCs w:val="24"/>
        </w:rPr>
        <w:fldChar w:fldCharType="begin" w:fldLock="1"/>
      </w:r>
      <w:r w:rsidRPr="00452E2E">
        <w:rPr>
          <w:szCs w:val="24"/>
        </w:rPr>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"(Okpara &amp; Wynn 2008; Webster &amp; Wood 2005)", "manualFormatting" : "(Webster &amp; Wood,  2005; Okpara &amp; Wynn, 2008)", "plainTextFormattedCitation" : "(Okpara &amp; Wynn 2008; Webster &amp; Wood 2005)", "previouslyFormattedCitation" : "(Okpara &amp; Wynn 2008; Webster &amp; Wood 2005)" }, "properties" : { "noteIndex" : 0 }, "schema" : "https://github.com/citation-style-language/schema/raw/master/csl-citation.json" }</w:instrText>
      </w:r>
      <w:r w:rsidRPr="00452E2E">
        <w:rPr>
          <w:szCs w:val="24"/>
        </w:rPr>
        <w:fldChar w:fldCharType="separate"/>
      </w:r>
      <w:r w:rsidRPr="00452E2E">
        <w:rPr>
          <w:noProof/>
          <w:szCs w:val="24"/>
        </w:rPr>
        <w:t xml:space="preserve">(Webster &amp; Wood,  2005; </w:t>
      </w:r>
      <w:r w:rsidRPr="00452E2E">
        <w:rPr>
          <w:noProof/>
          <w:szCs w:val="24"/>
        </w:rPr>
        <w:lastRenderedPageBreak/>
        <w:t>Okpara &amp; Wynn, 2008)</w:t>
      </w:r>
      <w:r w:rsidRPr="00452E2E">
        <w:rPr>
          <w:szCs w:val="24"/>
        </w:rPr>
        <w:fldChar w:fldCharType="end"/>
      </w:r>
      <w:r w:rsidRPr="00452E2E">
        <w:rPr>
          <w:szCs w:val="24"/>
        </w:rPr>
        <w:t xml:space="preserve">. This means that whilst employers may recognize the importance of training, they may be unwilling to invest in training due to the cost associated with it (Webster &amp; Wood, 2005). In contexts such as Nigeria, for example, employer-provided training is generally low (Anakwe, 2002) whilst in Mozambique, there is dominance of informal workplace based training often known as ‘sitting with Nellie’ (cf. Webster &amp; Wood, 2005). However, even in environments where employers are reluctant to invest in training, some organizations may prioritize the provision of training </w:t>
      </w:r>
      <w:r w:rsidRPr="00452E2E">
        <w:rPr>
          <w:szCs w:val="24"/>
        </w:rPr>
        <w:fldChar w:fldCharType="begin" w:fldLock="1"/>
      </w:r>
      <w:r w:rsidRPr="00452E2E">
        <w:rPr>
          <w:szCs w:val="24"/>
        </w:rPr>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"http://www.mendeley.com/documents/?uuid=43a2fbd4-6640-46db-bd96-9c0c4ca42d50" ] } ], "mendeley" : { "formattedCitation" : "(Okpara &amp; Wynn 2008)", "manualFormatting" : "(Okpara &amp; Wynn, 2008)", "plainTextFormattedCitation" : "(Okpara &amp; Wynn 2008)", "previouslyFormattedCitation" : "(Okpara &amp; Wynn 2008)" }, "properties" : { "noteIndex" : 0 }, "schema" : "https://github.com/citation-style-language/schema/raw/master/csl-citation.json" }</w:instrText>
      </w:r>
      <w:r w:rsidRPr="00452E2E">
        <w:rPr>
          <w:szCs w:val="24"/>
        </w:rPr>
        <w:fldChar w:fldCharType="separate"/>
      </w:r>
      <w:r w:rsidRPr="00452E2E">
        <w:rPr>
          <w:noProof/>
          <w:szCs w:val="24"/>
        </w:rPr>
        <w:t>(Okpara &amp; Wynn, 2008)</w:t>
      </w:r>
      <w:r w:rsidRPr="00452E2E">
        <w:rPr>
          <w:szCs w:val="24"/>
        </w:rPr>
        <w:fldChar w:fldCharType="end"/>
      </w:r>
      <w:r w:rsidRPr="00452E2E">
        <w:rPr>
          <w:szCs w:val="24"/>
        </w:rPr>
        <w:t>; reflecting the segmented business system that is typical of many African contexts (Wood &amp; Frynas, 2006). Therefore, in the context of Nigeria, this study seeks to examine the techniques of training in public and private sector. The next section discusses employee benefits.</w:t>
      </w:r>
    </w:p>
    <w:p w:rsidR="00D03A8E" w:rsidRPr="00452E2E" w:rsidRDefault="001E5E63" w:rsidP="00D03A8E">
      <w:pPr>
        <w:pStyle w:val="Heading4"/>
      </w:pPr>
      <w:bookmarkStart w:id="53" w:name="_Toc473808119"/>
      <w:r w:rsidRPr="00452E2E">
        <w:t>2.4</w:t>
      </w:r>
      <w:r w:rsidR="00D03A8E" w:rsidRPr="00452E2E">
        <w:t>.3 Employee Benefits</w:t>
      </w:r>
      <w:bookmarkEnd w:id="53"/>
    </w:p>
    <w:p w:rsidR="00D03A8E" w:rsidRPr="00452E2E" w:rsidRDefault="00D03A8E" w:rsidP="00D03A8E">
      <w:pPr>
        <w:spacing w:line="360" w:lineRule="auto"/>
        <w:jc w:val="both"/>
        <w:rPr>
          <w:szCs w:val="24"/>
        </w:rPr>
      </w:pPr>
      <w:r w:rsidRPr="00452E2E">
        <w:rPr>
          <w:szCs w:val="24"/>
        </w:rPr>
        <w:t xml:space="preserve">Employee benefits represent a significant part of the total compensation offered by organizations </w:t>
      </w:r>
      <w:r w:rsidRPr="00452E2E">
        <w:rPr>
          <w:szCs w:val="24"/>
        </w:rPr>
        <w:fldChar w:fldCharType="begin" w:fldLock="1"/>
      </w:r>
      <w:r w:rsidRPr="00452E2E">
        <w:rPr>
          <w:szCs w:val="24"/>
        </w:rPr>
        <w:instrText>ADDIN CSL_CITATION { "citationItems" : [ { "id" : "ITEM-1", "itemData" : { "abstract" : "Many have noted the lack of human resource management research on employee benefits, which is surprising because employer-sponsored benefits are a primary concern of executives and employees alike. Moreover, of special interest to scholars, benefits provide a unique opportunity to examine fundamental theoretical and empirical questions about employee behavior and contemporary employment relationships. This paper provides a foundation for such research by providing an overview of the context from which U.S. employer-provided benefit programs evolved and the contemporary state of benefits research in human resource management. Propositions related to primary employee benefit research are provided. \u00a9 2008 Elsevier Inc. All rights reserved.", "author" : [ { "dropping-particle" : "", "family" : "Dulebohn", "given" : "James H.", "non-dropping-particle" : "", "parse-names" : false, "suffix" : "" }, { "dropping-particle" : "", "family" : "Molloy", "given" : "Janice C.", "non-dropping-particle" : "", "parse-names" : false, "suffix" : "" }, { "dropping-particle" : "", "family" : "Pichler", "given" : "Shaun M.", "non-dropping-particle" : "", "parse-names" : false, "suffix" : "" }, { "dropping-particle" : "", "family" : "Murray", "given" : "Brian", "non-dropping-particle" : "", "parse-names" : false, "suffix" : "" } ], "container-title" : "Human Resource Management Review", "id" : "ITEM-1", "issue" : "2", "issued" : { "date-parts" : [ [ "2009" ] ] }, "page" : "86-103", "publisher" : "Elsevier Inc.", "title" : "Employee benefits: Literature review and emerging issues", "type" : "article-journal", "volume" : "19" }, "uris" : [ "http://www.mendeley.com/documents/?uuid=69d3ffd7-5787-418a-926c-eeb59568715f" ] }, { "id" : "ITEM-2", "itemData" : { "DOI" : "10.1177/0886368712464471", "author" : [ { "dropping-particle" : "", "family" : "Giancola", "given" : "Frank L", "non-dropping-particle" : "", "parse-names" : false, "suffix" : "" } ], "container-title" : "Compensation &amp; Benefits Review", "id" : "ITEM-2", "issue" : "5", "issued" : { "date-parts" : [ [ "2012" ] ] }, "page" : "291-297", "title" : "Are employee benefit programs being given enough credit for their effect on employee attitudes ?", "type" : "article-journal", "volume" : "44" }, "uris" : [ "http://www.mendeley.com/documents/?uuid=f37a06aa-1938-4cf9-835d-185f066b7b2a" ] }, { "id" : "ITEM-3", "itemData" : { "DOI" : "10.1111/1744-7941.12037", "ISBN" : "1038-4111", "ISSN" : "17447941", "author" : [ { "dropping-particle" : "", "family" : "Lin", "given" : "Zhaohong", "non-dropping-particle" : "", "parse-names" : false, "suffix" : "" }, { "dropping-particle" : "", "family" : "Yao", "given" : "Xing", "non-dropping-particle" : "", "parse-names" : false, "suffix" : "" }, { "dropping-particle" : "", "family" : "Zhao", "given" : "Zhe", "non-dropping-particle" : "", "parse-names" : false, "suffix" : "" } ], "container-title" : "Asia Pacific Journal of Human Resources", "id" : "ITEM-3", "issue" : "4", "issued" : { "date-parts" : [ [ "2014" ] ] }, "page" : "476-495", "title" : "The direct and indirect impact of employee benefits on firm performance in China", "type" : "article-journal", "volume" : "52" }, "uris" : [ "http://www.mendeley.com/documents/?uuid=b1ea3027-2838-4689-852c-0edc9f5683a4" ] } ], "mendeley" : { "formattedCitation" : "(Dulebohn et al. 2009; Giancola 2012; Lin et al. 2014)", "manualFormatting" : "(Dulebohn et al., 2009; Giancola, 2012; Lin et al., 2014)", "plainTextFormattedCitation" : "(Dulebohn et al. 2009; Giancola 2012; Lin et al. 2014)", "previouslyFormattedCitation" : "(Dulebohn et al. 2009; Giancola 2012; Lin et al. 2014)" }, "properties" : { "noteIndex" : 0 }, "schema" : "https://github.com/citation-style-language/schema/raw/master/csl-citation.json" }</w:instrText>
      </w:r>
      <w:r w:rsidRPr="00452E2E">
        <w:rPr>
          <w:szCs w:val="24"/>
        </w:rPr>
        <w:fldChar w:fldCharType="separate"/>
      </w:r>
      <w:r w:rsidRPr="00452E2E">
        <w:rPr>
          <w:noProof/>
          <w:szCs w:val="24"/>
        </w:rPr>
        <w:t xml:space="preserve">(Dulebohn </w:t>
      </w:r>
      <w:r w:rsidRPr="00452E2E">
        <w:rPr>
          <w:i/>
          <w:noProof/>
          <w:szCs w:val="24"/>
        </w:rPr>
        <w:t>et al</w:t>
      </w:r>
      <w:r w:rsidRPr="00452E2E">
        <w:rPr>
          <w:noProof/>
          <w:szCs w:val="24"/>
        </w:rPr>
        <w:t xml:space="preserve">., 2009; Giancola, 2012; Lin </w:t>
      </w:r>
      <w:r w:rsidRPr="00452E2E">
        <w:rPr>
          <w:i/>
          <w:noProof/>
          <w:szCs w:val="24"/>
        </w:rPr>
        <w:t>et al</w:t>
      </w:r>
      <w:r w:rsidRPr="00452E2E">
        <w:rPr>
          <w:noProof/>
          <w:szCs w:val="24"/>
        </w:rPr>
        <w:t>., 2014)</w:t>
      </w:r>
      <w:r w:rsidRPr="00452E2E">
        <w:rPr>
          <w:szCs w:val="24"/>
        </w:rPr>
        <w:fldChar w:fldCharType="end"/>
      </w:r>
      <w:r w:rsidRPr="00452E2E">
        <w:rPr>
          <w:szCs w:val="24"/>
        </w:rPr>
        <w:t xml:space="preserve">. As such, organizations have increasingly recognised the need to invest in employee benefits in order to attract, motivate and retain talented employees </w:t>
      </w:r>
      <w:r w:rsidRPr="00452E2E">
        <w:rPr>
          <w:szCs w:val="24"/>
        </w:rPr>
        <w:fldChar w:fldCharType="begin" w:fldLock="1"/>
      </w:r>
      <w:r w:rsidRPr="00452E2E">
        <w:rPr>
          <w:szCs w:val="24"/>
        </w:rPr>
        <w:instrText>ADDIN CSL_CITATION { "citationItems" : [ { "id" : "ITEM-1", "itemData" : { "author" : [ { "dropping-particle" : "", "family" : "Adams", "given" : "Scott", "non-dropping-particle" : "", "parse-names" : false, "suffix" : "" }, { "dropping-particle" : "", "family" : "Artz", "given" : "Benjamin", "non-dropping-particle" : "", "parse-names" : false, "suffix" : "" } ], "container-title" : "Journal of Family and Economic Issues", "id" : "ITEM-1", "issued" : { "date-parts" : [ [ "2015" ] ] }, "page" : "143-153", "title" : "Health insurance, familial responsibilities and job satisfaction", "type" : "article-journal", "volume" : "36" }, "uris" : [ "http://www.mendeley.com/documents/?uuid=9f1d51a1-9bf3-4613-aa5a-93b64a13bd22" ] }, { "id" : "ITEM-2", "itemData" : { "author" : [ { "dropping-particle" : "", "family" : "Blumen", "given" : "O.", "non-dropping-particle" : "", "parse-names" : false, "suffix" : "" } ], "container-title" : "Journal of Managerial Psychology", "id" : "ITEM-2", "issue" : "5", "issued" : { "date-parts" : [ [ "2015" ] ] }, "page" : "535-549", "title" : "Employee benefits and hi-tech fatherhood", "type" : "article-journal", "volume" : "30" }, "uris" : [ "http://www.mendeley.com/documents/?uuid=b3ee4430-2231-4eb6-90a1-6222962f4d65" ] }, { "id" : "ITEM-3", "itemData" : { "abstract" : "Many have noted the lack of human resource management research on employee benefits, which is surprising because employer-sponsored benefits are a primary concern of executives and employees alike. Moreover, of special interest to scholars, benefits provide a unique opportunity to examine fundamental theoretical and empirical questions about employee behavior and contemporary employment relationships. This paper provides a foundation for such research by providing an overview of the context from which U.S. employer-provided benefit programs evolved and the contemporary state of benefits research in human resource management. Propositions related to primary employee benefit research are provided. \u00a9 2008 Elsevier Inc. All rights reserved.", "author" : [ { "dropping-particle" : "", "family" : "Dulebohn", "given" : "James H.", "non-dropping-particle" : "", "parse-names" : false, "suffix" : "" }, { "dropping-particle" : "", "family" : "Molloy", "given" : "Janice C.", "non-dropping-particle" : "", "parse-names" : false, "suffix" : "" }, { "dropping-particle" : "", "family" : "Pichler", "given" : "Shaun M.", "non-dropping-particle" : "", "parse-names" : false, "suffix" : "" }, { "dropping-particle" : "", "family" : "Murray", "given" : "Brian", "non-dropping-particle" : "", "parse-names" : false, "suffix" : "" } ], "container-title" : "Human Resource Management Review", "id" : "ITEM-3", "issue" : "2", "issued" : { "date-parts" : [ [ "2009" ] ] }, "page" : "86-103", "publisher" : "Elsevier Inc.", "title" : "Employee benefits: Literature review and emerging issues", "type" : "article-journal", "volume" : "19" }, "uris" : [ "http://www.mendeley.com/documents/?uuid=69d3ffd7-5787-418a-926c-eeb59568715f" ] } ], "mendeley" : { "formattedCitation" : "(Adams &amp; Artz 2015; Blumen 2015; Dulebohn et al. 2009)", "manualFormatting" : "(Dulebohn et al., 2009; Adams &amp; Artz, 2015; Blumen, 2015)", "plainTextFormattedCitation" : "(Adams &amp; Artz 2015; Blumen 2015; Dulebohn et al. 2009)", "previouslyFormattedCitation" : "(Adams &amp; Artz 2015; Blumen 2015; Dulebohn et al. 2009)" }, "properties" : { "noteIndex" : 0 }, "schema" : "https://github.com/citation-style-language/schema/raw/master/csl-citation.json" }</w:instrText>
      </w:r>
      <w:r w:rsidRPr="00452E2E">
        <w:rPr>
          <w:szCs w:val="24"/>
        </w:rPr>
        <w:fldChar w:fldCharType="separate"/>
      </w:r>
      <w:r w:rsidRPr="00452E2E">
        <w:rPr>
          <w:noProof/>
          <w:szCs w:val="24"/>
        </w:rPr>
        <w:t xml:space="preserve">(Dulebohn </w:t>
      </w:r>
      <w:r w:rsidRPr="00452E2E">
        <w:rPr>
          <w:i/>
          <w:noProof/>
          <w:szCs w:val="24"/>
        </w:rPr>
        <w:t>et al</w:t>
      </w:r>
      <w:r w:rsidRPr="00452E2E">
        <w:rPr>
          <w:noProof/>
          <w:szCs w:val="24"/>
        </w:rPr>
        <w:t>., 2009; Adams &amp; Artz, 2015; Blumen, 2015)</w:t>
      </w:r>
      <w:r w:rsidRPr="00452E2E">
        <w:rPr>
          <w:szCs w:val="24"/>
        </w:rPr>
        <w:fldChar w:fldCharType="end"/>
      </w:r>
      <w:r w:rsidRPr="00452E2E">
        <w:rPr>
          <w:szCs w:val="24"/>
        </w:rPr>
        <w:t xml:space="preserve">. The significance of benefits means that referring to them as ‘fringe’ benefits as it were, is now a misnomer </w:t>
      </w:r>
      <w:r w:rsidRPr="00452E2E">
        <w:rPr>
          <w:szCs w:val="24"/>
        </w:rPr>
        <w:fldChar w:fldCharType="begin" w:fldLock="1"/>
      </w:r>
      <w:r w:rsidRPr="00452E2E">
        <w:rPr>
          <w:szCs w:val="24"/>
        </w:rPr>
        <w:instrText>ADDIN CSL_CITATION { "citationItems" : [ { "id" : "ITEM-1", "itemData" : { "author" : [ { "dropping-particle" : "", "family" : "Budd", "given" : "John W", "non-dropping-particle" : "", "parse-names" : false, "suffix" : "" } ], "container-title" : "Journal of Labor Research", "id" : "ITEM-1", "issue" : "4", "issued" : { "date-parts" : [ [ "2004" ] ] }, "page" : "597-622", "title" : "Non-wage forms of compensation", "type" : "article-journal", "volume" : "25" }, "uris" : [ "http://www.mendeley.com/documents/?uuid=01863fae-56f7-4dd0-98ea-e72b29b1afbb" ] } ], "mendeley" : { "formattedCitation" : "(Budd 2004b)", "manualFormatting" : "(Budd, 2004a)", "plainTextFormattedCitation" : "(Budd 2004b)", "previouslyFormattedCitation" : "(Budd 2004b)" }, "properties" : { "noteIndex" : 0 }, "schema" : "https://github.com/citation-style-language/schema/raw/master/csl-citation.json" }</w:instrText>
      </w:r>
      <w:r w:rsidRPr="00452E2E">
        <w:rPr>
          <w:szCs w:val="24"/>
        </w:rPr>
        <w:fldChar w:fldCharType="separate"/>
      </w:r>
      <w:r w:rsidRPr="00452E2E">
        <w:rPr>
          <w:noProof/>
          <w:szCs w:val="24"/>
        </w:rPr>
        <w:t>(Budd, 2004</w:t>
      </w:r>
      <w:r w:rsidRPr="00452E2E">
        <w:rPr>
          <w:i/>
          <w:noProof/>
          <w:szCs w:val="24"/>
        </w:rPr>
        <w:t>a</w:t>
      </w:r>
      <w:r w:rsidRPr="00452E2E">
        <w:rPr>
          <w:noProof/>
          <w:szCs w:val="24"/>
        </w:rPr>
        <w:t>)</w:t>
      </w:r>
      <w:r w:rsidRPr="00452E2E">
        <w:rPr>
          <w:szCs w:val="24"/>
        </w:rPr>
        <w:fldChar w:fldCharType="end"/>
      </w:r>
      <w:r w:rsidRPr="00452E2E">
        <w:rPr>
          <w:szCs w:val="24"/>
        </w:rPr>
        <w:t xml:space="preserve">. This would underscore the significant cost employers incur in providing employee benefits </w:t>
      </w:r>
      <w:r w:rsidRPr="00452E2E">
        <w:rPr>
          <w:szCs w:val="24"/>
        </w:rPr>
        <w:fldChar w:fldCharType="begin" w:fldLock="1"/>
      </w:r>
      <w:r w:rsidRPr="00452E2E">
        <w:rPr>
          <w:szCs w:val="24"/>
        </w:rPr>
        <w:instrText>ADDIN CSL_CITATION { "citationItems" : [ { "id" : "ITEM-1", "itemData" : { "DOI" : "10.1177/0886368712464471", "author" : [ { "dropping-particle" : "", "family" : "Giancola", "given" : "Frank L", "non-dropping-particle" : "", "parse-names" : false, "suffix" : "" } ], "container-title" : "Compensation &amp; Benefits Review", "id" : "ITEM-1", "issue" : "5", "issued" : { "date-parts" : [ [ "2012" ] ] }, "page" : "291-297", "title" : "Are employee benefit programs being given enough credit for their effect on employee attitudes ?", "type" : "article-journal", "volume" : "44" }, "uris" : [ "http://www.mendeley.com/documents/?uuid=f37a06aa-1938-4cf9-835d-185f066b7b2a" ] } ], "mendeley" : { "formattedCitation" : "(Giancola 2012)", "manualFormatting" : "(Giancola, 2012)", "plainTextFormattedCitation" : "(Giancola 2012)", "previouslyFormattedCitation" : "(Giancola 2012)" }, "properties" : { "noteIndex" : 0 }, "schema" : "https://github.com/citation-style-language/schema/raw/master/csl-citation.json" }</w:instrText>
      </w:r>
      <w:r w:rsidRPr="00452E2E">
        <w:rPr>
          <w:szCs w:val="24"/>
        </w:rPr>
        <w:fldChar w:fldCharType="separate"/>
      </w:r>
      <w:r w:rsidRPr="00452E2E">
        <w:rPr>
          <w:noProof/>
          <w:szCs w:val="24"/>
        </w:rPr>
        <w:t>(Giancola, 2012)</w:t>
      </w:r>
      <w:r w:rsidRPr="00452E2E">
        <w:rPr>
          <w:szCs w:val="24"/>
        </w:rPr>
        <w:fldChar w:fldCharType="end"/>
      </w:r>
      <w:r w:rsidRPr="00452E2E">
        <w:rPr>
          <w:szCs w:val="24"/>
        </w:rPr>
        <w:t xml:space="preserve">. Employee benefits can be defined as inducements and services employers provide to employees aside the pay or wages that they receive for performance of their work for the organization </w:t>
      </w:r>
      <w:r w:rsidRPr="00452E2E">
        <w:rPr>
          <w:szCs w:val="24"/>
        </w:rPr>
        <w:fldChar w:fldCharType="begin" w:fldLock="1"/>
      </w:r>
      <w:r w:rsidRPr="00452E2E">
        <w:rPr>
          <w:szCs w:val="24"/>
        </w:rPr>
        <w:instrText>ADDIN CSL_CITATION { "citationItems" : [ { "id" : "ITEM-1", "itemData" : { "abstract" : "Many have noted the lack of human resource management research on employee benefits, which is surprising because employer-sponsored benefits are a primary concern of executives and employees alike. Moreover, of special interest to scholars, benefits provide a unique opportunity to examine fundamental theoretical and empirical questions about employee behavior and contemporary employment relationships. This paper provides a foundation for such research by providing an overview of the context from which U.S. employer-provided benefit programs evolved and the contemporary state of benefits research in human resource management. Propositions related to primary employee benefit research are provided. \u00a9 2008 Elsevier Inc. All rights reserved.", "author" : [ { "dropping-particle" : "", "family" : "Dulebohn", "given" : "James H.", "non-dropping-particle" : "", "parse-names" : false, "suffix" : "" }, { "dropping-particle" : "", "family" : "Molloy", "given" : "Janice C.", "non-dropping-particle" : "", "parse-names" : false, "suffix" : "" }, { "dropping-particle" : "", "family" : "Pichler", "given" : "Shaun M.", "non-dropping-particle" : "", "parse-names" : false, "suffix" : "" }, { "dropping-particle" : "", "family" : "Murray", "given" : "Brian", "non-dropping-particle" : "", "parse-names" : false, "suffix" : "" } ], "container-title" : "Human Resource Management Review", "id" : "ITEM-1", "issue" : "2", "issued" : { "date-parts" : [ [ "2009" ] ] }, "page" : "86-103", "publisher" : "Elsevier Inc.", "title" : "Employee benefits: Literature review and emerging issues", "type" : "article-journal", "volume" : "19" }, "uris" : [ "http://www.mendeley.com/documents/?uuid=69d3ffd7-5787-418a-926c-eeb59568715f" ] }, { "id" : "ITEM-2", "itemData" : { "author" : [ { "dropping-particle" : "", "family" : "Yanadori", "given" : "Y", "non-dropping-particle" : "", "parse-names" : false, "suffix" : "" } ], "container-title" : "The Routledge companion to international human resource management", "editor" : [ { "dropping-particle" : "", "family" : "Collings", "given" : "David G.", "non-dropping-particle" : "", "parse-names" : false, "suffix" : "" }, { "dropping-particle" : "", "family" : "Wood", "given" : "Geoffrey", "non-dropping-particle" : "", "parse-names" : false, "suffix" : "" }, { "dropping-particle" : "", "family" : "Caliguiri", "given" : "Paula M", "non-dropping-particle" : "", "parse-names" : false, "suffix" : "" } ], "id" : "ITEM-2", "issued" : { "date-parts" : [ [ "2015" ] ] }, "page" : "190-209", "publisher" : "Routledge", "publisher-place" : "London and New York", "title" : "Compensation and benefits in the global organization", "type" : "chapter" }, "uris" : [ "http://www.mendeley.com/documents/?uuid=95b9c2e6-7a32-47ac-9f23-c2396094316d" ] } ], "mendeley" : { "formattedCitation" : "(Dulebohn et al. 2009; Yanadori 2015)", "manualFormatting" : "(Dulebohn et al., 2009; Yanadori, 2015)", "plainTextFormattedCitation" : "(Dulebohn et al. 2009; Yanadori 2015)", "previouslyFormattedCitation" : "(Dulebohn et al. 2009; Yanadori 2015)" }, "properties" : { "noteIndex" : 0 }, "schema" : "https://github.com/citation-style-language/schema/raw/master/csl-citation.json" }</w:instrText>
      </w:r>
      <w:r w:rsidRPr="00452E2E">
        <w:rPr>
          <w:szCs w:val="24"/>
        </w:rPr>
        <w:fldChar w:fldCharType="separate"/>
      </w:r>
      <w:r w:rsidRPr="00452E2E">
        <w:rPr>
          <w:noProof/>
          <w:szCs w:val="24"/>
        </w:rPr>
        <w:t xml:space="preserve">(Dulebohn </w:t>
      </w:r>
      <w:r w:rsidRPr="00452E2E">
        <w:rPr>
          <w:i/>
          <w:noProof/>
          <w:szCs w:val="24"/>
        </w:rPr>
        <w:t>et al</w:t>
      </w:r>
      <w:r w:rsidRPr="00452E2E">
        <w:rPr>
          <w:noProof/>
          <w:szCs w:val="24"/>
        </w:rPr>
        <w:t>., 2009; Yanadori, 2015)</w:t>
      </w:r>
      <w:r w:rsidRPr="00452E2E">
        <w:rPr>
          <w:szCs w:val="24"/>
        </w:rPr>
        <w:fldChar w:fldCharType="end"/>
      </w:r>
      <w:r w:rsidRPr="00452E2E">
        <w:rPr>
          <w:szCs w:val="24"/>
        </w:rPr>
        <w:t xml:space="preserve">. Compensation therefore is comprised of ‘’all forms of financial returns and tangible services and benefits employees receive as part of the employment relationship’’ </w:t>
      </w:r>
      <w:r w:rsidRPr="00452E2E">
        <w:rPr>
          <w:szCs w:val="24"/>
        </w:rPr>
        <w:fldChar w:fldCharType="begin" w:fldLock="1"/>
      </w:r>
      <w:r w:rsidRPr="00452E2E">
        <w:rPr>
          <w:szCs w:val="24"/>
        </w:rPr>
        <w:instrText>ADDIN CSL_CITATION { "citationItems" : [ { "id" : "ITEM-1", "itemData" : { "author" : [ { "dropping-particle" : "", "family" : "Milkovich", "given" : "G.T.", "non-dropping-particle" : "", "parse-names" : false, "suffix" : "" }, { "dropping-particle" : "", "family" : "Newman", "given" : "J.", "non-dropping-particle" : "", "parse-names" : false, "suffix" : "" }, { "dropping-particle" : "", "family" : "Gerhart", "given" : "B.", "non-dropping-particle" : "", "parse-names" : false, "suffix" : "" } ], "edition" : "10th ed.", "id" : "ITEM-1", "issued" : { "date-parts" : [ [ "2011" ] ] }, "publisher" : "McGraw-Hill", "publisher-place" : "New York", "title" : "Compensation", "type" : "book" }, "uris" : [ "http://www.mendeley.com/documents/?uuid=d24e579e-0dc8-4bde-934f-386bd9d78c90" ] }, { "id" : "ITEM-2", "itemData" : { "author" : [ { "dropping-particle" : "", "family" : "Yanadori", "given" : "Y", "non-dropping-particle" : "", "parse-names" : false, "suffix" : "" } ], "container-title" : "The Routledge companion to international human resource management", "editor" : [ { "dropping-particle" : "", "family" : "Collings", "given" : "David G.", "non-dropping-particle" : "", "parse-names" : false, "suffix" : "" }, { "dropping-particle" : "", "family" : "Wood", "given" : "Geoffrey", "non-dropping-particle" : "", "parse-names" : false, "suffix" : "" }, { "dropping-particle" : "", "family" : "Caliguiri", "given" : "Paula M", "non-dropping-particle" : "", "parse-names" : false, "suffix" : "" } ], "id" : "ITEM-2", "issued" : { "date-parts" : [ [ "2015" ] ] }, "page" : "190-209", "publisher" : "Routledge", "publisher-place" : "London and New York", "title" : "Compensation and benefits in the global organization", "type" : "chapter" }, "uris" : [ "http://www.mendeley.com/documents/?uuid=95b9c2e6-7a32-47ac-9f23-c2396094316d" ] } ], "mendeley" : { "formattedCitation" : "(Milkovich et al. 2011; Yanadori 2015)", "manualFormatting" : "(Milkovich et al., 2011 p.10 cited in Yanadori, 2015 p.190)", "plainTextFormattedCitation" : "(Milkovich et al. 2011; Yanadori 2015)", "previouslyFormattedCitation" : "(Milkovich et al. 2011; Yanadori 2015)" }, "properties" : { "noteIndex" : 0 }, "schema" : "https://github.com/citation-style-language/schema/raw/master/csl-citation.json" }</w:instrText>
      </w:r>
      <w:r w:rsidRPr="00452E2E">
        <w:rPr>
          <w:szCs w:val="24"/>
        </w:rPr>
        <w:fldChar w:fldCharType="separate"/>
      </w:r>
      <w:r w:rsidRPr="00452E2E">
        <w:rPr>
          <w:noProof/>
          <w:szCs w:val="24"/>
        </w:rPr>
        <w:t xml:space="preserve">(Milkovich </w:t>
      </w:r>
      <w:r w:rsidRPr="00452E2E">
        <w:rPr>
          <w:i/>
          <w:noProof/>
          <w:szCs w:val="24"/>
        </w:rPr>
        <w:t>et al</w:t>
      </w:r>
      <w:r w:rsidRPr="00452E2E">
        <w:rPr>
          <w:noProof/>
          <w:szCs w:val="24"/>
        </w:rPr>
        <w:t xml:space="preserve">., 2011 p.10 </w:t>
      </w:r>
      <w:r w:rsidRPr="00452E2E">
        <w:rPr>
          <w:i/>
          <w:noProof/>
          <w:szCs w:val="24"/>
        </w:rPr>
        <w:t>cited in</w:t>
      </w:r>
      <w:r w:rsidRPr="00452E2E">
        <w:rPr>
          <w:noProof/>
          <w:szCs w:val="24"/>
        </w:rPr>
        <w:t xml:space="preserve"> Yanadori, 2015 p.190)</w:t>
      </w:r>
      <w:r w:rsidRPr="00452E2E">
        <w:rPr>
          <w:szCs w:val="24"/>
        </w:rPr>
        <w:fldChar w:fldCharType="end"/>
      </w:r>
      <w:r w:rsidRPr="00452E2E">
        <w:rPr>
          <w:szCs w:val="24"/>
        </w:rPr>
        <w:t xml:space="preserve">. Taken together, compensation and non-monetary rewards such as autonomy, career development, and recognition make up an organization’s total reward system (Yanadori, 2015). </w:t>
      </w:r>
    </w:p>
    <w:p w:rsidR="00D03A8E" w:rsidRPr="00452E2E" w:rsidRDefault="00D03A8E" w:rsidP="00D03A8E">
      <w:pPr>
        <w:spacing w:line="360" w:lineRule="auto"/>
        <w:jc w:val="both"/>
        <w:rPr>
          <w:szCs w:val="24"/>
        </w:rPr>
      </w:pPr>
      <w:r w:rsidRPr="00452E2E">
        <w:rPr>
          <w:szCs w:val="24"/>
        </w:rPr>
        <w:t xml:space="preserve">Employee benefits can be broadly classified into traditional and non-traditional benefits </w:t>
      </w:r>
      <w:r w:rsidRPr="00452E2E">
        <w:rPr>
          <w:szCs w:val="24"/>
        </w:rPr>
        <w:fldChar w:fldCharType="begin" w:fldLock="1"/>
      </w:r>
      <w:r w:rsidRPr="00452E2E">
        <w:rPr>
          <w:szCs w:val="24"/>
        </w:rPr>
        <w:instrText>ADDIN CSL_CITATION { "citationItems" : [ { "id" : "ITEM-1",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"ITEM-1",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"ITEM-2", "itemData" : { "ISBN" : "0268394121", "author" : [ { "dropping-particle" : "", "family" : "Muse", "given" : "Lori A", "non-dropping-particle" : "", "parse-names" : false, "suffix" : "" }, { "dropping-particle" : "", "family" : "Wadsworth", "given" : "Lori L", "non-dropping-particle" : "", "parse-names" : false, "suffix" : "" } ], "container-title" : "Journal of Managerial Psychology", "id" : "ITEM-2", "issue" : "2", "issued" : { "date-parts" : [ [ "2012" ] ] }, "page" : "112-131", "title" : "An examination of traditional versus non-traditional benefits", "type" : "article-journal", "volume" : "27" }, "uris" : [ "http://www.mendeley.com/documents/?uuid=8a15dc2c-d9b7-477a-aa0f-2e4764792a3a" ] } ], "mendeley" : { "formattedCitation" : "(Ko &amp; Hur 2014; Muse &amp; Wadsworth 2012)", "manualFormatting" : "(Muse &amp; Wadsworth, 2012; Ko &amp; Hur, 2014)", "plainTextFormattedCitation" : "(Ko &amp; Hur 2014; Muse &amp; Wadsworth 2012)", "previouslyFormattedCitation" : "(Ko &amp; Hur 2014; Muse &amp; Wadsworth 2012)" }, "properties" : { "noteIndex" : 0 }, "schema" : "https://github.com/citation-style-language/schema/raw/master/csl-citation.json" }</w:instrText>
      </w:r>
      <w:r w:rsidRPr="00452E2E">
        <w:rPr>
          <w:szCs w:val="24"/>
        </w:rPr>
        <w:fldChar w:fldCharType="separate"/>
      </w:r>
      <w:r w:rsidRPr="00452E2E">
        <w:rPr>
          <w:noProof/>
          <w:szCs w:val="24"/>
        </w:rPr>
        <w:t>(Muse &amp; Wadsworth, 2012; Ko &amp; Hur, 2014)</w:t>
      </w:r>
      <w:r w:rsidRPr="00452E2E">
        <w:rPr>
          <w:szCs w:val="24"/>
        </w:rPr>
        <w:fldChar w:fldCharType="end"/>
      </w:r>
      <w:r w:rsidRPr="00452E2E">
        <w:rPr>
          <w:szCs w:val="24"/>
        </w:rPr>
        <w:t xml:space="preserve">. The former comprises of conventional benefits such as leave of absence, health care, and retirement </w:t>
      </w:r>
      <w:r w:rsidRPr="00452E2E">
        <w:rPr>
          <w:szCs w:val="24"/>
        </w:rPr>
        <w:lastRenderedPageBreak/>
        <w:t xml:space="preserve">benefits that employers provide to workers </w:t>
      </w:r>
      <w:r w:rsidRPr="00452E2E">
        <w:rPr>
          <w:szCs w:val="24"/>
        </w:rPr>
        <w:fldChar w:fldCharType="begin" w:fldLock="1"/>
      </w:r>
      <w:r w:rsidRPr="00452E2E">
        <w:rPr>
          <w:szCs w:val="24"/>
        </w:rPr>
        <w:instrText>ADDIN CSL_CITATION { "citationItems" : [ { "id" : "ITEM-1", "itemData" : { "abstract" : "Many have noted the lack of human resource management research on employee benefits, which is surprising because employer-sponsored benefits are a primary concern of executives and employees alike. Moreover, of special interest to scholars, benefits provide a unique opportunity to examine fundamental theoretical and empirical questions about employee behavior and contemporary employment relationships. This paper provides a foundation for such research by providing an overview of the context from which U.S. employer-provided benefit programs evolved and the contemporary state of benefits research in human resource management. Propositions related to primary employee benefit research are provided. \u00a9 2008 Elsevier Inc. All rights reserved.", "author" : [ { "dropping-particle" : "", "family" : "Dulebohn", "given" : "James H.", "non-dropping-particle" : "", "parse-names" : false, "suffix" : "" }, { "dropping-particle" : "", "family" : "Molloy", "given" : "Janice C.", "non-dropping-particle" : "", "parse-names" : false, "suffix" : "" }, { "dropping-particle" : "", "family" : "Pichler", "given" : "Shaun M.", "non-dropping-particle" : "", "parse-names" : false, "suffix" : "" }, { "dropping-particle" : "", "family" : "Murray", "given" : "Brian", "non-dropping-particle" : "", "parse-names" : false, "suffix" : "" } ], "container-title" : "Human Resource Management Review", "id" : "ITEM-1", "issue" : "2", "issued" : { "date-parts" : [ [ "2009" ] ] }, "page" : "86-103", "publisher" : "Elsevier Inc.", "title" : "Employee benefits: Literature review and emerging issues", "type" : "article-journal", "volume" : "19" }, "uris" : [ "http://www.mendeley.com/documents/?uuid=69d3ffd7-5787-418a-926c-eeb59568715f" ] }, { "id" : "ITEM-2",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"ITEM-2",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"ITEM-3", "itemData" : { "ISBN" : "0268394121", "author" : [ { "dropping-particle" : "", "family" : "Muse", "given" : "Lori A", "non-dropping-particle" : "", "parse-names" : false, "suffix" : "" }, { "dropping-particle" : "", "family" : "Wadsworth", "given" : "Lori L", "non-dropping-particle" : "", "parse-names" : false, "suffix" : "" } ], "container-title" : "Journal of Managerial Psychology", "id" : "ITEM-3", "issue" : "2", "issued" : { "date-parts" : [ [ "2012" ] ] }, "page" : "112-131", "title" : "An examination of traditional versus non-traditional benefits", "type" : "article-journal", "volume" : "27" }, "uris" : [ "http://www.mendeley.com/documents/?uuid=8a15dc2c-d9b7-477a-aa0f-2e4764792a3a" ] } ], "mendeley" : { "formattedCitation" : "(Dulebohn et al. 2009; Ko &amp; Hur 2014; Muse &amp; Wadsworth 2012)", "manualFormatting" : "(Dulebohn et al., 2009; Muse &amp; Wadsworth, 2012; Ko &amp; Hur, 2014)", "plainTextFormattedCitation" : "(Dulebohn et al. 2009; Ko &amp; Hur 2014; Muse &amp; Wadsworth 2012)", "previouslyFormattedCitation" : "(Dulebohn et al. 2009; Ko &amp; Hur 2014; Muse &amp; Wadsworth 2012)" }, "properties" : { "noteIndex" : 0 }, "schema" : "https://github.com/citation-style-language/schema/raw/master/csl-citation.json" }</w:instrText>
      </w:r>
      <w:r w:rsidRPr="00452E2E">
        <w:rPr>
          <w:szCs w:val="24"/>
        </w:rPr>
        <w:fldChar w:fldCharType="separate"/>
      </w:r>
      <w:r w:rsidRPr="00452E2E">
        <w:rPr>
          <w:noProof/>
          <w:szCs w:val="24"/>
        </w:rPr>
        <w:t xml:space="preserve">(Dulebohn </w:t>
      </w:r>
      <w:r w:rsidRPr="00452E2E">
        <w:rPr>
          <w:i/>
          <w:noProof/>
          <w:szCs w:val="24"/>
        </w:rPr>
        <w:t>et al</w:t>
      </w:r>
      <w:r w:rsidRPr="00452E2E">
        <w:rPr>
          <w:noProof/>
          <w:szCs w:val="24"/>
        </w:rPr>
        <w:t>., 2009; Muse &amp; Wadsworth, 2012; Ko &amp; Hur, 2014)</w:t>
      </w:r>
      <w:r w:rsidRPr="00452E2E">
        <w:rPr>
          <w:szCs w:val="24"/>
        </w:rPr>
        <w:fldChar w:fldCharType="end"/>
      </w:r>
      <w:r w:rsidRPr="00452E2E">
        <w:rPr>
          <w:szCs w:val="24"/>
        </w:rPr>
        <w:t xml:space="preserve">. Because of their relative popularity, these types of benefits, in many contexts, form part of employees’ psychological contract since employees expect employers to provide them (Muse &amp; Wadsworth, 2012).  In many contexts, employers are statutorily required to provide traditional benefits to employees (Dulebohn </w:t>
      </w:r>
      <w:r w:rsidRPr="00452E2E">
        <w:rPr>
          <w:i/>
          <w:szCs w:val="24"/>
        </w:rPr>
        <w:t>et al</w:t>
      </w:r>
      <w:r w:rsidRPr="00452E2E">
        <w:rPr>
          <w:szCs w:val="24"/>
        </w:rPr>
        <w:t xml:space="preserve">., 2009; Yanadori, 2015). Non-traditional benefits on the other hand comprise of benefits whose provision is not required by legislation but determined by employers </w:t>
      </w:r>
      <w:r w:rsidRPr="00452E2E">
        <w:rPr>
          <w:szCs w:val="24"/>
        </w:rPr>
        <w:fldChar w:fldCharType="begin" w:fldLock="1"/>
      </w:r>
      <w:r w:rsidRPr="00452E2E">
        <w:rPr>
          <w:szCs w:val="24"/>
        </w:rPr>
        <w:instrText>ADDIN CSL_CITATION { "citationItems" : [ { "id" : "ITEM-1", "itemData" : { "author" : [ { "dropping-particle" : "", "family" : "Budd", "given" : "John W", "non-dropping-particle" : "", "parse-names" : false, "suffix" : "" } ], "container-title" : "Journal of Labor Research", "id" : "ITEM-1", "issue" : "4", "issued" : { "date-parts" : [ [ "2004" ] ] }, "page" : "597-622", "title" : "Non-wage forms of compensation", "type" : "article-journal", "volume" : "25" }, "uris" : [ "http://www.mendeley.com/documents/?uuid=01863fae-56f7-4dd0-98ea-e72b29b1afbb" ] }, { "id" : "ITEM-2",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"ITEM-2",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"ITEM-3", "itemData" : { "ISBN" : "0268394121", "author" : [ { "dropping-particle" : "", "family" : "Muse", "given" : "Lori A", "non-dropping-particle" : "", "parse-names" : false, "suffix" : "" }, { "dropping-particle" : "", "family" : "Wadsworth", "given" : "Lori L", "non-dropping-particle" : "", "parse-names" : false, "suffix" : "" } ], "container-title" : "Journal of Managerial Psychology", "id" : "ITEM-3", "issue" : "2", "issued" : { "date-parts" : [ [ "2012" ] ] }, "page" : "112-131", "title" : "An examination of traditional versus non-traditional benefits", "type" : "article-journal", "volume" : "27" }, "uris" : [ "http://www.mendeley.com/documents/?uuid=8a15dc2c-d9b7-477a-aa0f-2e4764792a3a" ] } ], "mendeley" : { "formattedCitation" : "(Budd 2004b; Ko &amp; Hur 2014; Muse &amp; Wadsworth 2012)", "manualFormatting" : "(Budd, 2004a; Muse &amp; Wadsworth, 2012; Ko &amp; Hur, 2014). ", "plainTextFormattedCitation" : "(Budd 2004b; Ko &amp; Hur 2014; Muse &amp; Wadsworth 2012)", "previouslyFormattedCitation" : "(Budd 2004b; Ko &amp; Hur 2014; Muse &amp; Wadsworth 2012)" }, "properties" : { "noteIndex" : 0 }, "schema" : "https://github.com/citation-style-language/schema/raw/master/csl-citation.json" }</w:instrText>
      </w:r>
      <w:r w:rsidRPr="00452E2E">
        <w:rPr>
          <w:szCs w:val="24"/>
        </w:rPr>
        <w:fldChar w:fldCharType="separate"/>
      </w:r>
      <w:r w:rsidRPr="00452E2E">
        <w:rPr>
          <w:noProof/>
          <w:szCs w:val="24"/>
        </w:rPr>
        <w:t>(Budd, 2004</w:t>
      </w:r>
      <w:r w:rsidRPr="00452E2E">
        <w:rPr>
          <w:i/>
          <w:noProof/>
          <w:szCs w:val="24"/>
        </w:rPr>
        <w:t>a</w:t>
      </w:r>
      <w:r w:rsidRPr="00452E2E">
        <w:rPr>
          <w:noProof/>
          <w:szCs w:val="24"/>
        </w:rPr>
        <w:t xml:space="preserve">; Muse &amp; Wadsworth, 2012; Ko &amp; Hur, 2014). </w:t>
      </w:r>
      <w:r w:rsidRPr="00452E2E">
        <w:rPr>
          <w:szCs w:val="24"/>
        </w:rPr>
        <w:fldChar w:fldCharType="end"/>
      </w:r>
      <w:r w:rsidRPr="00452E2E">
        <w:rPr>
          <w:szCs w:val="24"/>
        </w:rPr>
        <w:t xml:space="preserve">This would include such benefits as child care, flexible work, job sharing, work-at-home programmes, among others which employers provide to enable employees cope with work and family demands </w:t>
      </w:r>
      <w:r w:rsidRPr="00452E2E">
        <w:rPr>
          <w:szCs w:val="24"/>
        </w:rPr>
        <w:fldChar w:fldCharType="begin" w:fldLock="1"/>
      </w:r>
      <w:r w:rsidRPr="00452E2E">
        <w:rPr>
          <w:szCs w:val="24"/>
        </w:rPr>
        <w:instrText>ADDIN CSL_CITATION { "citationItems" : [ { "id" : "ITEM-1", "itemData" : { "author" : [ { "dropping-particle" : "", "family" : "Blumen", "given" : "O.", "non-dropping-particle" : "", "parse-names" : false, "suffix" : "" } ], "container-title" : "Journal of Managerial Psychology", "id" : "ITEM-1", "issue" : "5", "issued" : { "date-parts" : [ [ "2015" ] ] }, "page" : "535-549", "title" : "Employee benefits and hi-tech fatherhood", "type" : "article-journal", "volume" : "30" }, "uris" : [ "http://www.mendeley.com/documents/?uuid=b3ee4430-2231-4eb6-90a1-6222962f4d65" ] }, { "id" : "ITEM-2", "itemData" : { "author" : [ { "dropping-particle" : "", "family" : "Budd", "given" : "John W", "non-dropping-particle" : "", "parse-names" : false, "suffix" : "" } ], "container-title" : "Journal of Labor Research", "id" : "ITEM-2", "issue" : "4", "issued" : { "date-parts" : [ [ "2004" ] ] }, "page" : "597-622", "title" : "Non-wage forms of compensation", "type" : "article-journal", "volume" : "25" }, "uris" : [ "http://www.mendeley.com/documents/?uuid=01863fae-56f7-4dd0-98ea-e72b29b1afbb" ] }, { "id" : "ITEM-3", "itemData" : { "abstract" : "Many have noted the lack of human resource management research on employee benefits, which is surprising because employer-sponsored benefits are a primary concern of executives and employees alike. Moreover, of special interest to scholars, benefits provide a unique opportunity to examine fundamental theoretical and empirical questions about employee behavior and contemporary employment relationships. This paper provides a foundation for such research by providing an overview of the context from which U.S. employer-provided benefit programs evolved and the contemporary state of benefits research in human resource management. Propositions related to primary employee benefit research are provided. \u00a9 2008 Elsevier Inc. All rights reserved.", "author" : [ { "dropping-particle" : "", "family" : "Dulebohn", "given" : "James H.", "non-dropping-particle" : "", "parse-names" : false, "suffix" : "" }, { "dropping-particle" : "", "family" : "Molloy", "given" : "Janice C.", "non-dropping-particle" : "", "parse-names" : false, "suffix" : "" }, { "dropping-particle" : "", "family" : "Pichler", "given" : "Shaun M.", "non-dropping-particle" : "", "parse-names" : false, "suffix" : "" }, { "dropping-particle" : "", "family" : "Murray", "given" : "Brian", "non-dropping-particle" : "", "parse-names" : false, "suffix" : "" } ], "container-title" : "Human Resource Management Review", "id" : "ITEM-3", "issue" : "2", "issued" : { "date-parts" : [ [ "2009" ] ] }, "page" : "86-103", "publisher" : "Elsevier Inc.", "title" : "Employee benefits: Literature review and emerging issues", "type" : "article-journal", "volume" : "19" }, "uris" : [ "http://www.mendeley.com/documents/?uuid=69d3ffd7-5787-418a-926c-eeb59568715f" ] }, { "id" : "ITEM-4", "itemData" : { "DOI" : "10.1016/j.pubrev.2004.08.006", "ISSN" : "03638111", "abstract" : "Management and administration of employee benefits rightfully fall under the purview of the organization's human resource department. So, too, has responsibility for benefits communication, though HR managers may lack the training, time and experience needed to administer a formal communication effort. The researchers use data from two surveys to show the criticality of benefits to recruiting, retention and motivation of quality employees, the prevalence of particular communication approaches and channels, the perceived effectiveness of those channels, and employees' media preferences in regard to benefits communication. The researchers conclude that public relations managers need to take a much more active role in benefits communication programs. ?? 2004 Elsevier Inc. All rights reserved.", "author" : [ { "dropping-particle" : "", "family" : "Freitag", "given" : "Alan R.", "non-dropping-particle" : "", "parse-names" : false, "suffix" : "" }, { "dropping-particle" : "", "family" : "Picherit-Duthler", "given" : "Gaelle", "non-dropping-particle" : "", "parse-names" : false, "suffix" : "" } ], "container-title" : "Public Relations Review", "id" : "ITEM-4", "issue" : "4", "issued" : { "date-parts" : [ [ "2004" ] ] }, "page" : "475-482", "title" : "Employee benefits communication: Proposing a PR-HR cooperative approach", "type" : "article-journal", "volume" : "30" }, "uris" : [ "http://www.mendeley.com/documents/?uuid=25697c99-c74b-4bf4-8c69-0c333a8a5129" ] } ], "mendeley" : { "formattedCitation" : "(Blumen 2015; Budd 2004b; Dulebohn et al. 2009; Freitag &amp; Picherit-Duthler 2004)", "manualFormatting" : "(Budd, 2004a; Freitag &amp; Picherit-Duthler, 2004; Dulebohn et al., 2009; Blumen, 2015)", "plainTextFormattedCitation" : "(Blumen 2015; Budd 2004b; Dulebohn et al. 2009; Freitag &amp; Picherit-Duthler 2004)", "previouslyFormattedCitation" : "(Blumen 2015; Budd 2004b; Dulebohn et al. 2009; Freitag &amp; Picherit-Duthler 2004)" }, "properties" : { "noteIndex" : 0 }, "schema" : "https://github.com/citation-style-language/schema/raw/master/csl-citation.json" }</w:instrText>
      </w:r>
      <w:r w:rsidRPr="00452E2E">
        <w:rPr>
          <w:szCs w:val="24"/>
        </w:rPr>
        <w:fldChar w:fldCharType="separate"/>
      </w:r>
      <w:r w:rsidRPr="00452E2E">
        <w:rPr>
          <w:noProof/>
          <w:szCs w:val="24"/>
        </w:rPr>
        <w:t>(Budd, 2004</w:t>
      </w:r>
      <w:r w:rsidRPr="00452E2E">
        <w:rPr>
          <w:i/>
          <w:noProof/>
          <w:szCs w:val="24"/>
        </w:rPr>
        <w:t>a</w:t>
      </w:r>
      <w:r w:rsidRPr="00452E2E">
        <w:rPr>
          <w:noProof/>
          <w:szCs w:val="24"/>
        </w:rPr>
        <w:t xml:space="preserve">; Freitag &amp; Picherit-Duthler, 2004; Dulebohn </w:t>
      </w:r>
      <w:r w:rsidRPr="00452E2E">
        <w:rPr>
          <w:i/>
          <w:noProof/>
          <w:szCs w:val="24"/>
        </w:rPr>
        <w:t>et al</w:t>
      </w:r>
      <w:r w:rsidRPr="00452E2E">
        <w:rPr>
          <w:noProof/>
          <w:szCs w:val="24"/>
        </w:rPr>
        <w:t>., 2009; Blumen, 2015)</w:t>
      </w:r>
      <w:r w:rsidRPr="00452E2E">
        <w:rPr>
          <w:szCs w:val="24"/>
        </w:rPr>
        <w:fldChar w:fldCharType="end"/>
      </w:r>
      <w:r w:rsidRPr="00452E2E">
        <w:rPr>
          <w:szCs w:val="24"/>
        </w:rPr>
        <w:t xml:space="preserve">. </w:t>
      </w:r>
    </w:p>
    <w:p w:rsidR="005705FC" w:rsidRPr="00452E2E" w:rsidRDefault="00D03A8E" w:rsidP="00D03A8E">
      <w:pPr>
        <w:spacing w:line="360" w:lineRule="auto"/>
        <w:jc w:val="both"/>
        <w:rPr>
          <w:szCs w:val="24"/>
        </w:rPr>
      </w:pPr>
      <w:r w:rsidRPr="00452E2E">
        <w:rPr>
          <w:szCs w:val="24"/>
        </w:rPr>
        <w:t xml:space="preserve">Employers can offer high-value benefits packages in order to attract, motivate and retain talented employees </w:t>
      </w:r>
      <w:r w:rsidRPr="00452E2E">
        <w:rPr>
          <w:szCs w:val="24"/>
        </w:rPr>
        <w:fldChar w:fldCharType="begin" w:fldLock="1"/>
      </w:r>
      <w:r w:rsidRPr="00452E2E">
        <w:rPr>
          <w:szCs w:val="24"/>
        </w:rPr>
        <w:instrText>ADDIN CSL_CITATION { "citationItems" : [ { "id" : "ITEM-1", "itemData" : { "abstract" : "Many have noted the lack of human resource management research on employee benefits, which is surprising because employer-sponsored benefits are a primary concern of executives and employees alike. Moreover, of special interest to scholars, benefits provide a unique opportunity to examine fundamental theoretical and empirical questions about employee behavior and contemporary employment relationships. This paper provides a foundation for such research by providing an overview of the context from which U.S. employer-provided benefit programs evolved and the contemporary state of benefits research in human resource management. Propositions related to primary employee benefit research are provided. \u00a9 2008 Elsevier Inc. All rights reserved.", "author" : [ { "dropping-particle" : "", "family" : "Dulebohn", "given" : "James H.", "non-dropping-particle" : "", "parse-names" : false, "suffix" : "" }, { "dropping-particle" : "", "family" : "Molloy", "given" : "Janice C.", "non-dropping-particle" : "", "parse-names" : false, "suffix" : "" }, { "dropping-particle" : "", "family" : "Pichler", "given" : "Shaun M.", "non-dropping-particle" : "", "parse-names" : false, "suffix" : "" }, { "dropping-particle" : "", "family" : "Murray", "given" : "Brian", "non-dropping-particle" : "", "parse-names" : false, "suffix" : "" } ], "container-title" : "Human Resource Management Review", "id" : "ITEM-1", "issue" : "2", "issued" : { "date-parts" : [ [ "2009" ] ] }, "page" : "86-103", "publisher" : "Elsevier Inc.", "title" : "Employee benefits: Literature review and emerging issues", "type" : "article-journal", "volume" : "19" }, "uris" : [ "http://www.mendeley.com/documents/?uuid=69d3ffd7-5787-418a-926c-eeb59568715f" ] } ], "mendeley" : { "formattedCitation" : "(Dulebohn et al. 2009)", "manualFormatting" : "(Dulebohn et al., 2009)", "plainTextFormattedCitation" : "(Dulebohn et al. 2009)", "previouslyFormattedCitation" : "(Dulebohn et al. 2009)" }, "properties" : { "noteIndex" : 0 }, "schema" : "https://github.com/citation-style-language/schema/raw/master/csl-citation.json" }</w:instrText>
      </w:r>
      <w:r w:rsidRPr="00452E2E">
        <w:rPr>
          <w:szCs w:val="24"/>
        </w:rPr>
        <w:fldChar w:fldCharType="separate"/>
      </w:r>
      <w:r w:rsidRPr="00452E2E">
        <w:rPr>
          <w:noProof/>
          <w:szCs w:val="24"/>
        </w:rPr>
        <w:t xml:space="preserve">(Dulebohn </w:t>
      </w:r>
      <w:r w:rsidRPr="00452E2E">
        <w:rPr>
          <w:i/>
          <w:noProof/>
          <w:szCs w:val="24"/>
        </w:rPr>
        <w:t>et al</w:t>
      </w:r>
      <w:r w:rsidRPr="00452E2E">
        <w:rPr>
          <w:noProof/>
          <w:szCs w:val="24"/>
        </w:rPr>
        <w:t>., 2009)</w:t>
      </w:r>
      <w:r w:rsidRPr="00452E2E">
        <w:rPr>
          <w:szCs w:val="24"/>
        </w:rPr>
        <w:fldChar w:fldCharType="end"/>
      </w:r>
      <w:r w:rsidRPr="00452E2E">
        <w:rPr>
          <w:szCs w:val="24"/>
        </w:rPr>
        <w:t xml:space="preserve">. Rational choice approaches suggest that employer-provided benefits are provided in order to improve the efficiency of the organization </w:t>
      </w:r>
      <w:r w:rsidRPr="00452E2E">
        <w:rPr>
          <w:szCs w:val="24"/>
        </w:rPr>
        <w:fldChar w:fldCharType="begin" w:fldLock="1"/>
      </w:r>
      <w:r w:rsidRPr="00452E2E">
        <w:rPr>
          <w:szCs w:val="24"/>
        </w:rPr>
        <w:instrText>ADDIN CSL_CITATION { "citationItems" : [ { "id" : "ITEM-1", "itemData" : { "author" : [ { "dropping-particle" : "", "family" : "Goodstein", "given" : "Jerry D", "non-dropping-particle" : "", "parse-names" : false, "suffix" : "" } ], "container-title" : "Academy of Management Journal", "id" : "ITEM-1", "issue" : "2", "issued" : { "date-parts" : [ [ "1994" ] ] }, "page" : "350-382", "title" : "Institutional pressures and strategic responsiveness : Employer involvement in work- family issues", "type" : "article-journal", "volume" : "37" }, "uris" : [ "http://www.mendeley.com/documents/?uuid=2252d346-06f4-421c-b740-49c2454ed9b8" ] }, { "id" : "ITEM-2", "itemData" : { "DOI" : "10.1108/01437720810884737", "ISBN" : "01437720", "ISSN" : "0143-7720", "PMID" : "231926369", "abstract" : "Purpose - The purpose of this study is to examine what kinds of Dutch organisations offer their employees a choice in the composition of their benefits with the aid of a theoretical model that incorporates insights from rational choice theory, the theory of institutional pressures and the bundles of human resource management (HRM) theory. Design/methodology/approach - To test the theoretical model data were collected from nearly 600 Dutch organisations in the market sector. Multivariate binary logistic regression analyses were used to analyse these data. Findings - The research showed that flexible benefit plans (FBPs) are widespread and show a considerable degree of consistency in the options they offer. FBPs are most likely to be offered by organisations that have freedom to manoeuvre in their benefits, that witness other organisations around them offering such arrangements, and that offer HRM policies and practices that are strongly focussed on the combination of work and family, and on flexibility in working arrangements. Research limitations/implications - Attention to HRM policies in addition to a combination of rational choice and institutional theory proved valuable in explaining the uptake of a new arrangement, and this merits further exploration. Practical implications - FPBs offer Dutch organisations the opportunity to give their employees more choice in the way they are paid, and to adjust this pay to their personal situation. Offering this choice fits in with a family-friendly HRM structure and increases flexibility for both parties. Originality/value - The paper provides useful information on FBPs. \u00a9 Emerald Group Publishing Limited.", "author" : [ { "dropping-particle" : "", "family" : "Hillebrink", "given" : "Carlien", "non-dropping-particle" : "", "parse-names" : false, "suffix" : "" }, { "dropping-particle" : "", "family" : "Schippers", "given" : "Joop", "non-dropping-particle" : "", "parse-names" : false, "suffix" : "" }, { "dropping-particle" : "", "family" : "Doorne-Huiskes", "given" : "Anneke", "non-dropping-particle" : "van", "parse-names" : false, "suffix" : "" }, { "dropping-particle" : "", "family" : "Peters", "given" : "Pascale", "non-dropping-particle" : "", "parse-names" : false, "suffix" : "" } ], "container-title" : "International Journal of Manpower", "id" : "ITEM-2", "issue" : "4", "issued" : { "date-parts" : [ [ "2008" ] ] }, "page" : "304-322", "title" : "Offering choice in benefits: A new Dutch HRM arrangement", "type" : "article-journal", "volume" : "29" }, "uris" : [ "http://www.mendeley.com/documents/?uuid=ecebd52b-60e1-4e7b-b630-e2981b232a15" ] } ], "mendeley" : { "formattedCitation" : "(Goodstein 1994; Hillebrink et al. 2008)", "manualFormatting" : "(Goodstein, 1994; Hillebrink et al., 2008)", "plainTextFormattedCitation" : "(Goodstein 1994; Hillebrink et al. 2008)", "previouslyFormattedCitation" : "(Goodstein 1994; Hillebrink et al. 2008)" }, "properties" : { "noteIndex" : 0 }, "schema" : "https://github.com/citation-style-language/schema/raw/master/csl-citation.json" }</w:instrText>
      </w:r>
      <w:r w:rsidRPr="00452E2E">
        <w:rPr>
          <w:szCs w:val="24"/>
        </w:rPr>
        <w:fldChar w:fldCharType="separate"/>
      </w:r>
      <w:r w:rsidRPr="00452E2E">
        <w:rPr>
          <w:noProof/>
          <w:szCs w:val="24"/>
        </w:rPr>
        <w:t xml:space="preserve">(Goodstein, 1994; Hillebrink </w:t>
      </w:r>
      <w:r w:rsidRPr="00452E2E">
        <w:rPr>
          <w:i/>
          <w:noProof/>
          <w:szCs w:val="24"/>
        </w:rPr>
        <w:t>et al</w:t>
      </w:r>
      <w:r w:rsidRPr="00452E2E">
        <w:rPr>
          <w:noProof/>
          <w:szCs w:val="24"/>
        </w:rPr>
        <w:t>., 2008)</w:t>
      </w:r>
      <w:r w:rsidRPr="00452E2E">
        <w:rPr>
          <w:szCs w:val="24"/>
        </w:rPr>
        <w:fldChar w:fldCharType="end"/>
      </w:r>
      <w:r w:rsidRPr="00452E2E">
        <w:rPr>
          <w:szCs w:val="24"/>
        </w:rPr>
        <w:t xml:space="preserve">. The potential substitutability of wages for benefits may encourage employers that are concerned about cost-cutting to reduce wages once they increase the amount of benefits available to employees </w:t>
      </w:r>
      <w:r w:rsidRPr="00452E2E">
        <w:rPr>
          <w:szCs w:val="24"/>
        </w:rPr>
        <w:fldChar w:fldCharType="begin" w:fldLock="1"/>
      </w:r>
      <w:r w:rsidRPr="00452E2E">
        <w:rPr>
          <w:szCs w:val="24"/>
        </w:rPr>
        <w:instrText>ADDIN CSL_CITATION { "citationItems" : [ { "id" : "ITEM-1", "itemData" : { "author" : [ { "dropping-particle" : "", "family" : "Artz", "given" : "Benjamin", "non-dropping-particle" : "", "parse-names" : false, "suffix" : "" } ], "container-title" : "International Journal of Manpower", "id" : "ITEM-1", "issue" : "6", "issued" : { "date-parts" : [ [ "2010" ] ] }, "page" : "626-644", "title" : "Fringe benefits and job satisfaction", "type" : "article-journal", "volume" : "31" }, "uris" : [ "http://www.mendeley.com/documents/?uuid=befb7ec4-5864-4c2e-8b09-ae41a5344053" ] }, { "id" : "ITEM-2", "itemData" : { "abstract" : "Linked employer-employee data from Norway are utilised to study how employers use wages and fringe benefits in managing their workforce. The analysis shows that on average across all establishments, we observe a positive correlation between wages and fringe benefits. This indicates the presence of labour market frictions and thus is not supportive of the classical frictionless hedonic wage model. Higher wages and more fringe benefits reduce the worker turnover rate. Fringe benefits have stronger negative impact on the excess worker turnover rate than indicated by the reported monetary value. \u00a9 2004 Elsevier B.V. All rights reserved.", "author" : [ { "dropping-particle" : "", "family" : "Dale-Olsen", "given" : "Harald", "non-dropping-particle" : "", "parse-names" : false, "suffix" : "" } ], "container-title" : "Labour Economics", "id" : "ITEM-2", "issue" : "1", "issued" : { "date-parts" : [ [ "2006" ] ] }, "page" : "87-105", "title" : "Wages, fringe benefits and worker turnover", "type" : "article-journal", "volume" : "13" }, "uris" : [ "http://www.mendeley.com/documents/?uuid=6e5d06cd-4b89-4384-a8b6-246af9b335bc" ] } ], "mendeley" : { "formattedCitation" : "(Artz 2010; Dale-Olsen 2006)", "manualFormatting" : "(Dale-Olsen, 2006; Artz, 2010)", "plainTextFormattedCitation" : "(Artz 2010; Dale-Olsen 2006)", "previouslyFormattedCitation" : "(Artz 2010; Dale-Olsen 2006)" }, "properties" : { "noteIndex" : 0 }, "schema" : "https://github.com/citation-style-language/schema/raw/master/csl-citation.json" }</w:instrText>
      </w:r>
      <w:r w:rsidRPr="00452E2E">
        <w:rPr>
          <w:szCs w:val="24"/>
        </w:rPr>
        <w:fldChar w:fldCharType="separate"/>
      </w:r>
      <w:r w:rsidRPr="00452E2E">
        <w:rPr>
          <w:noProof/>
          <w:szCs w:val="24"/>
        </w:rPr>
        <w:t>(Dale-Olsen, 2006; Artz, 2010)</w:t>
      </w:r>
      <w:r w:rsidRPr="00452E2E">
        <w:rPr>
          <w:szCs w:val="24"/>
        </w:rPr>
        <w:fldChar w:fldCharType="end"/>
      </w:r>
      <w:r w:rsidRPr="00452E2E">
        <w:rPr>
          <w:szCs w:val="24"/>
        </w:rPr>
        <w:t xml:space="preserve">. Employers taking this road view benefits as an additional cost that make organizations less competitive </w:t>
      </w:r>
      <w:r w:rsidRPr="00452E2E">
        <w:rPr>
          <w:szCs w:val="24"/>
        </w:rPr>
        <w:fldChar w:fldCharType="begin" w:fldLock="1"/>
      </w:r>
      <w:r w:rsidRPr="00452E2E">
        <w:rPr>
          <w:szCs w:val="24"/>
        </w:rPr>
        <w:instrText>ADDIN CSL_CITATION { "citationItems" : [ { "id" : "ITEM-1", "itemData" : { "author" : [ { "dropping-particle" : "", "family" : "Budd", "given" : "John W", "non-dropping-particle" : "", "parse-names" : false, "suffix" : "" } ], "container-title" : "Journal of Labor Research", "id" : "ITEM-1", "issue" : "4", "issued" : { "date-parts" : [ [ "2004" ] ] }, "page" : "597-622", "title" : "Non-wage forms of compensation", "type" : "article-journal", "volume" : "25" }, "uris" : [ "http://www.mendeley.com/documents/?uuid=01863fae-56f7-4dd0-98ea-e72b29b1afbb" ] } ], "mendeley" : { "formattedCitation" : "(Budd 2004b)", "manualFormatting" : "(Budd, 2004a)", "plainTextFormattedCitation" : "(Budd 2004b)", "previouslyFormattedCitation" : "(Budd 2004b)" }, "properties" : { "noteIndex" : 0 }, "schema" : "https://github.com/citation-style-language/schema/raw/master/csl-citation.json" }</w:instrText>
      </w:r>
      <w:r w:rsidRPr="00452E2E">
        <w:rPr>
          <w:szCs w:val="24"/>
        </w:rPr>
        <w:fldChar w:fldCharType="separate"/>
      </w:r>
      <w:r w:rsidRPr="00452E2E">
        <w:rPr>
          <w:noProof/>
          <w:szCs w:val="24"/>
        </w:rPr>
        <w:t>(Budd, 2004</w:t>
      </w:r>
      <w:r w:rsidRPr="00452E2E">
        <w:rPr>
          <w:i/>
          <w:noProof/>
          <w:szCs w:val="24"/>
        </w:rPr>
        <w:t>a</w:t>
      </w:r>
      <w:r w:rsidRPr="00452E2E">
        <w:rPr>
          <w:noProof/>
          <w:szCs w:val="24"/>
        </w:rPr>
        <w:t>)</w:t>
      </w:r>
      <w:r w:rsidRPr="00452E2E">
        <w:rPr>
          <w:szCs w:val="24"/>
        </w:rPr>
        <w:fldChar w:fldCharType="end"/>
      </w:r>
      <w:r w:rsidRPr="00452E2E">
        <w:rPr>
          <w:szCs w:val="24"/>
        </w:rPr>
        <w:t>. This suggest</w:t>
      </w:r>
      <w:r w:rsidR="008D7CFC" w:rsidRPr="00452E2E">
        <w:rPr>
          <w:szCs w:val="24"/>
        </w:rPr>
        <w:t>s</w:t>
      </w:r>
      <w:r w:rsidRPr="00452E2E">
        <w:rPr>
          <w:szCs w:val="24"/>
        </w:rPr>
        <w:t xml:space="preserve"> that for the efficiency-driven organization, employer-provided benefits will be offered to employees insofar as it will improve an organization’s bottom-line through productivity increases </w:t>
      </w:r>
      <w:r w:rsidRPr="00452E2E">
        <w:rPr>
          <w:szCs w:val="24"/>
        </w:rPr>
        <w:fldChar w:fldCharType="begin" w:fldLock="1"/>
      </w:r>
      <w:r w:rsidRPr="00452E2E">
        <w:rPr>
          <w:szCs w:val="24"/>
        </w:rPr>
        <w:instrText>ADDIN CSL_CITATION { "citationItems" : [ { "id" : "ITEM-1", "itemData" : { "abstract" : "Family-supportuve employment benefits have become increasingly popular in recent years as an employer response to the increasing labor force participation of women, and the consequent need to balance work and family life. Economic theory predicts that these types of fringe benefits could at least partially pay for themselves through a combination of incresed productiity and lower wages. A survey of 120 employers in an upstate New York conty provides data on benefits packages and outcome measures that are used to test this hypothesis. We find that employers who offer flexible sich leave and child care assistance experience measurable reductions in turnover. Employers who offere benefits like flexible scheduling policies and child care also appear to offset part of the cost of these benefits by paying lower entry-level wages than do their competitors.", "author" : [ { "dropping-particle" : "", "family" : "Baughman", "given" : "Reagan", "non-dropping-particle" : "", "parse-names" : false, "suffix" : "" }, { "dropping-particle" : "", "family" : "DiNardi", "given" : "Daniela", "non-dropping-particle" : "", "parse-names" : false, "suffix" : "" }, { "dropping-particle" : "", "family" : "Holtz-Eakin", "given" : "Douglas", "non-dropping-particle" : "", "parse-names" : false, "suffix" : "" } ], "container-title" : "International Journal of Manpower", "id" : "ITEM-1", "issue" : "3", "issued" : { "date-parts" : [ [ "2003" ] ] }, "page" : "247-259", "title" : "Productivity and wage effects of \u201cfamily-friendly\u201d fringe benefits", "type" : "article-journal", "volume" : "24" }, "uris" : [ "http://www.mendeley.com/documents/?uuid=2538e32a-e2b3-46a6-9d1a-d8116c02787a" ] }, { "id" : "ITEM-2", "itemData" : { "author" : [ { "dropping-particle" : "", "family" : "Budd", "given" : "John W", "non-dropping-particle" : "", "parse-names" : false, "suffix" : "" } ], "container-title" : "Journal of Labor Research", "id" : "ITEM-2", "issue" : "4", "issued" : { "date-parts" : [ [ "2004" ] ] }, "page" : "597-622", "title" : "Non-wage forms of compensation", "type" : "article-journal", "volume" : "25" }, "uris" : [ "http://www.mendeley.com/documents/?uuid=01863fae-56f7-4dd0-98ea-e72b29b1afbb" ] } ], "mendeley" : { "formattedCitation" : "(Baughman et al. 2003; Budd 2004b)", "manualFormatting" : "(Baughman et al., 2003; Budd, 2004a)", "plainTextFormattedCitation" : "(Baughman et al. 2003; Budd 2004b)", "previouslyFormattedCitation" : "(Baughman et al. 2003; Budd 2004b)" }, "properties" : { "noteIndex" : 0 }, "schema" : "https://github.com/citation-style-language/schema/raw/master/csl-citation.json" }</w:instrText>
      </w:r>
      <w:r w:rsidRPr="00452E2E">
        <w:rPr>
          <w:szCs w:val="24"/>
        </w:rPr>
        <w:fldChar w:fldCharType="separate"/>
      </w:r>
      <w:r w:rsidRPr="00452E2E">
        <w:rPr>
          <w:noProof/>
          <w:szCs w:val="24"/>
        </w:rPr>
        <w:t xml:space="preserve">(Baughman </w:t>
      </w:r>
      <w:r w:rsidRPr="00452E2E">
        <w:rPr>
          <w:i/>
          <w:noProof/>
          <w:szCs w:val="24"/>
        </w:rPr>
        <w:t>et al</w:t>
      </w:r>
      <w:r w:rsidRPr="00452E2E">
        <w:rPr>
          <w:noProof/>
          <w:szCs w:val="24"/>
        </w:rPr>
        <w:t>., 2003; Budd, 2004</w:t>
      </w:r>
      <w:r w:rsidRPr="00452E2E">
        <w:rPr>
          <w:i/>
          <w:noProof/>
          <w:szCs w:val="24"/>
        </w:rPr>
        <w:t>a</w:t>
      </w:r>
      <w:r w:rsidRPr="00452E2E">
        <w:rPr>
          <w:noProof/>
          <w:szCs w:val="24"/>
        </w:rPr>
        <w:t>)</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At the same time, efficiency-driven organizations may reduce their investment in employer-provided benefits during economic downturns </w:t>
      </w:r>
      <w:r w:rsidRPr="00452E2E">
        <w:rPr>
          <w:szCs w:val="24"/>
        </w:rPr>
        <w:fldChar w:fldCharType="begin" w:fldLock="1"/>
      </w:r>
      <w:r w:rsidRPr="00452E2E">
        <w:rPr>
          <w:szCs w:val="24"/>
        </w:rPr>
        <w:instrText>ADDIN CSL_CITATION { "citationItems" : [ { "id" : "ITEM-1", "itemData" : { "ISBN" : "0268394121", "author" : [ { "dropping-particle" : "", "family" : "Muse", "given" : "Lori A", "non-dropping-particle" : "", "parse-names" : false, "suffix" : "" }, { "dropping-particle" : "", "family" : "Wadsworth", "given" : "Lori L", "non-dropping-particle" : "", "parse-names" : false, "suffix" : "" } ], "container-title" : "Journal of Managerial Psychology", "id" : "ITEM-1", "issue" : "2", "issued" : { "date-parts" : [ [ "2012" ] ] }, "page" : "112-131", "title" : "An examination of traditional versus non-traditional benefits", "type" : "article-journal", "volume" : "27" }, "uris" : [ "http://www.mendeley.com/documents/?uuid=8a15dc2c-d9b7-477a-aa0f-2e4764792a3a" ] } ], "mendeley" : { "formattedCitation" : "(Muse &amp; Wadsworth 2012)", "manualFormatting" : "(Muse &amp; Wadsworth, 2012)", "plainTextFormattedCitation" : "(Muse &amp; Wadsworth 2012)", "previouslyFormattedCitation" : "(Muse &amp; Wadsworth 2012)" }, "properties" : { "noteIndex" : 0 }, "schema" : "https://github.com/citation-style-language/schema/raw/master/csl-citation.json" }</w:instrText>
      </w:r>
      <w:r w:rsidRPr="00452E2E">
        <w:rPr>
          <w:szCs w:val="24"/>
        </w:rPr>
        <w:fldChar w:fldCharType="separate"/>
      </w:r>
      <w:r w:rsidRPr="00452E2E">
        <w:rPr>
          <w:noProof/>
          <w:szCs w:val="24"/>
        </w:rPr>
        <w:t>(Muse &amp; Wadsworth, 2012)</w:t>
      </w:r>
      <w:r w:rsidRPr="00452E2E">
        <w:rPr>
          <w:szCs w:val="24"/>
        </w:rPr>
        <w:fldChar w:fldCharType="end"/>
      </w:r>
      <w:r w:rsidRPr="00452E2E">
        <w:rPr>
          <w:szCs w:val="24"/>
        </w:rPr>
        <w:t xml:space="preserve">. However, this may not be the case if employers are genuinely concerned about the welfare of workers </w:t>
      </w:r>
      <w:r w:rsidRPr="00452E2E">
        <w:rPr>
          <w:szCs w:val="24"/>
        </w:rPr>
        <w:fldChar w:fldCharType="begin" w:fldLock="1"/>
      </w:r>
      <w:r w:rsidRPr="00452E2E">
        <w:rPr>
          <w:szCs w:val="24"/>
        </w:rPr>
        <w:instrText>ADDIN CSL_CITATION { "citationItems" : [ { "id" : "ITEM-1", "itemData" : { "author" : [ { "dropping-particle" : "", "family" : "Amuedo-Dorantes", "given" : "Catalina", "non-dropping-particle" : "", "parse-names" : false, "suffix" : "" }, { "dropping-particle" : "", "family" : "Mach", "given" : "Traci", "non-dropping-particle" : "", "parse-names" : false, "suffix" : "" } ], "container-title" : "International Journal of Manpower", "id" : "ITEM-1", "issue" : "6", "issued" : { "date-parts" : [ [ "2003" ] ] }, "page" : "673-698", "title" : "Performance pay and fringe benefits: Work incentives or compensating wage differentials?", "type" : "article-journal", "volume" : "24" }, "uris" : [ "http://www.mendeley.com/documents/?uuid=dc80b9ed-e19f-41e2-b8f4-cfcce07d68ef" ] }, { "id" : "ITEM-2", "itemData" : { "DOI" : "10.1080/09585192.2013.763840", "ISBN" : "09585192", "ISSN" : "0958-5192", "PMID" : "89552130", "abstract" : "Corporate social responsibility studies prove that an employee is increasingly a key stakeholder for companies. Firms are starting to think about their workforce as a real opportunity to manage and improve their human and economic capital. Employee welfare and benefit schemes are particularly important in this perspective and top companies are investing significantly in this direction. On the basis of an empirical cross-analysis, conducted on a questionnaire addressed to its own employees, by one of the world's biggest multinational groups, and in which the level of satisfaction of benefits and welfare schemes is investigated, significant results emerged: the utility of benefits is marginally higher in women than in men; an evident direct linear relationship exists between job standing and benefit satisfaction, with the exception of factory workers; seniority and age variance of employees do not imply different marginal utility in benefits. Furthermore, the implementation of some limited cost benefits would generate higher marginal utility in employees than of other, more expensive and exclusive, benefits.", "author" : [ { "dropping-particle" : "", "family" : "Teti", "given" : "Emanuele", "non-dropping-particle" : "", "parse-names" : false, "suffix" : "" }, { "dropping-particle" : "", "family" : "Andriotto", "given" : "Mauro", "non-dropping-particle" : "", "parse-names" : false, "suffix" : "" } ], "container-title" : "The International Journal of Human Resource Management", "id" : "ITEM-2", "issue" : "17", "issued" : { "date-parts" : [ [ "2013" ] ] }, "page" : "3232-3246", "title" : "Effectiveness of employee welfare schemes: Differences of specific professional profiles", "type" : "article-journal", "volume" : "24" }, "uris" : [ "http://www.mendeley.com/documents/?uuid=b5e7be78-4cc3-470c-9a97-6f798a4bc24e" ] } ], "mendeley" : { "formattedCitation" : "(Amuedo-Dorantes &amp; Mach 2003; Teti &amp; Andriotto 2013)", "manualFormatting" : "(Amuedo-Dorantes &amp; Mach, 2003; Teti &amp; Andriotto, 2013)", "plainTextFormattedCitation" : "(Amuedo-Dorantes &amp; Mach 2003; Teti &amp; Andriotto 2013)", "previouslyFormattedCitation" : "(Amuedo-Dorantes &amp; Mach 2003; Teti &amp; Andriotto 2013)" }, "properties" : { "noteIndex" : 0 }, "schema" : "https://github.com/citation-style-language/schema/raw/master/csl-citation.json" }</w:instrText>
      </w:r>
      <w:r w:rsidRPr="00452E2E">
        <w:rPr>
          <w:szCs w:val="24"/>
        </w:rPr>
        <w:fldChar w:fldCharType="separate"/>
      </w:r>
      <w:r w:rsidRPr="00452E2E">
        <w:rPr>
          <w:noProof/>
          <w:szCs w:val="24"/>
        </w:rPr>
        <w:t>(Amuedo-Dorantes &amp; Mach, 2003; Teti &amp; Andriotto, 2013)</w:t>
      </w:r>
      <w:r w:rsidRPr="00452E2E">
        <w:rPr>
          <w:szCs w:val="24"/>
        </w:rPr>
        <w:fldChar w:fldCharType="end"/>
      </w:r>
      <w:r w:rsidRPr="00452E2E">
        <w:rPr>
          <w:szCs w:val="24"/>
        </w:rPr>
        <w:t xml:space="preserve">. On the other hand, institutional accounts posit that employer-provided benefits are more likely to be offered if managers find that similar organizations are offering such benefits </w:t>
      </w:r>
      <w:r w:rsidRPr="00452E2E">
        <w:rPr>
          <w:szCs w:val="24"/>
        </w:rPr>
        <w:fldChar w:fldCharType="begin" w:fldLock="1"/>
      </w:r>
      <w:r w:rsidRPr="00452E2E">
        <w:rPr>
          <w:szCs w:val="24"/>
        </w:rPr>
        <w:instrText>ADDIN CSL_CITATION { "citationItems" : [ { "id" : "ITEM-1", "itemData" : { "author" : [ { "dropping-particle" : "", "family" : "Goodstein", "given" : "Jerry D", "non-dropping-particle" : "", "parse-names" : false, "suffix" : "" } ], "container-title" : "Academy of Management Journal", "id" : "ITEM-1", "issue" : "2", "issued" : { "date-parts" : [ [ "1994" ] ] }, "page" : "350-382", "title" : "Institutional pressures and strategic responsiveness : Employer involvement in work- family issues", "type" : "article-journal", "volume" : "37" }, "uris" : [ "http://www.mendeley.com/documents/?uuid=2252d346-06f4-421c-b740-49c2454ed9b8" ] }, { "id" : "ITEM-2", "itemData" : { "DOI" : "10.1108/01437720810884737", "ISBN" : "01437720", "ISSN" : "0143-7720", "PMID" : "231926369", "abstract" : "Purpose - The purpose of this study is to examine what kinds of Dutch organisations offer their employees a choice in the composition of their benefits with the aid of a theoretical model that incorporates insights from rational choice theory, the theory of institutional pressures and the bundles of human resource management (HRM) theory. Design/methodology/approach - To test the theoretical model data were collected from nearly 600 Dutch organisations in the market sector. Multivariate binary logistic regression analyses were used to analyse these data. Findings - The research showed that flexible benefit plans (FBPs) are widespread and show a considerable degree of consistency in the options they offer. FBPs are most likely to be offered by organisations that have freedom to manoeuvre in their benefits, that witness other organisations around them offering such arrangements, and that offer HRM policies and practices that are strongly focussed on the combination of work and family, and on flexibility in working arrangements. Research limitations/implications - Attention to HRM policies in addition to a combination of rational choice and institutional theory proved valuable in explaining the uptake of a new arrangement, and this merits further exploration. Practical implications - FPBs offer Dutch organisations the opportunity to give their employees more choice in the way they are paid, and to adjust this pay to their personal situation. Offering this choice fits in with a family-friendly HRM structure and increases flexibility for both parties. Originality/value - The paper provides useful information on FBPs. \u00a9 Emerald Group Publishing Limited.", "author" : [ { "dropping-particle" : "", "family" : "Hillebrink", "given" : "Carlien", "non-dropping-particle" : "", "parse-names" : false, "suffix" : "" }, { "dropping-particle" : "", "family" : "Schippers", "given" : "Joop", "non-dropping-particle" : "", "parse-names" : false, "suffix" : "" }, { "dropping-particle" : "", "family" : "Doorne-Huiskes", "given" : "Anneke", "non-dropping-particle" : "van", "parse-names" : false, "suffix" : "" }, { "dropping-particle" : "", "family" : "Peters", "given" : "Pascale", "non-dropping-particle" : "", "parse-names" : false, "suffix" : "" } ], "container-title" : "International Journal of Manpower", "id" : "ITEM-2", "issue" : "4", "issued" : { "date-parts" : [ [ "2008" ] ] }, "page" : "304-322", "title" : "Offering choice in benefits: A new Dutch HRM arrangement", "type" : "article-journal", "volume" : "29" }, "uris" : [ "http://www.mendeley.com/documents/?uuid=ecebd52b-60e1-4e7b-b630-e2981b232a15" ] } ], "mendeley" : { "formattedCitation" : "(Goodstein 1994; Hillebrink et al. 2008)", "manualFormatting" : "(Goodstein, 1994; Hillebrink et al., 2008)", "plainTextFormattedCitation" : "(Goodstein 1994; Hillebrink et al. 2008)", "previouslyFormattedCitation" : "(Goodstein 1994; Hillebrink et al. 2008)" }, "properties" : { "noteIndex" : 0 }, "schema" : "https://github.com/citation-style-language/schema/raw/master/csl-citation.json" }</w:instrText>
      </w:r>
      <w:r w:rsidRPr="00452E2E">
        <w:rPr>
          <w:szCs w:val="24"/>
        </w:rPr>
        <w:fldChar w:fldCharType="separate"/>
      </w:r>
      <w:r w:rsidRPr="00452E2E">
        <w:rPr>
          <w:noProof/>
          <w:szCs w:val="24"/>
        </w:rPr>
        <w:t xml:space="preserve">(Goodstein, 1994; Hillebrink </w:t>
      </w:r>
      <w:r w:rsidRPr="00452E2E">
        <w:rPr>
          <w:i/>
          <w:noProof/>
          <w:szCs w:val="24"/>
        </w:rPr>
        <w:t>et al</w:t>
      </w:r>
      <w:r w:rsidRPr="00452E2E">
        <w:rPr>
          <w:noProof/>
          <w:szCs w:val="24"/>
        </w:rPr>
        <w:t>., 2008)</w:t>
      </w:r>
      <w:r w:rsidRPr="00452E2E">
        <w:rPr>
          <w:szCs w:val="24"/>
        </w:rPr>
        <w:fldChar w:fldCharType="end"/>
      </w:r>
      <w:r w:rsidRPr="00452E2E">
        <w:rPr>
          <w:szCs w:val="24"/>
        </w:rPr>
        <w:t xml:space="preserve">. Thus, in </w:t>
      </w:r>
      <w:r w:rsidRPr="00452E2E">
        <w:rPr>
          <w:szCs w:val="24"/>
        </w:rPr>
        <w:lastRenderedPageBreak/>
        <w:t xml:space="preserve">DiMaggio </w:t>
      </w:r>
      <w:r w:rsidR="00BA5692" w:rsidRPr="00452E2E">
        <w:rPr>
          <w:szCs w:val="24"/>
        </w:rPr>
        <w:t>&amp;</w:t>
      </w:r>
      <w:r w:rsidRPr="00452E2E">
        <w:rPr>
          <w:szCs w:val="24"/>
        </w:rPr>
        <w:t xml:space="preserve"> Powell’s (1983) language, mimetic pressures may drive the provision of employer-provided benefits. </w:t>
      </w:r>
    </w:p>
    <w:p w:rsidR="003501C0" w:rsidRPr="00452E2E" w:rsidRDefault="00D03A8E" w:rsidP="00D03A8E">
      <w:pPr>
        <w:spacing w:line="360" w:lineRule="auto"/>
        <w:jc w:val="both"/>
        <w:rPr>
          <w:szCs w:val="24"/>
        </w:rPr>
      </w:pPr>
      <w:r w:rsidRPr="00452E2E">
        <w:rPr>
          <w:szCs w:val="24"/>
        </w:rPr>
        <w:t xml:space="preserve">Similar to other HR practices, employee benefits are determined by cultural, social, and regulatory influences (Dulebohn, </w:t>
      </w:r>
      <w:r w:rsidRPr="00452E2E">
        <w:rPr>
          <w:i/>
          <w:szCs w:val="24"/>
        </w:rPr>
        <w:t>et al</w:t>
      </w:r>
      <w:r w:rsidRPr="00452E2E">
        <w:rPr>
          <w:szCs w:val="24"/>
        </w:rPr>
        <w:t>., 2009; Yanadori, 2015). According to Yanadori (2015)</w:t>
      </w:r>
      <w:r w:rsidR="0068254E" w:rsidRPr="00452E2E">
        <w:rPr>
          <w:szCs w:val="24"/>
        </w:rPr>
        <w:t>,</w:t>
      </w:r>
      <w:r w:rsidRPr="00452E2E">
        <w:rPr>
          <w:szCs w:val="24"/>
        </w:rPr>
        <w:t xml:space="preserve"> government regulation and the framework of social security system are the main contextual determinants of the amount and type of benef</w:t>
      </w:r>
      <w:r w:rsidR="00323820" w:rsidRPr="00452E2E">
        <w:rPr>
          <w:szCs w:val="24"/>
        </w:rPr>
        <w:t>its organizations provide. Whilst</w:t>
      </w:r>
      <w:r w:rsidRPr="00452E2E">
        <w:rPr>
          <w:szCs w:val="24"/>
        </w:rPr>
        <w:t xml:space="preserve"> traditional benefits are conventionally covered by legislation, differences in national legislation and implementation imply that the nature of traditional benefits and indeed benefits generally differ from context to context </w:t>
      </w:r>
      <w:r w:rsidRPr="00452E2E">
        <w:rPr>
          <w:szCs w:val="24"/>
        </w:rPr>
        <w:fldChar w:fldCharType="begin" w:fldLock="1"/>
      </w:r>
      <w:r w:rsidRPr="00452E2E">
        <w:rPr>
          <w:szCs w:val="24"/>
        </w:rPr>
        <w:instrText>ADDIN CSL_CITATION { "citationItems" : [ { "id" : "ITEM-1", "itemData" : { "abstract" : "Many have noted the lack of human resource management research on employee benefits, which is surprising because employer-sponsored benefits are a primary concern of executives and employees alike. Moreover, of special interest to scholars, benefits provide a unique opportunity to examine fundamental theoretical and empirical questions about employee behavior and contemporary employment relationships. This paper provides a foundation for such research by providing an overview of the context from which U.S. employer-provided benefit programs evolved and the contemporary state of benefits research in human resource management. Propositions related to primary employee benefit research are provided. \u00a9 2008 Elsevier Inc. All rights reserved.", "author" : [ { "dropping-particle" : "", "family" : "Dulebohn", "given" : "James H.", "non-dropping-particle" : "", "parse-names" : false, "suffix" : "" }, { "dropping-particle" : "", "family" : "Molloy", "given" : "Janice C.", "non-dropping-particle" : "", "parse-names" : false, "suffix" : "" }, { "dropping-particle" : "", "family" : "Pichler", "given" : "Shaun M.", "non-dropping-particle" : "", "parse-names" : false, "suffix" : "" }, { "dropping-particle" : "", "family" : "Murray", "given" : "Brian", "non-dropping-particle" : "", "parse-names" : false, "suffix" : "" } ], "container-title" : "Human Resource Management Review", "id" : "ITEM-1", "issue" : "2", "issued" : { "date-parts" : [ [ "2009" ] ] }, "page" : "86-103", "publisher" : "Elsevier Inc.", "title" : "Employee benefits: Literature review and emerging issues", "type" : "article-journal", "volume" : "19" }, "uris" : [ "http://www.mendeley.com/documents/?uuid=69d3ffd7-5787-418a-926c-eeb59568715f" ] } ], "mendeley" : { "formattedCitation" : "(Dulebohn et al. 2009)", "manualFormatting" : "(Dulebohn et al., 2009; Yanadori, 2015)", "plainTextFormattedCitation" : "(Dulebohn et al. 2009)", "previouslyFormattedCitation" : "(Dulebohn et al. 2009)" }, "properties" : { "noteIndex" : 0 }, "schema" : "https://github.com/citation-style-language/schema/raw/master/csl-citation.json" }</w:instrText>
      </w:r>
      <w:r w:rsidRPr="00452E2E">
        <w:rPr>
          <w:szCs w:val="24"/>
        </w:rPr>
        <w:fldChar w:fldCharType="separate"/>
      </w:r>
      <w:r w:rsidRPr="00452E2E">
        <w:rPr>
          <w:noProof/>
          <w:szCs w:val="24"/>
        </w:rPr>
        <w:t xml:space="preserve">(Dulebohn </w:t>
      </w:r>
      <w:r w:rsidRPr="00452E2E">
        <w:rPr>
          <w:i/>
          <w:noProof/>
          <w:szCs w:val="24"/>
        </w:rPr>
        <w:t>et al</w:t>
      </w:r>
      <w:r w:rsidRPr="00452E2E">
        <w:rPr>
          <w:noProof/>
          <w:szCs w:val="24"/>
        </w:rPr>
        <w:t>., 2009; Yanadori, 2015)</w:t>
      </w:r>
      <w:r w:rsidRPr="00452E2E">
        <w:rPr>
          <w:szCs w:val="24"/>
        </w:rPr>
        <w:fldChar w:fldCharType="end"/>
      </w:r>
      <w:r w:rsidRPr="00452E2E">
        <w:rPr>
          <w:szCs w:val="24"/>
        </w:rPr>
        <w:t xml:space="preserve">. As an example, whilst employees in the UK are covered by government -provided health care programme through the NHS, employers in USA are expected to provide medical insurance to employees (Yanadori, 2015). This suggests that differences in legislation is at the heart of national differences in HRM even within the so-called liberal markets (Lane &amp; Wood, 2009). </w:t>
      </w:r>
    </w:p>
    <w:p w:rsidR="00D03A8E" w:rsidRPr="00452E2E" w:rsidRDefault="00D03A8E" w:rsidP="00D03A8E">
      <w:pPr>
        <w:spacing w:line="360" w:lineRule="auto"/>
        <w:jc w:val="both"/>
        <w:rPr>
          <w:szCs w:val="24"/>
        </w:rPr>
      </w:pPr>
      <w:r w:rsidRPr="00452E2E">
        <w:rPr>
          <w:szCs w:val="24"/>
        </w:rPr>
        <w:t xml:space="preserve">Although most benefits belonging to the traditional variety may be covered by legislation in many African countries, research in </w:t>
      </w:r>
      <w:r w:rsidR="002E2D92" w:rsidRPr="00452E2E">
        <w:rPr>
          <w:szCs w:val="24"/>
        </w:rPr>
        <w:t xml:space="preserve">the </w:t>
      </w:r>
      <w:r w:rsidRPr="00452E2E">
        <w:rPr>
          <w:szCs w:val="24"/>
        </w:rPr>
        <w:t xml:space="preserve">Mozambican context has shown that not all organizations provide statutory-required benefits to employees (Webster &amp; Wood, 2005). In Nigeria, Ovadje </w:t>
      </w:r>
      <w:r w:rsidR="00902A8E" w:rsidRPr="00452E2E">
        <w:rPr>
          <w:szCs w:val="24"/>
        </w:rPr>
        <w:t>&amp;</w:t>
      </w:r>
      <w:r w:rsidRPr="00452E2E">
        <w:rPr>
          <w:szCs w:val="24"/>
        </w:rPr>
        <w:t xml:space="preserve"> Ankomah (2001) stressed the importance of employee benefits to augment low wages paid by employers. However, there is no research evidence showing the particular benefits provided to employees and by which organizations. The present research seeks to explore this within the context of public and private sector in Nigeria. We now turn our attention to employee participation in the next section.</w:t>
      </w:r>
    </w:p>
    <w:p w:rsidR="00D03A8E" w:rsidRPr="00452E2E" w:rsidRDefault="001E5E63" w:rsidP="00D03A8E">
      <w:pPr>
        <w:pStyle w:val="Heading4"/>
      </w:pPr>
      <w:bookmarkStart w:id="54" w:name="_Toc473808120"/>
      <w:r w:rsidRPr="00452E2E">
        <w:t>2.4</w:t>
      </w:r>
      <w:r w:rsidR="00D03A8E" w:rsidRPr="00452E2E">
        <w:t>.4 Employee Participation</w:t>
      </w:r>
      <w:bookmarkEnd w:id="54"/>
    </w:p>
    <w:p w:rsidR="00D03A8E" w:rsidRPr="00452E2E" w:rsidRDefault="00D03A8E" w:rsidP="00D03A8E">
      <w:pPr>
        <w:spacing w:line="360" w:lineRule="auto"/>
        <w:jc w:val="both"/>
        <w:rPr>
          <w:szCs w:val="24"/>
        </w:rPr>
      </w:pPr>
      <w:r w:rsidRPr="00452E2E">
        <w:rPr>
          <w:szCs w:val="24"/>
        </w:rPr>
        <w:t xml:space="preserve">Employee participation is an intricate concept that has received wide interest across diverse disciplines within the broad area of social sciences </w:t>
      </w:r>
      <w:r w:rsidRPr="00452E2E">
        <w:rPr>
          <w:szCs w:val="24"/>
        </w:rPr>
        <w:fldChar w:fldCharType="begin" w:fldLock="1"/>
      </w:r>
      <w:r w:rsidRPr="00452E2E">
        <w:rPr>
          <w:szCs w:val="24"/>
        </w:rPr>
        <w:instrText>ADDIN CSL_CITATION { "citationItems" : [ { "id" : "ITEM-1", "itemData" : { "abstract" : "While the history of employee voice and participation is longstanding, there has been a sharp increase in interest in these topics among academics, practitioners, and policy-makers in recent years. The research on employee voice and participation has therefore significantly broadened, expanding from an earlier institutional focus to also include significant behavioural and strategic streams. This article introduces a symposium that extends our knowledge of employee voice and participation in terms of new organizational forms, practices and processes that affect the nature, structure and conditions of work and organizations by showcasing the breadth of contemporary research on voice and participation.", "author" : [ { "dropping-particle" : "", "family" : "Budd", "given" : "John W.", "non-dropping-particle" : "", "parse-names" : false, "suffix" : "" }, { "dropping-particle" : "", "family" : "Gollan", "given" : "Paul J.", "non-dropping-particle" : "", "parse-names" : false, "suffix" : "" }, { "dropping-particle" : "", "family" : "Wilkinson", "given" : "Adrian", "non-dropping-particle" : "", "parse-names" : false, "suffix" : "" } ], "container-title" : "Human Relations", "id" : "ITEM-1", "issue" : "3", "issued" : { "date-parts" : [ [ "2010" ] ] }, "page" : "303-310", "title" : "New approaches to employee voice and participation in organisations", "type" : "article-journal", "volume" : "63" }, "uris" : [ "http://www.mendeley.com/documents/?uuid=f3ca8cdc-eb42-4453-880c-2406f8f5fd18" ] }, { "id" : "ITEM-2", "itemData" : { "DOI" : "10.1177/0950017011407966", "ISBN" : "0950-0170, 0950-0170", "ISSN" : "0950-0170", "abstract" : "The article explores how employee participation influences the quality of the work environment and workers\u2019 well-being at 11 Danish workplaces from within six different industries. Both direct participation and representative forms of participation at the workplace level were studied. Statistical as well as qualitative comparative analyses reveal that work environment quality and high levels of participation go hand in hand. Within a typology of participation models the highest level of participation, including strong elements of collective participation, and also the best work environment, measured as \u2018psychosocial well-being\u2019, were found at workplaces managed in accordance with democratic principles.", "author" : [ { "dropping-particle" : "", "family" : "Knudsen", "given" : "Herman", "non-dropping-particle" : "", "parse-names" : false, "suffix" : "" }, { "dropping-particle" : "", "family" : "Busck", "given" : "Ole", "non-dropping-particle" : "", "parse-names" : false, "suffix" : "" }, { "dropping-particle" : "", "family" : "Lind", "given" : "Jens", "non-dropping-particle" : "", "parse-names" : false, "suffix" : "" } ], "container-title" : "Work, Employment &amp; Society", "id" : "ITEM-2", "issue" : "3", "issued" : { "date-parts" : [ [ "2011" ] ] }, "page" : "379-396", "title" : "Work environment quality: The role of workplace participation and democracy", "type" : "article-journal", "volume" : "25" }, "uris" : [ "http://www.mendeley.com/documents/?uuid=f76eae00-3bc9-4e31-a641-21f3afdac307" ] }, { "id" : "ITEM-3", "itemData" : { "DOI" : "10.1093/oxfordhb/9780199207268.003.0001", "ISBN" : "9780191584817", "abstract" : "Employee participation encompasses the range of mechanisms used to involve the workforce in decisions at all levels of the organization - whether direct or indirect - conducted with employees or through their representatives. In its various guises, the topic of employee participation has been a recurring theme in industrial relations and human resource management. One of the problems in trying to develop any analysis of participation is that there is potentially limited overlap between these different disciplinary traditions, and scholars from diverse traditions may know relatively little of the research that has been done elsewhere. Accordingly in this book, a number of the more significant disciplinary areas are analysed in greater depth in order to ensure that readers gain a better appreciation of what participation means from these quite different contextual perspectives. Not only is there a range of different traditions contributing to the research and literature on the subject, there is also an extremely diverse sets of practices that congregate under the banner of participation. The handbook discusses various arguments and schools of thought about employee participation, analyzes the range of forms that participation can take in practice, and examines the way in which it meets objectives that are set for it, either by employers, trade unions, individual workers, or, indeed, the state. In doing so, the Handbook brings together leading scholars from around the world who present and discuss fundamental theories and approaches to participation in organization as well as their connection to broader political forces. These selections address the changing contexts of employee participation, different cultural/ institutional models, old/'new' economy models, shifting social and political patterns, and the correspondence between industrial and political democracy and participation.", "author" : [ { "dropping-particle" : "", "family" : "Wilkinson", "given" : "Adrian", "non-dropping-particle" : "", "parse-names" : false, "suffix" : "" }, { "dropping-particle" : "", "family" : "Gollan", "given" : "Paul J.", "non-dropping-particle" : "", "parse-names" : false, "suffix" : "" }, { "dropping-particle" : "", "family" : "Marchington", "given" : "Mick", "non-dropping-particle" : "", "parse-names" : false, "suffix" : "" }, { "dropping-particle" : "", "family" : "Lewin", "given" : "David",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"ITEM-3", "issued" : { "date-parts" : [ [ "2010" ] ] }, "page" : "3-26", "publisher" : "Oxford University Press", "publisher-place" : "Oxford", "title" : "Conceptualizing employee participation in organizations", "type" : "chapter" }, "uris" : [ "http://www.mendeley.com/documents/?uuid=4d2d6729-7d1c-440b-a373-a585c93bc395" ] } ], "mendeley" : { "formattedCitation" : "(Budd et al. 2010; Knudsen et al. 2011; Wilkinson et al. 2010)", "manualFormatting" : "(Budd et al., 2010; Knudsen et al., 2011; Wilkinson et al., 2010)", "plainTextFormattedCitation" : "(Budd et al. 2010; Knudsen et al. 2011; Wilkinson et al. 2010)", "previouslyFormattedCitation" : "(Budd et al. 2010; Knudsen et al. 2011; Wilkinson et al. 2010)" }, "properties" : { "noteIndex" : 0 }, "schema" : "https://github.com/citation-style-language/schema/raw/master/csl-citation.json" }</w:instrText>
      </w:r>
      <w:r w:rsidRPr="00452E2E">
        <w:rPr>
          <w:szCs w:val="24"/>
        </w:rPr>
        <w:fldChar w:fldCharType="separate"/>
      </w:r>
      <w:r w:rsidRPr="00452E2E">
        <w:rPr>
          <w:noProof/>
          <w:szCs w:val="24"/>
        </w:rPr>
        <w:t xml:space="preserve">(Budd </w:t>
      </w:r>
      <w:r w:rsidRPr="00452E2E">
        <w:rPr>
          <w:i/>
          <w:noProof/>
          <w:szCs w:val="24"/>
        </w:rPr>
        <w:t>et al</w:t>
      </w:r>
      <w:r w:rsidRPr="00452E2E">
        <w:rPr>
          <w:noProof/>
          <w:szCs w:val="24"/>
        </w:rPr>
        <w:t xml:space="preserve">., 2010; Knudsen </w:t>
      </w:r>
      <w:r w:rsidRPr="00452E2E">
        <w:rPr>
          <w:i/>
          <w:noProof/>
          <w:szCs w:val="24"/>
        </w:rPr>
        <w:t>et al</w:t>
      </w:r>
      <w:r w:rsidRPr="00452E2E">
        <w:rPr>
          <w:noProof/>
          <w:szCs w:val="24"/>
        </w:rPr>
        <w:t xml:space="preserve">., 2011; Wilkinson </w:t>
      </w:r>
      <w:r w:rsidRPr="00452E2E">
        <w:rPr>
          <w:i/>
          <w:noProof/>
          <w:szCs w:val="24"/>
        </w:rPr>
        <w:t>et al</w:t>
      </w:r>
      <w:r w:rsidRPr="00452E2E">
        <w:rPr>
          <w:noProof/>
          <w:szCs w:val="24"/>
        </w:rPr>
        <w:t>., 2010)</w:t>
      </w:r>
      <w:r w:rsidRPr="00452E2E">
        <w:rPr>
          <w:szCs w:val="24"/>
        </w:rPr>
        <w:fldChar w:fldCharType="end"/>
      </w:r>
      <w:r w:rsidRPr="00452E2E">
        <w:rPr>
          <w:szCs w:val="24"/>
        </w:rPr>
        <w:t xml:space="preserve">. The emergence of new forms of participation, coupled with the interchangeable use, and overlapping of participation, voice, involvement, autonomy, and empowerment have further complicated the meaning of participation </w:t>
      </w:r>
      <w:r w:rsidRPr="00452E2E">
        <w:rPr>
          <w:szCs w:val="24"/>
        </w:rPr>
        <w:fldChar w:fldCharType="begin" w:fldLock="1"/>
      </w:r>
      <w:r w:rsidRPr="00452E2E">
        <w:rPr>
          <w:szCs w:val="24"/>
        </w:rPr>
        <w:instrText>ADDIN CSL_CITATION { "citationItems" : [ { "id" : "ITEM-1",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"ITEM-1", "issue" : "6", "issued" : { "date-parts" : [ [ "2014" ] ] }, "page" : "795-809", "title" : "Direct involvement, partnership and setting: A study in bounded diversity", "type" : "article-journal", "volume" : "25" }, "uris" : [ "http://www.mendeley.com/documents/?uuid=e20c0258-4a3f-4b03-bcbb-2f7953a311a9" ] }, { "id" : "ITEM-2", "itemData" : { "author" : [ { "dropping-particle" : "", "family" : "Budd", "given" : "John W", "non-dropping-particle" : "", "parse-names" : false, "suffix" : "" } ], "id" : "ITEM-2", "issued" : { "date-parts" : [ [ "2004" ] ] }, "publisher" : "Cornell University Press", "publisher-place" : "Ithaca, NY", "title" : "Employment with a human face: Balancing efficiency, equity, and voice", "type" : "book" }, "uris" : [ "http://www.mendeley.com/documents/?uuid=d38be6ba-9aa8-4f76-9084-d82e919b1ba8" ] }, { "id" : "ITEM-3", "itemData" : { "abstract" : "While the history of employee voice and participation is longstanding, there has been a sharp increase in interest in these topics among academics, practitioners, and policy-makers in recent years. The research on employee voice and participation has therefore significantly broadened, expanding from an earlier institutional focus to also include significant behavioural and strategic streams. This article introduces a symposium that extends our knowledge of employee voice and participation in terms of new organizational forms, practices and processes that affect the nature, structure and conditions of work and organizations by showcasing the breadth of contemporary research on voice and participation.", "author" : [ { "dropping-particle" : "", "family" : "Budd", "given" : "John W.", "non-dropping-particle" : "", "parse-names" : false, "suffix" : "" }, { "dropping-particle" : "", "family" : "Gollan", "given" : "Paul J.", "non-dropping-particle" : "", "parse-names" : false, "suffix" : "" }, { "dropping-particle" : "", "family" : "Wilkinson", "given" : "Adrian", "non-dropping-particle" : "", "parse-names" : false, "suffix" : "" } ], "container-title" : "Human Relations", "id" : "ITEM-3", "issue" : "3", "issued" : { "date-parts" : [ [ "2010" ] ] }, "page" : "303-310", "title" : "New approaches to employee voice and participation in organisations", "type" : "article-journal", "volume" : "63" }, "uris" : [ "http://www.mendeley.com/documents/?uuid=f3ca8cdc-eb42-4453-880c-2406f8f5fd18" ] }, { "id" : "ITEM-4",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"ITEM-4", "issue" : "1", "issued" : { "date-parts" : [ [ "2009" ] ] }, "page" : "37-61", "title" : "The rise of post-bureaucracy: Theorists' fancy or organizational praxis?", "type" : "article-journal", "volume" : "24" }, "uris" : [ "http://www.mendeley.com/documents/?uuid=34301c7c-ab72-4a8c-a149-b61552e4a0db" ] }, { "id" : "ITEM-5", "itemData" : { "ISBN" : "9780191584817", "author" : [ { "dropping-particle" : "", "family" : "Wilkinson", "given" : "Adrian", "non-dropping-particle" : "", "parse-names" : false, "suffix" : "" }, { "dropping-particle" : "", "family" : "Dundon", "given" : "Tony", "non-dropping-particle" : "", "parse-names" : false, "suffix" : "" } ], "container-title" : "The Oxford handbook of participation in organizations", "editor" : [ { "dropping-particle" : "", "family" : "Gollan", "given" : "Paul J</w:instrText>
      </w:r>
      <w:r w:rsidRPr="00452E2E">
        <w:rPr>
          <w:szCs w:val="24"/>
          <w:lang w:val="fr-FR"/>
        </w:rPr>
        <w:instrText>.",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"ITEM-5", "issued" : { "date-parts" : [ [ "2010" ] ] }, "page" : "167-185", "publisher" : "Oxford University Press", "publisher-place" : "Oxford", "title" : "Direct employee participation", "type" : "chapter" }, "uris" : [ "http://www.mendeley.com/documents/?uuid=13d745d4-7527-476e-9c98-d760aa6c02da" ] } ], "mendeley" : { "formattedCitation" : "(Brewster et al. 2014; Budd 2004a; Budd et al. 2010; Johnson et al. 2009; Wilkinson &amp; Dundon 2010)", "manualFormatting" : "(Budd, 2004b; Parkes et al., 2007; Budd et al., 2010; Johnson et al., 2009; Wilkinson &amp; Dundon, 2010; Brewster et al., 2014)", "plainTextFormattedCitation" : "(Brewster et al. 2014; Budd 2004a; Budd et al. 2010; Johnson et al. 2009; Wilkinson &amp; Dundon 2010)", "previouslyFormattedCitation" : "(Brewster et al. 2014; Budd 2004a; Budd et al. 2010; Johnson et al. 2009; Wilkinson &amp; Dundon 2010)" }, "properties" : { "noteIndex" : 0 }, "schema" : "https://github.com/citation-style-language/schema/raw/master/csl-citation.json" }</w:instrText>
      </w:r>
      <w:r w:rsidRPr="00452E2E">
        <w:rPr>
          <w:szCs w:val="24"/>
        </w:rPr>
        <w:fldChar w:fldCharType="separate"/>
      </w:r>
      <w:r w:rsidRPr="00452E2E">
        <w:rPr>
          <w:noProof/>
          <w:szCs w:val="24"/>
          <w:lang w:val="fr-FR"/>
        </w:rPr>
        <w:t>(Budd, 2004</w:t>
      </w:r>
      <w:r w:rsidRPr="00452E2E">
        <w:rPr>
          <w:i/>
          <w:noProof/>
          <w:szCs w:val="24"/>
          <w:lang w:val="fr-FR"/>
        </w:rPr>
        <w:t>b</w:t>
      </w:r>
      <w:r w:rsidRPr="00452E2E">
        <w:rPr>
          <w:noProof/>
          <w:szCs w:val="24"/>
          <w:lang w:val="fr-FR"/>
        </w:rPr>
        <w:t xml:space="preserve">; Parkes </w:t>
      </w:r>
      <w:r w:rsidRPr="00452E2E">
        <w:rPr>
          <w:i/>
          <w:noProof/>
          <w:szCs w:val="24"/>
          <w:lang w:val="fr-FR"/>
        </w:rPr>
        <w:t>et al</w:t>
      </w:r>
      <w:r w:rsidRPr="00452E2E">
        <w:rPr>
          <w:noProof/>
          <w:szCs w:val="24"/>
          <w:lang w:val="fr-FR"/>
        </w:rPr>
        <w:t xml:space="preserve">., 2007; Budd </w:t>
      </w:r>
      <w:r w:rsidRPr="00452E2E">
        <w:rPr>
          <w:i/>
          <w:noProof/>
          <w:szCs w:val="24"/>
          <w:lang w:val="fr-FR"/>
        </w:rPr>
        <w:t>et al</w:t>
      </w:r>
      <w:r w:rsidRPr="00452E2E">
        <w:rPr>
          <w:noProof/>
          <w:szCs w:val="24"/>
          <w:lang w:val="fr-FR"/>
        </w:rPr>
        <w:t xml:space="preserve">., 2010; Johnson </w:t>
      </w:r>
      <w:r w:rsidRPr="00452E2E">
        <w:rPr>
          <w:i/>
          <w:noProof/>
          <w:szCs w:val="24"/>
          <w:lang w:val="fr-FR"/>
        </w:rPr>
        <w:t>et al</w:t>
      </w:r>
      <w:r w:rsidRPr="00452E2E">
        <w:rPr>
          <w:noProof/>
          <w:szCs w:val="24"/>
          <w:lang w:val="fr-FR"/>
        </w:rPr>
        <w:t xml:space="preserve">., 2009; Wilkinson &amp; Dundon, 2010; Brewster </w:t>
      </w:r>
      <w:r w:rsidRPr="00452E2E">
        <w:rPr>
          <w:i/>
          <w:noProof/>
          <w:szCs w:val="24"/>
          <w:lang w:val="fr-FR"/>
        </w:rPr>
        <w:t>et al</w:t>
      </w:r>
      <w:r w:rsidRPr="00452E2E">
        <w:rPr>
          <w:noProof/>
          <w:szCs w:val="24"/>
          <w:lang w:val="fr-FR"/>
        </w:rPr>
        <w:t xml:space="preserve">., </w:t>
      </w:r>
      <w:r w:rsidRPr="00452E2E">
        <w:rPr>
          <w:noProof/>
          <w:szCs w:val="24"/>
          <w:lang w:val="fr-FR"/>
        </w:rPr>
        <w:lastRenderedPageBreak/>
        <w:t>2014)</w:t>
      </w:r>
      <w:r w:rsidRPr="00452E2E">
        <w:rPr>
          <w:szCs w:val="24"/>
        </w:rPr>
        <w:fldChar w:fldCharType="end"/>
      </w:r>
      <w:r w:rsidRPr="00452E2E">
        <w:rPr>
          <w:szCs w:val="24"/>
          <w:lang w:val="fr-FR"/>
        </w:rPr>
        <w:t xml:space="preserve">. </w:t>
      </w:r>
      <w:r w:rsidRPr="00452E2E">
        <w:rPr>
          <w:szCs w:val="24"/>
        </w:rPr>
        <w:t xml:space="preserve">According to Wilkinson </w:t>
      </w:r>
      <w:r w:rsidRPr="00452E2E">
        <w:rPr>
          <w:i/>
          <w:szCs w:val="24"/>
        </w:rPr>
        <w:t>et al</w:t>
      </w:r>
      <w:r w:rsidR="008F3891" w:rsidRPr="00452E2E">
        <w:rPr>
          <w:i/>
          <w:szCs w:val="24"/>
        </w:rPr>
        <w:t>.</w:t>
      </w:r>
      <w:r w:rsidRPr="00452E2E">
        <w:rPr>
          <w:szCs w:val="24"/>
        </w:rPr>
        <w:t xml:space="preserve"> (2010</w:t>
      </w:r>
      <w:r w:rsidR="008F3891" w:rsidRPr="00452E2E">
        <w:rPr>
          <w:szCs w:val="24"/>
        </w:rPr>
        <w:t>,</w:t>
      </w:r>
      <w:r w:rsidRPr="00452E2E">
        <w:rPr>
          <w:szCs w:val="24"/>
        </w:rPr>
        <w:t xml:space="preserve"> p. 11-12), “employee participation encompasses the range of mechanisms used to involve the workforce in decisions at all levels of the organization, whether undertaken directly or indirectly through their representatives”. This definition acknowledges the existence of different forms of participation, which is an important step in understanding the meaning of participation. However, the definition is broad and does not explain why employees are involved in decision making. Moreover, the meaning of employee participation depends on the particular field of study one is interested in, since different perspectives of participation exist in the scholarly literature </w:t>
      </w:r>
      <w:r w:rsidRPr="00452E2E">
        <w:rPr>
          <w:szCs w:val="24"/>
        </w:rPr>
        <w:fldChar w:fldCharType="begin" w:fldLock="1"/>
      </w:r>
      <w:r w:rsidRPr="00452E2E">
        <w:rPr>
          <w:szCs w:val="24"/>
        </w:rPr>
        <w:instrText>ADDIN CSL_CITATION { "citationItems" : [ { "id" : "ITEM-1", "itemData" : { "abstract" : "Industrial Relations (IR) has two historical meanings. In one usage, the term describes public policy and the employment practices of employers and unions. But IR also refers to a speciWc academic perspective, centred on certain normative and theoretical principles. Since the latter discipline or Weld has been highly policy orientated, and at times has both shaped public policy and organizational practice and been shaped by them, it is easy to conXate the two (Ackers and Wilkinson, 2008). As Kaufman (2004) has argued, it is instructive to trace this historical interplay of \u2018events\u2019 and \u2018ideas\u2019. Thus, the varying approaches of academic IR to organizational participation have tended to respond to policy and practice devel- opments in the real world of a given society. Intellectuals have not simply echoed these, but have elaborated their own novel theories of participation in response to them.Moreover, participation theorists have rarely been purely pragmatic in their response and instead have drawn on wider ideologies, which have shaped their proposals for reforming the employment relationship.", "author" : [ { "dropping-particle" : "", "family" : "Ackers", "given" : "Peter",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"page" : "52-75", "publisher" : "Oxford University Press", "publisher-place" : "Oxford", "title" : "An Industrial relations perspective on employee participation", "type" : "chapter" }, "uris" : [ "http://www.mendeley.com/documents/?uuid=9ba6bb3c-bf02-44b7-9005-d1971b0d138b" ] }, { "id" : "ITEM-2", "itemData" : { "abstract" : "Since the 1980s, human resource management (HRM) has become the most widely recognized term in the Anglophone world referring to the activities of management in organizing work and managing people to achieve organizational ends. HRM itself can be subdivided into three domains: micro HRM, strategic HRM, and international HRM. This diversity in HRM leads to a major problem if one is asked to describe an HRM perspective on employee participation. The response to this challenge is to emphasize the value of taking an \u2018analytical approach\u2019 to HRM. This article applies an analytical HRM approach to the study of contemporary patterns of employee representation and participation. It describes the trends in employee-voice practices and the larger organizational patterns of which they form a part. The focus is mainly on the Anglo-American world, but some comparisons are also made with practices outside the Anglophone sphere to illustrate what is distinctive.", "author" : [ { "dropping-particle" : "", "family" : "Boxall", "given" : "Peter", "non-dropping-particle" : "", "parse-names" : false, "suffix" : "" }, { "dropping-particle" : "", "family" : "Purcell", "given" : "John",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"page" : "29-51", "publisher" : "Oxford University Press", "publisher-place" : "Oxford", "title" : "An HRM perspective on employee participation", "type" : "chapter" }, "uris" : [ "http://www.mendeley.com/documents/?uuid=2769afde-89a8-4789-a8d3-5d492b6ed5cb" ] }, { "id" : "ITEM-3", "itemData" : { "DOI" : "10.1093/oxfordhb/9780199207268.003.0003", "ISBN" : "9780191584817", "author" : [ { "dropping-particle" : "", "family" : "Mardsen", "given" : "David", "non-dropping-particle" : "", "parse-names" : false, "suffix" : "" }, { "dropping-particle" : "", "family" : "Ca\u00f1ibano", "given" : "Almudena",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"ITEM-3", "issued" : { "date-parts" : [ [ "2010" ] ] }, "page" : "131-166", "publisher" : "Oxford University Press", "publisher-place" : "Oxford", "title" : "An Economic perspective on employee participation", "type" : "chapter" }, "uris" : [ "http://www.mendeley.com/documents/?uuid=689f6773-5667-4bbf-9cc8-6849d8eacf72" ] }, { "id" : "ITEM-4", "itemData" : { "DOI" : "10.1093/oxfordhb/9780199207268.003.0001", "ISBN" : "9780191584817", "abstract" : "Employee participation encompasses the range of mechanisms used to involve the workforce in decisions at all levels of the organization - whether direct or indirect - conducted with employees or through their representatives. In its various guises, the topic of employee participation has been a recurring theme in industrial relations and human resource management. One of the problems in trying to develop any analysis of participation is that there is potentially limited overlap between these different disciplinary traditions, and scholars from diverse traditions may know relatively little of the research that has been done elsewhere. Accordingly in this book, a number of the more significant disciplinary areas are analysed in greater depth in order to ensure that readers gain a better appreciation of what participation means from these quite different contextual perspectives. Not only is there a range of different traditions contributing to the research and literature on the subject, there is also an extremely diverse sets of practices that congregate under the banner of participation. The handbook discusses various arguments and schools of thought about employee participation, analyzes the range of forms that participation can take in practice, and examines the way in which it meets objectives that are set for it, either by employers, trade unions, individual workers, or, indeed, the state. In doing so, the Handbook brings together leading scholars from around the world who present and discuss fundamental theories and approaches to participation in organization as well as their connection to broader political forces. These selections address the changing contexts of employee participation, different cultural/ institutional models, old/'new' economy models, shifting social and political patterns, and the correspondence between industrial and political democracy and participation.", "author" : [ { "dropping-particle" : "", "family" : "Wilkinson", "given" : "Adrian", "non-dropping-particle" : "", "parse-names" : false, "suffix" : "" }, { "dropping-particle" : "", "family" : "Gollan", "given" : "Paul J.", "non-dropping-particle" : "", "parse-names" : false, "suffix" : "" }, { "dropping-particle" : "", "family" : "Marchington", "given" : "Mick", "non-dropping-particle" : "", "parse-names" : false, "suffix" : "" }, { "dropping-particle" : "", "family" : "Lewin", "given" : "David",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"ITEM-4", "issued" : { "date-parts" : [ [ "2010" ] ] }, "page" : "3-26", "publisher" : "Oxford University Press", "publisher-place" : "Oxford", "title" : "Conceptualizing employee participation in organizations", "type" : "chapter" }, "uris" : [ "http://www.mendeley.com/documents/?uuid=4d2d6729-7d1c-440b-a373-a585c93bc395" ] } ], "mendeley" : { "formattedCitation" : "(Ackers 2010; Boxall &amp; Purcell 2010; Mardsen &amp; Ca\u00f1ibano 2010; Wilkinson et al. 2010)", "manualFormatting" : "(Ackers, 2010; Boxall &amp; Purcell, 2010; Mardsen &amp; Ca\u00f1ibano, 2010; Wilkinson et al., 2010)", "plainTextFormattedCitation" : "(Ackers 2010; Boxall &amp; Purcell 2010; Mardsen &amp; Ca\u00f1ibano 2010; Wilkinson et al. 2010)", "previouslyFormattedCitation" : "(Ackers 2010; Boxall &amp; Purcell 2010; Mardsen &amp; Ca\u00f1ibano 2010; Wilkinson et al. 2010)" }, "properties" : { "noteIndex" : 0 }, "schema" : "https://github.com/citation-style-language/schema/raw/master/csl-citation.json" }</w:instrText>
      </w:r>
      <w:r w:rsidRPr="00452E2E">
        <w:rPr>
          <w:szCs w:val="24"/>
        </w:rPr>
        <w:fldChar w:fldCharType="separate"/>
      </w:r>
      <w:r w:rsidRPr="00452E2E">
        <w:rPr>
          <w:noProof/>
          <w:szCs w:val="24"/>
        </w:rPr>
        <w:t xml:space="preserve">(Ackers, 2010; Boxall &amp; Purcell, 2010; Mardsen &amp; Cañibano, 2010; Wilkinson </w:t>
      </w:r>
      <w:r w:rsidRPr="00452E2E">
        <w:rPr>
          <w:i/>
          <w:noProof/>
          <w:szCs w:val="24"/>
        </w:rPr>
        <w:t>et al</w:t>
      </w:r>
      <w:r w:rsidRPr="00452E2E">
        <w:rPr>
          <w:noProof/>
          <w:szCs w:val="24"/>
        </w:rPr>
        <w:t>., 2010)</w:t>
      </w:r>
      <w:r w:rsidRPr="00452E2E">
        <w:rPr>
          <w:szCs w:val="24"/>
        </w:rPr>
        <w:fldChar w:fldCharType="end"/>
      </w:r>
      <w:r w:rsidRPr="00452E2E">
        <w:rPr>
          <w:szCs w:val="24"/>
        </w:rPr>
        <w:t>.</w:t>
      </w:r>
    </w:p>
    <w:p w:rsidR="00D03A8E" w:rsidRPr="00452E2E" w:rsidRDefault="00D03A8E" w:rsidP="00D03A8E">
      <w:pPr>
        <w:spacing w:line="360" w:lineRule="auto"/>
        <w:jc w:val="both"/>
        <w:rPr>
          <w:szCs w:val="24"/>
        </w:rPr>
      </w:pPr>
      <w:r w:rsidRPr="00452E2E">
        <w:rPr>
          <w:szCs w:val="24"/>
        </w:rPr>
        <w:t xml:space="preserve">There are two logics of employee participation in organizations </w:t>
      </w:r>
      <w:r w:rsidRPr="00452E2E">
        <w:rPr>
          <w:szCs w:val="24"/>
        </w:rPr>
        <w:fldChar w:fldCharType="begin" w:fldLock="1"/>
      </w:r>
      <w:r w:rsidRPr="00452E2E">
        <w:rPr>
          <w:szCs w:val="24"/>
        </w:rPr>
        <w:instrText>ADDIN CSL_CITATION { "citationItems" : [ { "id" : "ITEM-1", "itemData" : {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"http://www.mendeley.com/documents/?uuid=fabc925d-b72e-4858-a01a-77400437b582" ] }, { "id" : "ITEM-2", "itemData" : { "DOI" : "10.1093/oxfordhb/9780199207268.003.0001", "ISBN" : "9780191584817", "abstract" : "Employee participation encompasses the range of mechanisms used to involve the workforce in decisions at all levels of the organization - whether direct or indirect - conducted with employees or through their representatives. In its various guises, the topic of employee participation has been a recurring theme in industrial relations and human resource management. One of the problems in trying to develop any analysis of participation is that there is potentially limited overlap between these different disciplinary traditions, and scholars from diverse traditions may know relatively little of the research that has been done elsewhere. Accordingly in this book, a number of the more significant disciplinary areas are analysed in greater depth in order to ensure that readers gain a better appreciation of what participation means from these quite different contextual perspectives. Not only is there a range of different traditions contributing to the research and literature on the subject, there is also an extremely diverse sets of practices that congregate under the banner of participation. The handbook discusses various arguments and schools of thought about employee participation, analyzes the range of forms that participation can take in practice, and examines the way in which it meets objectives that are set for it, either by employers, trade unions, individual workers, or, indeed, the state. In doing so, the Handbook brings together leading scholars from around the world who present and discuss fundamental theories and approaches to participation in organization as well as their connection to broader political forces. These selections address the changing contexts of employee participation, different cultural/ institutional models, old/'new' economy models, shifting social and political patterns, and the correspondence between industrial and political democracy and participation.", "author" : [ { "dropping-particle" : "", "family" : "Wilkinson", "given" : "Adrian", "non-dropping-particle" : "", "parse-names" : false, "suffix" : "" }, { "dropping-particle" : "", "family" : "Gollan", "given" : "Paul J.", "non-dropping-particle" : "", "parse-names" : false, "suffix" : "" }, { "dropping-particle" : "", "family" : "Marchington", "given" : "Mick", "non-dropping-particle" : "", "parse-names" : false, "suffix" : "" }, { "dropping-particle" : "", "family" : "Lewin", "given" : "David",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"page" : "3-26", "publisher" : "Oxford University Press", "publisher-place" : "Oxford", "title" : "Conceptualizing employee participation in organizations", "type" : "chapter" }, "uris" : [ "http://www.mendeley.com/documents/?uuid=4d2d6729-7d1c-440b-a373-a585c93bc395" ] }, { "id" : "ITEM-3", "itemData" : { "ISBN" : "9780199207268", "author" : [ { "dropping-particle" : "", "family" : "Wood", "given" : "Geoffrey",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"ITEM-3", "issued" : { "date-parts" : [ [ "2010" ] ] }, "page" : "552-569", "publisher" : "Oxford University Press", "publisher-place" : "Oxford", "title" : "Employee participation in developing and emerging countries", "type" : "chapter" }, "uris" : [ "http://www.mendeley.com/documents/?uuid=a0ea0e10-ffe8-4a20-bdb9-731021b10b3b" ] } ], "mendeley" : { "formattedCitation" : "(Brewster et al. 2007b; Wilkinson et al. 2010; Wood 2010)", "manualFormatting" : "(Brewster et al., 2007; Wilkinson et al., 2010; Wood, 2010)", "plainTextFormattedCitation" : "(Brewster et al. 2007b; Wilkinson et al. 2010; Wood 2010)", "previouslyFormattedCitation" : "(Brewster et al. 2007b; Wilkinson et al. 2010; Wood 2010)"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xml:space="preserve">., 2007; Wilkinson </w:t>
      </w:r>
      <w:r w:rsidRPr="00452E2E">
        <w:rPr>
          <w:i/>
          <w:noProof/>
          <w:szCs w:val="24"/>
        </w:rPr>
        <w:t>et al</w:t>
      </w:r>
      <w:r w:rsidRPr="00452E2E">
        <w:rPr>
          <w:noProof/>
          <w:szCs w:val="24"/>
        </w:rPr>
        <w:t>., 2010; Wood, 2010)</w:t>
      </w:r>
      <w:r w:rsidRPr="00452E2E">
        <w:rPr>
          <w:szCs w:val="24"/>
        </w:rPr>
        <w:fldChar w:fldCharType="end"/>
      </w:r>
      <w:r w:rsidRPr="00452E2E">
        <w:rPr>
          <w:szCs w:val="24"/>
        </w:rPr>
        <w:t>. One perspective views employee participation from the need to d</w:t>
      </w:r>
      <w:r w:rsidR="00BF45D1" w:rsidRPr="00452E2E">
        <w:rPr>
          <w:szCs w:val="24"/>
        </w:rPr>
        <w:t>eepen industrial democracy whilst</w:t>
      </w:r>
      <w:r w:rsidRPr="00452E2E">
        <w:rPr>
          <w:szCs w:val="24"/>
        </w:rPr>
        <w:t xml:space="preserve"> the other perspective views participation from the need to improve efficiency </w:t>
      </w:r>
      <w:r w:rsidRPr="00452E2E">
        <w:rPr>
          <w:szCs w:val="24"/>
        </w:rPr>
        <w:fldChar w:fldCharType="begin" w:fldLock="1"/>
      </w:r>
      <w:r w:rsidRPr="00452E2E">
        <w:rPr>
          <w:szCs w:val="24"/>
        </w:rPr>
        <w:instrText>ADDIN CSL_CITATION { "citationItems" : [ { "id" : "ITEM-1", "itemData" : { "ISBN" : "9780199207268", "author" : [ { "dropping-particle" : "", "family" : "Wood", "given" : "Geoffrey",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"page" : "552-569", "publisher" : "Oxford University Press", "publisher-place" : "Oxford", "title" : "Employee participation in developing and emerging countries", "type" : "chapter" }, "uris" : [ "http://www.mendeley.com/documents/?uuid=a0ea0e10-ffe8-4a20-bdb9-731021b10b3b" ] } ], "mendeley" : { "formattedCitation" : "(Wood 2010)", "manualFormatting" : "(Wood, 2010)", "plainTextFormattedCitation" : "(Wood 2010)", "previouslyFormattedCitation" : "(Wood 2010)" }, "properties" : { "noteIndex" : 0 }, "schema" : "https://github.com/citation-style-language/schema/raw/master/csl-citation.json" }</w:instrText>
      </w:r>
      <w:r w:rsidRPr="00452E2E">
        <w:rPr>
          <w:szCs w:val="24"/>
        </w:rPr>
        <w:fldChar w:fldCharType="separate"/>
      </w:r>
      <w:r w:rsidRPr="00452E2E">
        <w:rPr>
          <w:noProof/>
          <w:szCs w:val="24"/>
        </w:rPr>
        <w:t>(Wood, 2010)</w:t>
      </w:r>
      <w:r w:rsidRPr="00452E2E">
        <w:rPr>
          <w:szCs w:val="24"/>
        </w:rPr>
        <w:fldChar w:fldCharType="end"/>
      </w:r>
      <w:r w:rsidRPr="00452E2E">
        <w:rPr>
          <w:szCs w:val="24"/>
        </w:rPr>
        <w:t xml:space="preserve">. The industrial democracy perspective which is associated with the field of industrial relations is borne out of the genuine desire to share power between management and employees </w:t>
      </w:r>
      <w:r w:rsidRPr="00452E2E">
        <w:rPr>
          <w:szCs w:val="24"/>
        </w:rPr>
        <w:fldChar w:fldCharType="begin" w:fldLock="1"/>
      </w:r>
      <w:r w:rsidRPr="00452E2E">
        <w:rPr>
          <w:szCs w:val="24"/>
        </w:rPr>
        <w:instrText>ADDIN CSL_CITATION { "citationItems" : [ { "id" : "ITEM-1", "itemData" : { "abstract" : "Industrial Relations (IR) has two historical meanings. In one usage, the term describes public policy and the employment practices of employers and unions. But IR also refers to a speciWc academic perspective, centred on certain normative and theoretical principles. Since the latter discipline or Weld has been highly policy orientated, and at times has both shaped public policy and organizational practice and been shaped by them, it is easy to conXate the two (Ackers and Wilkinson, 2008). As Kaufman (2004) has argued, it is instructive to trace this historical interplay of \u2018events\u2019 and \u2018ideas\u2019. Thus, the varying approaches of academic IR to organizational participation have tended to respond to policy and practice devel- opments in the real world of a given society. Intellectuals have not simply echoed these, but have elaborated their own novel theories of participation in response to them.Moreover, participation theorists have rarely been purely pragmatic in their response and instead have drawn on wider ideologies, which have shaped their proposals for reforming the employment relationship.", "author" : [ { "dropping-particle" : "", "family" : "Ackers", "given" : "Peter",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"page" : "52-75", "publisher" : "Oxford University Press", "publisher-place" : "Oxford", "title" : "An Industrial relations perspective on employee participation", "type" : "chapter" }, "uris" : [ "http://www.mendeley.com/documents/?uuid=9ba6bb3c-bf02-44b7-9005-d1971b0d138b" ] }, { "id" : "ITEM-2", "itemData" : {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"ITEM-2", "issue" : "7", "issued" : { "date-parts" : [ [ "2007" ] ] }, "page" : "1246-1262", "title" : "Collective and individual voice: Convergence in Europe?", "type" : "article-journal", "volume" : "18" }, "uris" : [ "http://www.mendeley.com/documents/?uuid=fabc925d-b72e-4858-a01a-77400437b582" ] } ], "mendeley" : { "formattedCitation" : "(Ackers 2010; Brewster et al. 2007b)", "manualFormatting" : "(Brewster et al., 2007; Ackers, 2010)", "plainTextFormattedCitation" : "(Ackers 2010; Brewster et al. 2007b)", "previouslyFormattedCitation" : "(Ackers 2010; Brewster et al. 2007b)"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2007; Ackers, 2010)</w:t>
      </w:r>
      <w:r w:rsidRPr="00452E2E">
        <w:rPr>
          <w:szCs w:val="24"/>
        </w:rPr>
        <w:fldChar w:fldCharType="end"/>
      </w:r>
      <w:r w:rsidRPr="00452E2E">
        <w:rPr>
          <w:szCs w:val="24"/>
        </w:rPr>
        <w:t xml:space="preserve">. The efficiency perspective which is associated with the human relations school and which dominates modern HRM thinking is aimed at engendering employee commitment, which will in turn improve the bottom line of the organization </w:t>
      </w:r>
      <w:r w:rsidRPr="00452E2E">
        <w:rPr>
          <w:szCs w:val="24"/>
        </w:rPr>
        <w:fldChar w:fldCharType="begin" w:fldLock="1"/>
      </w:r>
      <w:r w:rsidRPr="00452E2E">
        <w:rPr>
          <w:szCs w:val="24"/>
        </w:rPr>
        <w:instrText>ADDIN CSL_CITATION { "citationItems" : [ { "id" : "ITEM-1", "itemData" : { "abstract" : "Since the 1980s, human resource management (HRM) has become the most widely recognized term in the Anglophone world referring to the activities of management in organizing work and managing people to achieve organizational ends. HRM itself can be subdivided into three domains: micro HRM, strategic HRM, and international HRM. This diversity in HRM leads to a major problem if one is asked to describe an HRM perspective on employee participation. The response to this challenge is to emphasize the value of taking an \u2018analytical approach\u2019 to HRM. This article applies an analytical HRM approach to the study of contemporary patterns of employee representation and participation. It describes the trends in employee-voice practices and the larger organizational patterns of which they form a part. The focus is mainly on the Anglo-American world, but some comparisons are also made with practices outside the Anglophone sphere to illustrate what is distinctive.", "author" : [ { "dropping-particle" : "", "family" : "Boxall", "given" : "Peter", "non-dropping-particle" : "", "parse-names" : false, "suffix" : "" }, { "dropping-particle" : "", "family" : "Purcell", "given" : "John",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"page" : "29-51", "publisher" : "Oxford University Press", "publisher-place" : "Oxford", "title" : "An HRM perspective on employee participation", "type" : "chapter" }, "uris" : [ "http://www.mendeley.com/documents/?uuid=2769afde-89a8-4789-a8d3-5d492b6ed5cb" ] }, { "id" : "ITEM-2", "itemData" : {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"ITEM-2", "issue" : "7", "issued" : { "date-parts" : [ [ "2007" ] ] }, "page" : "1246-1262", "title" : "Collective and individual voice: Convergence in Europe?", "type" : "article-journal", "volume" : "18" }, "uris" : [ "http://www.mendeley.com/documents/?uuid=fabc925d-b72e-4858-a01a-77400437b582" ] }, { "id" : "ITEM-3", "itemData" : { "ISBN" : "9780191584817", "author" : [ { "dropping-particle" : "", "family" : "Wilkinson", "given" : "Adrian", "non-dropping-particle" : "", "parse-names" : false, "suffix" : "" }, { "dropping-particle" : "", "family" : "Dundon", "given" : "Tony",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"ITEM-3", "issued" : { "date-parts" : [ [ "2010" ] ] }, "page" : "167-185", "publisher" : "Oxford University Press", "publisher-place" : "Oxford", "title" : "Direct employee participation", "type" : "chapter" }, "uris" : [ "http://www.mendeley.com/documents/?uuid=13d745d4-7527-476e-9c98-d760aa6c02da" ] } ], "mendeley" : { "formattedCitation" : "(Boxall &amp; Purcell 2010; Brewster et al. 2007b; Wilkinson &amp; Dundon 2010)", "manualFormatting" : "(Brewster et al., 2007; Boxall &amp; Purcell, 2010; Wilkinson &amp; Dundon, 2010)", "plainTextFormattedCitation" : "(Boxall &amp; Purcell 2010; Brewster et al. 2007b; Wilkinson &amp; Dundon 2010)", "previouslyFormattedCitation" : "(Boxall &amp; Purcell 2010; Brewster et al. 2007b; Wilkinson &amp; Dundon 2010)"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2007; Boxall &amp; Purcell, 2010; Wilkinson &amp; Dundon, 2010)</w:t>
      </w:r>
      <w:r w:rsidRPr="00452E2E">
        <w:rPr>
          <w:szCs w:val="24"/>
        </w:rPr>
        <w:fldChar w:fldCharType="end"/>
      </w:r>
      <w:r w:rsidRPr="00452E2E">
        <w:rPr>
          <w:szCs w:val="24"/>
        </w:rPr>
        <w:t xml:space="preserve">. Emerging from these two underlying philosophies of participation are indirect and direct forms of participation respectively </w:t>
      </w:r>
      <w:r w:rsidRPr="00452E2E">
        <w:rPr>
          <w:szCs w:val="24"/>
        </w:rPr>
        <w:fldChar w:fldCharType="begin" w:fldLock="1"/>
      </w:r>
      <w:r w:rsidRPr="00452E2E">
        <w:rPr>
          <w:szCs w:val="24"/>
        </w:rPr>
        <w:instrText>ADDIN CSL_CITATION { "citationItems" : [ { "id" : "ITEM-1",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"ITEM-1", "issue" : "6", "issued" : { "date-parts" : [ [ "2014" ] ] }, "page" : "795-809", "title" : "Direct involvement, partnership and setting: A study in bounded diversity", "type" : "article-journal", "volume" : "25" }, "uris" : [ "http://www.mendeley.com/documents/?uuid=e20c0258-4a3f-4b03-bcbb-2f7953a311a9" ] }, { "id" : "ITEM-2", "itemData" : { "ISBN" : "9780199207268", "author" : [ { "dropping-particle" : "", "family" : "Wood", "given" : "Geoffrey",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"page" : "552-569", "publisher" : "Oxford University Press", "publisher-place" : "Oxford", "title" : "Employee participation in developing and emerging countries", "type" : "chapter" }, "uris" : [ "http://www.mendeley.com/documents/?uuid=a0ea0e10-ffe8-4a20-bdb9-731021b10b3b" ] } ], "mendeley" : { "formattedCitation" : "(Brewster et al. 2014; Wood 2010)", "manualFormatting" : "(Wood, 2010; Brewster et al., 2014)", "plainTextFormattedCitation" : "(Brewster et al. 2014; Wood 2010)", "previouslyFormattedCitation" : "(Brewster et al. 2014; Wood 2010)" }, "properties" : { "noteIndex" : 0 }, "schema" : "https://github.com/citation-style-language/schema/raw/master/csl-citation.json" }</w:instrText>
      </w:r>
      <w:r w:rsidRPr="00452E2E">
        <w:rPr>
          <w:szCs w:val="24"/>
        </w:rPr>
        <w:fldChar w:fldCharType="separate"/>
      </w:r>
      <w:r w:rsidRPr="00452E2E">
        <w:rPr>
          <w:noProof/>
          <w:szCs w:val="24"/>
        </w:rPr>
        <w:t xml:space="preserve">(Wood, 2010; Brewster </w:t>
      </w:r>
      <w:r w:rsidRPr="00452E2E">
        <w:rPr>
          <w:i/>
          <w:noProof/>
          <w:szCs w:val="24"/>
        </w:rPr>
        <w:t>et al</w:t>
      </w:r>
      <w:r w:rsidRPr="00452E2E">
        <w:rPr>
          <w:noProof/>
          <w:szCs w:val="24"/>
        </w:rPr>
        <w:t>., 2014)</w:t>
      </w:r>
      <w:r w:rsidRPr="00452E2E">
        <w:rPr>
          <w:szCs w:val="24"/>
        </w:rPr>
        <w:fldChar w:fldCharType="end"/>
      </w:r>
      <w:r w:rsidRPr="00452E2E">
        <w:rPr>
          <w:szCs w:val="24"/>
        </w:rPr>
        <w:t xml:space="preserve">. Of course, it is these forms of participation that are referred to collective and individual voice respectively </w:t>
      </w:r>
      <w:r w:rsidRPr="00452E2E">
        <w:rPr>
          <w:szCs w:val="24"/>
        </w:rPr>
        <w:fldChar w:fldCharType="begin" w:fldLock="1"/>
      </w:r>
      <w:r w:rsidRPr="00452E2E">
        <w:rPr>
          <w:szCs w:val="24"/>
        </w:rPr>
        <w:instrText>ADDIN CSL_CITATION { "citationItems" : [ { "id" : "ITEM-1", "itemData" : {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"http://www.mendeley.com/documents/?uuid=fabc925d-b72e-4858-a01a-77400437b582" ] }, { "id" : "ITEM-2", "itemData" : { "author" : [ { "dropping-particle" : "", "family" : "Budd", "given" : "John W", "non-dropping-particle" : "", "parse-names" : false, "suffix" : "" } ], "id" : "ITEM-2", "issued" : { "date-parts" : [ [ "2004" ] ] }, "publisher" : "Cornell University Press", "publisher-place" : "Ithaca, NY", "title" : "Employment with a human face: Balancing efficiency, equity, and voice", "type" : "book" }, "uris" : [ "http://www.mendeley.com/documents/?uuid=d38be6ba-9aa8-4f76-9084-d82e919b1ba8" ] } ], "mendeley" : { "formattedCitation" : "(Brewster et al. 2007b; Budd 2004a)", "manualFormatting" : "(Budd, 2004b; Brewster et al., 2007)", "plainTextFormattedCitation" : "(Brewster et al. 2007b; Budd 2004a)", "previouslyFormattedCitation" : "(Brewster et al. 2007b; Budd 2004a)" }, "properties" : { "noteIndex" : 0 }, "schema" : "https://github.com/citation-style-language/schema/raw/master/csl-citation.json" }</w:instrText>
      </w:r>
      <w:r w:rsidRPr="00452E2E">
        <w:rPr>
          <w:szCs w:val="24"/>
        </w:rPr>
        <w:fldChar w:fldCharType="separate"/>
      </w:r>
      <w:r w:rsidRPr="00452E2E">
        <w:rPr>
          <w:noProof/>
          <w:szCs w:val="24"/>
        </w:rPr>
        <w:t>(Budd, 2004</w:t>
      </w:r>
      <w:r w:rsidRPr="00452E2E">
        <w:rPr>
          <w:i/>
          <w:noProof/>
          <w:szCs w:val="24"/>
        </w:rPr>
        <w:t>b</w:t>
      </w:r>
      <w:r w:rsidRPr="00452E2E">
        <w:rPr>
          <w:noProof/>
          <w:szCs w:val="24"/>
        </w:rPr>
        <w:t xml:space="preserve">; Brewster </w:t>
      </w:r>
      <w:r w:rsidRPr="00452E2E">
        <w:rPr>
          <w:i/>
          <w:noProof/>
          <w:szCs w:val="24"/>
        </w:rPr>
        <w:t>et al</w:t>
      </w:r>
      <w:r w:rsidRPr="00452E2E">
        <w:rPr>
          <w:noProof/>
          <w:szCs w:val="24"/>
        </w:rPr>
        <w:t>., 2007)</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When participation is indirect, employees are collectively involved in decision making thr</w:t>
      </w:r>
      <w:r w:rsidR="00D864D5" w:rsidRPr="00452E2E">
        <w:rPr>
          <w:szCs w:val="24"/>
        </w:rPr>
        <w:t>ough their representatives whilst</w:t>
      </w:r>
      <w:r w:rsidRPr="00452E2E">
        <w:rPr>
          <w:szCs w:val="24"/>
        </w:rPr>
        <w:t xml:space="preserve"> in the direct form of participation, employees are individually involved in workplace decisions </w:t>
      </w:r>
      <w:r w:rsidRPr="00452E2E">
        <w:rPr>
          <w:szCs w:val="24"/>
        </w:rPr>
        <w:fldChar w:fldCharType="begin" w:fldLock="1"/>
      </w:r>
      <w:r w:rsidRPr="00452E2E">
        <w:rPr>
          <w:szCs w:val="24"/>
        </w:rPr>
        <w:instrText>ADDIN CSL_CITATION { "citationItems" : [ { "id" : "ITEM-1", "itemData" : {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"http://www.mendeley.com/documents/?uuid=fabc925d-b72e-4858-a01a-77400437b582" ] }, { "id" : "ITEM-2", "itemData" : { "abstract" : "While the history of employee voice and participation is longstanding, there has been a sharp increase in interest in these topics among academics, practitioners, and policy-makers in recent years. The research on employee voice and participation has therefore significantly broadened, expanding from an earlier institutional focus to also include significant behavioural and strategic streams. This article introduces a symposium that extends our knowledge of employee voice and participation in terms of new organizational forms, practices and processes that affect the nature, structure and conditions of work and organizations by showcasing the breadth of contemporary research on voice and participation.", "author" : [ { "dropping-particle" : "", "family" : "Budd", "given" : "John W.", "non-dropping-particle" : "", "parse-names" : false, "suffix" : "" }, { "dropping-particle" : "", "family" : "Gollan", "given" : "Paul J.", "non-dropping-particle" : "", "parse-names" : false, "suffix" : "" }, { "dropping-particle" : "", "family" : "Wilkinson", "given" : "Adrian", "non-dropping-particle" : "", "parse-names" : false, "suffix" : "" } ], "container-title" : "Human Relations", "id" : "ITEM-2", "issue" : "3", "issued" : { "date-parts" : [ [ "2010" ] ] }, "page" : "303-310", "title" : "New approaches to employee voice and participation in organisations", "type" : "article-journal", "volume" : "63" }, "uris" : [ "http://www.mendeley.com/documents/?uuid=f3ca8cdc-eb42-4453-880c-2406f8f5fd18" ] } ], "mendeley" : { "formattedCitation" : "(Brewster et al. 2007b; Budd et al. 2010)", "manualFormatting" : "(Brewster et al., 2007; Budd et al., 2010)", "plainTextFormattedCitation" : "(Brewster et al. 2007b; Budd et al. 2010)", "previouslyFormattedCitation" : "(Brewster et al. 2007b; Budd et al. 2010)"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xml:space="preserve">., 2007; Budd </w:t>
      </w:r>
      <w:r w:rsidRPr="00452E2E">
        <w:rPr>
          <w:i/>
          <w:noProof/>
          <w:szCs w:val="24"/>
        </w:rPr>
        <w:t>et al</w:t>
      </w:r>
      <w:r w:rsidRPr="00452E2E">
        <w:rPr>
          <w:noProof/>
          <w:szCs w:val="24"/>
        </w:rPr>
        <w:t>., 2010)</w:t>
      </w:r>
      <w:r w:rsidRPr="00452E2E">
        <w:rPr>
          <w:szCs w:val="24"/>
        </w:rPr>
        <w:fldChar w:fldCharType="end"/>
      </w:r>
      <w:r w:rsidRPr="00452E2E">
        <w:rPr>
          <w:szCs w:val="24"/>
        </w:rPr>
        <w:t xml:space="preserve">. However, the depth of involvement depends on the particular scheme used as well as the attitude of managers towards participation </w:t>
      </w:r>
      <w:r w:rsidRPr="00452E2E">
        <w:rPr>
          <w:szCs w:val="24"/>
        </w:rPr>
        <w:fldChar w:fldCharType="begin" w:fldLock="1"/>
      </w:r>
      <w:r w:rsidRPr="00452E2E">
        <w:rPr>
          <w:szCs w:val="24"/>
        </w:rPr>
        <w:instrText>ADDIN CSL_CITATION { "citationItems" : [ { "id" : "ITEM-1", "itemData" : { "abstract" : "While the history of employee voice and participation is longstanding, there has been a sharp increase in interest in these topics among academics, practitioners, and policy-makers in recent years. The research on employee voice and participation has therefore significantly broadened, expanding from an earlier institutional focus to also include significant behavioural and strategic streams. This article introduces a symposium that extends our knowledge of employee voice and participation in terms of new organizational forms, practices and processes that affect the nature, structure and conditions of work and organizations by showcasing the breadth of contemporary research on voice and participation.", "author" : [ { "dropping-particle" : "", "family" : "Budd", "given" : "John W.", "non-dropping-particle" : "", "parse-names" : false, "suffix" : "" }, { "dropping-particle" : "", "family" : "Gollan", "given" : "Paul J.", "non-dropping-particle" : "", "parse-names" : false, "suffix" : "" }, { "dropping-particle" : "", "family" : "Wilkinson", "given" : "Adrian", "non-dropping-particle" : "", "parse-names" : false, "suffix" : "" } ], "container-title" : "Human Relations", "id" : "ITEM-1", "issue" : "3", "issued" : { "date-parts" : [ [ "2010" ] ] }, "page" : "303-310", "title" : "New approaches to employee voice and participation in organisations", "type" : "article-journal", "volume" : "63" }, "uris" : [ "http://www.mendeley.com/documents/?uuid=f3ca8cdc-eb42-4453-880c-2406f8f5fd18" ] }, { "id" : "ITEM-2", "itemData" : { "DOI" : "10.1093/oxfordhb/9780199207268.003.0001", "ISBN" : "9780191584817", "abstract" : "Employee participation encompasses the range of mechanisms used to involve the workforce in decisions at all levels of the organization - whether direct or indirect - conducted with employees or through their representatives. In its various guises, the topic of employee participation has been a recurring theme in industrial relations and human resource management. One of the problems in trying to develop any analysis of participation is that there is potentially limited overlap between these different disciplinary traditions, and scholars from diverse traditions may know relatively little of the research that has been done elsewhere. Accordingly in this book, a number of the more significant disciplinary areas are analysed in greater depth in order to ensure that readers gain a better appreciation of what participation means from these quite different contextual perspectives. Not only is there a range of different traditions contributing to the research and literature on the subject, there is also an extremely diverse sets of practices that congregate under the banner of participation. The handbook discusses various arguments and schools of thought about employee participation, analyzes the range of forms that participation can take in practice, and examines the way in which it meets objectives that are set for it, either by employers, trade unions, individual workers, or, indeed, the state. In doing so, the Handbook brings together leading scholars from around the world who present and discuss fundamental theories and approaches to participation in organization as well as their connection to broader political forces. These selections address the changing contexts of employee participation, different cultural/ institutional models, old/'new' economy models, shifting social and political patterns, and the correspondence between industrial and political democracy and participation.", "author" : [ { "dropping-particle" : "", "family" : "Wilkinson", "given" : "Adrian", "non-dropping-particle" : "", "parse-names" : false, "suffix" : "" }, { "dropping-particle" : "", "family" : "Gollan", "given" : "Paul J.", "non-dropping-particle" : "", "parse-names" : false, "suffix" : "" }, { "dropping-particle" : "", "family" : "Marchington", "given" : "Mick", "non-dropping-particle" : "", "parse-names" : false, "suffix" : "" }, { "dropping-particle" : "", "family" : "Lewin", "given" : "David",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"page" : "3-26", "publisher" : "Oxford University Press", "publisher-place" : "Oxford", "title" : "Conceptualizing employee participation in organizations", "type" : "chapter" }, "uris" : [ "http://www.mendeley.com/documents/?uuid=4d2d6729-7d1c-440b-a373-a585c93bc395" ] } ], "mendeley" : { "formattedCitation" : "(Budd et al. 2010; Wilkinson et al. 2010)", "manualFormatting" : "(Budd et al., 2010; Wilkinson et al., 2010)", "plainTextFormattedCitation" : "(Budd et al. 2010; Wilkinson et al. 2010)", "previouslyFormattedCitation" : "(Budd et al. 2010; Wilkinson et al. 2010)" }, "properties" : { "noteIndex" : 0 }, "schema" : "https://github.com/citation-style-language/schema/raw/master/csl-citation.json" }</w:instrText>
      </w:r>
      <w:r w:rsidRPr="00452E2E">
        <w:rPr>
          <w:szCs w:val="24"/>
        </w:rPr>
        <w:fldChar w:fldCharType="separate"/>
      </w:r>
      <w:r w:rsidRPr="00452E2E">
        <w:rPr>
          <w:noProof/>
          <w:szCs w:val="24"/>
        </w:rPr>
        <w:t xml:space="preserve">(Budd </w:t>
      </w:r>
      <w:r w:rsidRPr="00452E2E">
        <w:rPr>
          <w:i/>
          <w:noProof/>
          <w:szCs w:val="24"/>
        </w:rPr>
        <w:t>et al</w:t>
      </w:r>
      <w:r w:rsidRPr="00452E2E">
        <w:rPr>
          <w:noProof/>
          <w:szCs w:val="24"/>
        </w:rPr>
        <w:t xml:space="preserve">., 2010; Wilkinson </w:t>
      </w:r>
      <w:r w:rsidRPr="00452E2E">
        <w:rPr>
          <w:i/>
          <w:noProof/>
          <w:szCs w:val="24"/>
        </w:rPr>
        <w:t>et al</w:t>
      </w:r>
      <w:r w:rsidRPr="00452E2E">
        <w:rPr>
          <w:noProof/>
          <w:szCs w:val="24"/>
        </w:rPr>
        <w:t>., 2010)</w:t>
      </w:r>
      <w:r w:rsidRPr="00452E2E">
        <w:rPr>
          <w:szCs w:val="24"/>
        </w:rPr>
        <w:fldChar w:fldCharType="end"/>
      </w:r>
      <w:r w:rsidRPr="00452E2E">
        <w:rPr>
          <w:szCs w:val="24"/>
        </w:rPr>
        <w:t xml:space="preserve">. Consequently, in order to fully </w:t>
      </w:r>
      <w:r w:rsidRPr="00452E2E">
        <w:rPr>
          <w:szCs w:val="24"/>
        </w:rPr>
        <w:lastRenderedPageBreak/>
        <w:t xml:space="preserve">understand the nature of employee participation, Wilkinson </w:t>
      </w:r>
      <w:r w:rsidRPr="00452E2E">
        <w:rPr>
          <w:i/>
          <w:szCs w:val="24"/>
        </w:rPr>
        <w:t>et al</w:t>
      </w:r>
      <w:r w:rsidR="00606BDC" w:rsidRPr="00452E2E">
        <w:rPr>
          <w:i/>
          <w:szCs w:val="24"/>
        </w:rPr>
        <w:t>.</w:t>
      </w:r>
      <w:r w:rsidRPr="00452E2E">
        <w:rPr>
          <w:szCs w:val="24"/>
        </w:rPr>
        <w:t xml:space="preserve"> (2010) and Wilkinson </w:t>
      </w:r>
      <w:r w:rsidR="00606BDC" w:rsidRPr="00452E2E">
        <w:rPr>
          <w:szCs w:val="24"/>
        </w:rPr>
        <w:t>&amp;</w:t>
      </w:r>
      <w:r w:rsidRPr="00452E2E">
        <w:rPr>
          <w:szCs w:val="24"/>
        </w:rPr>
        <w:t xml:space="preserve"> Dundon (2010) posit that consideration be given to the depth, level, scope, and form of participation. </w:t>
      </w:r>
      <w:r w:rsidRPr="00452E2E">
        <w:rPr>
          <w:i/>
          <w:szCs w:val="24"/>
        </w:rPr>
        <w:t>Depth</w:t>
      </w:r>
      <w:r w:rsidRPr="00452E2E">
        <w:rPr>
          <w:szCs w:val="24"/>
        </w:rPr>
        <w:t xml:space="preserve"> refers to the extent to which decisions are influenced by employees. </w:t>
      </w:r>
      <w:r w:rsidRPr="00452E2E">
        <w:rPr>
          <w:i/>
          <w:szCs w:val="24"/>
        </w:rPr>
        <w:t>Level</w:t>
      </w:r>
      <w:r w:rsidRPr="00452E2E">
        <w:rPr>
          <w:szCs w:val="24"/>
        </w:rPr>
        <w:t xml:space="preserve"> refers to where decision making takes place; that is, at the task, departmental, plant or corporate level. </w:t>
      </w:r>
      <w:r w:rsidRPr="00452E2E">
        <w:rPr>
          <w:i/>
          <w:szCs w:val="24"/>
        </w:rPr>
        <w:t>Scope</w:t>
      </w:r>
      <w:r w:rsidRPr="00452E2E">
        <w:rPr>
          <w:szCs w:val="24"/>
        </w:rPr>
        <w:t xml:space="preserve"> refers to the range of issues employees participate in. This may range from participating in decisions about day to day tasks or about the strategy of the organization. Finally, </w:t>
      </w:r>
      <w:r w:rsidRPr="00452E2E">
        <w:rPr>
          <w:i/>
          <w:szCs w:val="24"/>
        </w:rPr>
        <w:t>form</w:t>
      </w:r>
      <w:r w:rsidRPr="00452E2E">
        <w:rPr>
          <w:szCs w:val="24"/>
        </w:rPr>
        <w:t xml:space="preserve"> refers to whether employees are collectively or individually involved in decision making (Wilkinson </w:t>
      </w:r>
      <w:r w:rsidRPr="00452E2E">
        <w:rPr>
          <w:i/>
          <w:szCs w:val="24"/>
        </w:rPr>
        <w:t>et al</w:t>
      </w:r>
      <w:r w:rsidRPr="00452E2E">
        <w:rPr>
          <w:szCs w:val="24"/>
        </w:rPr>
        <w:t xml:space="preserve">, 2010; Wilkinson &amp; Dundon, 2010). </w:t>
      </w:r>
    </w:p>
    <w:p w:rsidR="00D03A8E" w:rsidRPr="00452E2E" w:rsidRDefault="00D03A8E" w:rsidP="00D03A8E">
      <w:pPr>
        <w:spacing w:line="360" w:lineRule="auto"/>
        <w:jc w:val="both"/>
        <w:rPr>
          <w:szCs w:val="24"/>
        </w:rPr>
      </w:pPr>
      <w:r w:rsidRPr="00452E2E">
        <w:rPr>
          <w:szCs w:val="24"/>
        </w:rPr>
        <w:t xml:space="preserve">Indirect participation is the oldest form participation and involves schemes such as collective bargaining, trade unions, joint consultation councils, and work councils (Ackers, 2010). The advantage of this form of participation is that it affords workers the liberty to collectively channel their views to management without fear of being punished for airing contrary views (Wood, 2010). Moreover, managers are more likely to consider employees’ views expressed collectively than if such views were expressed individually (Brewster </w:t>
      </w:r>
      <w:r w:rsidRPr="00452E2E">
        <w:rPr>
          <w:i/>
          <w:szCs w:val="24"/>
        </w:rPr>
        <w:t>et al</w:t>
      </w:r>
      <w:r w:rsidRPr="00452E2E">
        <w:rPr>
          <w:szCs w:val="24"/>
        </w:rPr>
        <w:t>., 2014). However, the emergence of post-bureaucratic</w:t>
      </w:r>
      <w:r w:rsidR="00572570" w:rsidRPr="00452E2E">
        <w:rPr>
          <w:szCs w:val="24"/>
        </w:rPr>
        <w:t xml:space="preserve"> forms of organizational design</w:t>
      </w:r>
      <w:r w:rsidRPr="00452E2E">
        <w:rPr>
          <w:szCs w:val="24"/>
        </w:rPr>
        <w:t xml:space="preserve"> have led to </w:t>
      </w:r>
      <w:r w:rsidR="009332A5" w:rsidRPr="00452E2E">
        <w:rPr>
          <w:szCs w:val="24"/>
        </w:rPr>
        <w:t xml:space="preserve">a </w:t>
      </w:r>
      <w:r w:rsidRPr="00452E2E">
        <w:rPr>
          <w:szCs w:val="24"/>
        </w:rPr>
        <w:t xml:space="preserve">surge in direct participation </w:t>
      </w:r>
      <w:r w:rsidRPr="00452E2E">
        <w:rPr>
          <w:szCs w:val="24"/>
        </w:rPr>
        <w:fldChar w:fldCharType="begin" w:fldLock="1"/>
      </w:r>
      <w:r w:rsidRPr="00452E2E">
        <w:rPr>
          <w:szCs w:val="24"/>
        </w:rPr>
        <w:instrText>ADDIN CSL_CITATION { "citationItems" : [ { "id" : "ITEM-1",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"ITEM-1", "issue" : "1", "issued" : { "date-parts" : [ [ "2009" ] ] }, "page" : "37-61", "title" : "The rise of post-bureaucracy: Theorists' fancy or organizational praxis?", "type" : "article-journal", "volume" : "24" }, "uris" : [ "http://www.mendeley.com/documents/?uuid=34301c7c-ab72-4a8c-a149-b61552e4a0db" ] } ], "mendeley" : { "formattedCitation" : "(Johnson et al. 2009)", "manualFormatting" : "(Johnson et al., 2009)", "plainTextFormattedCitation" : "(Johnson et al. 2009)", "previouslyFormattedCitation" : "(Johnson et al. 2009)" }, "properties" : { "noteIndex" : 0 }, "schema" : "https://github.com/citation-style-language/schema/raw/master/csl-citation.json" }</w:instrText>
      </w:r>
      <w:r w:rsidRPr="00452E2E">
        <w:rPr>
          <w:szCs w:val="24"/>
        </w:rPr>
        <w:fldChar w:fldCharType="separate"/>
      </w:r>
      <w:r w:rsidRPr="00452E2E">
        <w:rPr>
          <w:noProof/>
          <w:szCs w:val="24"/>
        </w:rPr>
        <w:t xml:space="preserve">(Johnson </w:t>
      </w:r>
      <w:r w:rsidRPr="00452E2E">
        <w:rPr>
          <w:i/>
          <w:noProof/>
          <w:szCs w:val="24"/>
        </w:rPr>
        <w:t>et al</w:t>
      </w:r>
      <w:r w:rsidRPr="00452E2E">
        <w:rPr>
          <w:noProof/>
          <w:szCs w:val="24"/>
        </w:rPr>
        <w:t>., 2009)</w:t>
      </w:r>
      <w:r w:rsidRPr="00452E2E">
        <w:rPr>
          <w:szCs w:val="24"/>
        </w:rPr>
        <w:fldChar w:fldCharType="end"/>
      </w:r>
      <w:r w:rsidRPr="00452E2E">
        <w:rPr>
          <w:szCs w:val="24"/>
        </w:rPr>
        <w:t xml:space="preserve">. These new forms of organizational design, occasioned by intensified competition, seek to replace organizational hierarchies with non-hierarchical elements with the objective of equipping employees and organizations to be more adaptive, flexible, and responsive to change </w:t>
      </w:r>
      <w:r w:rsidRPr="00452E2E">
        <w:rPr>
          <w:szCs w:val="24"/>
        </w:rPr>
        <w:fldChar w:fldCharType="begin" w:fldLock="1"/>
      </w:r>
      <w:r w:rsidRPr="00452E2E">
        <w:rPr>
          <w:szCs w:val="24"/>
        </w:rPr>
        <w:instrText>ADDIN CSL_CITATION { "citationItems" : [ { "id" : "ITEM-1", "itemData" : { "abstract" : "Since the 1980s, human resource management (HRM) has become the most widely recognized term in the Anglophone world referring to the activities of management in organizing work and managing people to achieve organizational ends. HRM itself can be subdivided into three domains: micro HRM, strategic HRM, and international HRM. This diversity in HRM leads to a major problem if one is asked to describe an HRM perspective on employee participation. The response to this challenge is to emphasize the value of taking an \u2018analytical approach\u2019 to HRM. This article applies an analytical HRM approach to the study of contemporary patterns of employee representation and participation. It describes the trends in employee-voice practices and the larger organizational patterns of which they form a part. The focus is mainly on the Anglo-American world, but some comparisons are also made with practices outside the Anglophone sphere to illustrate what is distinctive.", "author" : [ { "dropping-particle" : "", "family" : "Boxall", "given" : "Peter", "non-dropping-particle" : "", "parse-names" : false, "suffix" : "" }, { "dropping-particle" : "", "family" : "Purcell", "given" : "John",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"page" : "29-51", "publisher" : "Oxford University Press", "publisher-place" : "Oxford", "title" : "An HRM perspective on employee participation", "type" : "chapter" }, "uris" : [ "http://www.mendeley.com/documents/?uuid=2769afde-89a8-4789-a8d3-5d492b6ed5cb" ] }, { "id" : "ITEM-2",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"ITEM-2", "issue" : "1", "issued" : { "date-parts" : [ [ "2009" ] ] }, "page" : "37-61", "title" : "The rise of post-bureaucracy: Theorists' fancy or organizational praxis?", "type" : "article-journal", "volume" : "24" }, "uris" : [ "http://www.mendeley.com/documents/?uuid=34301c7c-ab72-4a8c-a149-b61552e4a0db" ] } ], "mendeley" : { "formattedCitation" : "(Boxall &amp; Purcell 2010; Johnson et al. 2009)", "manualFormatting" : "(Johnson et al., 2009; Boxall &amp; Purcell, 2010)", "plainTextFormattedCitation" : "(Boxall &amp; Purcell 2010; Johnson et al. 2009)", "previouslyFormattedCitation" : "(Boxall &amp; Purcell 2010; Johnson et al. 2009)" }, "properties" : { "noteIndex" : 0 }, "schema" : "https://github.com/citation-style-language/schema/raw/master/csl-citation.json" }</w:instrText>
      </w:r>
      <w:r w:rsidRPr="00452E2E">
        <w:rPr>
          <w:szCs w:val="24"/>
        </w:rPr>
        <w:fldChar w:fldCharType="separate"/>
      </w:r>
      <w:r w:rsidRPr="00452E2E">
        <w:rPr>
          <w:noProof/>
          <w:szCs w:val="24"/>
        </w:rPr>
        <w:t xml:space="preserve">(Johnson </w:t>
      </w:r>
      <w:r w:rsidRPr="00452E2E">
        <w:rPr>
          <w:i/>
          <w:noProof/>
          <w:szCs w:val="24"/>
        </w:rPr>
        <w:t>et al</w:t>
      </w:r>
      <w:r w:rsidRPr="00452E2E">
        <w:rPr>
          <w:noProof/>
          <w:szCs w:val="24"/>
        </w:rPr>
        <w:t>., 2009; Boxall &amp; Purcell, 2010)</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The spread of neo-liberal ideologies that seek to suppress trade unionism has further enhanced the case for direct participation </w:t>
      </w:r>
      <w:r w:rsidRPr="00452E2E">
        <w:rPr>
          <w:szCs w:val="24"/>
        </w:rPr>
        <w:fldChar w:fldCharType="begin" w:fldLock="1"/>
      </w:r>
      <w:r w:rsidRPr="00452E2E">
        <w:rPr>
          <w:szCs w:val="24"/>
        </w:rPr>
        <w:instrText>ADDIN CSL_CITATION { "citationItems" : [ { "id" : "ITEM-1",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"ITEM-1", "issue" : "6", "issued" : { "date-parts" : [ [ "2014" ] ] }, "page" : "795-809", "title" : "Direct involvement, partnership and setting: A study in bounded diversity", "type" : "article-journal", "volume" : "25" }, "uris" : [ "http://www.mendeley.com/documents/?uuid=e20c0258-4a3f-4b03-bcbb-2f7953a311a9" ] }, { "id" : "ITEM-2", "itemData" : { "ISBN" : "9780199207268", "author" : [ { "dropping-particle" : "", "family" : "Wood", "given" : "Geoffrey",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"page" : "552-569", "publisher" : "Oxford University Press", "publisher-place" : "Oxford", "title" : "Employee participation in developing and emerging countries", "type" : "chapter" }, "uris" : [ "http://www.mendeley.com/documents/?uuid=a0ea0e10-ffe8-4a20-bdb9-731021b10b3b" ] } ], "mendeley" : { "formattedCitation" : "(Brewster et al. 2014; Wood 2010)", "manualFormatting" : "(Wood, 2010; Brewster et al., 2014)", "plainTextFormattedCitation" : "(Brewster et al. 2014; Wood 2010)", "previouslyFormattedCitation" : "(Brewster et al. 2014; Wood 2010)" }, "properties" : { "noteIndex" : 0 }, "schema" : "https://github.com/citation-style-language/schema/raw/master/csl-citation.json" }</w:instrText>
      </w:r>
      <w:r w:rsidRPr="00452E2E">
        <w:rPr>
          <w:szCs w:val="24"/>
        </w:rPr>
        <w:fldChar w:fldCharType="separate"/>
      </w:r>
      <w:r w:rsidRPr="00452E2E">
        <w:rPr>
          <w:noProof/>
          <w:szCs w:val="24"/>
        </w:rPr>
        <w:t xml:space="preserve">(Wood, 2010; Brewster </w:t>
      </w:r>
      <w:r w:rsidRPr="00452E2E">
        <w:rPr>
          <w:i/>
          <w:noProof/>
          <w:szCs w:val="24"/>
        </w:rPr>
        <w:t>et al</w:t>
      </w:r>
      <w:r w:rsidRPr="00452E2E">
        <w:rPr>
          <w:noProof/>
          <w:szCs w:val="24"/>
        </w:rPr>
        <w:t>., 2014)</w:t>
      </w:r>
      <w:r w:rsidRPr="00452E2E">
        <w:rPr>
          <w:szCs w:val="24"/>
        </w:rPr>
        <w:fldChar w:fldCharType="end"/>
      </w:r>
      <w:r w:rsidRPr="00452E2E">
        <w:rPr>
          <w:szCs w:val="24"/>
        </w:rPr>
        <w:t xml:space="preserve">.  Thus, it has been argued that direct participation allows organizations to take care of diverse needs of workers without ‘undue’ interference from employee representatives (Wood, 2010); this in turn results </w:t>
      </w:r>
      <w:r w:rsidR="00533527" w:rsidRPr="00452E2E">
        <w:rPr>
          <w:szCs w:val="24"/>
        </w:rPr>
        <w:t>in</w:t>
      </w:r>
      <w:r w:rsidRPr="00452E2E">
        <w:rPr>
          <w:szCs w:val="24"/>
        </w:rPr>
        <w:t xml:space="preserve"> increased employee satisfaction and commitment (Boxall &amp; Purcell, 2010). </w:t>
      </w:r>
      <w:r w:rsidR="00BD1472" w:rsidRPr="00452E2E">
        <w:rPr>
          <w:szCs w:val="24"/>
        </w:rPr>
        <w:t>Consequently</w:t>
      </w:r>
      <w:r w:rsidRPr="00452E2E">
        <w:rPr>
          <w:szCs w:val="24"/>
        </w:rPr>
        <w:t xml:space="preserve">, direct participation is a key feature of high commitment human resource practices (Farndale </w:t>
      </w:r>
      <w:r w:rsidRPr="00452E2E">
        <w:rPr>
          <w:i/>
          <w:szCs w:val="24"/>
        </w:rPr>
        <w:t>et al</w:t>
      </w:r>
      <w:r w:rsidRPr="00452E2E">
        <w:rPr>
          <w:szCs w:val="24"/>
        </w:rPr>
        <w:t xml:space="preserve">., 2011a; Wood &amp; de Menezes, 2011; Kehoe &amp; Wright, 2013). However, this form of participation may result </w:t>
      </w:r>
      <w:r w:rsidR="00F37467" w:rsidRPr="00452E2E">
        <w:rPr>
          <w:szCs w:val="24"/>
        </w:rPr>
        <w:t>in</w:t>
      </w:r>
      <w:r w:rsidRPr="00452E2E">
        <w:rPr>
          <w:szCs w:val="24"/>
        </w:rPr>
        <w:t xml:space="preserve"> work intensification and heightened stress levels </w:t>
      </w:r>
      <w:r w:rsidRPr="00452E2E">
        <w:rPr>
          <w:szCs w:val="24"/>
        </w:rPr>
        <w:fldChar w:fldCharType="begin" w:fldLock="1"/>
      </w:r>
      <w:r w:rsidRPr="00452E2E">
        <w:rPr>
          <w:szCs w:val="24"/>
        </w:rPr>
        <w:instrText>ADDIN CSL_CITATION { "citationItems" : [ { "id" : "ITEM-1", "itemData" : { "ISBN" : "9780191584817", "author" : [ { "dropping-particle" : "", "family" : "Wilkinson", "given" : "Adrian", "non-dropping-particle" : "", "parse-names" : false, "suffix" : "" }, { "dropping-particle" : "", "family" : "Dundon", "given" : "Tony",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"page" : "167-185", "publisher" : "Oxford University Press", "publisher-place" : "Oxford", "title" : "Direct employee participation", "type" : "chapter" }, "uris" : [ "http://www.mendeley.com/documents/?uuid=13d745d4-7527-476e-9c98-d760aa6c02da" ] } ], "mendeley" : { "formattedCitation" : "(Wilkinson &amp; Dundon 2010)", "manualFormatting" : "(Wilkinson &amp; Dundon, 2010; Boxall &amp; Macky, 2014)", "plainTextFormattedCitation" : "(Wilkinson &amp; Dundon 2010)", "previouslyFormattedCitation" : "(Wilkinson &amp; Dundon 2010)" }, "properties" : { "noteIndex" : 0 }, "schema" : "https://github.com/citation-style-language/schema/raw/master/csl-citation.json" }</w:instrText>
      </w:r>
      <w:r w:rsidRPr="00452E2E">
        <w:rPr>
          <w:szCs w:val="24"/>
        </w:rPr>
        <w:fldChar w:fldCharType="separate"/>
      </w:r>
      <w:r w:rsidRPr="00452E2E">
        <w:rPr>
          <w:noProof/>
          <w:szCs w:val="24"/>
        </w:rPr>
        <w:t>(Wilkinson &amp; Dundon, 2010; Boxall &amp; Macky, 2014)</w:t>
      </w:r>
      <w:r w:rsidRPr="00452E2E">
        <w:rPr>
          <w:szCs w:val="24"/>
        </w:rPr>
        <w:fldChar w:fldCharType="end"/>
      </w:r>
      <w:r w:rsidRPr="00452E2E">
        <w:rPr>
          <w:szCs w:val="24"/>
        </w:rPr>
        <w:t xml:space="preserve">. In </w:t>
      </w:r>
      <w:r w:rsidRPr="00452E2E">
        <w:rPr>
          <w:szCs w:val="24"/>
        </w:rPr>
        <w:lastRenderedPageBreak/>
        <w:t xml:space="preserve">the same vein, since line managers are responsible for interfacing with employees in direct participation schemes, there are concerns that the right information might not reach employees where line managers lack communication skills </w:t>
      </w:r>
      <w:r w:rsidRPr="00452E2E">
        <w:rPr>
          <w:szCs w:val="24"/>
        </w:rPr>
        <w:fldChar w:fldCharType="begin" w:fldLock="1"/>
      </w:r>
      <w:r w:rsidRPr="00452E2E">
        <w:rPr>
          <w:szCs w:val="24"/>
        </w:rPr>
        <w:instrText>ADDIN CSL_CITATION { "citationItems" : [ { "id" : "ITEM-1", "itemData" : { "DOI" : "10.1080/09585190701393798", "ISBN" : "0958-5192", "ISSN" : "0958-5192", "abstract" : "Most research on employee involvement (EI) has focused on large or 'mainstream' organizations. By adopting those schemes which 'appear' to work well in larger organizations, smaller firms assume there will be enhanced employee commitment beyond formal contractual requirements. The main question in this paper is whether EI schemes designed by management will suffice under the 2004 Information and Consultation of Employees (ICE) Regulations. The paper focuses on SMEs which tend to favour informal and direct EI, and it remains unclear how these methods will be played out under the new regulatory environment. Evidence from four case studies is presented here and it suggests that the ICE Regulations impose new challenges for smaller firms given their tendency to provide information rather than consult with employees. It also appears organizational factors, workplace relations history and the way processes are implemented at enterprise level may be far more important than size itself.", "author" : [ { "dropping-particle" : "", "family" : "Wilkinson", "given" : "A.", "non-dropping-particle" : "", "parse-names" : false, "suffix" : "" }, { "dropping-particle" : "", "family" : "Dundon", "given" : "T.", "non-dropping-particle" : "", "parse-names" : false, "suffix" : "" }, { "dropping-particle" : "", "family" : "Grugulis", "given" : "I.", "non-dropping-particle" : "", "parse-names" : false, "suffix" : "" } ], "container-title" : "The International Journal of Human Resource Management", "id" : "ITEM-1", "issue" : "7", "issued" : { "date-parts" : [ [ "2007" ] ] }, "page" : "1279-1297", "title" : "Information but not consultation : exploring employee involvement in SMEs.", "type" : "article-journal", "volume" : "18" }, "uris" : [ "http://www.mendeley.com/documents/?uuid=29c109fe-c387-4a68-a8a0-c016ae0d0056" ] }, { "id" : "ITEM-2", "itemData" : { "ISBN" : "9780191584817", "author" : [ { "dropping-particle" : "", "family" : "Wilkinson", "given" : "Adrian", "non-dropping-particle" : "", "parse-names" : false, "suffix" : "" }, { "dropping-particle" : "", "family" : "Dundon", "given" : "Tony",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"page" : "167-185", "publisher" : "Oxford University Press", "publisher-place" : "Oxford", "title" : "Direct employee participation", "type" : "chapter" }, "uris" : [ "http://www.mendeley.com/documents/?uuid=13d745d4-7527-476e-9c98-d760aa6c02da" ] } ], "mendeley" : { "formattedCitation" : "(Wilkinson et al. 2007; Wilkinson &amp; Dundon 2010)", "manualFormatting" : "(Wilkinson et al., 2007; Wilkinson &amp; Dundon, 2010)", "plainTextFormattedCitation" : "(Wilkinson et al. 2007; Wilkinson &amp; Dundon 2010)", "previouslyFormattedCitation" : "(Wilkinson et al. 2007; Wilkinson &amp; Dundon 2010)" }, "properties" : { "noteIndex" : 0 }, "schema" : "https://github.com/citation-style-language/schema/raw/master/csl-citation.json" }</w:instrText>
      </w:r>
      <w:r w:rsidRPr="00452E2E">
        <w:rPr>
          <w:szCs w:val="24"/>
        </w:rPr>
        <w:fldChar w:fldCharType="separate"/>
      </w:r>
      <w:r w:rsidRPr="00452E2E">
        <w:rPr>
          <w:noProof/>
          <w:szCs w:val="24"/>
        </w:rPr>
        <w:t xml:space="preserve">(Wilkinson </w:t>
      </w:r>
      <w:r w:rsidRPr="00452E2E">
        <w:rPr>
          <w:i/>
          <w:noProof/>
          <w:szCs w:val="24"/>
        </w:rPr>
        <w:t>et al</w:t>
      </w:r>
      <w:r w:rsidRPr="00452E2E">
        <w:rPr>
          <w:noProof/>
          <w:szCs w:val="24"/>
        </w:rPr>
        <w:t>., 2007; Wilkinson &amp; Dundon, 2010)</w:t>
      </w:r>
      <w:r w:rsidRPr="00452E2E">
        <w:rPr>
          <w:szCs w:val="24"/>
        </w:rPr>
        <w:fldChar w:fldCharType="end"/>
      </w:r>
      <w:r w:rsidRPr="00452E2E">
        <w:rPr>
          <w:szCs w:val="24"/>
        </w:rPr>
        <w:t>.</w:t>
      </w:r>
    </w:p>
    <w:p w:rsidR="00D54B1B" w:rsidRPr="00452E2E" w:rsidRDefault="00D03A8E" w:rsidP="00D03A8E">
      <w:pPr>
        <w:spacing w:line="360" w:lineRule="auto"/>
        <w:jc w:val="both"/>
        <w:rPr>
          <w:szCs w:val="24"/>
        </w:rPr>
      </w:pPr>
      <w:r w:rsidRPr="00452E2E">
        <w:rPr>
          <w:szCs w:val="24"/>
        </w:rPr>
        <w:t xml:space="preserve">Direct participation involves approaches ranging from information sharing, consultation, problem solving to task autonomy (Wilkinson </w:t>
      </w:r>
      <w:r w:rsidRPr="00452E2E">
        <w:rPr>
          <w:i/>
          <w:szCs w:val="24"/>
        </w:rPr>
        <w:t>et al</w:t>
      </w:r>
      <w:r w:rsidRPr="00452E2E">
        <w:rPr>
          <w:szCs w:val="24"/>
        </w:rPr>
        <w:t xml:space="preserve">., 2010; Wilkinson &amp; Dundon, 2010; Brewster, </w:t>
      </w:r>
      <w:r w:rsidRPr="00452E2E">
        <w:rPr>
          <w:i/>
          <w:szCs w:val="24"/>
        </w:rPr>
        <w:t>et al</w:t>
      </w:r>
      <w:r w:rsidRPr="00452E2E">
        <w:rPr>
          <w:szCs w:val="24"/>
        </w:rPr>
        <w:t xml:space="preserve">., 2014). This form of participation which is also referred to as employee involvement is defined as “various means by which employees have an opportunity to engage in problem-solving and decision-making with regard to matters that affect their jobs and their working environment” (Brewster </w:t>
      </w:r>
      <w:r w:rsidRPr="00452E2E">
        <w:rPr>
          <w:i/>
          <w:szCs w:val="24"/>
        </w:rPr>
        <w:t>et al</w:t>
      </w:r>
      <w:r w:rsidRPr="00452E2E">
        <w:rPr>
          <w:szCs w:val="24"/>
        </w:rPr>
        <w:t xml:space="preserve">., 2014 p.797). At the basic level of direct participation are schemes used for sharing information between management and employees. This form of communication is downward since it is aimed at merely informing employees of the state of affairs of the organization. In this regard, the inputs of employees are not needed and may involve schemes such as newsletters, memos, notice boards, and electronic communication (Brewster </w:t>
      </w:r>
      <w:r w:rsidRPr="00452E2E">
        <w:rPr>
          <w:i/>
          <w:szCs w:val="24"/>
        </w:rPr>
        <w:t>et al</w:t>
      </w:r>
      <w:r w:rsidRPr="00452E2E">
        <w:rPr>
          <w:szCs w:val="24"/>
        </w:rPr>
        <w:t xml:space="preserve">., 2007; Wilkinson </w:t>
      </w:r>
      <w:r w:rsidRPr="00452E2E">
        <w:rPr>
          <w:i/>
          <w:szCs w:val="24"/>
        </w:rPr>
        <w:t>et al</w:t>
      </w:r>
      <w:r w:rsidRPr="00452E2E">
        <w:rPr>
          <w:szCs w:val="24"/>
        </w:rPr>
        <w:t xml:space="preserve">., 2007). </w:t>
      </w:r>
    </w:p>
    <w:p w:rsidR="00D03A8E" w:rsidRPr="00452E2E" w:rsidRDefault="00D03A8E" w:rsidP="00D03A8E">
      <w:pPr>
        <w:spacing w:line="360" w:lineRule="auto"/>
        <w:jc w:val="both"/>
        <w:rPr>
          <w:szCs w:val="24"/>
        </w:rPr>
      </w:pPr>
      <w:r w:rsidRPr="00452E2E">
        <w:rPr>
          <w:szCs w:val="24"/>
        </w:rPr>
        <w:t xml:space="preserve">At a slightly higher level from information sharing is consultation which involves upward communication. The aim here is to tap employees’ views on issues relating to the work environment. Therefore, upward communication takes a bottom-up approach since employees provide suggestions to management through schemes such as meetings, team briefing where feedback is solicited, suggestion boxes and attitude surveys (Webster &amp; Wood, 2005; Wood </w:t>
      </w:r>
      <w:r w:rsidRPr="00452E2E">
        <w:rPr>
          <w:i/>
          <w:szCs w:val="24"/>
        </w:rPr>
        <w:t>et al</w:t>
      </w:r>
      <w:r w:rsidRPr="00452E2E">
        <w:rPr>
          <w:szCs w:val="24"/>
        </w:rPr>
        <w:t xml:space="preserve">., 2011). Next in the hierarchy is task-based problem solving wherein employees are directly involved in providing solutions to problems at the task level and may involve schemes such as quality circles and team working (Wilkinson &amp; Dundon, 2010). Finally, direct participation may take the form of task autonomy where employees are empowered to act without deference to managerial authority (Johnson </w:t>
      </w:r>
      <w:r w:rsidRPr="00452E2E">
        <w:rPr>
          <w:i/>
          <w:szCs w:val="24"/>
        </w:rPr>
        <w:t>et al</w:t>
      </w:r>
      <w:r w:rsidRPr="00452E2E">
        <w:rPr>
          <w:szCs w:val="24"/>
        </w:rPr>
        <w:t xml:space="preserve">., 2009). Specific schemes here include autonomous work groups or self-managed teams. This is the extreme form of direct participation since employees have the freedom to decide on how and when work is done (Johnson, </w:t>
      </w:r>
      <w:r w:rsidRPr="00452E2E">
        <w:rPr>
          <w:i/>
          <w:szCs w:val="24"/>
        </w:rPr>
        <w:t>et al</w:t>
      </w:r>
      <w:r w:rsidRPr="00452E2E">
        <w:rPr>
          <w:szCs w:val="24"/>
        </w:rPr>
        <w:t>., 2009).</w:t>
      </w:r>
    </w:p>
    <w:p w:rsidR="00D03A8E" w:rsidRPr="00452E2E" w:rsidRDefault="00D03A8E" w:rsidP="00D03A8E">
      <w:pPr>
        <w:spacing w:line="360" w:lineRule="auto"/>
        <w:jc w:val="both"/>
        <w:rPr>
          <w:szCs w:val="24"/>
        </w:rPr>
      </w:pPr>
      <w:r w:rsidRPr="00452E2E">
        <w:rPr>
          <w:szCs w:val="24"/>
        </w:rPr>
        <w:lastRenderedPageBreak/>
        <w:t xml:space="preserve">The practice and scheme used in employee participation is shaped by the legal, political and economic conditions of a country </w:t>
      </w:r>
      <w:r w:rsidRPr="00452E2E">
        <w:rPr>
          <w:szCs w:val="24"/>
        </w:rPr>
        <w:fldChar w:fldCharType="begin" w:fldLock="1"/>
      </w:r>
      <w:r w:rsidRPr="00452E2E">
        <w:rPr>
          <w:szCs w:val="24"/>
        </w:rPr>
        <w:instrText>ADDIN CSL_CITATION { "citationItems" : [ { "id" : "ITEM-1", "itemData" : { "ISBN" : "9780191584817", "author" : [ { "dropping-particle" : "", "family" : "Wilkinson", "given" : "Adrian", "non-dropping-particle" : "", "parse-names" : false, "suffix" : "" }, { "dropping-particle" : "", "family" : "Dundon", "given" : "Tony",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"page" : "167-185", "publisher" : "Oxford University Press", "publisher-place" : "Oxford", "title" : "Direct employee participation", "type" : "chapter" }, "uris" : [ "http://www.mendeley.com/documents/?uuid=13d745d4-7527-476e-9c98-d760aa6c02da" ] } ], "mendeley" : { "formattedCitation" : "(Wilkinson &amp; Dundon 2010)", "manualFormatting" : "(Wilkinson &amp; Dundon, 2010)", "plainTextFormattedCitation" : "(Wilkinson &amp; Dundon 2010)", "previouslyFormattedCitation" : "(Wilkinson &amp; Dundon 2010)" }, "properties" : { "noteIndex" : 0 }, "schema" : "https://github.com/citation-style-language/schema/raw/master/csl-citation.json" }</w:instrText>
      </w:r>
      <w:r w:rsidRPr="00452E2E">
        <w:rPr>
          <w:szCs w:val="24"/>
        </w:rPr>
        <w:fldChar w:fldCharType="separate"/>
      </w:r>
      <w:r w:rsidRPr="00452E2E">
        <w:rPr>
          <w:noProof/>
          <w:szCs w:val="24"/>
        </w:rPr>
        <w:t>(Wilkinson &amp; Dundon, 2010)</w:t>
      </w:r>
      <w:r w:rsidRPr="00452E2E">
        <w:rPr>
          <w:szCs w:val="24"/>
        </w:rPr>
        <w:fldChar w:fldCharType="end"/>
      </w:r>
      <w:r w:rsidRPr="00452E2E">
        <w:rPr>
          <w:szCs w:val="24"/>
        </w:rPr>
        <w:t xml:space="preserve">. For instance, in contexts where employee rights are safeguarded, there is bound to be lower levels of indirect participation compared to contexts like USA and Britain where workers’ rights are suppressed </w:t>
      </w:r>
      <w:r w:rsidRPr="00452E2E">
        <w:rPr>
          <w:szCs w:val="24"/>
        </w:rPr>
        <w:fldChar w:fldCharType="begin" w:fldLock="1"/>
      </w:r>
      <w:r w:rsidRPr="00452E2E">
        <w:rPr>
          <w:szCs w:val="24"/>
        </w:rPr>
        <w:instrText>ADDIN CSL_CITATION { "citationItems" : [ { "id" : "ITEM-1", "itemData" : { "abstract" : "Trade unions provide a voice in the way firms are run, an input into reward systems and increased security of employment. But these vary with national context. Using transnational survey evidence, this article explores the relative impact of setting, and of unions and collective bargaining, on these issues. It is found that, irrespective of context, organizations are significantly more likely to make use of compulsory redundancies in the absence of unions and collective bargaining. However, in other areas, the impact of unions appeared less pronounced than that of the wider context. The article explores the reasons behind this, and the broader policy implications thereof. [ABSTRACT FROM AUTHOR] Copyright of Economic &amp; Industrial Democracy is the property of Sage Publications,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"Brewster", "given" : "C.", "non-dropping-particle" : "", "parse-names" : false, "suffix" : "" }, { "dropping-particle" : "", "family" : "Wood", "given" : "G.", "non-dropping-particle" : "", "parse-names" : false, "suffix" : "" }, { "dropping-particle" : "", "family" : "Goergen", "given" : "M.", "non-dropping-particle" : "", "parse-names" : false, "suffix" : "" } ], "container-title" : "Economic and Industrial Democracy", "id" : "ITEM-1", "issue" : "2", "issued" : { "date-parts" : [ [ "2015" ] ] }, "page" : "195-214", "title" : "Institutions, unionization and voice: The relative impact of context and actors on firm level practice", "type" : "article-journal", "volume" : "36" }, "uris" : [ "http://www.mendeley.com/documents/?uuid=feb49f43-1f06-473c-b057-a3f72f95817b" ] } ], "mendeley" : { "formattedCitation" : "(Brewster et al. 2015)", "manualFormatting" : "(Brewster et al., 2015)", "plainTextFormattedCitation" : "(Brewster et al. 2015)", "previouslyFormattedCitation" : "(Brewster et al. 2015)"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2015)</w:t>
      </w:r>
      <w:r w:rsidRPr="00452E2E">
        <w:rPr>
          <w:szCs w:val="24"/>
        </w:rPr>
        <w:fldChar w:fldCharType="end"/>
      </w:r>
      <w:r w:rsidRPr="00452E2E">
        <w:rPr>
          <w:szCs w:val="24"/>
        </w:rPr>
        <w:t xml:space="preserve">. Although, there is a reduction in direct participation in European contexts due to the emergence and prominence of new forms of direct participation, research has shown that there is no convergence towards the use of direct participation </w:t>
      </w:r>
      <w:r w:rsidRPr="00452E2E">
        <w:rPr>
          <w:szCs w:val="24"/>
        </w:rPr>
        <w:fldChar w:fldCharType="begin" w:fldLock="1"/>
      </w:r>
      <w:r w:rsidRPr="00452E2E">
        <w:rPr>
          <w:szCs w:val="24"/>
        </w:rPr>
        <w:instrText>ADDIN CSL_CITATION { "citationItems" : [ { "id" : "ITEM-1", "itemData" : {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"http://www.mendeley.com/documents/?uuid=fabc925d-b72e-4858-a01a-77400437b582" ] } ], "mendeley" : { "formattedCitation" : "(Brewster et al. 2007b)", "manualFormatting" : "(Brewster et al., 2007)", "plainTextFormattedCitation" : "(Brewster et al. 2007b)", "previouslyFormattedCitation" : "(Brewster et al. 2007b)" }, "properties" : { "noteIndex" : 0 }, "schema" : "https://github.com/citation-style-language/schema/raw/master/csl-citation.json" }</w:instrText>
      </w:r>
      <w:r w:rsidRPr="00452E2E">
        <w:rPr>
          <w:szCs w:val="24"/>
        </w:rPr>
        <w:fldChar w:fldCharType="separate"/>
      </w:r>
      <w:r w:rsidRPr="00452E2E">
        <w:rPr>
          <w:noProof/>
          <w:szCs w:val="24"/>
        </w:rPr>
        <w:t xml:space="preserve">(Brewster </w:t>
      </w:r>
      <w:r w:rsidRPr="00452E2E">
        <w:rPr>
          <w:i/>
          <w:noProof/>
          <w:szCs w:val="24"/>
        </w:rPr>
        <w:t>et al</w:t>
      </w:r>
      <w:r w:rsidRPr="00452E2E">
        <w:rPr>
          <w:noProof/>
          <w:szCs w:val="24"/>
        </w:rPr>
        <w:t>., 2007)</w:t>
      </w:r>
      <w:r w:rsidRPr="00452E2E">
        <w:rPr>
          <w:szCs w:val="24"/>
        </w:rPr>
        <w:fldChar w:fldCharType="end"/>
      </w:r>
      <w:r w:rsidRPr="00452E2E">
        <w:rPr>
          <w:szCs w:val="24"/>
        </w:rPr>
        <w:t xml:space="preserve">. Instead, there is evidence of coexistence of both direct and indirect forms of participation in European workplaces (Brewster </w:t>
      </w:r>
      <w:r w:rsidRPr="00452E2E">
        <w:rPr>
          <w:i/>
          <w:szCs w:val="24"/>
        </w:rPr>
        <w:t>et al</w:t>
      </w:r>
      <w:r w:rsidRPr="00452E2E">
        <w:rPr>
          <w:szCs w:val="24"/>
        </w:rPr>
        <w:t xml:space="preserve">., 2007). In </w:t>
      </w:r>
      <w:r w:rsidR="000E3B9D" w:rsidRPr="00452E2E">
        <w:rPr>
          <w:szCs w:val="24"/>
        </w:rPr>
        <w:t>emerging</w:t>
      </w:r>
      <w:r w:rsidRPr="00452E2E">
        <w:rPr>
          <w:szCs w:val="24"/>
        </w:rPr>
        <w:t xml:space="preserve"> countries of Africa, the adoption of IMF and World Bank policies have resulted </w:t>
      </w:r>
      <w:r w:rsidR="00FD3587" w:rsidRPr="00452E2E">
        <w:rPr>
          <w:szCs w:val="24"/>
        </w:rPr>
        <w:t>in</w:t>
      </w:r>
      <w:r w:rsidRPr="00452E2E">
        <w:rPr>
          <w:szCs w:val="24"/>
        </w:rPr>
        <w:t xml:space="preserve"> the growth of informal sector and the decline of collective participation </w:t>
      </w:r>
      <w:r w:rsidRPr="00452E2E">
        <w:rPr>
          <w:szCs w:val="24"/>
        </w:rPr>
        <w:fldChar w:fldCharType="begin" w:fldLock="1"/>
      </w:r>
      <w:r w:rsidRPr="00452E2E">
        <w:rPr>
          <w:szCs w:val="24"/>
        </w:rPr>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"author" : [ { "dropping-particle" : "", "family" : "Wood", "given" : "Geoffrey", "non-dropping-particle" : "", "parse-names" : false, "suffix" : "" }, { "dropping-particle" : "", "family" : "Frynas", "given" : "G.", "non-dropping-particle" : "", "parse-names" : false, "suffix" : "" } ], "container-title" : "Socio-economic Review", "id" : "ITEM-2",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"(Webster &amp; Wood 2005; Wood &amp; Frynas 2006)", "manualFormatting" : "(Webster &amp; Wood, 2005; Wood &amp; Frynas, 2006)", "plainTextFormattedCitation" : "(Webster &amp; Wood 2005; Wood &amp; Frynas 2006)", "previouslyFormattedCitation" : "(Webster &amp; Wood 2005; Wood &amp; Frynas 2006)" }, "properties" : { "noteIndex" : 0 }, "schema" : "https://github.com/citation-style-language/schema/raw/master/csl-citation.json" }</w:instrText>
      </w:r>
      <w:r w:rsidRPr="00452E2E">
        <w:rPr>
          <w:szCs w:val="24"/>
        </w:rPr>
        <w:fldChar w:fldCharType="separate"/>
      </w:r>
      <w:r w:rsidRPr="00452E2E">
        <w:rPr>
          <w:noProof/>
          <w:szCs w:val="24"/>
        </w:rPr>
        <w:t>(Webster &amp; Wood, 2005; Wood &amp; Frynas, 2006)</w:t>
      </w:r>
      <w:r w:rsidRPr="00452E2E">
        <w:rPr>
          <w:szCs w:val="24"/>
        </w:rPr>
        <w:fldChar w:fldCharType="end"/>
      </w:r>
      <w:r w:rsidRPr="00452E2E">
        <w:rPr>
          <w:szCs w:val="24"/>
        </w:rPr>
        <w:t xml:space="preserve">. In addition, the authoritarian style of management encountered in such contexts further creates an unconducive environment for participation to thrive (Wood, 2010). Nevertheless, whilst there is widespread paternalism in workplaces, research in </w:t>
      </w:r>
      <w:r w:rsidR="001A53B0" w:rsidRPr="00452E2E">
        <w:rPr>
          <w:szCs w:val="24"/>
        </w:rPr>
        <w:t xml:space="preserve">the </w:t>
      </w:r>
      <w:r w:rsidRPr="00452E2E">
        <w:rPr>
          <w:szCs w:val="24"/>
        </w:rPr>
        <w:t xml:space="preserve">Mozambican context for instance, has shown evidence of direct participation mainly through both formal and informal meetings </w:t>
      </w:r>
      <w:r w:rsidRPr="00452E2E">
        <w:rPr>
          <w:szCs w:val="24"/>
        </w:rPr>
        <w:fldChar w:fldCharType="begin" w:fldLock="1"/>
      </w:r>
      <w:r w:rsidRPr="00452E2E">
        <w:rPr>
          <w:szCs w:val="24"/>
        </w:rPr>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"(Webster &amp; Wood 2005; Wood et al. 2011)", "manualFormatting" : "(Webster &amp; Wood, 2005; Wood et al., 2011)", "plainTextFormattedCitation" : "(Webster &amp; Wood 2005; Wood et al. 2011)", "previouslyFormattedCitation" : "(Webster &amp; Wood 2005; Wood et al. 2011)" }, "properties" : { "noteIndex" : 0 }, "schema" : "https://github.com/citation-style-language/schema/raw/master/csl-citation.json" }</w:instrText>
      </w:r>
      <w:r w:rsidRPr="00452E2E">
        <w:rPr>
          <w:szCs w:val="24"/>
        </w:rPr>
        <w:fldChar w:fldCharType="separate"/>
      </w:r>
      <w:r w:rsidRPr="00452E2E">
        <w:rPr>
          <w:noProof/>
          <w:szCs w:val="24"/>
        </w:rPr>
        <w:t xml:space="preserve">(Webster &amp; Wood, 2005; Wood </w:t>
      </w:r>
      <w:r w:rsidRPr="00452E2E">
        <w:rPr>
          <w:i/>
          <w:noProof/>
          <w:szCs w:val="24"/>
        </w:rPr>
        <w:t>et al</w:t>
      </w:r>
      <w:r w:rsidRPr="00452E2E">
        <w:rPr>
          <w:noProof/>
          <w:szCs w:val="24"/>
        </w:rPr>
        <w:t>., 2011)</w:t>
      </w:r>
      <w:r w:rsidRPr="00452E2E">
        <w:rPr>
          <w:szCs w:val="24"/>
        </w:rPr>
        <w:fldChar w:fldCharType="end"/>
      </w:r>
      <w:r w:rsidRPr="00452E2E">
        <w:rPr>
          <w:szCs w:val="24"/>
        </w:rPr>
        <w:t xml:space="preserve">. However, since no such research evidence exists in Nigeria, the present study seeks to bridge this research gap by examining the specific techniques of </w:t>
      </w:r>
      <w:r w:rsidR="00554018" w:rsidRPr="00452E2E">
        <w:rPr>
          <w:szCs w:val="24"/>
        </w:rPr>
        <w:t xml:space="preserve">employee </w:t>
      </w:r>
      <w:r w:rsidRPr="00452E2E">
        <w:rPr>
          <w:szCs w:val="24"/>
        </w:rPr>
        <w:t>participation in public and private sector in Nigeria.</w:t>
      </w:r>
      <w:r w:rsidR="003E753C" w:rsidRPr="00452E2E">
        <w:rPr>
          <w:szCs w:val="24"/>
        </w:rPr>
        <w:t xml:space="preserve"> Nevertheless, whilst direct participation is covered in </w:t>
      </w:r>
      <w:r w:rsidR="00E13BDE" w:rsidRPr="00452E2E">
        <w:rPr>
          <w:szCs w:val="24"/>
        </w:rPr>
        <w:t>the first part of this</w:t>
      </w:r>
      <w:r w:rsidR="003E753C" w:rsidRPr="00452E2E">
        <w:rPr>
          <w:szCs w:val="24"/>
        </w:rPr>
        <w:t xml:space="preserve"> study </w:t>
      </w:r>
      <w:r w:rsidR="000D6909" w:rsidRPr="00452E2E">
        <w:rPr>
          <w:szCs w:val="24"/>
        </w:rPr>
        <w:t xml:space="preserve">by seeking responses from HR managers on the effects of trade unions on HRM, it is the indirect form of participation that is the focus of the </w:t>
      </w:r>
      <w:r w:rsidR="00E13BDE" w:rsidRPr="00452E2E">
        <w:rPr>
          <w:szCs w:val="24"/>
        </w:rPr>
        <w:t>second</w:t>
      </w:r>
      <w:r w:rsidR="000D6909" w:rsidRPr="00452E2E">
        <w:rPr>
          <w:szCs w:val="24"/>
        </w:rPr>
        <w:t xml:space="preserve"> part of this research since some organizations participating in the second part the research have no trade union presence. </w:t>
      </w:r>
    </w:p>
    <w:p w:rsidR="00D03A8E" w:rsidRPr="00452E2E" w:rsidRDefault="00D03A8E" w:rsidP="00170224">
      <w:pPr>
        <w:pStyle w:val="Heading3"/>
      </w:pPr>
      <w:bookmarkStart w:id="55" w:name="_Toc465271171"/>
      <w:bookmarkStart w:id="56" w:name="_Toc473808121"/>
      <w:r w:rsidRPr="00452E2E">
        <w:t>2.5 Summary</w:t>
      </w:r>
      <w:bookmarkEnd w:id="55"/>
      <w:bookmarkEnd w:id="56"/>
    </w:p>
    <w:p w:rsidR="00D03A8E" w:rsidRPr="00452E2E" w:rsidRDefault="00D03A8E" w:rsidP="00D03A8E">
      <w:pPr>
        <w:spacing w:line="360" w:lineRule="auto"/>
        <w:jc w:val="both"/>
        <w:rPr>
          <w:szCs w:val="24"/>
        </w:rPr>
      </w:pPr>
      <w:r w:rsidRPr="00452E2E">
        <w:rPr>
          <w:szCs w:val="24"/>
        </w:rPr>
        <w:t>The nature of HRM as well as various institutional approaches to understanding HRM were discussed in this chapter. In addition, the nature of HR practices was also discussed; with the review of literature pointing out how HR practices are influenced by the institutional context in which organizations operate. The focus of the next chapter shall be on the effect</w:t>
      </w:r>
      <w:r w:rsidR="00DE32F2" w:rsidRPr="00452E2E">
        <w:rPr>
          <w:szCs w:val="24"/>
        </w:rPr>
        <w:t>s</w:t>
      </w:r>
      <w:r w:rsidRPr="00452E2E">
        <w:rPr>
          <w:szCs w:val="24"/>
        </w:rPr>
        <w:t xml:space="preserve"> of HR practices on employee attitudes. The chapter </w:t>
      </w:r>
      <w:r w:rsidR="005D69E5" w:rsidRPr="00452E2E">
        <w:rPr>
          <w:szCs w:val="24"/>
        </w:rPr>
        <w:t>will</w:t>
      </w:r>
      <w:r w:rsidRPr="00452E2E">
        <w:rPr>
          <w:szCs w:val="24"/>
        </w:rPr>
        <w:t xml:space="preserve"> show how previous studies examining </w:t>
      </w:r>
      <w:r w:rsidR="001A713D" w:rsidRPr="00452E2E">
        <w:rPr>
          <w:szCs w:val="24"/>
        </w:rPr>
        <w:t xml:space="preserve">the </w:t>
      </w:r>
      <w:r w:rsidRPr="00452E2E">
        <w:rPr>
          <w:szCs w:val="24"/>
        </w:rPr>
        <w:t>effect</w:t>
      </w:r>
      <w:r w:rsidR="001A713D" w:rsidRPr="00452E2E">
        <w:rPr>
          <w:szCs w:val="24"/>
        </w:rPr>
        <w:t>s</w:t>
      </w:r>
      <w:r w:rsidR="008C176C" w:rsidRPr="00452E2E">
        <w:rPr>
          <w:szCs w:val="24"/>
        </w:rPr>
        <w:t xml:space="preserve"> </w:t>
      </w:r>
      <w:r w:rsidRPr="00452E2E">
        <w:rPr>
          <w:szCs w:val="24"/>
        </w:rPr>
        <w:t xml:space="preserve">of HR practices </w:t>
      </w:r>
      <w:r w:rsidRPr="00452E2E">
        <w:rPr>
          <w:szCs w:val="24"/>
        </w:rPr>
        <w:lastRenderedPageBreak/>
        <w:t>on employee attitudes have largely ignored the significance of the institutional</w:t>
      </w:r>
      <w:r w:rsidR="00F106AD" w:rsidRPr="00452E2E">
        <w:rPr>
          <w:szCs w:val="24"/>
        </w:rPr>
        <w:t xml:space="preserve"> environment of organizations. </w:t>
      </w:r>
    </w:p>
    <w:p w:rsidR="00D03A8E" w:rsidRPr="00452E2E" w:rsidRDefault="00D03A8E" w:rsidP="00D03A8E"/>
    <w:p w:rsidR="00D03A8E" w:rsidRPr="00452E2E" w:rsidRDefault="00D03A8E" w:rsidP="00D03A8E">
      <w:pPr>
        <w:sectPr w:rsidR="00D03A8E" w:rsidRPr="00452E2E" w:rsidSect="00A2662B">
          <w:footerReference w:type="default" r:id="rId12"/>
          <w:pgSz w:w="11906" w:h="16838"/>
          <w:pgMar w:top="1440" w:right="1440" w:bottom="1440" w:left="2268" w:header="708" w:footer="708" w:gutter="0"/>
          <w:cols w:space="708"/>
          <w:docGrid w:linePitch="360"/>
        </w:sectPr>
      </w:pPr>
    </w:p>
    <w:p w:rsidR="00D03A8E" w:rsidRPr="00452E2E" w:rsidRDefault="00D03A8E" w:rsidP="00D03A8E">
      <w:pPr>
        <w:pStyle w:val="Heading1"/>
        <w:numPr>
          <w:ilvl w:val="0"/>
          <w:numId w:val="0"/>
        </w:numPr>
      </w:pPr>
      <w:bookmarkStart w:id="57" w:name="_Toc473808122"/>
      <w:r w:rsidRPr="00452E2E">
        <w:lastRenderedPageBreak/>
        <w:t>CHAPTER THREE</w:t>
      </w:r>
      <w:bookmarkEnd w:id="57"/>
    </w:p>
    <w:p w:rsidR="00D03A8E" w:rsidRPr="00452E2E" w:rsidRDefault="00D03A8E" w:rsidP="00D03A8E">
      <w:pPr>
        <w:pStyle w:val="Heading2"/>
      </w:pPr>
      <w:bookmarkStart w:id="58" w:name="_Toc465271173"/>
      <w:bookmarkStart w:id="59" w:name="_Toc473808123"/>
      <w:r w:rsidRPr="00452E2E">
        <w:t>THE EFFECT</w:t>
      </w:r>
      <w:r w:rsidR="003B7F46" w:rsidRPr="00452E2E">
        <w:t>S</w:t>
      </w:r>
      <w:r w:rsidRPr="00452E2E">
        <w:t xml:space="preserve"> OF HUMAN RESOURCE PRACTICES ON EMPLOYEE ATTITUDES</w:t>
      </w:r>
      <w:bookmarkEnd w:id="58"/>
      <w:bookmarkEnd w:id="59"/>
    </w:p>
    <w:p w:rsidR="00D03A8E" w:rsidRPr="00452E2E" w:rsidRDefault="00D03A8E" w:rsidP="00D03A8E"/>
    <w:p w:rsidR="00D03A8E" w:rsidRPr="00452E2E" w:rsidRDefault="00D03A8E" w:rsidP="00170224">
      <w:pPr>
        <w:pStyle w:val="Heading3"/>
      </w:pPr>
      <w:bookmarkStart w:id="60" w:name="_Toc465271174"/>
      <w:bookmarkStart w:id="61" w:name="_Toc473808124"/>
      <w:r w:rsidRPr="00452E2E">
        <w:t>3.1 Introduction</w:t>
      </w:r>
      <w:bookmarkEnd w:id="60"/>
      <w:bookmarkEnd w:id="61"/>
    </w:p>
    <w:p w:rsidR="00D03A8E" w:rsidRPr="00452E2E" w:rsidRDefault="00D03A8E" w:rsidP="00D03A8E">
      <w:pPr>
        <w:spacing w:line="360" w:lineRule="auto"/>
        <w:jc w:val="both"/>
        <w:rPr>
          <w:szCs w:val="24"/>
        </w:rPr>
      </w:pPr>
      <w:r w:rsidRPr="00452E2E">
        <w:rPr>
          <w:szCs w:val="24"/>
        </w:rPr>
        <w:t>Having discussed the various institutional frameworks for understanding HRM as well as the nature of HR practices in the previous chapter, the aim of the current chapter is to review existing literature on the effect</w:t>
      </w:r>
      <w:r w:rsidR="008556A8" w:rsidRPr="00452E2E">
        <w:rPr>
          <w:szCs w:val="24"/>
        </w:rPr>
        <w:t>s</w:t>
      </w:r>
      <w:r w:rsidRPr="00452E2E">
        <w:rPr>
          <w:szCs w:val="24"/>
        </w:rPr>
        <w:t xml:space="preserve"> of HR practices on employee attitudes. Since one of the objectives of this research is to examine the effect</w:t>
      </w:r>
      <w:r w:rsidR="008556A8" w:rsidRPr="00452E2E">
        <w:rPr>
          <w:szCs w:val="24"/>
        </w:rPr>
        <w:t>s</w:t>
      </w:r>
      <w:r w:rsidRPr="00452E2E">
        <w:rPr>
          <w:szCs w:val="24"/>
        </w:rPr>
        <w:t xml:space="preserve"> of HR practices on employee attitudes in public and private sector in Nigeria, a review of existing literature in this area is necessary in order to identify research gaps that the current research seeks to fill. As a starting point, the chapter presents an overview of research on HR practices and organizational performance in order to make a case for why it is important to examine the effect</w:t>
      </w:r>
      <w:r w:rsidR="007130B4" w:rsidRPr="00452E2E">
        <w:rPr>
          <w:szCs w:val="24"/>
        </w:rPr>
        <w:t>s</w:t>
      </w:r>
      <w:r w:rsidRPr="00452E2E">
        <w:rPr>
          <w:szCs w:val="24"/>
        </w:rPr>
        <w:t xml:space="preserve"> of HR practices from the perspective of employees. Next is a</w:t>
      </w:r>
      <w:r w:rsidR="00FA0A89" w:rsidRPr="00452E2E">
        <w:rPr>
          <w:szCs w:val="24"/>
        </w:rPr>
        <w:t xml:space="preserve"> discussion of employee attitudes which is followed by the discussion of HR practices and employee attitudes by establishing the theoretical link between HR practices and employee attitudes.  Finally, studies linking HR practices and employee attitudes are presented with </w:t>
      </w:r>
      <w:r w:rsidRPr="00452E2E">
        <w:rPr>
          <w:szCs w:val="24"/>
        </w:rPr>
        <w:t xml:space="preserve">an analysis of these studies in order to show the gaps in existing research and how the present study could fill such research gaps. </w:t>
      </w:r>
    </w:p>
    <w:p w:rsidR="00D03A8E" w:rsidRPr="00452E2E" w:rsidRDefault="00D03A8E" w:rsidP="00170224">
      <w:pPr>
        <w:pStyle w:val="Heading3"/>
      </w:pPr>
      <w:bookmarkStart w:id="62" w:name="_Toc465271175"/>
      <w:bookmarkStart w:id="63" w:name="_Toc473808125"/>
      <w:r w:rsidRPr="00452E2E">
        <w:t>3.2 Overview of Research on HR Practices and Organizational Performance</w:t>
      </w:r>
      <w:bookmarkEnd w:id="62"/>
      <w:bookmarkEnd w:id="63"/>
    </w:p>
    <w:p w:rsidR="00D03A8E" w:rsidRPr="00452E2E" w:rsidRDefault="00D03A8E" w:rsidP="00D03A8E">
      <w:pPr>
        <w:spacing w:line="360" w:lineRule="auto"/>
        <w:jc w:val="both"/>
        <w:rPr>
          <w:szCs w:val="24"/>
          <w:lang w:val="fr-FR"/>
        </w:rPr>
      </w:pPr>
      <w:r w:rsidRPr="00452E2E">
        <w:rPr>
          <w:szCs w:val="24"/>
        </w:rPr>
        <w:t xml:space="preserve">One of the key issues that have dominated the literature on HRM is the effect of HRM on organizational performance </w:t>
      </w:r>
      <w:r w:rsidRPr="00452E2E">
        <w:rPr>
          <w:szCs w:val="24"/>
        </w:rPr>
        <w:fldChar w:fldCharType="begin" w:fldLock="1"/>
      </w:r>
      <w:r w:rsidRPr="00452E2E">
        <w:rPr>
          <w:szCs w:val="24"/>
        </w:rPr>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"id" : "ITEM-2", "itemData" : { "DOI" : "10.1177/0018726705055032", "ISBN" : "0018726705055", "ISSN" : "0018-7267", "abstract" : "It is often assumed that research over the last decade has established an effect of human resource management (HRM) practices on organizational performance. Our critical assessment of existing studies finds that, although collectively they have opened up a promising line of inquiry, their methodological limitations make such a conclusion premature. We argue that future progress depends on using stronger research methods and design that, in turn, will require large-scale long-term research at a level of magnitude that probably can only be achieved through partnerships between research, practitioner and government communities. We conclude that progress so far justifies investment in such big science.", "author" : [ { "dropping-particle" : "", "family" : "Wall", "given" : "T. D.", "non-dropping-particle" : "", "parse-names" : false, "suffix" : "" }, { "dropping-particle" : "", "family" : "Wood", "given" : "Stephen J", "non-dropping-particle" : "", "parse-names" : false, "suffix" : "" } ], "container-title" : "Human Relations", "id" : "ITEM-2", "issue" : "4", "issued" : { "date-parts" : [ [ "2005" ] ] }, "number-of-pages" : "429-462", "title" : "The romance of human resource management and business performance, and the case for big science", "type" : "book", "volume" : "58" }, "uris" : [ "http://www.mendeley.com/documents/?uuid=fbb23ef9-cfea-4050-bdee-386b2535b24f" ] }, { "id" : "ITEM-3", "itemData" : { "DOI" : "10.1111/j.1748-8583.2010.00165.x", "ISBN" : "1748-8583", "ISSN" : "09545395", "PMID" : "59268381", "abstract" : "The field of strategic human resource management has seemingly rediscovered human capital with increasing research focused on human capital as a mediator in the relationship between HR practices and performance. In this paper we review human capital definitions and measurement approaches within this literature. We then identify some of the issues emerging with human capital research. Finally, we propose some future directions for research on human capital in organisations.", "author" : [ { "dropping-particle" : "", "family" : "Wright", "given" : "Patrick M.", "non-dropping-particle" : "", "parse-names" : false, "suffix" : "" }, { "dropping-particle" : "", "family" : "Mcmahan", "given" : "Gary C.", "non-dropping-particle" : "", "parse-names" : false, "suffix" : "" } ], "container-title" : "Human Resource Management Journal", "id" : "ITEM-3", "issue" : "2", "issued" : { "date-parts" : [ [ "2011" ] ] }, "page" : "93-104", "title" : "Exploring human capital: Putting 'human' back into strategic human resource management", "type" : "article-journal", "volume" : "21" }, "uris" : [ "http://www.mendeley.com/documents/?uuid=bc17e4dd-946b-492e-b830-bbba1f418d6e" ] } ], "mendeley" : { "formattedCitation" : "(Guest 2011; Wall &amp; Wood 2005; Wright &amp; Mcmahan 2011)", "manualFormatting" : "(Becker &amp; Huselid, 1998; Boselie et al., 2005; Wall &amp; Wood, 2005; Guest, 2011; Wright &amp; Mcmahan, 2011; Darwish et al., 2016)", "plainTextFormattedCitation" : "(Guest 2011; Wall &amp; Wood 2005; Wright &amp; Mcmahan 2011)", "previouslyFormattedCitation" : "(Guest 2011; Wall &amp; Wood 2005; Wright &amp; Mcmahan 2011)" }, "properties" : { "noteIndex" : 0 }, "schema" : "https://github.com/citation-style-language/schema/raw/master/csl-citation.json" }</w:instrText>
      </w:r>
      <w:r w:rsidRPr="00452E2E">
        <w:rPr>
          <w:szCs w:val="24"/>
        </w:rPr>
        <w:fldChar w:fldCharType="separate"/>
      </w:r>
      <w:r w:rsidRPr="00452E2E">
        <w:rPr>
          <w:noProof/>
          <w:szCs w:val="24"/>
        </w:rPr>
        <w:t xml:space="preserve">(Becker &amp; Huselid, 1998; Boselie </w:t>
      </w:r>
      <w:r w:rsidRPr="00452E2E">
        <w:rPr>
          <w:i/>
          <w:noProof/>
          <w:szCs w:val="24"/>
        </w:rPr>
        <w:t>et al</w:t>
      </w:r>
      <w:r w:rsidRPr="00452E2E">
        <w:rPr>
          <w:noProof/>
          <w:szCs w:val="24"/>
        </w:rPr>
        <w:t xml:space="preserve">., 2005; Wall &amp; Wood, 2005; Guest, 2011; Wright &amp; Mcmahan, 2011; Darwish </w:t>
      </w:r>
      <w:r w:rsidRPr="00452E2E">
        <w:rPr>
          <w:i/>
          <w:noProof/>
          <w:szCs w:val="24"/>
        </w:rPr>
        <w:t>et al</w:t>
      </w:r>
      <w:r w:rsidRPr="00452E2E">
        <w:rPr>
          <w:noProof/>
          <w:szCs w:val="24"/>
        </w:rPr>
        <w:t>., 2016)</w:t>
      </w:r>
      <w:r w:rsidRPr="00452E2E">
        <w:rPr>
          <w:szCs w:val="24"/>
        </w:rPr>
        <w:fldChar w:fldCharType="end"/>
      </w:r>
      <w:r w:rsidRPr="00452E2E">
        <w:rPr>
          <w:szCs w:val="24"/>
        </w:rPr>
        <w:t xml:space="preserve">. Several studies have established a positive relationship between HR practices and organizational performance </w:t>
      </w:r>
      <w:r w:rsidRPr="00452E2E">
        <w:rPr>
          <w:szCs w:val="24"/>
        </w:rPr>
        <w:fldChar w:fldCharType="begin" w:fldLock="1"/>
      </w:r>
      <w:r w:rsidRPr="00452E2E">
        <w:rPr>
          <w:szCs w:val="24"/>
        </w:rPr>
        <w:instrText>ADDIN CSL_CITATION { "citationItems" : [ { "id" : "ITEM-1", "itemData" : { "author" : [ { "dropping-particle" : "", "family" : "Arthur", "given" : "Jeffrey B", "non-dropping-particle" : "", "parse-names" : false, "suffix" : "" } ], "container-title" : "The Academy of Management Journal", "id" : "ITEM-1", "issue" : "3", "issued" : { "date-parts" : [ [ "1994" ] ] }, "page" : "670-687", "title" : "Effects of human reource systems on manufacturing performance and turnover", "type" : "article-journal", "volume" : "37" }, "uris" : [ "http://www.mendeley.com/documents/?uuid=c81c413c-6ba0-4a28-a60c-fc0f87f5ab48" ] }, { "id" : "ITEM-2", "itemData" : { "author" : [ { "dropping-particle" : "", "family" : "Bae", "given" : "Johngseok", "non-dropping-particle" : "", "parse-names" : false, "suffix" : "" }, { "dropping-particle" : "", "family" : "Lawler", "given" : "J. J", "non-dropping-particle" : "", "parse-names" : false, "suffix" : "" } ], "container-title" : "The Academy of Management Journal", "id" : "ITEM-2", "issue" : "3", "issued" : { "date-parts" : [ [ "2000" ] ] }, "page" : "502-517", "title" : "Organizational and HRM strategies in Korea : Impact on firm performance in an emerging economy", "type" : "article-journal", "volume" : "43" }, "uris" : [ "http://www.mendeley.com/documents/?uuid=2c83c6fa-a69b-462c-8be0-5a549af7dc1f" ] }, { "id" : "ITEM-3", "itemData" : { "author" : [ { "dropping-particle" : "", "family" : "Birdi", "given" : "Kamal", "non-dropping-particle" : "", "parse-names" : false, "suffix" : "" }, { "dropping-particle" : "", "family" : "Clegg", "given" : "Chris", "non-dropping-particle" : "", "parse-names" : false, "suffix" : "" }, { "dropping-particle" : "", "family" : "Patterson", "given" : "Malcom", "non-dropping-particle" : "", "parse-names" : false, "suffix" : "" }, { "dropping-particle" : "", "family" : "Robinson", "given" : "Andrew", "non-dropping-particle" : "", "parse-names" : false, "suffix" : "" }, { "dropping-particle" : "", "family" : "Stride", "given" : "Chris", "non-dropping-particle" : "", "parse-names" : false, "suffix" : "" }, { "dropping-particle" : "", "family" : "Wall", "given" : "Toby D.", "non-dropping-particle" : "", "parse-names" : false, "suffix" : "" }, { "dropping-particle" : "", "family" : "Wood", "given" : "Stephen J", "non-dropping-particle" : "", "parse-names" : false, "suffix" : "" } ], "container-title" : "Personnel Psychology", "id" : "ITEM-3", "issued" : { "date-parts" : [ [ "2008" ] ] }, "page" : "467-501", "title" : "The impact of human resource and operational management practices on company productivity: A longitudinal study", "type" : "article-journal", "volume" : "61" }, "uris" : [ "http://www.mendeley.com/documents/?uuid=42240540-8ca0-4b35-91f4-5c6c318912f2" ] }, { "id" : "ITEM-4", "itemData" : { "abstract" : "Although there is growing evidence that high performance work prac- tices (HPWPs) affect organizational performance, varying sample char- acteristics, research designs, practices examined, and organizational performance measures used has led extant findings to vary dramatically, making the size of the overall effect difficult to estimate.We use meta- analysis to estimate the effect size and test whether effects are larger for (a) HPWP systems versus individual practices, (b) operational versus financial performance measures, and (c) manufacturing versus service organizations. Statistical aggregation of 92 studies reveals an overall cor- relation that we estimate at .20. Also, the relationship is stronger when researchers examine systems of HPWPs and among manufacturers, but it appears invariant across performance measures.We use our findings as a basis to offer 4 suggestions intended to shape research practices such that future meta-analyses might answer today\u2019s emerging questions.", "author" : [ { "dropping-particle" : "", "family" : "Combs", "given" : "James", "non-dropping-particle" : "", "parse-names" : false, "suffix" : "" }, { "dropping-particle" : "", "family" : "Liu", "given" : "Yongmei", "non-dropping-particle" : "", "parse-names" : false, "suffix" : "" }, { "dropping-particle" : "", "family" : "Hall", "given" : "A", "non-dropping-particle" : "", "parse-names" : false, "suffix" : "" }, { "dropping-particle" : "", "family" : "Ketchen", "given" : "D", "non-dropping-particle" : "", "parse-names" : false, "suffix" : "" } ], "container-title" : "Personnel Psychology", "id" : "ITEM-4", "issued" : { "date-parts" : [ [ "2006" ] ] }, "page" : "501-528", "title" : "How much do high-performance work practices matter? A meta-analysis of their effects on organizational performance", "type" : "article-journal", "volume" : "59" }, "uris" : [ "http://www.mendeley.com/documents/?uuid=5efe9449-b41e-45fe-b2d5-b9010fd5c1e4" ] }, { "id" : "ITEM-5",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"ITEM-5",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"id" : "ITEM-6", "itemData" : { "author" : [ { "dropping-particle" : "", "family" : "Guthrie", "given" : "James P", "non-dropping-particle" : "", "parse-names" : false, "suffix" : "" } ], "container-title" : "The Academy of Management Journal", "id" : "ITEM-6", "issue" : "1", "issued" : { "date-parts" : [ [ "2001" ] ] }, "page" : "180-190", "title" : "High-involvement work practices, turnover, and productivity: Evidence from New Zealand", "type" : "article-journal", "volume" : "44" }, "uris" : [ "http://www.mendeley.com/documents/?uuid=7a196ade-564e-486c-90bb-8a9582f010c6" ] }, { "id" : "ITEM-7", "itemData" : { "author" : [ { "dropping-particle" : "", "family" : "Huselid", "given" : "Mark. A.", "non-dropping-particle" : "", "parse-names" : false, "suffix" : "" } ], "container-title" : "The Academy of Management Journal", "id" : "ITEM-7", "issue" : "3", "issued" : { "date-parts" : [ [ "1995" ] ] }, "page" : "635-672", "title" : "The impact of human resource management practices on turnover, productivity, and corporate financial performance", "type" : "article-journal", "volume" : "38" }, "uris" : [ "http://www.mendeley.com/documents/?uuid=8deb46c5-8f8a-41df-80a6-c9419f429f50" ] }, { "id" : "ITEM-8",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"ITEM-8",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"id" : "ITEM-9", "itemData" : { "author" : [ { "dropping-particle" : "", "family" : "Macduffie", "given" : "John Paul", "non-dropping-particle" : "", "parse-names" : false, "suffix" : "" } ], "container-title" : "Industrial and Labour Relations Review", "id" : "ITEM-9", "issue" : "2", "issued" : { "date-parts" : [ [ "1995" ] ] }, "page" : "197-221", "title" : "Human resource bundles and manufacturing performance: Organizational logic and flexible production systmes in the world auto industry", "type" : "article-journal", "volume" : "48" }, "uris" : [ "http://www.mendeley.com/documents/?uuid=c6b99a67-101a-47a2-a211-e2c6180cf500" ] }, { "id" : "ITEM-10",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"Messersmith", "given" : "Jake G", "non-dropping-particle" : "", "parse-names" : false, "suffix" : "" }, { "dropping-particle" : "", "family" : "Guthrie", "given" : "James P", "non-dropping-particle" : "", "parse-names" : false, "suffix" : "" } ], "container-title" : "Human Resource Management", "id" : "ITEM-10", "issue" : "2", "issued" : { "date-parts" : [ [ "2010" ] ] }, "page" : "241-264", "title" : "High performance work systems in emergent organizations: Implications for firm performance", "type" : "article-journal", "volume" : "49" }, "uris" : [ "http://www.mendeley.com/documents/?uuid=9179b856-3e7f-495a-bdc7-8e3f983f84de" ] }, { "id" : "ITEM-11", "itemData" : { "ISBN" : "852927258", "abstract" : "Re link bet progressive HRM and org perf - Becker and Gerhart, 1996; Patterson et al 1997, Wood and de Menezes, 1998See Ron Collard article for summary of results", "author" : [ { "dropping-particle" : "", "family" : "Patterson", "given" : "Malcolm G", "non-dropping-particle" : "", "parse-names" : false, "suffix" : "" }, { "dropping-particle" : "", "family" : "West, Michael", "given" : "A.", "non-dropping-particle" : "", "parse-names" : false, "suffix" : "" }, { "dropping-particle" : "", "family" : "Lawthom", "given" : "Rebecca", "non-dropping-particle" : "", "parse-names" : false, "suffix" : "" }, { "dropping-particle" : "", "family" : "Nickell", "given" : "Stephen", "non-dropping-particle" : "", "parse-names" : false, "suffix" : "" } ], "id" : "ITEM-11", "issued" : { "date-parts" : [ [ "1997" ] ] }, "publisher" : "Institue of Personnel and Development", "publisher-place" : "London", "title" : "Impact of people management practices on business performance", "type" : "book" }, "uris" : [ "http://www.mendeley.com/documents/?uuid=ca010a0c-9512-4929-af72-e57e6bbd872f" ] }, { "id" : "ITEM-12", "itemData" : { "DOI" : "10.5465/AMJ.2007.25525821", "ISBN" : "10.5465/AMJ.2007.25525821", "ISSN" : "0001-4273", "abstract" : "Taking a relational perspective on the employment relationship, we examined processes (mediation and moderation) linking high-performance human resource practices and productivity and turnover, two indicators of organizational performance. Multilevel analysis of data from hotels in the People's Republic of China revealed that service-oriented organizational citizenship behavior (OCB) partially mediated the relationships between high-performance human resource practices and both performance indicators. Unemployment rate moderated the service-oriented OCB--turnover relationship, and business strategy (service quality) moderated the service-oriented OCB--productivity relationship. TS - CrossRef", "author" : [ { "dropping-particle" : "", "family" : "Sun", "given" : "L-Y.", "non-dropping-particle" : "", "parse-names" : false, "suffix" : "" }, { "dropping-particle" : "", "family" : "Aryee", "given" : "S.", "non-dropping-particle" : "", "parse-names" : false, "suffix" : "" }, { "dropping-particle" : "", "family" : "Law", "given" : "K. S.", "non-dropping-particle" : "", "parse-names" : false, "suffix" : "" } ], "container-title" : "Academy of Management Journal", "id" : "ITEM-12", "issue" : "3", "issued" : { "date-parts" : [ [ "2007" ] ] }, "page" : "558-577", "title" : "High-Performance human resource practices, citizenship behavior, and organizational performance: A relational perspective.", "type" : "article-journal", "volume" : "50" }, "uris" : [ "http://www.mendeley.com/documents/?uuid=b2543fd4-42aa-401a-b61f-bd1893207c4c" ] } ], "mendeley" : { "formattedCitation" : "(Arthur 1994; Bae &amp; Lawler 2000; Birdi et al. 2008; Combs et al. 2006; Darwish et al. 2016; Guthrie 2001; Huselid 1995; Jiang, David P Lepak, et al. 2012; Macduffie 1995; Messersmith &amp; Guthrie 2010; Patterson et al. 1997; Sun et al. 2007)", "manualFormatting" : "(e.g. Arthur, 1994; Huselid, 1995; Macduffie, 1995; Patterson et al., 1997; Bae &amp; Lawler, 2000; Guthrie, 2001; Combs et al., 2006; Sun et al., 2007; Birdi et al., 2008; Messersmith &amp; Guthrie, 2010; Jiang et al., 2012a)", "plainTextFormattedCitation" : "(Arthur 1994; Bae &amp; Lawler 2000; Birdi et al. 2008; Combs et al. 2006; Darwish et al. 2016; Guthrie 2001; Huselid 1995; Jiang, David P Lepak, et al. 2012; Macduffie 1995; Messersmith &amp; Guthrie 2010; Patterson et al. 1997; Sun et al. 2007)", "previouslyFormattedCitation" : "(Arthur 1994; Bae &amp; Lawler 2000; Birdi et al. 2008; Combs et al. 2006; Darwish et al. 2016; Guthrie 2001; Huselid 1995; Jiang, David P Lepak, et al. 2012; Macduffie 1995; Messersmith &amp; Guthrie 2010; Patterson et al. 1997; Sun et al. 2007)" }, "properties" : { "noteIndex" : 0 }, "schema" : "https://github.com/citation-style-language/schema/raw/master/csl-citation.json" }</w:instrText>
      </w:r>
      <w:r w:rsidRPr="00452E2E">
        <w:rPr>
          <w:szCs w:val="24"/>
        </w:rPr>
        <w:fldChar w:fldCharType="separate"/>
      </w:r>
      <w:r w:rsidRPr="00452E2E">
        <w:rPr>
          <w:noProof/>
          <w:szCs w:val="24"/>
        </w:rPr>
        <w:t xml:space="preserve">(e.g. Arthur, 1994; Huselid, 1995; Macduffie, 1995; Patterson </w:t>
      </w:r>
      <w:r w:rsidRPr="00452E2E">
        <w:rPr>
          <w:i/>
          <w:noProof/>
          <w:szCs w:val="24"/>
        </w:rPr>
        <w:t>et al</w:t>
      </w:r>
      <w:r w:rsidRPr="00452E2E">
        <w:rPr>
          <w:noProof/>
          <w:szCs w:val="24"/>
        </w:rPr>
        <w:t xml:space="preserve">., 1997; Bae &amp; Lawler, 2000; Guthrie, 2001; Combs </w:t>
      </w:r>
      <w:r w:rsidRPr="00452E2E">
        <w:rPr>
          <w:i/>
          <w:noProof/>
          <w:szCs w:val="24"/>
        </w:rPr>
        <w:t>et al</w:t>
      </w:r>
      <w:r w:rsidRPr="00452E2E">
        <w:rPr>
          <w:noProof/>
          <w:szCs w:val="24"/>
        </w:rPr>
        <w:t xml:space="preserve">., 2006; Sun </w:t>
      </w:r>
      <w:r w:rsidRPr="00452E2E">
        <w:rPr>
          <w:i/>
          <w:noProof/>
          <w:szCs w:val="24"/>
        </w:rPr>
        <w:t>et al</w:t>
      </w:r>
      <w:r w:rsidRPr="00452E2E">
        <w:rPr>
          <w:noProof/>
          <w:szCs w:val="24"/>
        </w:rPr>
        <w:t xml:space="preserve">., 2007; Birdi </w:t>
      </w:r>
      <w:r w:rsidRPr="00452E2E">
        <w:rPr>
          <w:i/>
          <w:noProof/>
          <w:szCs w:val="24"/>
        </w:rPr>
        <w:t>et al</w:t>
      </w:r>
      <w:r w:rsidRPr="00452E2E">
        <w:rPr>
          <w:noProof/>
          <w:szCs w:val="24"/>
        </w:rPr>
        <w:t xml:space="preserve">., 2008; Messersmith &amp; Guthrie, 2010; Jiang </w:t>
      </w:r>
      <w:r w:rsidRPr="00452E2E">
        <w:rPr>
          <w:i/>
          <w:noProof/>
          <w:szCs w:val="24"/>
        </w:rPr>
        <w:t>et al</w:t>
      </w:r>
      <w:r w:rsidRPr="00452E2E">
        <w:rPr>
          <w:noProof/>
          <w:szCs w:val="24"/>
        </w:rPr>
        <w:t>., 2012</w:t>
      </w:r>
      <w:r w:rsidRPr="00452E2E">
        <w:rPr>
          <w:i/>
          <w:noProof/>
          <w:szCs w:val="24"/>
        </w:rPr>
        <w:t>a</w:t>
      </w:r>
      <w:r w:rsidRPr="00452E2E">
        <w:rPr>
          <w:noProof/>
          <w:szCs w:val="24"/>
        </w:rPr>
        <w:t>)</w:t>
      </w:r>
      <w:r w:rsidRPr="00452E2E">
        <w:rPr>
          <w:szCs w:val="24"/>
        </w:rPr>
        <w:fldChar w:fldCharType="end"/>
      </w:r>
      <w:r w:rsidRPr="00452E2E">
        <w:rPr>
          <w:szCs w:val="24"/>
        </w:rPr>
        <w:t>. The consensus appear</w:t>
      </w:r>
      <w:r w:rsidR="000733B2" w:rsidRPr="00452E2E">
        <w:rPr>
          <w:szCs w:val="24"/>
        </w:rPr>
        <w:t>s</w:t>
      </w:r>
      <w:r w:rsidRPr="00452E2E">
        <w:rPr>
          <w:szCs w:val="24"/>
        </w:rPr>
        <w:t xml:space="preserve"> to be that HR practices result </w:t>
      </w:r>
      <w:r w:rsidR="00116BDB" w:rsidRPr="00452E2E">
        <w:rPr>
          <w:szCs w:val="24"/>
        </w:rPr>
        <w:t>in</w:t>
      </w:r>
      <w:r w:rsidRPr="00452E2E">
        <w:rPr>
          <w:szCs w:val="24"/>
        </w:rPr>
        <w:t xml:space="preserve"> superior organizational performance when practices are encountered together (Jiang </w:t>
      </w:r>
      <w:r w:rsidRPr="00452E2E">
        <w:rPr>
          <w:i/>
          <w:szCs w:val="24"/>
        </w:rPr>
        <w:t>et al</w:t>
      </w:r>
      <w:r w:rsidRPr="00452E2E">
        <w:rPr>
          <w:szCs w:val="24"/>
        </w:rPr>
        <w:t>., 2012</w:t>
      </w:r>
      <w:r w:rsidRPr="00452E2E">
        <w:rPr>
          <w:i/>
          <w:szCs w:val="24"/>
        </w:rPr>
        <w:t>a</w:t>
      </w:r>
      <w:r w:rsidRPr="00452E2E">
        <w:rPr>
          <w:szCs w:val="24"/>
        </w:rPr>
        <w:t xml:space="preserve">). Hence, researchers have developed frameworks examining the effect of bundles of practices on organizational performance that have often come under the banner of  ‘high-commitment </w:t>
      </w:r>
      <w:r w:rsidRPr="00452E2E">
        <w:rPr>
          <w:szCs w:val="24"/>
        </w:rPr>
        <w:fldChar w:fldCharType="begin" w:fldLock="1"/>
      </w:r>
      <w:r w:rsidRPr="00452E2E">
        <w:rPr>
          <w:szCs w:val="24"/>
        </w:rPr>
        <w:instrText>ADDIN CSL_CITATION { "citationItems" : [ { "id" : "ITEM-1", "itemData" : { "author" : [ { "dropping-particle" : "", "family" : "Arthur", "given" : "Jeffrey B", "non-dropping-particle" : "", "parse-names" : false, "suffix" : "" } ], "container-title" : "The Academy of Management Journal", "id" : "ITEM-1", "issue" : "3", "issued" : { "date-parts" : [ [ "1994" ] ] }, "page" : "670-687", "title" : "Effects of human reource systems on manufacturing performance and turnover", "type" : "article-journal", "volume" : "37" }, "uris" : [ "http://www.mendeley.com/documents/?uuid=c81c413c-6ba0-4a28-a60c-fc0f87f5ab48" ] } ], "mendeley" : { "formattedCitation" : "(Arthur 1994)", "manualFormatting" : "(Arthur, 1994)", "plainTextFormattedCitation" : "(Arthur 1994)", "previouslyFormattedCitation" : "(Arthur 1994)" }, "properties" : { "noteIndex" : 0 }, "schema" : "https://github.com/citation-style-language/schema/raw/master/csl-citation.json" }</w:instrText>
      </w:r>
      <w:r w:rsidRPr="00452E2E">
        <w:rPr>
          <w:szCs w:val="24"/>
        </w:rPr>
        <w:fldChar w:fldCharType="separate"/>
      </w:r>
      <w:r w:rsidRPr="00452E2E">
        <w:rPr>
          <w:noProof/>
          <w:szCs w:val="24"/>
        </w:rPr>
        <w:t>(Arthur, 1994)</w:t>
      </w:r>
      <w:r w:rsidRPr="00452E2E">
        <w:rPr>
          <w:szCs w:val="24"/>
        </w:rPr>
        <w:fldChar w:fldCharType="end"/>
      </w:r>
      <w:r w:rsidRPr="00452E2E">
        <w:rPr>
          <w:szCs w:val="24"/>
        </w:rPr>
        <w:t xml:space="preserve">, </w:t>
      </w:r>
      <w:r w:rsidRPr="00452E2E">
        <w:rPr>
          <w:szCs w:val="24"/>
        </w:rPr>
        <w:lastRenderedPageBreak/>
        <w:t xml:space="preserve">‘innovative’ </w:t>
      </w:r>
      <w:r w:rsidRPr="00452E2E">
        <w:rPr>
          <w:szCs w:val="24"/>
        </w:rPr>
        <w:fldChar w:fldCharType="begin" w:fldLock="1"/>
      </w:r>
      <w:r w:rsidRPr="00452E2E">
        <w:rPr>
          <w:szCs w:val="24"/>
        </w:rPr>
        <w:instrText>ADDIN CSL_CITATION { "citationItems" : [ { "id" : "ITEM-1", "itemData" : { "author" : [ { "dropping-particle" : "", "family" : "Macduffie", "given" : "John Paul", "non-dropping-particle" : "", "parse-names" : false, "suffix" : "" } ], "container-title" : "Industrial and Labour Relations Review", "id" : "ITEM-1", "issue" : "2", "issued" : { "date-parts" : [ [ "1995" ] ] }, "page" : "197-221", "title" : "Human resource bundles and manufacturing performance: Organizational logic and flexible production systmes in the world auto industry", "type" : "article-journal", "volume" : "48" }, "uris" : [ "http://www.mendeley.com/documents/?uuid=c6b99a67-101a-47a2-a211-e2c6180cf500" ] } ], "mendeley" : { "formattedCitation" : "(Macduffie 1995)", "manualFormatting" : "(Macduffie, 1995)", "plainTextFormattedCitation" : "(Macduffie 1995)", "previouslyFormattedCitation" : "(Macduffie 1995)" }, "properties" : { "noteIndex" : 0 }, "schema" : "https://github.com/citation-style-language/schema/raw/master/csl-citation.json" }</w:instrText>
      </w:r>
      <w:r w:rsidRPr="00452E2E">
        <w:rPr>
          <w:szCs w:val="24"/>
        </w:rPr>
        <w:fldChar w:fldCharType="separate"/>
      </w:r>
      <w:r w:rsidRPr="00452E2E">
        <w:rPr>
          <w:noProof/>
          <w:szCs w:val="24"/>
        </w:rPr>
        <w:t>(Macduffie, 1995)</w:t>
      </w:r>
      <w:r w:rsidRPr="00452E2E">
        <w:rPr>
          <w:szCs w:val="24"/>
        </w:rPr>
        <w:fldChar w:fldCharType="end"/>
      </w:r>
      <w:r w:rsidRPr="00452E2E">
        <w:rPr>
          <w:szCs w:val="24"/>
        </w:rPr>
        <w:t>, ‘high-performance’</w:t>
      </w:r>
      <w:r w:rsidRPr="00452E2E">
        <w:rPr>
          <w:szCs w:val="24"/>
        </w:rPr>
        <w:fldChar w:fldCharType="begin" w:fldLock="1"/>
      </w:r>
      <w:r w:rsidRPr="00452E2E">
        <w:rPr>
          <w:szCs w:val="24"/>
        </w:rPr>
        <w:instrText>ADDIN CSL_CITATION { "citationItems" : [ { "id" : "ITEM-1", "itemData" : { "author" : [ { "dropping-particle" : "", "family" : "Becker", "given" : "B. E.", "non-dropping-particle" : "", "parse-names" : false, "suffix" : "" }, { "dropping-particle" : "", "family" : "Huselid", "given" : "Mark. A.", "non-dropping-particle" : "", "parse-names" : false, "suffix" : "" } ], "container-title" : "Research in personnel and human resources management", "editor" : [ { "dropping-particle" : "", "family" : "Ferris", "given" : "G", "non-dropping-particle" : "", "parse-names" : false, "suffix" : "" } ], "id" : "ITEM-1", "issued" : { "date-parts" : [ [ "1998" ] ] }, "page" : "53-101", "publisher" : "JAI Press", "publisher-place" : "Greenwich, CT", "title" : "High performance work systems and firm performance: A synthesis of research and managerial implications", "type" : "chapter" }, "uris" : [ "http://www.mendeley.com/documents/?uuid=2d24e78b-66ed-4698-b8ac-ebddda089e6d" ] } ], "mendeley" : { "formattedCitation" : "(Becker &amp; Huselid 1998)", "manualFormatting" : "(Becker &amp; Huselid, 1998)", "plainTextFormattedCitation" : "(Becker &amp; Huselid 1998)", "previouslyFormattedCitation" : "(Becker &amp; Huselid 1998)" }, "properties" : { "noteIndex" : 0 }, "schema" : "https://github.com/citation-style-language/schema/raw/master/csl-citation.json" }</w:instrText>
      </w:r>
      <w:r w:rsidRPr="00452E2E">
        <w:rPr>
          <w:szCs w:val="24"/>
        </w:rPr>
        <w:fldChar w:fldCharType="separate"/>
      </w:r>
      <w:r w:rsidRPr="00452E2E">
        <w:rPr>
          <w:noProof/>
          <w:szCs w:val="24"/>
        </w:rPr>
        <w:t>(Becker &amp; Huselid, 1998)</w:t>
      </w:r>
      <w:r w:rsidRPr="00452E2E">
        <w:rPr>
          <w:szCs w:val="24"/>
        </w:rPr>
        <w:fldChar w:fldCharType="end"/>
      </w:r>
      <w:r w:rsidRPr="00452E2E">
        <w:rPr>
          <w:szCs w:val="24"/>
        </w:rPr>
        <w:t xml:space="preserve">, or ‘high-involvement’ HR practices </w:t>
      </w:r>
      <w:r w:rsidRPr="00452E2E">
        <w:rPr>
          <w:szCs w:val="24"/>
        </w:rPr>
        <w:fldChar w:fldCharType="begin" w:fldLock="1"/>
      </w:r>
      <w:r w:rsidRPr="00452E2E">
        <w:rPr>
          <w:szCs w:val="24"/>
        </w:rPr>
        <w:instrText>ADDIN CSL_CITATION { "citationItems" : [ { "id" : "ITEM-1", "itemData" : { "author" : [ { "dropping-particle" : "", "family" : "Guthrie", "given" : "James P", "non-dropping-particle" : "", "parse-names" : false, "suffix" : "" } ], "container-title" : "The Academy of Management Journal", "id" : "ITEM-1", "issue" : "1", "issued" : { "date-parts" : [ [ "2001" ] ] }, "page" : "180-190", "title" : "High-involvement work practices, turnover, and productivity: Evidence from New Zealand", "type" : "article-journal", "volume" : "44" }, "uris" : [ "http://www.mendeley.com/documents/?uuid=7a196ade-564e-486c-90bb-8a9582f010c6" ] } ], "mendeley" : { "formattedCitation" : "(Guthrie 2001)", "manualFormatting" : "(Guthrie, 2001)", "plainTextFormattedCitation" : "(Guthrie 2001)", "previouslyFormattedCitation" : "(Guthrie 2001)" }, "properties" : { "noteIndex" : 0 }, "schema" : "https://github.com/citation-style-language/schema/raw/master/csl-citation.json" }</w:instrText>
      </w:r>
      <w:r w:rsidRPr="00452E2E">
        <w:rPr>
          <w:szCs w:val="24"/>
        </w:rPr>
        <w:fldChar w:fldCharType="separate"/>
      </w:r>
      <w:r w:rsidRPr="00452E2E">
        <w:rPr>
          <w:noProof/>
          <w:szCs w:val="24"/>
        </w:rPr>
        <w:t>(Guthrie, 2001)</w:t>
      </w:r>
      <w:r w:rsidRPr="00452E2E">
        <w:rPr>
          <w:szCs w:val="24"/>
        </w:rPr>
        <w:fldChar w:fldCharType="end"/>
      </w:r>
      <w:r w:rsidRPr="00452E2E">
        <w:rPr>
          <w:szCs w:val="24"/>
        </w:rPr>
        <w:t xml:space="preserve">. Although, it is also common for researchers to examine the effect of individual practices on organizational performance </w:t>
      </w:r>
      <w:r w:rsidRPr="00452E2E">
        <w:rPr>
          <w:szCs w:val="24"/>
        </w:rPr>
        <w:fldChar w:fldCharType="begin" w:fldLock="1"/>
      </w:r>
      <w:r w:rsidRPr="00452E2E">
        <w:rPr>
          <w:szCs w:val="24"/>
        </w:rPr>
        <w:instrText>ADDIN CSL_CITATION { "citationItems" : [ { "id" : "ITEM-1", "itemData" : { "author" : [ { "dropping-particle" : "", "family" : "Birdi", "given" : "Kamal", "non-dropping-particle" : "", "parse-names" : false, "suffix" : "" }, { "dropping-particle" : "", "family" : "Clegg", "given" : "Chris", "non-dropping-particle" : "", "parse-names" : false, "suffix" : "" }, { "dropping-particle" : "", "family" : "Patterson", "given" : "Malcom", "non-dropping-particle" : "", "parse-names" : false, "suffix" : "" }, { "dropping-particle" : "", "family" : "Robinson", "given" : "Andrew", "non-dropping-particle" : "", "parse-names" : false, "suffix" : "" }, { "dropping-particle" : "", "family" : "Stride", "given" : "Chris", "non-dropping-particle" : "", "parse-names" : false, "suffix" : "" }, { "dropping-particle" : "", "family" : "Wall", "given" : "Toby D.", "non-dropping-particle" : "", "parse-names" : false, "suffix" : "" }, { "dropping-particle" : "", "family" : "Wood", "given" : "Stephen J", "non-dropping-particle" : "", "parse-names" : false, "suffix" : "" } ], "container-title" : "Personnel Psychology", "id" : "ITEM-1", "issued" : { "date-parts" : [ [ "2008" ] ] }, "page" : "467-501", "title" : "The impact of human resource and operational management practices on company productivity: A longitudinal study", "type" : "article-journal", "volume" : "61" }, "uris" : [ "http://www.mendeley.com/documents/?uuid=42240540-8ca0-4b35-91f4-5c6c318912f2" ] } ], "mendeley" : { "formattedCitation" : "(Birdi et al. 2008)", "manualFormatting" : "(Birdi et al., 2008)", "plainTextFormattedCitation" : "(Birdi et al. 2008)", "previouslyFormattedCitation" : "(Birdi et al. 2008)" }, "properties" : { "noteIndex" : 0 }, "schema" : "https://github.com/citation-style-language/schema/raw/master/csl-citation.json" }</w:instrText>
      </w:r>
      <w:r w:rsidRPr="00452E2E">
        <w:rPr>
          <w:szCs w:val="24"/>
        </w:rPr>
        <w:fldChar w:fldCharType="separate"/>
      </w:r>
      <w:r w:rsidRPr="00452E2E">
        <w:rPr>
          <w:noProof/>
          <w:szCs w:val="24"/>
        </w:rPr>
        <w:t xml:space="preserve">(Birdi </w:t>
      </w:r>
      <w:r w:rsidRPr="00452E2E">
        <w:rPr>
          <w:i/>
          <w:noProof/>
          <w:szCs w:val="24"/>
        </w:rPr>
        <w:t>et al</w:t>
      </w:r>
      <w:r w:rsidRPr="00452E2E">
        <w:rPr>
          <w:noProof/>
          <w:szCs w:val="24"/>
        </w:rPr>
        <w:t>., 2008)</w:t>
      </w:r>
      <w:r w:rsidRPr="00452E2E">
        <w:rPr>
          <w:szCs w:val="24"/>
        </w:rPr>
        <w:fldChar w:fldCharType="end"/>
      </w:r>
      <w:r w:rsidRPr="00452E2E">
        <w:rPr>
          <w:szCs w:val="24"/>
        </w:rPr>
        <w:t xml:space="preserve">. Thus, whether measured collectively or individually, a positive link between HR practices and organizational performance has been established </w:t>
      </w:r>
      <w:r w:rsidRPr="00452E2E">
        <w:rPr>
          <w:szCs w:val="24"/>
        </w:rPr>
        <w:fldChar w:fldCharType="begin" w:fldLock="1"/>
      </w:r>
      <w:r w:rsidRPr="00452E2E">
        <w:rPr>
          <w:szCs w:val="24"/>
        </w:rPr>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"ITEM-1",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"id" : "ITEM-2",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w:instrText>
      </w:r>
      <w:r w:rsidRPr="00452E2E">
        <w:rPr>
          <w:szCs w:val="24"/>
          <w:lang w:val="fr-FR"/>
        </w:rPr>
        <w:instrText>",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"ITEM-2",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"mendeley" : { "formattedCitation" : "(Darwish et al. 2016; Jiang, David P Lepak, et al. 2012)", "manualFormatting" : "(Combs et al., 2006; Birdi et al., 2008; Jiang et al., 2012a)", "plainTextFormattedCitation" : "(Darwish et al. 2016; Jiang, David P Lepak, et al. 2012)", "previouslyFormattedCitation" : "(Darwish et al. 2016; Jiang, David P Lepak, et al. 2012)" }, "properties" : { "noteIndex" : 0 }, "schema" : "https://github.com/citation-style-language/schema/raw/master/csl-citation.json" }</w:instrText>
      </w:r>
      <w:r w:rsidRPr="00452E2E">
        <w:rPr>
          <w:szCs w:val="24"/>
        </w:rPr>
        <w:fldChar w:fldCharType="separate"/>
      </w:r>
      <w:r w:rsidRPr="00452E2E">
        <w:rPr>
          <w:noProof/>
          <w:szCs w:val="24"/>
          <w:lang w:val="fr-FR"/>
        </w:rPr>
        <w:t xml:space="preserve">(Combs </w:t>
      </w:r>
      <w:r w:rsidRPr="00452E2E">
        <w:rPr>
          <w:i/>
          <w:noProof/>
          <w:szCs w:val="24"/>
          <w:lang w:val="fr-FR"/>
        </w:rPr>
        <w:t>et al</w:t>
      </w:r>
      <w:r w:rsidRPr="00452E2E">
        <w:rPr>
          <w:noProof/>
          <w:szCs w:val="24"/>
          <w:lang w:val="fr-FR"/>
        </w:rPr>
        <w:t xml:space="preserve">., 2006; Birdi </w:t>
      </w:r>
      <w:r w:rsidRPr="00452E2E">
        <w:rPr>
          <w:i/>
          <w:noProof/>
          <w:szCs w:val="24"/>
          <w:lang w:val="fr-FR"/>
        </w:rPr>
        <w:t>et al</w:t>
      </w:r>
      <w:r w:rsidRPr="00452E2E">
        <w:rPr>
          <w:noProof/>
          <w:szCs w:val="24"/>
          <w:lang w:val="fr-FR"/>
        </w:rPr>
        <w:t xml:space="preserve">., 2008; Jiang </w:t>
      </w:r>
      <w:r w:rsidRPr="00452E2E">
        <w:rPr>
          <w:i/>
          <w:noProof/>
          <w:szCs w:val="24"/>
          <w:lang w:val="fr-FR"/>
        </w:rPr>
        <w:t>et al</w:t>
      </w:r>
      <w:r w:rsidRPr="00452E2E">
        <w:rPr>
          <w:noProof/>
          <w:szCs w:val="24"/>
          <w:lang w:val="fr-FR"/>
        </w:rPr>
        <w:t>., 2012</w:t>
      </w:r>
      <w:r w:rsidRPr="00452E2E">
        <w:rPr>
          <w:i/>
          <w:noProof/>
          <w:szCs w:val="24"/>
          <w:lang w:val="fr-FR"/>
        </w:rPr>
        <w:t>a</w:t>
      </w:r>
      <w:r w:rsidRPr="00452E2E">
        <w:rPr>
          <w:noProof/>
          <w:szCs w:val="24"/>
          <w:lang w:val="fr-FR"/>
        </w:rPr>
        <w:t>)</w:t>
      </w:r>
      <w:r w:rsidRPr="00452E2E">
        <w:rPr>
          <w:szCs w:val="24"/>
        </w:rPr>
        <w:fldChar w:fldCharType="end"/>
      </w:r>
      <w:r w:rsidRPr="00452E2E">
        <w:rPr>
          <w:szCs w:val="24"/>
          <w:lang w:val="fr-FR"/>
        </w:rPr>
        <w:t xml:space="preserve">. </w:t>
      </w:r>
    </w:p>
    <w:p w:rsidR="00D03A8E" w:rsidRPr="00452E2E" w:rsidRDefault="00D03A8E" w:rsidP="00D03A8E">
      <w:pPr>
        <w:spacing w:line="360" w:lineRule="auto"/>
        <w:jc w:val="both"/>
        <w:rPr>
          <w:szCs w:val="24"/>
        </w:rPr>
      </w:pPr>
      <w:r w:rsidRPr="00452E2E">
        <w:rPr>
          <w:szCs w:val="24"/>
        </w:rPr>
        <w:t>Notwithstanding</w:t>
      </w:r>
      <w:r w:rsidR="00705696" w:rsidRPr="00452E2E">
        <w:rPr>
          <w:szCs w:val="24"/>
        </w:rPr>
        <w:t xml:space="preserve"> this</w:t>
      </w:r>
      <w:r w:rsidRPr="00452E2E">
        <w:rPr>
          <w:szCs w:val="24"/>
        </w:rPr>
        <w:t xml:space="preserve">, apart from methodological deficiencies </w:t>
      </w:r>
      <w:r w:rsidRPr="00452E2E">
        <w:rPr>
          <w:szCs w:val="24"/>
        </w:rPr>
        <w:fldChar w:fldCharType="begin" w:fldLock="1"/>
      </w:r>
      <w:r w:rsidRPr="00452E2E">
        <w:rPr>
          <w:szCs w:val="24"/>
        </w:rPr>
        <w:instrText>ADDIN CSL_CITATION { "citationItems" : [ { "id" : "ITEM-1", "itemData" : { "abstract" : "This is an overview of what the authors believe to be every empirical research article into the linkages between HRM and performance published in pre-eminent international refereed journals between 1994 and 2003. The analysis covers the design of the study, including the primary level of analysis and the identity of the respondents; the dominant theoretical framework(s) informing the article; how HRM is conceived and operationalised; how performance is conceived and operationalised; and which control and/or contingency variables are incorporated. Finally, the article examines how each study depicts the so-called 'black box' stage between HRM and performance. It reports wide disparities in the treatment of these components, but also some welcome commonalities and indicative trends that point towards a gradual convergence on how future research into this complex relationship might usefully be conducted. The findings are compared with previous reviews of the literature. The analysis should illuminate the ongoing debate about the linkages between HRM and performance, and prove valuable for future research designs.", "author" : [ { "dropping-particle" : "", "family" : "Boselie", "given" : "P", "non-dropping-particle" : "", "parse-names" : false, "suffix" : "" }, { "dropping-particle" : "", "family" : "Dietz", "given" : "G", "non-dropping-particle" : "", "parse-names" : false, "suffix" : "" }, { "dropping-particle" : "", "family" : "Boon", "given" : "C", "non-dropping-particle" : "", "parse-names" : false, "suffix" : "" } ], "container-title" : "Human Resource Management Journal", "id" : "ITEM-1", "issue" : "3", "issued" : { "date-parts" : [ [ "2005" ] ] }, "page" : "67-94", "title" : "Commonalities and contradictions in research on human resource management and performance", "type" : "article-journal", "volume" : "15" }, "uris" : [ "http://www.mendeley.com/documents/?uuid=401996c1-9fdf-4e4c-aa78-a3c8862f043c" ] }, { "id" : "ITEM-2", "itemData" : { "DOI" : "10.1177/0018726705055032", "ISBN" : "0018726705055", "ISSN" : "0018-7267", "abstract" : "It is often assumed that research over the last decade has established an effect of human resource management (HRM) practices on organizational performance. Our critical assessment of existing studies finds that, although collectively they have opened up a promising line of inquiry, their methodological limitations make such a conclusion premature. We argue that future progress depends on using stronger research methods and design that, in turn, will require large-scale long-term research at a level of magnitude that probably can only be achieved through partnerships between research, practitioner and government communities. We conclude that progress so far justifies investment in such big science.", "author" : [ { "dropping-particle" : "", "family" : "Wall", "given" : "T. D.", "non-dropping-particle" : "", "parse-names" : false, "suffix" : "" }, { "dropping-particle" : "", "family" : "Wood", "given" : "Stephen J", "non-dropping-particle" : "", "parse-names" : false, "suffix" : "" } ], "container-title" : "Human Relations", "id" : "ITEM-2", "issue" : "4", "issued" : { "date-parts" : [ [ "2005" ] ] }, "number-of-pages" : "429-462", "title" : "The romance of human resource management and business performance, and the case for big science", "type" : "book", "volume" : "58" }, "uris" : [ "http://www.mendeley.com/documents/?uuid=fbb23ef9-cfea-4050-bdee-386b2535b24f" ] } ], "mendeley" : { "formattedCitation" : "(Boselie et al. 2005; Wall &amp; Wood 2005)", "manualFormatting" : "(Boselie et al., 2005; Wall &amp; Wood, 2005)", "plainTextFormattedCitation" : "(Boselie et al. 2005; Wall &amp; Wood 2005)", "previouslyFormattedCitation" : "(Boselie et al. 2005; Wall &amp; Wood 2005)"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2005; Wall &amp; Wood, 2005)</w:t>
      </w:r>
      <w:r w:rsidRPr="00452E2E">
        <w:rPr>
          <w:szCs w:val="24"/>
        </w:rPr>
        <w:fldChar w:fldCharType="end"/>
      </w:r>
      <w:r w:rsidRPr="00452E2E">
        <w:rPr>
          <w:szCs w:val="24"/>
        </w:rPr>
        <w:t xml:space="preserve">, questions have been raised about what constitutes an ideal bundle of HR practices and how performance should be defined and measured </w:t>
      </w:r>
      <w:r w:rsidRPr="00452E2E">
        <w:rPr>
          <w:szCs w:val="24"/>
        </w:rPr>
        <w:fldChar w:fldCharType="begin" w:fldLock="1"/>
      </w:r>
      <w:r w:rsidRPr="00452E2E">
        <w:rPr>
          <w:szCs w:val="24"/>
        </w:rPr>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"id" : "ITEM-2", "itemData" : { "DOI" : "10.1016/j.hrmr.2011.11.005", "ISBN" : "1053-4822", "ISSN" : "10534822", "abstract" : "Strategic human resource management researchers have strongly advocated a system perspective and provided considerable evidence that certain systems of human resource practices have a significant impact on individual and organizational performance. Yet, challenges of understanding the construct of human resource systems still remain in the literature. Specifically, few efforts have been made to explicate the internal fit in human resource systems referring to how the practices in human resource systems work together. For the purpose of clarifying human resource systems construct, we review the components of human resource systems and delineate how the parts of human resource systems work together to influence employee performance. Theoretical and empirical implications for future research are also discussed. ?? 2011 .", "author" : [ { "dropping-particle" : "", "family" : "Jiang", "given" : "Kaifeng", "non-dropping-particle" : "", "parse-names" : false, "suffix" : "" }, { "dropping-particle" : "", "family" : "Lepak", "given" : "D.P.", "non-dropping-particle" : "", "parse-names" : false, "suffix" : "" }, { "dropping-particle" : "", "family" : "Han", "given" : "Kyongji", "non-dropping-particle" : "", "parse-names" : false, "suffix" : "" }, { "dropping-particle" : "", "family" : "Hong", "given" : "Ying", "non-dropping-particle" : "", "parse-names" : false, "suffix" : "" }, { "dropping-particle" : "", "family" : "Kim", "given" : "Andrea", "non-dropping-particle" : "", "parse-names" : false, "suffix" : "" }, { "dropping-particle" : "", "family" : "Winkler", "given" : "Anne Laure", "non-dropping-particle" : "", "parse-names" : false, "suffix" : "" } ], "container-title" : "Human Resource Management Review", "id" : "ITEM-2", "issue" : "2", "issued" : { "date-parts" : [ [ "2012" ] ] }, "page" : "73-85", "publisher" : "Elsevier B.V.", "title" : "Clarifying the construct of human resource systems: Relating human resource management to employee performance", "type" : "article-journal", "volume" : "22" }, "uris" : [ "http://www.mendeley.com/documents/?uuid=7b8166a1-ff00-42d4-8190-5907d0e97619" ] }, { "id" : "ITEM-3", "itemData" : { "DOI" : "10.1177/0018726705055032", "ISBN" : "0018726705055", "ISSN" : "0018-7267", "abstract" : "It is often assumed that research over the last decade has established an effect of human resource management (HRM) practices on organizational performance. Our critical assessment of existing studies finds that, although collectively they have opened up a promising line of inquiry, their methodological limitations make such a conclusion premature. We argue that future progress depends on using stronger research methods and design that, in turn, will require large-scale long-term research at a level of magnitude that probably can only be achieved through partnerships between research, practitioner and government communities. We conclude that progress so far justifies investment in such big science.", "author" : [ { "dropping-particle" : "", "family" : "Wall", "given" : "T. D.", "non-dropping-particle" : "", "parse-names" : false, "suffix" : "" }, { "dropping-particle" : "", "family" : "Wood", "given" : "Stephen J", "non-dropping-particle" : "", "parse-names" : false, "suffix" : "" } ], "container-title" : "Human Relations", "id" : "ITEM-3", "issue" : "4", "issued" : { "date-parts" : [ [ "2005" ] ] }, "number-of-pages" : "429-462", "title" : "The romance of human resource management and business performance, and the case for big science", "type" : "book", "volume" : "58" }, "uris" : [ "http://www.mendeley.com/documents/?uuid=fbb23ef9-cfea-4050-bdee-386b2535b24f" ] } ], "mendeley" : { "formattedCitation" : "(Guest 2011; Jiang, D.P. Lepak, et al. 2012; Wall &amp; Wood 2005)", "manualFormatting" : "(Boselie et al., 2005; Wall &amp; Wood, 2005; Guest, 2011; Jiang et al., 2012b)", "plainTextFormattedCitation" : "(Guest 2011; Jiang, D.P. Lepak, et al. 2012; Wall &amp; Wood 2005)", "previouslyFormattedCitation" : "(Guest 2011; Jiang, D.P. Lepak, et al. 2012; Wall &amp; Wood 2005)"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xml:space="preserve">., 2005; Wall &amp; Wood, 2005; Guest, 2011; Jiang </w:t>
      </w:r>
      <w:r w:rsidRPr="00452E2E">
        <w:rPr>
          <w:i/>
          <w:noProof/>
          <w:szCs w:val="24"/>
        </w:rPr>
        <w:t>et al</w:t>
      </w:r>
      <w:r w:rsidRPr="00452E2E">
        <w:rPr>
          <w:noProof/>
          <w:szCs w:val="24"/>
        </w:rPr>
        <w:t>., 2012</w:t>
      </w:r>
      <w:r w:rsidRPr="00452E2E">
        <w:rPr>
          <w:i/>
          <w:noProof/>
          <w:szCs w:val="24"/>
        </w:rPr>
        <w:t>b</w:t>
      </w:r>
      <w:r w:rsidRPr="00452E2E">
        <w:rPr>
          <w:noProof/>
          <w:szCs w:val="24"/>
        </w:rPr>
        <w:t>)</w:t>
      </w:r>
      <w:r w:rsidRPr="00452E2E">
        <w:rPr>
          <w:szCs w:val="24"/>
        </w:rPr>
        <w:fldChar w:fldCharType="end"/>
      </w:r>
      <w:r w:rsidRPr="00452E2E">
        <w:rPr>
          <w:szCs w:val="24"/>
        </w:rPr>
        <w:t xml:space="preserve">. </w:t>
      </w:r>
      <w:r w:rsidR="006F4361" w:rsidRPr="00452E2E">
        <w:rPr>
          <w:szCs w:val="24"/>
        </w:rPr>
        <w:t>T</w:t>
      </w:r>
      <w:r w:rsidRPr="00452E2E">
        <w:rPr>
          <w:szCs w:val="24"/>
        </w:rPr>
        <w:t xml:space="preserve">he extant literature is replete with studies measuring bundles of practices containing diverse HR practices as well as diverse performance indices </w:t>
      </w:r>
      <w:r w:rsidRPr="00452E2E">
        <w:rPr>
          <w:szCs w:val="24"/>
        </w:rPr>
        <w:fldChar w:fldCharType="begin" w:fldLock="1"/>
      </w:r>
      <w:r w:rsidRPr="00452E2E">
        <w:rPr>
          <w:szCs w:val="24"/>
        </w:rPr>
        <w:instrText>ADDIN CSL_CITATION { "citationItems" : [ { "id" : "ITEM-1", "itemData" : { "abstract" : "This is an overview of what the authors believe to be every empirical research article into the linkages between HRM and performance published in pre-eminent international refereed journals between 1994 and 2003. The analysis covers the design of the study, including the primary level of analysis and the identity of the respondents; the dominant theoretical framework(s) informing the article; how HRM is conceived and operationalised; how performance is conceived and operationalised; and which control and/or contingency variables are incorporated. Finally, the article examines how each study depicts the so-called 'black box' stage between HRM and performance. It reports wide disparities in the treatment of these components, but also some welcome commonalities and indicative trends that point towards a gradual convergence on how future research into this complex relationship might usefully be conducted. The findings are compared with previous reviews of the literature. The analysis should illuminate the ongoing debate about the linkages between HRM and performance, and prove valuable for future research designs.", "author" : [ { "dropping-particle" : "", "family" : "Boselie", "given" : "P", "non-dropping-particle" : "", "parse-names" : false, "suffix" : "" }, { "dropping-particle" : "", "family" : "Dietz", "given" : "G", "non-dropping-particle" : "", "parse-names" : false, "suffix" : "" }, { "dropping-particle" : "", "family" : "Boon", "given" : "C", "non-dropping-particle" : "", "parse-names" : false, "suffix" : "" } ], "container-title" : "Human Resource Management Journal", "id" : "ITEM-1", "issue" : "3", "issued" : { "date-parts" : [ [ "2005" ] ] }, "page" : "67-94", "title" : "Commonalities and contradictions in research on human resource management and performance", "type" : "article-journal", "volume" : "15" }, "uris" : [ "http://www.mendeley.com/documents/?uuid=401996c1-9fdf-4e4c-aa78-a3c8862f043c" ] }, { "id" : "ITEM-2", "itemData" : { "abstract" : "Although there is growing evidence that high performance work prac- tices (HPWPs) affect organizational performance, varying sample char- acteristics, research designs, practices examined, and organizational performance measures used has led extant findings to vary dramatically, making the size of the overall effect difficult to estimate.We use meta- analysis to estimate the effect size and test whether effects are larger for (a) HPWP systems versus individual practices, (b) operational versus financial performance measures, and (c) manufacturing versus service organizations. Statistical aggregation of 92 studies reveals an overall cor- relation that we estimate at .20. Also, the relationship is stronger when researchers examine systems of HPWPs and among manufacturers, but it appears invariant across performance measures.We use our findings as a basis to offer 4 suggestions intended to shape research practices such that future meta-analyses might answer today\u2019s emerging questions.", "author" : [ { "dropping-particle" : "", "family" : "Combs", "given" : "James", "non-dropping-particle" : "", "parse-names" : false, "suffix" : "" }, { "dropping-particle" : "", "family" : "Liu", "given" : "Yongmei", "non-dropping-particle" : "", "parse-names" : false, "suffix" : "" }, { "dropping-particle" : "", "family" : "Hall", "given" : "A", "non-dropping-particle" : "", "parse-names" : false, "suffix" : "" }, { "dropping-particle" : "", "family" : "Ketchen", "given" : "D", "non-dropping-particle" : "", "parse-names" : false, "suffix" : "" } ], "container-title" : "Personnel Psychology", "id" : "ITEM-2", "issued" : { "date-parts" : [ [ "2006" ] ] }, "page" : "501-528", "title" : "How much do high-performance work practices matter? A meta-analysis of their effects on organizational performance", "type" : "article-journal", "volume" : "59" }, "uris" : [ "http://www.mendeley.com/documents/?uuid=5efe9449-b41e-45fe-b2d5-b9010fd5c1e4" ] }, { "id" : "ITEM-3",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"ITEM-3",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"id" : "ITEM-4", "itemData" : { "DOI" : "10.1177/0018726705055032", "ISBN" : "0018726705055", "ISSN" : "0018-7267", "abstract" : "It is often assumed that research over the last decade has established an effect of human resource management (HRM) practices on organizational performance. Our critical assessment of existing studies finds that, although collectively they have opened up a promising line of inquiry, their methodological limitations make such a conclusion premature. We argue that future progress depends on using stronger research methods and design that, in turn, will require large-scale long-term research at a level of magnitude that probably can only be achieved through partnerships between research, practitioner and government communities. We conclude that progress so far justifies investment in such big science.", "author" : [ { "dropping-particle" : "", "family" : "Wall", "given" : "T. D.", "non-dropping-particle" : "", "parse-names" : false, "suffix" : "" }, { "dropping-particle" : "", "family" : "Wood", "given" : "Stephen J", "non-dropping-particle" : "", "parse-names" : false, "suffix" : "" } ], "container-title" : "Human Relations", "id" : "ITEM-4", "issue" : "4", "issued" : { "date-parts" : [ [ "2005" ] ] }, "number-of-pages" : "429-462", "title" : "The romance of human resource management and business performance, and the case for big science", "type" : "book", "volume" : "58" }, "uris" : [ "http://www.mendeley.com/documents/?uuid=fbb23ef9-cfea-4050-bdee-386b2535b24f" ] } ], "mendeley" : { "formattedCitation" : "(Boselie et al. 2005; Combs et al. 2006; Jiang, David P Lepak, et al. 2012; Wall &amp; Wood 2005)", "manualFormatting" : "(Boselie et al., Wall &amp; Wood, 2005; 2005; Combs et al., 2006)", "plainTextFormattedCitation" : "(Boselie et al. 2005; Combs et al. 2006; Jiang, David P Lepak, et al. 2012; Wall &amp; Wood 2005)", "previouslyFormattedCitation" : "(Boselie et al. 2005; Combs et al. 2006; Jiang, David P Lepak, et al. 2012; Wall &amp; Wood 2005)"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xml:space="preserve">., Wall &amp; Wood, 2005; 2005; Combs </w:t>
      </w:r>
      <w:r w:rsidRPr="00452E2E">
        <w:rPr>
          <w:i/>
          <w:noProof/>
          <w:szCs w:val="24"/>
        </w:rPr>
        <w:t>et al</w:t>
      </w:r>
      <w:r w:rsidRPr="00452E2E">
        <w:rPr>
          <w:noProof/>
          <w:szCs w:val="24"/>
        </w:rPr>
        <w:t>., 2006)</w:t>
      </w:r>
      <w:r w:rsidRPr="00452E2E">
        <w:rPr>
          <w:szCs w:val="24"/>
        </w:rPr>
        <w:fldChar w:fldCharType="end"/>
      </w:r>
      <w:r w:rsidRPr="00452E2E">
        <w:rPr>
          <w:szCs w:val="24"/>
        </w:rPr>
        <w:t xml:space="preserve">. Whilst control-focused and commitment-focused bundles of practices can be associated with LMEs and CMEs respectively (Wood </w:t>
      </w:r>
      <w:r w:rsidRPr="00452E2E">
        <w:rPr>
          <w:i/>
          <w:szCs w:val="24"/>
        </w:rPr>
        <w:t>et al</w:t>
      </w:r>
      <w:r w:rsidRPr="00452E2E">
        <w:rPr>
          <w:szCs w:val="24"/>
        </w:rPr>
        <w:t xml:space="preserve">., 2012), for most emerging market contexts, it is highly unlikely to identify a coherent bundle of HR practices that optimize work outcomes due to the weak and loosely coupled nature of institutions which makes it difficult for HR practices to produce synergistic benefits (cf. Darwish </w:t>
      </w:r>
      <w:r w:rsidRPr="00452E2E">
        <w:rPr>
          <w:i/>
          <w:szCs w:val="24"/>
        </w:rPr>
        <w:t>et al</w:t>
      </w:r>
      <w:r w:rsidRPr="00452E2E">
        <w:rPr>
          <w:szCs w:val="24"/>
        </w:rPr>
        <w:t xml:space="preserve">., 2016). </w:t>
      </w:r>
    </w:p>
    <w:p w:rsidR="00D03A8E" w:rsidRPr="00452E2E" w:rsidRDefault="00D03A8E" w:rsidP="00D03A8E">
      <w:pPr>
        <w:spacing w:line="360" w:lineRule="auto"/>
        <w:jc w:val="both"/>
        <w:rPr>
          <w:szCs w:val="24"/>
        </w:rPr>
      </w:pPr>
      <w:r w:rsidRPr="00452E2E">
        <w:rPr>
          <w:szCs w:val="24"/>
        </w:rPr>
        <w:t xml:space="preserve">Another concern is whether HR practices will result </w:t>
      </w:r>
      <w:r w:rsidR="0030565B" w:rsidRPr="00452E2E">
        <w:rPr>
          <w:szCs w:val="24"/>
        </w:rPr>
        <w:t>in improved</w:t>
      </w:r>
      <w:r w:rsidRPr="00452E2E">
        <w:rPr>
          <w:szCs w:val="24"/>
        </w:rPr>
        <w:t xml:space="preserve"> organizational performance in all circumstances </w:t>
      </w:r>
      <w:r w:rsidRPr="00452E2E">
        <w:rPr>
          <w:szCs w:val="24"/>
        </w:rPr>
        <w:fldChar w:fldCharType="begin" w:fldLock="1"/>
      </w:r>
      <w:r w:rsidRPr="00452E2E">
        <w:rPr>
          <w:szCs w:val="24"/>
        </w:rPr>
        <w:instrText>ADDIN CSL_CITATION { "citationItems" : [ { "id" : "ITEM-1",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"ITEM-1", "issued" : { "date-parts" : [ [ "2007" ] ] }, "page" : "166-184", "publisher" : "Oxford University Press", "publisher-place" : "New York", "title" : "HRM and societal embeddedness", "type" : "chapter" }, "uris" : [ "http://www.mendeley.com/documents/?uuid=bc50bffa-b076-4ece-b963-52ac09293458" ] } ], "mendeley" : { "formattedCitation" : "(Paauwe &amp; Boselie 2007)", "manualFormatting" : "(Boselie et al., 2003; Paauwe &amp; Boselie, 2007)", "plainTextFormattedCitation" : "(Paauwe &amp; Boselie 2007)", "previouslyFormattedCitation" : "(Paauwe &amp; Boselie 2007)"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2003; Paauwe &amp; Boselie, 2007)</w:t>
      </w:r>
      <w:r w:rsidRPr="00452E2E">
        <w:rPr>
          <w:szCs w:val="24"/>
        </w:rPr>
        <w:fldChar w:fldCharType="end"/>
      </w:r>
      <w:r w:rsidRPr="00452E2E">
        <w:rPr>
          <w:szCs w:val="24"/>
        </w:rPr>
        <w:t xml:space="preserve">. Here, opinions are polarised between advocates of ‘best practice’ </w:t>
      </w:r>
      <w:r w:rsidRPr="00452E2E">
        <w:rPr>
          <w:szCs w:val="24"/>
        </w:rPr>
        <w:fldChar w:fldCharType="begin" w:fldLock="1"/>
      </w:r>
      <w:r w:rsidRPr="00452E2E">
        <w:rPr>
          <w:szCs w:val="24"/>
        </w:rPr>
        <w:instrText>ADDIN CSL_CITATION { "citationItems" : [ { "id" : "ITEM-1", "itemData" : { "author" : [ { "dropping-particle" : "", "family" : "Arthur", "given" : "Jeffrey B", "non-dropping-particle" : "", "parse-names" : false, "suffix" : "" } ], "container-title" : "The Academy of Management Journal", "id" : "ITEM-1", "issue" : "3", "issued" : { "date-parts" : [ [ "1994" ] ] }, "page" : "670-687", "title" : "Effects of human reource systems on manufacturing performance and turnover", "type" : "article-journal", "volume" : "37" }, "uris" : [ "http://www.mendeley.com/documents/?uuid=c81c413c-6ba0-4a28-a60c-fc0f87f5ab48" ] } ], "mendeley" : { "formattedCitation" : "(Arthur 1994)", "manualFormatting" : "(Arthur, 1994)", "plainTextFormattedCitation" : "(Arthur 1994)", "previouslyFormattedCitation" : "(Arthur 1994)" }, "properties" : { "noteIndex" : 0 }, "schema" : "https://github.com/citation-style-language/schema/raw/master/csl-citation.json" }</w:instrText>
      </w:r>
      <w:r w:rsidRPr="00452E2E">
        <w:rPr>
          <w:szCs w:val="24"/>
        </w:rPr>
        <w:fldChar w:fldCharType="separate"/>
      </w:r>
      <w:r w:rsidRPr="00452E2E">
        <w:rPr>
          <w:noProof/>
          <w:szCs w:val="24"/>
        </w:rPr>
        <w:t>(Arthur, 1994)</w:t>
      </w:r>
      <w:r w:rsidRPr="00452E2E">
        <w:rPr>
          <w:szCs w:val="24"/>
        </w:rPr>
        <w:fldChar w:fldCharType="end"/>
      </w:r>
      <w:r w:rsidRPr="00452E2E">
        <w:rPr>
          <w:szCs w:val="24"/>
        </w:rPr>
        <w:t xml:space="preserve"> and ‘best fit’ models </w:t>
      </w:r>
      <w:r w:rsidRPr="00452E2E">
        <w:rPr>
          <w:szCs w:val="24"/>
        </w:rPr>
        <w:fldChar w:fldCharType="begin" w:fldLock="1"/>
      </w:r>
      <w:r w:rsidRPr="00452E2E">
        <w:rPr>
          <w:szCs w:val="24"/>
        </w:rPr>
        <w:instrText>ADDIN CSL_CITATION { "citationItems" : [ { "id" : "ITEM-1", "itemData" : { "author" : [ { "dropping-particle" : "", "family" : "Huselid", "given" : "Mark. A.", "non-dropping-particle" : "", "parse-names" : false, "suffix" : "" } ], "container-title" : "The Academy of Management Journal", "id" : "ITEM-1", "issue" : "3", "issued" : { "date-parts" : [ [ "1995" ] ] }, "page" : "635-672", "title" : "The impact of human resource management practices on turnover, productivity, and corporate financial performance", "type" : "article-journal", "volume" : "38" }, "uris" : [ "http://www.mendeley.com/documents/?uuid=8deb46c5-8f8a-41df-80a6-c9419f429f50" ] } ], "mendeley" : { "formattedCitation" : "(Huselid 1995)", "manualFormatting" : "(Huselid, 1995)", "plainTextFormattedCitation" : "(Huselid 1995)", "previouslyFormattedCitation" : "(Huselid 1995)" }, "properties" : { "noteIndex" : 0 }, "schema" : "https://github.com/citation-style-language/schema/raw/master/csl-citation.json" }</w:instrText>
      </w:r>
      <w:r w:rsidRPr="00452E2E">
        <w:rPr>
          <w:szCs w:val="24"/>
        </w:rPr>
        <w:fldChar w:fldCharType="separate"/>
      </w:r>
      <w:r w:rsidRPr="00452E2E">
        <w:rPr>
          <w:noProof/>
          <w:szCs w:val="24"/>
        </w:rPr>
        <w:t>(Huselid, 1995)</w:t>
      </w:r>
      <w:r w:rsidRPr="00452E2E">
        <w:rPr>
          <w:szCs w:val="24"/>
        </w:rPr>
        <w:fldChar w:fldCharType="end"/>
      </w:r>
      <w:r w:rsidRPr="00452E2E">
        <w:rPr>
          <w:szCs w:val="24"/>
        </w:rPr>
        <w:t xml:space="preserve">. Best practice models suggest that the adoption of a particular set of best practices will result </w:t>
      </w:r>
      <w:r w:rsidR="00734EEE" w:rsidRPr="00452E2E">
        <w:rPr>
          <w:szCs w:val="24"/>
        </w:rPr>
        <w:t>in</w:t>
      </w:r>
      <w:r w:rsidRPr="00452E2E">
        <w:rPr>
          <w:szCs w:val="24"/>
        </w:rPr>
        <w:t xml:space="preserve"> improved performance and competitive a</w:t>
      </w:r>
      <w:r w:rsidR="0059155E" w:rsidRPr="00452E2E">
        <w:rPr>
          <w:szCs w:val="24"/>
        </w:rPr>
        <w:t>dvantage for organizations whilst</w:t>
      </w:r>
      <w:r w:rsidRPr="00452E2E">
        <w:rPr>
          <w:szCs w:val="24"/>
        </w:rPr>
        <w:t xml:space="preserve"> best fit models suggest that the performance effects of HR practices will depend on the circumstance of the organization, notably the organizational strategy it pursues </w:t>
      </w:r>
      <w:r w:rsidRPr="00452E2E">
        <w:rPr>
          <w:szCs w:val="24"/>
        </w:rPr>
        <w:fldChar w:fldCharType="begin" w:fldLock="1"/>
      </w:r>
      <w:r w:rsidRPr="00452E2E">
        <w:rPr>
          <w:szCs w:val="24"/>
        </w:rPr>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"mendeley" : { "formattedCitation" : "(Guest 2011)", "manualFormatting" : "(Guest, 2011; Redman &amp; Wilkinson, 2013)", "plainTextFormattedCitation" : "(Guest 2011)", "previouslyFormattedCitation" : "(Guest 2011)" }, "properties" : { "noteIndex" : 0 }, "schema" : "https://github.com/citation-style-language/schema/raw/master/csl-citation.json" }</w:instrText>
      </w:r>
      <w:r w:rsidRPr="00452E2E">
        <w:rPr>
          <w:szCs w:val="24"/>
        </w:rPr>
        <w:fldChar w:fldCharType="separate"/>
      </w:r>
      <w:r w:rsidRPr="00452E2E">
        <w:rPr>
          <w:noProof/>
          <w:szCs w:val="24"/>
        </w:rPr>
        <w:t>(Guest, 2011; Redman &amp; Wilkinson, 2013)</w:t>
      </w:r>
      <w:r w:rsidRPr="00452E2E">
        <w:rPr>
          <w:szCs w:val="24"/>
        </w:rPr>
        <w:fldChar w:fldCharType="end"/>
      </w:r>
      <w:r w:rsidRPr="00452E2E">
        <w:rPr>
          <w:szCs w:val="24"/>
        </w:rPr>
        <w:t xml:space="preserve">. Again, empirical evidence lend support to both models, thus creating a dilemma for practitioners and researchers </w:t>
      </w:r>
      <w:r w:rsidRPr="00452E2E">
        <w:rPr>
          <w:szCs w:val="24"/>
        </w:rPr>
        <w:fldChar w:fldCharType="begin" w:fldLock="1"/>
      </w:r>
      <w:r w:rsidRPr="00452E2E">
        <w:rPr>
          <w:szCs w:val="24"/>
        </w:rPr>
        <w:instrText>ADDIN CSL_CITATION { "citationItems" : [ { "id" : "ITEM-1", "itemData" : { "author" : [ { "dropping-particle" : "", "family" : "Marchington", "given" : "Mick", "non-dropping-particle" : "", "parse-names" : false, "suffix" : "" }, { "dropping-particle" : "", "family" : "Wilkinson", "given" : "Adrian", "non-dropping-particle" : "", "parse-names" : false, "suffix" : "" } ], "edition" : "5th ed", "id" : "ITEM-1", "issued" : { "date-parts" : [ [ "2012" ] ] }, "publisher" : "CIPD", "publisher-place" : "London", "title" : "Human resource management at work", "type" : "book" }, "uris" : [ "http://www.mendeley.com/documents/?uuid=00375df4-0f41-4f42-8864-7812c725028e" ] }, { "id" : "ITEM-2", "itemData" : { "author" : [ { "dropping-particle" : "", "family" : "Redman", "given" : "Tom", "non-dropping-particle" : "", "parse-names" : false, "suffix" : "" }, { "dropping-particle" : "", "family" : "Wilkinson", "given" : "Adrian", "non-dropping-particle" : "", "parse-names" : false, "suffix" : "" } ],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"ITEM-2", "issued" : { "date-parts" : [ [ "2013" ] ] }, "page" : "4-40", "publisher" : "Pearson", "publisher-place" : "Harlow", "title" : "Human resource management: A contemporary perspective", "type" : "chapter" }, "uris" : [ "http://www.mendeley.com/documents/?uuid=ebd96ca0-e697-4756-bb71-d99cffc2358d" ] } ], "mendeley" : { "formattedCitation" : "(Marchington &amp; Wilkinson 2012; Redman &amp; Wilkinson 2013)", "manualFormatting" : "(Marchington &amp; Wilkinson, 2012; Redman &amp; Wilkinson, 2013)", "plainTextFormattedCitation" : "(Marchington &amp; Wilkinson 2012; Redman &amp; Wilkinson 2013)", "previouslyFormattedCitation" : "(Marchington &amp; Wilkinson 2012; Redman &amp; Wilkinson 2013)" }, "properties" : { "noteIndex" : 0 }, "schema" : "https://github.com/citation-style-language/schema/raw/master/csl-citation.json" }</w:instrText>
      </w:r>
      <w:r w:rsidRPr="00452E2E">
        <w:rPr>
          <w:szCs w:val="24"/>
        </w:rPr>
        <w:fldChar w:fldCharType="separate"/>
      </w:r>
      <w:r w:rsidRPr="00452E2E">
        <w:rPr>
          <w:noProof/>
          <w:szCs w:val="24"/>
        </w:rPr>
        <w:t>(Marchington &amp; Wilkinson, 2012; Redman &amp; Wilkinson, 2013)</w:t>
      </w:r>
      <w:r w:rsidRPr="00452E2E">
        <w:rPr>
          <w:szCs w:val="24"/>
        </w:rPr>
        <w:fldChar w:fldCharType="end"/>
      </w:r>
      <w:r w:rsidRPr="00452E2E">
        <w:rPr>
          <w:szCs w:val="24"/>
        </w:rPr>
        <w:t xml:space="preserve">.  However, both models focus on the organization without recourse to the wider institutional environment in </w:t>
      </w:r>
      <w:r w:rsidRPr="00452E2E">
        <w:rPr>
          <w:szCs w:val="24"/>
        </w:rPr>
        <w:lastRenderedPageBreak/>
        <w:t xml:space="preserve">which organizations operate, thereby implying that organizations in all national contexts have freedom </w:t>
      </w:r>
      <w:r w:rsidR="007B6EFA" w:rsidRPr="00452E2E">
        <w:rPr>
          <w:szCs w:val="24"/>
        </w:rPr>
        <w:t>in</w:t>
      </w:r>
      <w:r w:rsidRPr="00452E2E">
        <w:rPr>
          <w:szCs w:val="24"/>
        </w:rPr>
        <w:t xml:space="preserve"> their choice of HR practices </w:t>
      </w:r>
      <w:r w:rsidRPr="00452E2E">
        <w:rPr>
          <w:szCs w:val="24"/>
        </w:rPr>
        <w:fldChar w:fldCharType="begin" w:fldLock="1"/>
      </w:r>
      <w:r w:rsidRPr="00452E2E">
        <w:rPr>
          <w:szCs w:val="24"/>
        </w:rPr>
        <w:instrText>ADDIN CSL_CITATION { "citationItems" : [ { "id" : "ITEM-1", "itemData" : { "abstract" : "TheUS originated notion ofHRMhas been widely accepted across the world \u2013 and also widely criticized. The underlying features of the European economy are different from those of the USA and it is argued that these have led to a different approach to HRM being developed in Europe. Differences in features such as more limited individualism, a greater role for the State, different patterns of consultation and patterns of ownership, are linked to these different practices and have led to more varied patterns of research and a more critical literature. Keywords", "author" : [ { "dropping-particle" : "", "family" : "Brewster", "given" : "Chris", "non-dropping-particle" : "", "parse-names" : false, "suffix" : "" } ], "container-title" : "The International Journal of Human Resource Management", "id" : "ITEM-1", "issue" : "5", "issued" : { "date-parts" : [ [ "2007" ] ] }, "page" : "769-787", "title" : "Comparative HRM: European views and perspectives", "type" : "article-journal", "volume" : "18" }, "uris" : [ "http://www.mendeley.com/documents/?uuid=2eadcb0b-8992-405b-87d6-41610c41b626" ] }, { "id" : "ITEM-2", "itemData" : { "author" : [ { "dropping-particle" : "", "family" : "Paauwe", "given" : "Jaap", "non-dropping-particle" : "", "parse-names" : false, "suffix" : "" }, { "dropping-particle" : "", "family" : "Boselie", "given" : "Paul", "non-dropping-particle" : "", "parse-names" : false, "suffix" : "" } ], "container-title" : "Human Resource Management Journal", "id" : "ITEM-2", "issue" : "3", "issued" : { "date-parts" : [ [ "2003" ] ] }, "page" : "56-70", "title" : "Challenging the 'strategic HRM' and the relevance of the institutional setting", "type" : "article-journal", "volume" : "13" }, "uris" : [ "http://www.mendeley.com/documents/?uuid=2dc96162-ed59-4e9b-8836-d32783466b93" ] }, { "id" : "ITEM-3", "itemData" : { "author" : [ { "dropping-particle" : "", "family" : "Paauwe", "given" : "Jaap", "non-dropping-particle" : "", "parse-names" : false, "suffix" : "" } ], "id" : "ITEM-3", "issued" : { "date-parts" : [ [ "2004" ] ] }, "publisher" : "Oxford University Press", "publisher-place" : "New York", "title" : "HRM and performance: Achieving long term viability", "type" : "book" }, "uris" : [ "http://www.mendeley.com/documents/?uuid=74f2a13a-a977-4828-a824-dad490a6a04e" ] } ], "mendeley" : { "formattedCitation" : "(Brewster 2007; Paauwe &amp; Boselie 2003; Paauwe 2004)", "manualFormatting" : "(Paauwe &amp; Boselie, 2003; Paauwe, 2004; Brewster 2007)", "plainTextFormattedCitation" : "(Brewster 2007; Paauwe &amp; Boselie 2003; Paauwe 2004)", "previouslyFormattedCitation" : "(Brewster 2007; Paauwe &amp; Boselie 2003; Paauwe 2004)" }, "properties" : { "noteIndex" : 0 }, "schema" : "https://github.com/citation-style-language/schema/raw/master/csl-citation.json" }</w:instrText>
      </w:r>
      <w:r w:rsidRPr="00452E2E">
        <w:rPr>
          <w:szCs w:val="24"/>
        </w:rPr>
        <w:fldChar w:fldCharType="separate"/>
      </w:r>
      <w:r w:rsidRPr="00452E2E">
        <w:rPr>
          <w:noProof/>
          <w:szCs w:val="24"/>
        </w:rPr>
        <w:t>(Paauwe &amp; Boselie, 2003; Paauwe, 2004; Brewster 2007)</w:t>
      </w:r>
      <w:r w:rsidRPr="00452E2E">
        <w:rPr>
          <w:szCs w:val="24"/>
        </w:rPr>
        <w:fldChar w:fldCharType="end"/>
      </w:r>
      <w:r w:rsidRPr="00452E2E">
        <w:rPr>
          <w:szCs w:val="24"/>
        </w:rPr>
        <w:t xml:space="preserve">. Perhaps, this explains why the effects of HRM on performance is weak in contexts where there is low managerial autonomy on the choice of HR practices </w:t>
      </w:r>
      <w:r w:rsidRPr="00452E2E">
        <w:rPr>
          <w:szCs w:val="24"/>
        </w:rPr>
        <w:fldChar w:fldCharType="begin" w:fldLock="1"/>
      </w:r>
      <w:r w:rsidRPr="00452E2E">
        <w:rPr>
          <w:szCs w:val="24"/>
        </w:rPr>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"ITEM-1",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"id" : "ITEM-2",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"ITEM-2",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"ITEM-3",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"ITEM-3",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"(Darwish et al. 2016; Boselie et al. 2003; Kim &amp; Wright 2011)", "manualFormatting" : "(Boselie et al., 2003; Kim &amp; Wright, 2011)", "plainTextFormattedCitation" : "(Darwish et al. 2016; Boselie et al. 2003; Kim &amp; Wright 2011)", "previouslyFormattedCitation" : "(Darwish et al. 2016; Boselie et al. 2003; Kim &amp; Wright 2011)"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2003; Kim &amp; Wright, 2011)</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Equally central to the debate on HRM and performance is understanding the mechanism through which HRM results </w:t>
      </w:r>
      <w:r w:rsidR="00232869" w:rsidRPr="00452E2E">
        <w:rPr>
          <w:szCs w:val="24"/>
        </w:rPr>
        <w:t>in</w:t>
      </w:r>
      <w:r w:rsidRPr="00452E2E">
        <w:rPr>
          <w:szCs w:val="24"/>
        </w:rPr>
        <w:t xml:space="preserve"> organizational performance </w:t>
      </w:r>
      <w:r w:rsidRPr="00452E2E">
        <w:rPr>
          <w:szCs w:val="24"/>
        </w:rPr>
        <w:fldChar w:fldCharType="begin" w:fldLock="1"/>
      </w:r>
      <w:r w:rsidRPr="00452E2E">
        <w:rPr>
          <w:szCs w:val="24"/>
        </w:rPr>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"id" : "ITEM-2", "itemData" : { "DOI" : "10.1177/0018726705055032", "ISBN" : "0018726705055", "ISSN" : "0018-7267", "abstract" : "It is often assumed that research over the last decade has established an effect of human resource management (HRM) practices on organizational performance. Our critical assessment of existing studies finds that, although collectively they have opened up a promising line of inquiry, their methodological limitations make such a conclusion premature. We argue that future progress depends on using stronger research methods and design that, in turn, will require large-scale long-term research at a level of magnitude that probably can only be achieved through partnerships between research, practitioner and government communities. We conclude that progress so far justifies investment in such big science.", "author" : [ { "dropping-particle" : "", "family" : "Wall", "given" : "T. D.", "non-dropping-particle" : "", "parse-names" : false, "suffix" : "" }, { "dropping-particle" : "", "family" : "Wood", "given" : "Stephen J", "non-dropping-particle" : "", "parse-names" : false, "suffix" : "" } ], "container-title" : "Human Relations", "id" : "ITEM-2", "issue" : "4", "issued" : { "date-parts" : [ [ "2005" ] ] }, "number-of-pages" : "429-462", "title" : "The romance of human resource management and business performance, and the case for big science", "type" : "book", "volume" : "58" }, "uris" : [ "http://www.mendeley.com/documents/?uuid=fbb23ef9-cfea-4050-bdee-386b2535b24f" ] } ], "mendeley" : { "formattedCitation" : "(Guest 2011; Wall &amp; Wood 2005)", "manualFormatting" : "(Guest, 2011)", "plainTextFormattedCitation" : "(Guest 2011; Wall &amp; Wood 2005)", "previouslyFormattedCitation" : "(Guest 2011; Wall &amp; Wood 2005)" }, "properties" : { "noteIndex" : 0 }, "schema" : "https://github.com/citation-style-language/schema/raw/master/csl-citation.json" }</w:instrText>
      </w:r>
      <w:r w:rsidRPr="00452E2E">
        <w:rPr>
          <w:szCs w:val="24"/>
        </w:rPr>
        <w:fldChar w:fldCharType="separate"/>
      </w:r>
      <w:r w:rsidRPr="00452E2E">
        <w:rPr>
          <w:noProof/>
          <w:szCs w:val="24"/>
        </w:rPr>
        <w:t>(Guest, 2011)</w:t>
      </w:r>
      <w:r w:rsidRPr="00452E2E">
        <w:rPr>
          <w:szCs w:val="24"/>
        </w:rPr>
        <w:fldChar w:fldCharType="end"/>
      </w:r>
      <w:r w:rsidRPr="00452E2E">
        <w:rPr>
          <w:szCs w:val="24"/>
        </w:rPr>
        <w:t xml:space="preserve">. Researchers have conceded that the gap between HRM and organizational performance is wide, resulting </w:t>
      </w:r>
      <w:r w:rsidR="005938FB" w:rsidRPr="00452E2E">
        <w:rPr>
          <w:szCs w:val="24"/>
        </w:rPr>
        <w:t>in</w:t>
      </w:r>
      <w:r w:rsidRPr="00452E2E">
        <w:rPr>
          <w:szCs w:val="24"/>
        </w:rPr>
        <w:t xml:space="preserve"> a focus of attention on examining the ‘black box’ between HRM and performance </w:t>
      </w:r>
      <w:r w:rsidRPr="00452E2E">
        <w:rPr>
          <w:szCs w:val="24"/>
        </w:rPr>
        <w:fldChar w:fldCharType="begin" w:fldLock="1"/>
      </w:r>
      <w:r w:rsidRPr="00452E2E">
        <w:rPr>
          <w:szCs w:val="24"/>
        </w:rPr>
        <w:instrText>ADDIN CSL_CITATION { "citationItems" : [ { "id" : "ITEM-1", "itemData" : { "author" : [ { "dropping-particle" : "", "family" : "Bowen", "given" : "David E", "non-dropping-particle" : "", "parse-names" : false, "suffix" : "" }, { "dropping-particle" : "", "family" : "Ostroff", "given" : "Cheri", "non-dropping-particle" : "", "parse-names" : false, "suffix" : "" } ], "container-title" : "The Academy of Management Review", "id" : "ITEM-1", "issue" : "2", "issued" : { "date-parts" : [ [ "2004" ] ] }, "page" : "203-221", "title" : "Understanding HRM-firm performance linkages: The role of the \"strength\" of the HRM system", "type" : "article-journal", "volume" : "29" }, "uris" : [ "http://www.mendeley.com/documents/?uuid=cb9ef55e-10bb-4470-993e-c246e8d257ed" ] }, { "id" : "ITEM-2", "itemData" : { "DOI" : "10.1080/09585192.2011.565657", "ISBN" : "09585192", "ISSN" : "0958-5192", "PMID" : "60610745", "abstract" : "This paper explores the general hypothesis that effectiveness of human resource (HR) practices will help to explain the well-documented association between human resource management and performance. This paper adopts a stakeholder perspective, hypothesising that the ratings of HR effectiveness of senior line managers will be more strongly associated with the outcomes than those of HR managers. Furthermore, building on Bowen and Ostroff's concept of consensus as part of a 'strong' HR system, it is hypothesised that shared perceptions of (high) effectiveness will be associated with higher performance. This study is based on a sample of 237 matched pairs of senior line managers and HR managers, and measures a range of subjective and objective outcomes. The analysis confirms the association both between more HR practices and higher HR effectiveness and a range of performance outcomes. The associations are mostly stronger for HR effectiveness. There are low levels of agreement between HR and line managers about HR effectiveness and where agreement exists, it is not associated with superior outcomes. This study, therefore, confirms the importance of HR effectiveness, but fails to support any impact of consensus.", "author" : [ { "dropping-particle" : "", "family" : "Guest", "given" : "D.", "non-dropping-particle" : "", "parse-names" : false, "suffix" : "" }, { "dropping-particle" : "", "family" : "Conway", "given" : "N.", "non-dropping-particle" : "", "parse-names" : false, "suffix" : "" } ], "container-title" : "The International Journal of Human Resource Management", "id" : "ITEM-2", "issue" : "March 2012", "issued" : { "date-parts" : [ [ "2011" ] ] }, "page" : "37-41", "title" : "The impact of HR practices, HR effectiveness and a 'strong HR system' on organisational outcomes: A stakeholder perspective", "type" : "article-journal", "volume" : "22" }, "uris" : [ "http://www.mendeley.com/documents/?uuid=42603526-dfe8-47c6-9b81-b97ad3930121" ] }, { "id" : "ITEM-3",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"ITEM-3",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"mendeley" : { "formattedCitation" : "(Bowen &amp; Ostroff 2004; Guest &amp; Conway 2011; Jiang, David P Lepak, et al. 2012)", "manualFormatting" : "(Bowen &amp; Ostroff, 2004; Guest &amp; Conway, 2011; Jiang et al., 2012a)", "plainTextFormattedCitation" : "(Bowen &amp; Ostroff 2004; Guest &amp; Conway 2011; Jiang, David P Lepak, et al. 2012)", "previouslyFormattedCitation" : "(Bowen &amp; Ostroff 2004; Guest &amp; Conway 2011; Jiang, David P Lepak, et al. 2012)" }, "properties" : { "noteIndex" : 0 }, "schema" : "https://github.com/citation-style-language/schema/raw/master/csl-citation.json" }</w:instrText>
      </w:r>
      <w:r w:rsidRPr="00452E2E">
        <w:rPr>
          <w:szCs w:val="24"/>
        </w:rPr>
        <w:fldChar w:fldCharType="separate"/>
      </w:r>
      <w:r w:rsidRPr="00452E2E">
        <w:rPr>
          <w:noProof/>
          <w:szCs w:val="24"/>
        </w:rPr>
        <w:t xml:space="preserve">(Bowen &amp; Ostroff, 2004; Guest &amp; Conway, 2011; Jiang </w:t>
      </w:r>
      <w:r w:rsidRPr="00452E2E">
        <w:rPr>
          <w:i/>
          <w:noProof/>
          <w:szCs w:val="24"/>
        </w:rPr>
        <w:t>et al</w:t>
      </w:r>
      <w:r w:rsidRPr="00452E2E">
        <w:rPr>
          <w:noProof/>
          <w:szCs w:val="24"/>
        </w:rPr>
        <w:t>., 2012a)</w:t>
      </w:r>
      <w:r w:rsidRPr="00452E2E">
        <w:rPr>
          <w:szCs w:val="24"/>
        </w:rPr>
        <w:fldChar w:fldCharType="end"/>
      </w:r>
      <w:r w:rsidRPr="00452E2E">
        <w:rPr>
          <w:szCs w:val="24"/>
        </w:rPr>
        <w:t xml:space="preserve">  As a result, it is argued that the relationship between HRM and organizational performance could be mediated by employee attitudes and behaviours which are considered as proximal outcomes of HRM </w:t>
      </w:r>
      <w:r w:rsidRPr="00452E2E">
        <w:rPr>
          <w:szCs w:val="24"/>
        </w:rPr>
        <w:fldChar w:fldCharType="begin" w:fldLock="1"/>
      </w:r>
      <w:r w:rsidRPr="00452E2E">
        <w:rPr>
          <w:szCs w:val="24"/>
        </w:rPr>
        <w:instrText>ADDIN CSL_CITATION { "citationItems" : [ { "id" : "ITEM-1", "itemData" : { "DOI" : "10.1287/orsc.l090.0446", "ISBN" : "1101210210490", "author" : [ { "dropping-particle" : "", "family" : "Gittel", "given" : "J.F.", "non-dropping-particle" : "", "parse-names" : false, "suffix" : "" }, { "dropping-particle" : "", "family" : "Seidner", "given" : "R", "non-dropping-particle" : "", "parse-names" : false, "suffix" : "" }, { "dropping-particle" : "", "family" : "Wimbush", "given" : "J", "non-dropping-particle" : "", "parse-names" : false, "suffix" : "" } ], "container-title" : "Organization Science", "id" : "ITEM-1", "issue" : "2", "issued" : { "date-parts" : [ [ "2010" ] ] }, "page" : "490-506", "title" : "A relational model of how high-performance work systems work", "type" : "article-journal", "volume" : "21" }, "uris" : [ "http://www.mendeley.com/documents/?uuid=7d58d540-b1d8-436b-bbe2-eb39dd6d7ac8" ] }, { "id" : "ITEM-2", "itemData" : { "DOI" : "10.1080/09585192.2011.565657", "ISBN" : "09585192", "ISSN" : "0958-5192", "PMID" : "60610745", "abstract" : "This paper explores the general hypothesis that effectiveness of human resource (HR) practices will help to explain the well-documented association between human resource management and performance. This paper adopts a stakeholder perspective, hypothesising that the ratings of HR effectiveness of senior line managers will be more strongly associated with the outcomes than those of HR managers. Furthermore, building on Bowen and Ostroff's concept of consensus as part of a 'strong' HR system, it is hypothesised that shared perceptions of (high) effectiveness will be associated with higher performance. This study is based on a sample of 237 matched pairs of senior line managers and HR managers, and measures a range of subjective and objective outcomes. The analysis confirms the association both between more HR practices and higher HR effectiveness and a range of performance outcomes. The associations are mostly stronger for HR effectiveness. There are low levels of agreement between HR and line managers about HR effectiveness and where agreement exists, it is not associated with superior outcomes. This study, therefore, confirms the importance of HR effectiveness, but fails to support any impact of consensus.", "author" : [ { "dropping-particle" : "", "family" : "Guest", "given" : "D.", "non-dropping-particle" : "", "parse-names" : false, "suffix" : "" }, { "dropping-particle" : "", "family" : "Conway", "given" : "N.", "non-dropping-particle" : "", "parse-names" : false, "suffix" : "" } ], "container-title" : "The International Journal of Human Resource Management", "id" : "ITEM-2", "issue" : "March 2012", "issued" : { "date-parts" : [ [ "2011" ] ] }, "page" : "37-41", "title" : "The impact of HR practices, HR effectiveness and a 'strong HR system' on organisational outcomes: A stakeholder perspective", "type" : "article-journal", "volume" : "22" }, "uris" : [ "http://www.mendeley.com/documents/?uuid=42603526-dfe8-47c6-9b81-b97ad3930121" ] }, { "id" : "ITEM-3",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"Messersmith", "given" : "Jake G", "non-dropping-particle" : "", "parse-names" : false, "suffix" : "" }, { "dropping-particle" : "", "family" : "Guthrie", "given" : "James P", "non-dropping-particle" : "", "parse-names" : false, "suffix" : "" } ], "container-title" : "Human Resource Management", "id" : "ITEM-3", "issue" : "2", "issued" : { "date-parts" : [ [ "2010" ] ] }, "page" : "241-264", "title" : "High performance work systems in emergent organizations: Implications for firm performance", "type" : "article-journal", "volume" : "49" }, "uris" : [ "http://www.mendeley.com/documents/?uuid=9179b856-3e7f-495a-bdc7-8e3f983f84de" ] }, { "id" : "ITEM-4", "itemData" : { "DOI" : "10.5465/AMJ.2007.25525821", "ISBN" : "10.5465/AMJ.2007.25525821", "ISSN" : "0001-4273", "abstract" : "Taking a relational perspective on the employment relationship, we examined processes (mediation and moderation) linking high-performance human resource practices and productivity and turnover, two indicators of organizational performance. Multilevel analysis of data from hotels in the People's Republic of China revealed that service-oriented organizational citizenship behavior (OCB) partially mediated the relationships between high-performance human resource practices and both performance indicators. Unemployment rate moderated the service-oriented OCB--turnover relationship, and business strategy (service quality) moderated the service-oriented OCB--productiv</w:instrText>
      </w:r>
      <w:r w:rsidRPr="00452E2E">
        <w:rPr>
          <w:szCs w:val="24"/>
          <w:lang w:val="fr-FR"/>
        </w:rPr>
        <w:instrText>ity relationship. TS - CrossRef", "author" : [ { "dropping-particle" : "", "family" : "Sun", "given" : "L-Y.", "non-dropping-particle" : "", "parse-names" : false, "suffix" : "" }, { "dropping-particle" : "", "family" : "Aryee", "given" : "S.", "non-dropping-particle" : "", "parse-names" : false, "suffix" : "" }, { "dropping-particle" : "", "family" : "Law", "given" : "K. S.", "non-dropping-particle" : "", "parse-names" : false, "suffix" : "" } ], "container-title" : "Academy of Management Journal", "id" : "ITEM-4", "issue" : "3", "issued" : { "date-parts" : [ [ "2007" ] ] }, "page" : "558-577", "title" : "High-Performance human resource practices, citizenship behavior, and organizational performance: A relational perspective.", "type" : "article-journal", "volume" : "50" }, "uris" : [ "http://www.mendeley.com/documents/?uuid=b2543fd4-42aa-401a-b61f-bd1893207c4c" ] } ], "mendeley" : { "formattedCitation" : "(Gittel et al. 2010; Guest &amp; Conway 2011; Messersmith &amp; Guthrie 2010; Sun et al. 2007)", "manualFormatting" : "(Sun et al., 2007; Gittel et al., 2010; Messersmith &amp; Guthrie, 2010; Guest &amp; Conway, 2011)", "plainTextFormattedCitation" : "(Gittel et al. 2010; Guest &amp; Conway 2011; Messersmith &amp; Guthrie 2010; Sun et al. 2007)", "previouslyFormattedCitation" : "(Gittel et al. 2010; Guest &amp; Conway 2011; Messersmith &amp; Guthrie 2010; Sun et al. 2007)" }, "properties" : { "noteIndex" : 0 }, "schema" : "https://github.com/citation-style-language/schema/raw/master/csl-citation.json" }</w:instrText>
      </w:r>
      <w:r w:rsidRPr="00452E2E">
        <w:rPr>
          <w:szCs w:val="24"/>
        </w:rPr>
        <w:fldChar w:fldCharType="separate"/>
      </w:r>
      <w:r w:rsidRPr="00452E2E">
        <w:rPr>
          <w:noProof/>
          <w:szCs w:val="24"/>
          <w:lang w:val="fr-FR"/>
        </w:rPr>
        <w:t xml:space="preserve">(Sun </w:t>
      </w:r>
      <w:r w:rsidRPr="00452E2E">
        <w:rPr>
          <w:i/>
          <w:noProof/>
          <w:szCs w:val="24"/>
          <w:lang w:val="fr-FR"/>
        </w:rPr>
        <w:t>et al</w:t>
      </w:r>
      <w:r w:rsidRPr="00452E2E">
        <w:rPr>
          <w:noProof/>
          <w:szCs w:val="24"/>
          <w:lang w:val="fr-FR"/>
        </w:rPr>
        <w:t xml:space="preserve">., 2007; Gittel </w:t>
      </w:r>
      <w:r w:rsidRPr="00452E2E">
        <w:rPr>
          <w:i/>
          <w:noProof/>
          <w:szCs w:val="24"/>
          <w:lang w:val="fr-FR"/>
        </w:rPr>
        <w:t>et al</w:t>
      </w:r>
      <w:r w:rsidRPr="00452E2E">
        <w:rPr>
          <w:noProof/>
          <w:szCs w:val="24"/>
          <w:lang w:val="fr-FR"/>
        </w:rPr>
        <w:t>., 2010; Messersmith &amp; Guthrie, 2010; Guest &amp; Conway, 2011)</w:t>
      </w:r>
      <w:r w:rsidRPr="00452E2E">
        <w:rPr>
          <w:szCs w:val="24"/>
        </w:rPr>
        <w:fldChar w:fldCharType="end"/>
      </w:r>
      <w:r w:rsidRPr="00452E2E">
        <w:rPr>
          <w:szCs w:val="24"/>
          <w:lang w:val="fr-FR"/>
        </w:rPr>
        <w:t xml:space="preserve">. </w:t>
      </w:r>
      <w:r w:rsidRPr="00452E2E">
        <w:rPr>
          <w:szCs w:val="24"/>
        </w:rPr>
        <w:t xml:space="preserve">Consequently, there are calls for more HRM studies that focus on employee attitudes in order to tap the views of employees who are not only the target of HRM but are also closer to the implementation of HR practices </w:t>
      </w:r>
      <w:r w:rsidRPr="00452E2E">
        <w:rPr>
          <w:szCs w:val="24"/>
        </w:rPr>
        <w:fldChar w:fldCharType="begin" w:fldLock="1"/>
      </w:r>
      <w:r w:rsidRPr="00452E2E">
        <w:rPr>
          <w:szCs w:val="24"/>
        </w:rPr>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"mendeley" : { "formattedCitation" : "(Guest 2011)", "manualFormatting" : "(Boselie et al., 2005; Guest, 2011; Kim &amp; Wright, 2011)", "plainTextFormattedCitation" : "(Guest 2011)", "previouslyFormattedCitation" : "(Guest 2011)"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2005; Guest, 2011; Kim &amp; Wright, 2011)</w:t>
      </w:r>
      <w:r w:rsidRPr="00452E2E">
        <w:rPr>
          <w:szCs w:val="24"/>
        </w:rPr>
        <w:fldChar w:fldCharType="end"/>
      </w:r>
      <w:r w:rsidRPr="00452E2E">
        <w:rPr>
          <w:szCs w:val="24"/>
        </w:rPr>
        <w:t xml:space="preserve">. It is argued that this will enable researchers </w:t>
      </w:r>
      <w:r w:rsidR="005309D5" w:rsidRPr="00452E2E">
        <w:rPr>
          <w:szCs w:val="24"/>
        </w:rPr>
        <w:t xml:space="preserve">to </w:t>
      </w:r>
      <w:r w:rsidRPr="00452E2E">
        <w:rPr>
          <w:szCs w:val="24"/>
        </w:rPr>
        <w:t xml:space="preserve">examine work outcomes that are directly affected by HR practices, thereby shedding more light on the mechanisms through which HR practices affect organizational performance (Jiang </w:t>
      </w:r>
      <w:r w:rsidRPr="00452E2E">
        <w:rPr>
          <w:i/>
          <w:szCs w:val="24"/>
        </w:rPr>
        <w:t>et al</w:t>
      </w:r>
      <w:r w:rsidRPr="00452E2E">
        <w:rPr>
          <w:szCs w:val="24"/>
        </w:rPr>
        <w:t xml:space="preserve">., 2012a; Kim &amp; Wright, 2011). </w:t>
      </w:r>
    </w:p>
    <w:p w:rsidR="00D03A8E" w:rsidRPr="00452E2E" w:rsidRDefault="00E6728A" w:rsidP="00D03A8E">
      <w:pPr>
        <w:spacing w:line="360" w:lineRule="auto"/>
        <w:jc w:val="both"/>
        <w:rPr>
          <w:szCs w:val="24"/>
        </w:rPr>
      </w:pPr>
      <w:r w:rsidRPr="00452E2E">
        <w:rPr>
          <w:szCs w:val="24"/>
        </w:rPr>
        <w:t>B</w:t>
      </w:r>
      <w:r w:rsidR="00D03A8E" w:rsidRPr="00452E2E">
        <w:rPr>
          <w:szCs w:val="24"/>
        </w:rPr>
        <w:t xml:space="preserve">eyond achieving organizational performance, employees have been identified as key stakeholders whose well-being should also be the main concern of HRM </w:t>
      </w:r>
      <w:r w:rsidR="00D03A8E" w:rsidRPr="00452E2E">
        <w:rPr>
          <w:szCs w:val="24"/>
        </w:rPr>
        <w:fldChar w:fldCharType="begin" w:fldLock="1"/>
      </w:r>
      <w:r w:rsidR="00D03A8E" w:rsidRPr="00452E2E">
        <w:rPr>
          <w:szCs w:val="24"/>
        </w:rPr>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"Beer", "given" : "M", "non-dropping-particle" : "", "parse-names" : false, "suffix" : "" }, { "dropping-particle" : "", "family" : "Boselie", "given" : "Paul", "non-dropping-particle" : "", "parse-names" : false, "suffix" : "" }, { "dropping-particle" : "", "family" : "Brewster", "given" : "Chris", "non-dropping-particle" : "", "parse-names" : false, "suffix" : "" } ], "container-title" : "Human Resource Management", "id" : "ITEM-1", "issue" : "3", "issued" : { "date-parts" : [ [ "2015" ] ] }, "page" : "427-438", "title" : "Back to the future: Implications for the field of HRM of the multistakeholder perspective proposed 30 years ago", "type" : "article-journal", "volume" : "54" }, "uris" : [ "http://www.mendeley.com/documents/?uuid=a5760126-a198-4f9d-a07d-954814d16d69" ] } ], "mendeley" : { "formattedCitation" : "(Beer et al. 2015)", "manualFormatting" : "(Beer et al., 2015)", "plainTextFormattedCitation" : "(Beer et al. 2015)", "previouslyFormattedCitation" : "(Beer et al. 2015)"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(Beer </w:t>
      </w:r>
      <w:r w:rsidR="00D03A8E" w:rsidRPr="00452E2E">
        <w:rPr>
          <w:i/>
          <w:noProof/>
          <w:szCs w:val="24"/>
        </w:rPr>
        <w:t>et al</w:t>
      </w:r>
      <w:r w:rsidR="00D03A8E" w:rsidRPr="00452E2E">
        <w:rPr>
          <w:noProof/>
          <w:szCs w:val="24"/>
        </w:rPr>
        <w:t>., 2015)</w:t>
      </w:r>
      <w:r w:rsidR="00D03A8E" w:rsidRPr="00452E2E">
        <w:rPr>
          <w:szCs w:val="24"/>
        </w:rPr>
        <w:fldChar w:fldCharType="end"/>
      </w:r>
      <w:r w:rsidR="00D03A8E" w:rsidRPr="00452E2E">
        <w:rPr>
          <w:szCs w:val="24"/>
        </w:rPr>
        <w:t xml:space="preserve">. This means that the effectiveness of HRM can be better evaluated from the perspective of employees since not only are employees the main reason for HRM in the organization, they represent the most prized assets of the organization (Guest, 2011; Beer </w:t>
      </w:r>
      <w:r w:rsidR="00D03A8E" w:rsidRPr="00452E2E">
        <w:rPr>
          <w:i/>
          <w:szCs w:val="24"/>
        </w:rPr>
        <w:t>et al</w:t>
      </w:r>
      <w:r w:rsidR="00D03A8E" w:rsidRPr="00452E2E">
        <w:rPr>
          <w:szCs w:val="24"/>
        </w:rPr>
        <w:t xml:space="preserve">., 2015). Moreover, since there may be a gap between intended and implemented HR practices, it is important to examine employees’ perceptions of HR practices since they are at the receiving end of such practices </w:t>
      </w:r>
      <w:r w:rsidR="00D03A8E" w:rsidRPr="00452E2E">
        <w:rPr>
          <w:szCs w:val="24"/>
        </w:rPr>
        <w:fldChar w:fldCharType="begin" w:fldLock="1"/>
      </w:r>
      <w:r w:rsidR="00D03A8E" w:rsidRPr="00452E2E">
        <w:rPr>
          <w:szCs w:val="24"/>
        </w:rPr>
        <w:instrText>ADDIN CSL_CITATION { "citationItems" : [ { "id" : "ITEM-1", "itemData" : { "DOI" : "10.1002/hrm", "ISBN" : "0086029826654", "ISSN" : "0090-4848", "PMID" : "31163372", "author" : [ { "dropping-particle" : "", "family" : "Piening", "given" : "Erk P", "non-dropping-particle" : "", "parse-names" : false, "suffix" : "" }, { "dropping-particle" : "", "family" : "Baluch", "given" : "Alina M", "non-dropping-particle" : "", "parse-names" : false, "suffix" : "" }, { "dropping-particle" : "", "family" : "Ridder", "given" : "Hans-Gerad", "non-dropping-particle" : "", "parse-names" : false, "suffix" : "" } ], "container-title" : "Human Resource Management", "id" : "ITEM-1", "issue" : "4", "issued" : { "date-parts" : [ [ "2014" ] ] }, "page" : "545-567", "title" : "Mind the intended-implemented gap: Understanding employees' perceptions of HRM", "type" : "article-journal", "volume" : "53" }, "uris" : [ "http://www.mendeley.com/documents/?uuid=b12451a8-570e-4f77-9952-04a78bb6a918" ] } ], "mendeley" : { "formattedCitation" : "(Piening et al. 2014)", "manualFormatting" : "(Piening et al., 2014)", "plainTextFormattedCitation" : "(Piening et al. 2014)", "previouslyFormattedCitation" : "(Piening et al. 2014)"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(Piening </w:t>
      </w:r>
      <w:r w:rsidR="00D03A8E" w:rsidRPr="00452E2E">
        <w:rPr>
          <w:i/>
          <w:noProof/>
          <w:szCs w:val="24"/>
        </w:rPr>
        <w:t>et al</w:t>
      </w:r>
      <w:r w:rsidR="00D03A8E" w:rsidRPr="00452E2E">
        <w:rPr>
          <w:noProof/>
          <w:szCs w:val="24"/>
        </w:rPr>
        <w:t>., 2014)</w:t>
      </w:r>
      <w:r w:rsidR="00D03A8E" w:rsidRPr="00452E2E">
        <w:rPr>
          <w:szCs w:val="24"/>
        </w:rPr>
        <w:fldChar w:fldCharType="end"/>
      </w:r>
      <w:r w:rsidR="00D03A8E" w:rsidRPr="00452E2E">
        <w:rPr>
          <w:szCs w:val="24"/>
        </w:rPr>
        <w:t>. This study therefore seeks to examine the effect</w:t>
      </w:r>
      <w:r w:rsidR="00F7457B" w:rsidRPr="00452E2E">
        <w:rPr>
          <w:szCs w:val="24"/>
        </w:rPr>
        <w:t>s</w:t>
      </w:r>
      <w:r w:rsidR="00D03A8E" w:rsidRPr="00452E2E">
        <w:rPr>
          <w:szCs w:val="24"/>
        </w:rPr>
        <w:t xml:space="preserve"> of HR practices on employee attitudes in public and private sector in </w:t>
      </w:r>
      <w:r w:rsidR="00D03A8E" w:rsidRPr="00452E2E">
        <w:rPr>
          <w:szCs w:val="24"/>
        </w:rPr>
        <w:lastRenderedPageBreak/>
        <w:t xml:space="preserve">Nigeria. </w:t>
      </w:r>
      <w:r w:rsidR="00673782" w:rsidRPr="00452E2E">
        <w:rPr>
          <w:szCs w:val="24"/>
        </w:rPr>
        <w:t>Before showing the link between HR practices and employee attitudes, the next section will focus on the discussion of employee attitudes.</w:t>
      </w:r>
    </w:p>
    <w:p w:rsidR="00783A65" w:rsidRPr="00452E2E" w:rsidRDefault="00783A65" w:rsidP="00170224">
      <w:pPr>
        <w:pStyle w:val="Heading3"/>
      </w:pPr>
      <w:bookmarkStart w:id="64" w:name="_Toc473808126"/>
      <w:r w:rsidRPr="00452E2E">
        <w:t>3.3 Employee Attitudes</w:t>
      </w:r>
      <w:bookmarkEnd w:id="64"/>
    </w:p>
    <w:p w:rsidR="00783A65" w:rsidRPr="00452E2E" w:rsidRDefault="00783A65" w:rsidP="00783A65">
      <w:pPr>
        <w:spacing w:line="360" w:lineRule="auto"/>
        <w:jc w:val="both"/>
        <w:rPr>
          <w:szCs w:val="24"/>
        </w:rPr>
      </w:pPr>
      <w:r w:rsidRPr="00452E2E">
        <w:rPr>
          <w:szCs w:val="24"/>
        </w:rPr>
        <w:t xml:space="preserve">Employee attitudes are “evaluations of one’s job that express one’s feelings toward, beliefs about, and attachment to one’s job’’ </w:t>
      </w:r>
      <w:r w:rsidRPr="00452E2E">
        <w:rPr>
          <w:szCs w:val="24"/>
        </w:rPr>
        <w:fldChar w:fldCharType="begin" w:fldLock="1"/>
      </w:r>
      <w:r w:rsidRPr="00452E2E">
        <w:rPr>
          <w:szCs w:val="24"/>
        </w:rPr>
        <w:instrText>ADDIN CSL_CITATION { "citationItems" : [ { "id" : "ITEM-1", "itemData" : { "DOI" : "10.1146/annurev-psych-120710-100511", "ISBN" : "1545-2085", "ISSN" : "0066-4308", "PMID" : "22129457", "abstract" : "Job attitudes research is arguably the most venerable and popular topic in organizational psychology. This article surveys the field as it has been constituted in the past several years. Definitional issues are addressed first, in an attempt to clarify the nature, scope, and structure of job attitudes. The distinction between cognitive and affective bases of job attitudes has been an issue of debate, and recent research using within-persons designs has done much to inform this discussion. Recent research has also begun to reformulate the question of dispositional or situational influences on employee attitudes by addressing how these factors might work together to influence attitudes. Finally, there has also been a continual growth in research investigating how employee attitudes are related to a variety of behaviors at both the individual and aggregated level of analysis. [ABSTRACT FROM AUTHOR]\\nCopyright of Annual Review of Psychology is the property of Annual Reviews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"Judge", "given" : "Timothy A.", "non-dropping-particle" : "", "parse-names" : false, "suffix" : "" }, { "dropping-particle" : "", "family" : "Kammeyer-Mueller", "given" : "John D.", "non-dropping-particle" : "", "parse-names" : false, "suffix" : "" } ], "container-title" : "Annual Review of Psychology", "id" : "ITEM-1", "issue" : "1", "issued" : { "date-parts" : [ [ "2012" ] ] }, "page" : "341-367", "title" : "Job attitudes", "type" : "article-journal", "volume" : "63" }, "uris" : [ "http://www.mendeley.com/documents/?uuid=4393a31a-6cb4-4686-87eb-11364826f4e6" ] } ], "mendeley" : { "formattedCitation" : "(Judge &amp; Kammeyer-Mueller 2012)", "manualFormatting" : "(Judge &amp; Kammeyer-Mueller, 2012 p.344)", "plainTextFormattedCitation" : "(Judge &amp; Kammeyer-Mueller 2012)", "previouslyFormattedCitation" : "(Judge &amp; Kammeyer-Mueller 2012)" }, "properties" : { "noteIndex" : 0 }, "schema" : "https://github.com/citation-style-language/schema/raw/master/csl-citation.json" }</w:instrText>
      </w:r>
      <w:r w:rsidRPr="00452E2E">
        <w:rPr>
          <w:szCs w:val="24"/>
        </w:rPr>
        <w:fldChar w:fldCharType="separate"/>
      </w:r>
      <w:r w:rsidRPr="00452E2E">
        <w:rPr>
          <w:noProof/>
          <w:szCs w:val="24"/>
        </w:rPr>
        <w:t>(Judge &amp; Kammeyer-Mueller, 2012 p.344)</w:t>
      </w:r>
      <w:r w:rsidRPr="00452E2E">
        <w:rPr>
          <w:szCs w:val="24"/>
        </w:rPr>
        <w:fldChar w:fldCharType="end"/>
      </w:r>
      <w:r w:rsidRPr="00452E2E">
        <w:rPr>
          <w:szCs w:val="24"/>
        </w:rPr>
        <w:t xml:space="preserve">. There are many employee attitudes such as job satisfaction, organizational commitment, job involvement, and employee engagement. However, the employee attitudes considered in this study are job satisfaction and organizational commitment. These two types of employee attitudes are considered in this study instead of job involvement and employee engagement because job satisfaction and organizational commitment are considered as the most important types of job attitudes since these attitudes are the most powerful predictors of behaviour and are therefore more important in understanding work behaviour </w:t>
      </w:r>
      <w:r w:rsidRPr="00452E2E">
        <w:rPr>
          <w:szCs w:val="24"/>
        </w:rPr>
        <w:fldChar w:fldCharType="begin" w:fldLock="1"/>
      </w:r>
      <w:r w:rsidRPr="00452E2E">
        <w:rPr>
          <w:szCs w:val="24"/>
        </w:rPr>
        <w:instrText>ADDIN CSL_CITATION { "citationItems" : [ { "id" : "ITEM-1", "itemData" : { "author" : [ { "dropping-particle" : "", "family" : "Mathieu", "given" : "J E", "non-dropping-particle" : "", "parse-names" : false, "suffix" : "" }, { "dropping-particle" : "", "family" : "Zajac", "given" : "D M", "non-dropping-particle" : "", "parse-names" : false, "suffix" : "" } ], "container-title" : "Psychological Bulletin", "id" : "ITEM-1", "issue" : "2", "issued" : { "date-parts" : [ [ "1990" ] ] }, "page" : "171-194", "title" : "A review and meta-analysis of the antecedents, correlates, and consequences of organizational commitment", "type" : "article-journal", "volume" : "108" }, "uris" : [ "http://www.mendeley.com/documents/?uuid=30cfdf88-acbf-440b-9ecd-0bc19a627fd8" ] }, { "id" : "ITEM-2",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"ITEM-2",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"id" : "ITEM-3", "itemData" : { "DOI" : "10.1016/j.jvb.2010.12.008", "ISBN" : "0001-8791", "ISSN" : "00018791", "abstract" : "This article summarizes what is known about the active management of affective organizational commitment (AOC) through a review of 58 studies employing longitudinal research designs. The review yields six broad categories of antecedents that have empirically demonstrated effects on AOC: socialization practices, organizational changes, human resource practices, interpersonal relations, employee-organizational relations, and a residual \"other\" category. Insights from the review include (a) that perceptions of personal attachment to the organization are among the most substantiated (but tenuous) strategies for enhancing AOC, (b) that theorizing and research efforts have focused almost exclusively on achieving high levels of AOC, and (c) organizations have been reticent to address situations when AOC is low. Implications and recommendations for the theoretical, research and practical advancement of AOC are offered. \u00a9 2010 Elsevier Inc.", "author" : [ { "dropping-particle" : "", "family" : "Morrow", "given" : "Paula C.", "non-dropping-particle" : "", "parse-names" : false, "suffix" : "" } ], "container-title" : "Journal of Vocational Behavior", "id" : "ITEM-3", "issue" : "1", "issued" : { "date-parts" : [ [ "2011" ] ] }, "page" : "18-35", "publisher" : "Elsevier Inc.", "title" : "Managing organizational commitment: Insights from longitudinal research", "type" : "article-journal", "volume" : "79" }, "uris" : [ "http://www.mendeley.com/documents/?uuid=e74e9767-1929-4486-8348-3c77d5f5ac96" ] }, { "id" : "ITEM-4", "itemData" : { "DOI" : "10.1146/annurev-psych-120710-100511", "ISBN" : "1545-2085", "ISSN" : "0066-4308", "PMID" : "22129457", "abstract" : "Job attitudes research is arguably the most venerable and popular topic in organizational psychology. This article surveys the field as it has been constituted in the past several years. Definitional issues are addressed first, in an attempt to clarify the nature, scope, and structure of job attitudes. The distinction between cognitive and affective bases of job attitudes has been an issue of debate, and recent research using within-persons designs has done much to inform this discussion. Recent research has also begun to reformulate the question of dispositional or situational influences on employee attitudes by addressing how these factors might work together to influence attitudes. Finally, there has also been a continual growth in research investigating how employee attitudes are related to a variety of behaviors at both the individual and aggregated level of analysis. [ABSTRACT FROM AUTHOR]\\nCopyright of Annual Review of Psychology is the property of Annual Reviews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"Judge", "given" : "Timothy A.", "non-dropping-particle" : "", "parse-names" : false, "suffix" : "" }, { "dropping-particle" : "", "family" : "Kammeyer-Mueller", "given" : "John D.", "non-dropping-particle" : "", "parse-names" : false, "suffix" : "" } ], "container-title" : "Annual Review of Psychology", "id" : "ITEM-4", "issue" : "1", "issued" : { "date-parts" : [ [ "2012" ] ] }, "page" : "341-367", "title" : "Job attitudes", "type" : "article-journal", "volume" : "63" }, "uris" : [ "http://www.mendeley.com/documents/?uuid=4393a31a-6cb4-4686-87eb-11364826f4e6" ] } ], "mendeley" : { "formattedCitation" : "(Mathieu &amp; Zajac 1990; Meyer et al. 2002; Morrow 2011; Judge &amp; Kammeyer-Mueller 2012)", "manualFormatting" : "(Mathieu &amp; Zajac, 1990; Meyer et al., 2002; Morrow, 2011; Judge &amp; Kammeyer-Mueller, 2012)", "plainTextFormattedCitation" : "(Mathieu &amp; Zajac 1990; Meyer et al. 2002; Morrow 2011; Judge &amp; Kammeyer-Mueller 2012)", "previouslyFormattedCitation" : "(Mathieu &amp; Zajac 1990; Meyer et al. 2002; Morrow 2011; Judge &amp; Kammeyer-Mueller 2012)" }, "properties" : { "noteIndex" : 0 }, "schema" : "https://github.com/citation-style-language/schema/raw/master/csl-citation.json" }</w:instrText>
      </w:r>
      <w:r w:rsidRPr="00452E2E">
        <w:rPr>
          <w:szCs w:val="24"/>
        </w:rPr>
        <w:fldChar w:fldCharType="separate"/>
      </w:r>
      <w:r w:rsidRPr="00452E2E">
        <w:rPr>
          <w:noProof/>
          <w:szCs w:val="24"/>
        </w:rPr>
        <w:t xml:space="preserve">(Mathieu &amp; Zajac, 1990; Meyer </w:t>
      </w:r>
      <w:r w:rsidRPr="00452E2E">
        <w:rPr>
          <w:i/>
          <w:noProof/>
          <w:szCs w:val="24"/>
        </w:rPr>
        <w:t>et al</w:t>
      </w:r>
      <w:r w:rsidRPr="00452E2E">
        <w:rPr>
          <w:noProof/>
          <w:szCs w:val="24"/>
        </w:rPr>
        <w:t>., 2002; Morrow, 2011; Judge &amp; Kammeyer-Mueller, 2012)</w:t>
      </w:r>
      <w:r w:rsidRPr="00452E2E">
        <w:rPr>
          <w:szCs w:val="24"/>
        </w:rPr>
        <w:fldChar w:fldCharType="end"/>
      </w:r>
      <w:r w:rsidRPr="00452E2E">
        <w:rPr>
          <w:szCs w:val="24"/>
        </w:rPr>
        <w:t xml:space="preserve">. Perhaps, this explains why most studies on employees’ perceptions of HR practices focus on individual level outcomes of job satisfaction and organizational commitment (Kehoe &amp; Wright, 2013; Heffernan &amp; Dundon, 2016). Moreover, whilst job satisfaction an employee attitude toward the job, organizational commitment is an employee attitude toward the employing organization (Judge &amp; Kammeyer-Mueller, 2012). Therefore, by including these two forms of employee attitudes, this study adequately covers employee attitudes toward their jobs and the employing organization. </w:t>
      </w:r>
    </w:p>
    <w:p w:rsidR="00783A65" w:rsidRPr="00452E2E" w:rsidRDefault="00783A65" w:rsidP="00526BD2">
      <w:pPr>
        <w:spacing w:line="360" w:lineRule="auto"/>
        <w:jc w:val="both"/>
        <w:rPr>
          <w:szCs w:val="24"/>
        </w:rPr>
      </w:pPr>
      <w:r w:rsidRPr="00452E2E">
        <w:rPr>
          <w:szCs w:val="24"/>
        </w:rPr>
        <w:t xml:space="preserve">Job satisfaction and organizational commitment have been found to influence important work outcomes such as job performance </w:t>
      </w:r>
      <w:r w:rsidRPr="00452E2E">
        <w:rPr>
          <w:szCs w:val="24"/>
        </w:rPr>
        <w:fldChar w:fldCharType="begin" w:fldLock="1"/>
      </w:r>
      <w:r w:rsidRPr="00452E2E">
        <w:rPr>
          <w:szCs w:val="24"/>
        </w:rPr>
        <w:instrText>ADDIN CSL_CITATION { "citationItems" : [ { "id" : "ITEM-1", "itemData" : { "author" : [ { "dropping-particle" : "", "family" : "Judge", "given" : "Timothy A", "non-dropping-particle" : "", "parse-names" : false, "suffix" : "" }, { "dropping-particle" : "", "family" : "Thoresen", "given" : "Carl J", "non-dropping-particle" : "", "parse-names" : false, "suffix" : "" }, { "dropping-particle" : "", "family" : "Bono", "given" : "Joyce E", "non-dropping-particle" : "", "parse-names" : false, "suffix" : "" }, { "dropping-particle" : "", "family" : "Patton", "given" : "Gregory K", "non-dropping-particle" : "", "parse-names" : false, "suffix" : "" } ], "container-title" : "Psychological Bulletin", "id" : "ITEM-1", "issue" : "3", "issued" : { "date-parts" : [ [ "2001" ] ] }, "page" : "376-407", "title" : "The job satisfaction- job performance relationship: A qualitative and quantitative review", "type" : "article-journal", "volume" : "127" }, "uris" : [ "http://www.mendeley.com/documents/?uuid=3393a5e9-7fe4-4d83-8a4c-6eb37d604886" ] }, { "id" : "ITEM-2", "itemData" : { "abstract" : "A meta-analysis was conducted to estimate the true correlation between attitudinal organiza- tional commitment and job performance and to identify moderators of this correlation. One- hundred and eleven samples from 93 published studies were included. The corrected mean correlation was 0.20. The correlation was at least marginally significantly stronger for: (a) extra-role performance as opposed to in-role performance; (b) white-collar workers as opposed to blue-collar workers; and (c) performance assessed by self ratings as opposed to supervisor ratings or objective indicators. Four other assumed moderators (commitment mea- sure: Affective Commitment Scale versus Organizational Commitment Questionnaire, job level, age, and tenure) did not have at least marginally significant effects. Copyright", "author" : [ { "dropping-particle" : "", "family" : "Riketta", "given" : "Michael", "non-dropping-particle" : "", "parse-names" : false, "suffix" : "" } ], "container-title" : "Journal of Organizational Behavior", "id" : "ITEM-2", "issue" : "3", "issued" : { "date-parts" : [ [ "2002" ] ] }, "page" : "257-266", "title" : "Attitudinal organizational commitment and job performance: A meta-analysis", "type" : "article-journal", "volume" : "23" }, "uris" : [ "http://www.mendeley.com/documents/?uuid=3849ff30-cef5-4480-8b30-a35ff27abf6d" ] }, { "id" : "ITEM-3", "itemData" : { "DOI" : "10.1037/a0013932", "ISBN" : "1072-5245", "ISSN" : "1072-5245", "abstract" : "This article combines meta-analysis with structural equation modeling to compare alternative models of the relationships among work stress, psychological mediators, and job performance. Specifically, the authors examined the mediating effects of job satisfaction and propensity to leave and their effect on the relationships between role ambiguity, role conflict, and job performance. The meta-analysis included both published and unpublished studies conducted over a period of 25 years, resulting in 113 independent samples with more than 22,000 individuals. As hypothesized, the structural model that best fit the meta-analytic estimates was the partial mediation model, in which stress is related to job performance both directly and indirectly through job satisfaction and propensity to leave and in which all path coefficients were reliably different from zero. The results are discussed in terms of theoretical contributions and implications for future stress-performance research", "author" : [ { "dropping-particle" : "", "family" : "Fried", "given" : "Y", "non-dropping-particle" : "", "parse-names" : false, "suffix" : "" }, { "dropping-particle" : "", "family" : "Shirom", "given" : "A", "non-dropping-particle" : "", "parse-names" : false, "suffix" : "" }, { "dropping-particle" : "", "family" : "Gilboa", "given" : "S", "non-dropping-particle" : "", "parse-names" : false, "suffix" : "" }, { "dropping-particle" : "", "family" : "Cooper", "given" : "C L", "non-dropping-particle" : "", "parse-names" : false, "suffix" : "" } ], "container-title" : "International Journal of Stress Management", "id" : "ITEM-3", "issue" : "4", "issued" : { "date-parts" : [ [ "2008" ] ] }, "page" : "305-328", "title" : "The mediating effects of job satisfaction and propensity to leave on role stress-job performance relationships: Combining meta-analysis and structural equation modeling", "type" : "article-journal", "volume" : "15" }, "uris" : [ "http://www.mendeley.com/documents/?uuid=c56afbe8-a0ff-4a2d-b360-026737405fc1" ] }, { "id" : "ITEM-4",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"ITEM-4",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"id" : "ITEM-5", "itemData" : { "DOI" : "10.1177/0022022109339208", "ISBN" : "0022-0221", "ISSN" : "0022-0221", "abstract" : "The purpose of this study is to examine whether culture moderates the relationship between job satisfaction and job performance. Multiple theoretical frameworks regarding culture are used as the theoretical guide. Based on meta-analytical moderator tests, the authors find some support for their hypotheses that the effect size for the job satisfaction\u2014job performance relationship is likely to be stronger in individualistic (vs. collectivistic) cultures, in low-power-distance (vs. high-power-distance) cultures, in low-uncertainty-avoidance (vs. high-uncertainty-avoidance) cultures, and in masculine (vs. feminine) cultures. They also observe stronger evidence of these effects for task performance than for contextual performance. Implications for theory, practice, and future research are discussed. (PsycINFO Database Record (c) 2012 APA, all rights reserved) (journal abstract)", "author" : [ { "dropping-particle" : "", "family" : "Ng", "given" : "T. W. H.", "non-dropping-particle" : "", "parse-names" : false, "suffix" : "" }, { "dropping-particle" : "", "family" : "Sorensen", "given" : "K. L.", "non-dropping-particle" : "", "parse-names" : false, "suffix" : "" }, { "dropping-particle" : "", "family" : "Yim", "given" : "F. H. K.", "non-dropping-particle" : "", "parse-names" : false, "suffix" : "" } ], "container-title" : "Journal of Cross-Cultural Psychology", "id" : "ITEM-5", "issue" : "5", "issued" : { "date-parts" : [ [ "2009" ] ] }, "page" : "761-796", "title" : "Does the job satisfaction--job performance relationship vary across cultures?", "type" : "article-journal", "volume" : "40" }, "uris" : [ "http://www.mendeley.com/documents/?uuid=ff459388-a213-44a9-a9f1-8f24fe92cc20" ] } ], "mendeley" : { "formattedCitation" : "(Judge et al. 2001; Riketta 2002; Fried et al. 2008; Kuvaas 2008; Ng et al. 2009)", "manualFormatting" : "(Judge et al., 2001; Riketta, 2002; Fried et al., 2008; Kuvaas, 2008; Ng et al., 2009)", "plainTextFormattedCitation" : "(Judge et al. 2001; Riketta 2002; Fried et al. 2008; Kuvaas 2008; Ng et al. 2009)", "previouslyFormattedCitation" : "(Judge et al. 2001; Riketta 2002; Fried et al. 2008; Kuvaas 2008; Ng et al. 2009)" }, "properties" : { "noteIndex" : 0 }, "schema" : "https://github.com/citation-style-language/schema/raw/master/csl-citation.json" }</w:instrText>
      </w:r>
      <w:r w:rsidRPr="00452E2E">
        <w:rPr>
          <w:szCs w:val="24"/>
        </w:rPr>
        <w:fldChar w:fldCharType="separate"/>
      </w:r>
      <w:r w:rsidRPr="00452E2E">
        <w:rPr>
          <w:noProof/>
          <w:szCs w:val="24"/>
        </w:rPr>
        <w:t xml:space="preserve">(Judge </w:t>
      </w:r>
      <w:r w:rsidRPr="00452E2E">
        <w:rPr>
          <w:i/>
          <w:noProof/>
          <w:szCs w:val="24"/>
        </w:rPr>
        <w:t>et al</w:t>
      </w:r>
      <w:r w:rsidRPr="00452E2E">
        <w:rPr>
          <w:noProof/>
          <w:szCs w:val="24"/>
        </w:rPr>
        <w:t xml:space="preserve">., 2001; Riketta, 2002; Fried </w:t>
      </w:r>
      <w:r w:rsidRPr="00452E2E">
        <w:rPr>
          <w:i/>
          <w:noProof/>
          <w:szCs w:val="24"/>
        </w:rPr>
        <w:t>et al</w:t>
      </w:r>
      <w:r w:rsidRPr="00452E2E">
        <w:rPr>
          <w:noProof/>
          <w:szCs w:val="24"/>
        </w:rPr>
        <w:t xml:space="preserve">., 2008; Kuvaas, 2008; Ng </w:t>
      </w:r>
      <w:r w:rsidRPr="00452E2E">
        <w:rPr>
          <w:i/>
          <w:noProof/>
          <w:szCs w:val="24"/>
        </w:rPr>
        <w:t>et al</w:t>
      </w:r>
      <w:r w:rsidRPr="00452E2E">
        <w:rPr>
          <w:noProof/>
          <w:szCs w:val="24"/>
        </w:rPr>
        <w:t>., 2009)</w:t>
      </w:r>
      <w:r w:rsidRPr="00452E2E">
        <w:rPr>
          <w:szCs w:val="24"/>
        </w:rPr>
        <w:fldChar w:fldCharType="end"/>
      </w:r>
      <w:r w:rsidRPr="00452E2E">
        <w:rPr>
          <w:szCs w:val="24"/>
        </w:rPr>
        <w:t xml:space="preserve">, organizational citizenship behaviours </w:t>
      </w:r>
      <w:r w:rsidRPr="00452E2E">
        <w:rPr>
          <w:szCs w:val="24"/>
        </w:rPr>
        <w:fldChar w:fldCharType="begin" w:fldLock="1"/>
      </w:r>
      <w:r w:rsidRPr="00452E2E">
        <w:rPr>
          <w:szCs w:val="24"/>
        </w:rPr>
        <w:instrText>ADDIN CSL_CITATION { "citationItems" : [ { "id" : "ITEM-1", "itemData" : { "DOI" : "10.1007/BF01419445", "ISBN" : "08927545", "ISSN" : "08927545", "PMID" : "9312281849", "abstract" : "This article presents information related to the relative contribution of perceptions of procedural justice in the prediction of organizational citizenship behavior (OCB). The search for the relationship between job attitudes and job performance has a long history. Lengthy reviews have reported numerous attempts to show definitively that job attitudes are related to or even cause job performance, yet most efforts, have resulted in only a weak relationship, far below that suggested by conventional wisdom. Organizational commitment describes the relative strength of an individual's identification with and involvement in a particular organization and has been suggested as an antecedent to OCB because it reflects an employee's willingness to aid the organization even if direct reward is not contingent upon that aid. Employees who demonstrate conscientiousness toward their work, try to prevent problems with other employees, inform others before taking important actions, and refrain from excessively complaining about work. They do so because the organization has treated them in a fair manner. Fairness invokes moral or quasimoral obligations that go beyond affective response.", "author" : [ { "dropping-particle" : "", "family" : "Moorman", "given" : "Robert H.", "non-dropping-particle" : "", "parse-names" : false, "suffix" : "" }, { "dropping-particle" : "", "family" : "Niehoff", "given" : "Brian P.", "non-dropping-particle" : "", "parse-names" : false, "suffix" : "" }, { "dropping-particle" : "", "family" : "Organ", "given" : "Dennis W.", "non-dropping-particle" : "", "parse-names" : false, "suffix" : "" } ], "container-title" : "Employee Responsibilities and Rights Journal", "id" : "ITEM-1", "issue" : "3", "issued" : { "date-parts" : [ [ "1993" ] ] }, "page" : "209-225", "title" : "Treating employees fairly and organizational citizenship behavior: Sorting the effects of job satisfaction, organizational commitment, and procedural justice", "type" : "article-journal", "volume" : "6" }, "uris" : [ "http://www.mendeley.com/documents/?uuid=ef833adf-0d87-4f0f-a296-8a5b4df85481" ] }, { "id" : "ITEM-2", "itemData" : { "DOI" : "10.1111/j.1744-6570.2001.tb00087.x", "ISBN" : "1744-6570", "ISSN" : "1744-6570", "PMID" : "4229458", "abstract" : "This study addresses the issue of whether positive employee attitudes and behaviors influence business outcomes or whether positive business outcomes influence positive employee attitudes and behaviors. We hypothesize that employee satisfaction, organizational citizenship behavior, and employee turnover influence profitability and customer satisfaction. Data were gathered from the units of a regional restaurant chain via employee surveys, manager surveys, customer surveys, and organizational records. Cross-lagged regression analyses show that employee attitudes and behaviors at Time 1 are related to organizational effectiveness at Time 2. Additional cross-lagged regression analyses show no significant relationship between organizational effectiveness at Time 1 and the employee attitudes and behaviors at Time 2. These results add to the evidence that HR outcomes influence business outcomes, rather than the other way around.", "author" : [ { "dropping-particle" : "", "family" : "Koys", "given" : "Daniel", "non-dropping-particle" : "", "parse-names" : false, "suffix" : "" } ], "container-title" : "Personnel Psychology", "id" : "ITEM-2", "issue" : "1", "issued" : { "date-parts" : [ [ "2001" ] ] }, "page" : "101-114", "title" : "The Effects of employee satisfaction, organizational citizenship behavior, and turnover on organizational effectiveness: A unit-level, longitudinal study", "type" : "article-journal", "volume" : "54" }, "uris" : [ "http://www.mendeley.com/documents/?uuid=7532e7a7-4569-47e1-a326-d3ece6ef0a5e" ] }, { "id" : "ITEM-3", "itemData" : { "DOI" : "10.1016/j.jvb.2011.03.006", "ISBN" : "0001-8791", "ISSN" : "00018791", "abstract" : "Utilizing a meta-analytical approach for testing moderating effects, the current study investigated organizational tenure as a moderator in the relation between affective organizational commitment and organizational citizenship behavior (OCB). We observed that, across 40 studies (N=11,416 respondents), the effect size for the relation between affective organizational commitment and non-self measures of OCB was .23. However, we also found that organizational tenure moderated the relation in a non-linear way. Before 10. years of tenure, the strength of the commitment-OCB relation increased as organizational tenure increased; after that point, the strength of the commitment-OCB relation decreased as organizational tenure increased. In short, the moderating effect of tenure follows a curvilinear pattern. ?? 2011 Elsevier Inc.", "author" : [ { "dropping-particle" : "", "family" : "Ng", "given" : "Thomas W H", "non-dropping-particle" : "", "parse-names" : false, "suffix" : "" }, { "dropping-particle" : "", "family" : "Feldman", "given" : "Daniel C.", "non-dropping-particle" : "", "parse-names" : false, "suffix" : "" } ], "container-title" : "Journal of Vocational Behavior", "id" : "ITEM-3", "issue" : "2", "issued" : { "date-parts" : [ [ "2011" ] ] }, "page" : "528-537", "publisher" : "Elsevier Inc.", "title" : "Affective organizational commitment and citizenship behavior: Linear and non-linear moderating effects of organizational tenure", "type" : "article-journal", "volume" : "79" }, "uris" : [ "http://www.mendeley.com/documents/?uuid=44230920-8a07-4c20-85ff-e6e6073ec27b" ] }, { "id" : "ITEM-4",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"ITEM-4", "issue" : "8", "issued" : { "date-parts" : [ [ "2012" ] ] }, "page" : "1209-1227", "title" : "High-involvement human resource practices, affective commitment, and organizational citizenship behaviors", "type" : "article-journal", "volume" : "32" }, "uris" : [ "http://www.mendeley.com/documents/?uuid=3233ad68-00c0-4a22-bbc0-0ed35d43dfad" ] }, { "id" : "ITEM-5",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"ITEM-5", "issue" : "2", "issued" : { "date-parts" : [ [ "2013" ] ] }, "page" : "366-391", "title" : "The impact of high performance human resource practices on employees' attitudes and behaviors", "type" : "article-journal", "volume" : "39" }, "uris" : [ "http://www.mendeley.com/documents/?uuid=87fa9e55-e4a1-416e-9e06-eb7fd4bd89a6" ] } ], "mendeley" : { "formattedCitation" : "(Moorman et al. 1993; Koys 2001; Ng &amp; Feldman 2011; Yang 2012; Kehoe &amp; Wright 2013)", "manualFormatting" : "(Moorman et al., 1993; Koys, 2001; Ng &amp; Feldman, 2011; Yang, 2012; Kehoe &amp; Wright, 2013)", "plainTextFormattedCitation" : "(Moorman et al. 1993; Koys 2001; Ng &amp; Feldman 2011; Yang 2012; Kehoe &amp; Wright 2013)", "previouslyFormattedCitation" : "(Moorman et al. 1993; Koys 2001; Ng &amp; Feldman 2011; Yang 2012; Kehoe &amp; Wright 2013)" }, "properties" : { "noteIndex" : 0 }, "schema" : "https://github.com/citation-style-language/schema/raw/master/csl-citation.json" }</w:instrText>
      </w:r>
      <w:r w:rsidRPr="00452E2E">
        <w:rPr>
          <w:szCs w:val="24"/>
        </w:rPr>
        <w:fldChar w:fldCharType="separate"/>
      </w:r>
      <w:r w:rsidRPr="00452E2E">
        <w:rPr>
          <w:noProof/>
          <w:szCs w:val="24"/>
        </w:rPr>
        <w:t xml:space="preserve">(Moorman </w:t>
      </w:r>
      <w:r w:rsidRPr="00452E2E">
        <w:rPr>
          <w:i/>
          <w:noProof/>
          <w:szCs w:val="24"/>
        </w:rPr>
        <w:t>et al</w:t>
      </w:r>
      <w:r w:rsidRPr="00452E2E">
        <w:rPr>
          <w:noProof/>
          <w:szCs w:val="24"/>
        </w:rPr>
        <w:t>., 1993; Koys, 2001; Ng &amp; Feldman, 2011; Yang, 2012; Kehoe &amp; Wright, 2013)</w:t>
      </w:r>
      <w:r w:rsidRPr="00452E2E">
        <w:rPr>
          <w:szCs w:val="24"/>
        </w:rPr>
        <w:fldChar w:fldCharType="end"/>
      </w:r>
      <w:r w:rsidRPr="00452E2E">
        <w:rPr>
          <w:szCs w:val="24"/>
        </w:rPr>
        <w:t xml:space="preserve">, turnover intentions </w:t>
      </w:r>
      <w:r w:rsidRPr="00452E2E">
        <w:rPr>
          <w:szCs w:val="24"/>
        </w:rPr>
        <w:fldChar w:fldCharType="begin" w:fldLock="1"/>
      </w:r>
      <w:r w:rsidRPr="00452E2E">
        <w:rPr>
          <w:szCs w:val="24"/>
        </w:rPr>
        <w:instrText>ADDIN CSL_CITATION { "citationItems" : [ { "id" : "ITEM-1", "itemData" : { "DOI" : "10.1080/09585192.2010.483845", "ISBN" : "0958-5192", "ISSN" : "0958-5192", "abstract" : "The purpose of this study was to investigate the impact of a bundle of eight human resource management practices on intention to leave, and to examine the mediating effect of organizational commitment on the relationship between the HRM practices and intention to leave of employees of a service organization in India. Most of the prior HRM practices-employee turnover studies have been from the HR manager's point of view. This study took a different approach and studied this relationship from an employee's point of view. Internet survey questionnaires were used to collect the data from 183 employees working in a service company in India. Multiple linear regression and hierarchical linear regression analysis were conducted to test the hypotheses. The study found not only that the HRM practices lower employee intentions to leave, but also that this relationship is partially mediated by organizational commitment. The results of the study not only supported that organizations should focus on employee perceptions of the organizations' HRM practices but also indicated that human resources should go beyond establishing policies and procedures to providing an employee-friendly work environment (Biswas and Varma 2007). \u00a9 2010 Taylor &amp; Francis.", "author" : [ { "dropping-particle" : "", "family" : "Guchait", "given" : "Priyanko", "non-dropping-particle" : "", "parse-names" : false, "suffix" : "" }, { "dropping-particle" : "", "family" : "Cho", "given" : "Seonghee", "non-dropping-particle" : "", "parse-names" : false, "suffix" : "" } ], "container-title" : "The International Journal of Human Resource Management", "id" : "ITEM-1", "issue" : "8", "issued" : { "date-parts" : [ [ "2010" ] ] }, "page" : "1228-1247", "title" : "The impact of human resource management practices on intention to leave of employees in the service industry in India: The mediating role of organizational commitment", "type" : "article-journal", "volume" : "21" }, "uris" : [ "http://www.mendeley.com/documents/?uuid=06a93245-ccf1-4ad2-84ce-ca27f6eec38c" ] }, { "id" : "ITEM-2",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"ITEM-2",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"ITEM-3", "itemData" : { "DOI" : "10.1080/09585192.2013.763841", "ISBN" : "0958-5192", "ISSN" : "0958-5192", "abstract" : "This study examined the mediating effects of organizational commitment (OC) and organizational engagement (OE) on the relationship between human resource (HR) practices (career management, performance appraisal, compensation, person-job fit and job control) and turnover intention. A total of 457 employees working in various sectors in a selected region in Malaysia participated in this study. It was found that all the variables used to measure HR practices have significant effects on OC and OE. However, multiple regression analyses indicated that career management and job control did not have any significant influence on turnover intention. OC and OE were discovered to give partial mediating effects on the relationship between HR practices and turnover intention. \u00a9 2013 \u00a9 2013 Taylor &amp; Francis.", "author" : [ { "dropping-particle" : "", "family" : "Juhdi", "given" : "Nurita", "non-dropping-particle" : "", "parse-names" : false, "suffix" : "" }, { "dropping-particle" : "", "family" : "Pa'wan", "given" : "Fatimah", "non-dropping-particle" : "", "parse-names" : false, "suffix" : "" }, { "dropping-particle" : "", "family" : "Hansaram", "given" : "Ram Milah Kaur", "non-dropping-particle" : "", "parse-names" : false, "suffix" : "" } ], "container-title" : "The International Journal of Human Resource Management", "id" : "ITEM-3", "issue" : "15", "issued" : { "date-parts" : [ [ "2013" ] ] }, "page" : "3002-3019", "title" : "HR practices and turnover intention: The mediating roles of organizational commitment and organizational engagement in a selected region in Malaysia", "type" : "article-journal", "volume" : "24" }, "uris" : [ "http://www.mendeley.com/documents/?uuid=9d0a4d40-82bb-4b73-9c1a-b9ab2a91c26a" ] }, { "id" : "ITEM-4",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"ITEM-4", "issue" : "2", "issued" : { "date-parts" : [ [ "2013" ] ] }, "page" : "366-391", "title" : "The impact of high performance human resource practices on employees' attitudes and behaviors", "type" : "article-journal", "volume" : "39" }, "uris" : [ "http://www.mendeley.com/documents/?uuid=87fa9e55-e4a1-416e-9e06-eb7fd4bd89a6" ] }, { "id" : "ITEM-5",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"ITEM-5",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"ITEM-6", "</w:instrText>
      </w:r>
      <w:r w:rsidRPr="00452E2E">
        <w:rPr>
          <w:szCs w:val="24"/>
          <w:lang w:val="fr-FR"/>
        </w:rPr>
        <w:instrText>itemData" : { "DOI" : "10.1108/ICT-04-2015-0029", "ISBN" : "0143773111112", "ISSN" : "0019-7858", "author" : [ { "dropping-particle" : "", "family" : "Huang", "given" : "Wen-Rou", "non-dropping-particle" : "", "parse-names" : false, "suffix" : "" }, { "dropping-particle" : "", "family" : "Su", "given" : "Chih-Hao", "non-dropping-particle" : "", "parse-names" : false, "suffix" : "" } ], "container-title" : "Industrial and Commercial Training", "id" : "ITEM-6", "issue" : "1", "issued" : { "date-parts" : [ [ "2016" ] ] }, "page" : "42-52", "title" : "The mediating role of job satisfaction in the relationship between job training satisfaction and turnover intentions", "type" : "article-journal", "volume" : "48" }, "uris" : [ "http://www.mendeley.com/documents/?uuid=7ef56a7b-c056-4872-b062-89a4b3807219" ] } ], "mendeley" : { "formattedCitation" : "(Guchait &amp; Cho 2010; Ang et al. 2013; Juhdi et al. 2013; Kehoe &amp; Wright 2013; Fabi et al. 2015; Huang &amp; Su 2016)", "manualFormatting" : "(Guchait &amp; Cho, 2010; Juhdi et al., 2013; Fabi et al., 2015; Huang &amp; Su, 2016)", "plainTextFormattedCitation" : "(Guchait &amp; Cho 2010; Ang et al. 2013; Juhdi et al. 2013; Kehoe &amp; Wright 2013; Fabi et al. 2015; Huang &amp; Su 2016)", "previouslyFormattedCitation" : "(Guchait &amp; Cho 2010; Ang et al. 2013; Juhdi et al. 2013; Kehoe &amp; Wright 2013; Fabi et al. 2015; Huang &amp; Su 2016)" }, "properties" : { "noteIndex" : 0 }, "schema" : "https://github.com/citation-style-language/schema/raw/master/csl-citation.json" }</w:instrText>
      </w:r>
      <w:r w:rsidRPr="00452E2E">
        <w:rPr>
          <w:szCs w:val="24"/>
        </w:rPr>
        <w:fldChar w:fldCharType="separate"/>
      </w:r>
      <w:r w:rsidRPr="00452E2E">
        <w:rPr>
          <w:noProof/>
          <w:szCs w:val="24"/>
          <w:lang w:val="fr-FR"/>
        </w:rPr>
        <w:t xml:space="preserve">(Guchait &amp; Cho, 2010; Juhdi </w:t>
      </w:r>
      <w:r w:rsidRPr="00452E2E">
        <w:rPr>
          <w:i/>
          <w:noProof/>
          <w:szCs w:val="24"/>
          <w:lang w:val="fr-FR"/>
        </w:rPr>
        <w:t>et al</w:t>
      </w:r>
      <w:r w:rsidRPr="00452E2E">
        <w:rPr>
          <w:noProof/>
          <w:szCs w:val="24"/>
          <w:lang w:val="fr-FR"/>
        </w:rPr>
        <w:t xml:space="preserve">., 2013; Fabi </w:t>
      </w:r>
      <w:r w:rsidRPr="00452E2E">
        <w:rPr>
          <w:i/>
          <w:noProof/>
          <w:szCs w:val="24"/>
          <w:lang w:val="fr-FR"/>
        </w:rPr>
        <w:t>et al</w:t>
      </w:r>
      <w:r w:rsidRPr="00452E2E">
        <w:rPr>
          <w:noProof/>
          <w:szCs w:val="24"/>
          <w:lang w:val="fr-FR"/>
        </w:rPr>
        <w:t>., 2015; Huang &amp; Su, 2016)</w:t>
      </w:r>
      <w:r w:rsidRPr="00452E2E">
        <w:rPr>
          <w:szCs w:val="24"/>
        </w:rPr>
        <w:fldChar w:fldCharType="end"/>
      </w:r>
      <w:r w:rsidRPr="00452E2E">
        <w:rPr>
          <w:szCs w:val="24"/>
          <w:lang w:val="fr-FR"/>
        </w:rPr>
        <w:t xml:space="preserve">, organizational performance </w:t>
      </w:r>
      <w:r w:rsidRPr="00452E2E">
        <w:rPr>
          <w:szCs w:val="24"/>
        </w:rPr>
        <w:fldChar w:fldCharType="begin" w:fldLock="1"/>
      </w:r>
      <w:r w:rsidRPr="00452E2E">
        <w:rPr>
          <w:szCs w:val="24"/>
          <w:lang w:val="fr-FR"/>
        </w:rPr>
        <w:instrText>ADDIN CSL_CITATION { "citationItems" : [ { "id" : "ITEM-1",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w:instrText>
      </w:r>
      <w:r w:rsidRPr="00452E2E">
        <w:rPr>
          <w:szCs w:val="24"/>
        </w:rPr>
        <w:instrText xml:space="preserve">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"ITEM-1",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"id" : "ITEM-2",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"ITEM-2", "issue" : "5", "issued" : { "date-parts" : [ [ "2013" ] ] }, "page" : "573-594", "title" : "Effects of employees' perceptions on the relationship between HR practices and firm performance for Korean firms", "type" : "article-journal", "volume" : "42" }, "uris" : [ "http://www.mendeley.com/documents/?uuid=ffb61f90-b58e-4457-9560-eaad5c903c53" ] } ], "mendeley" : { "formattedCitation" : "(Gong et al. 2009; Choi &amp; Lee 2013)", "manualFormatting" : "(Gong et al., 2009; Elorza et al., 2011; Choi &amp; Lee, 2013)", "plainTextFormattedCitation" : "(Gong et al. 2009; Choi &amp; Lee 2013)", "previouslyFormattedCitation" : "(Gong et al. 2009; Choi &amp; Lee 2013)" }, "properties" : { "noteIndex" : 0 }, "schema" : "https://github.com/citation-style-language/schema/raw/master/csl-citation.json" }</w:instrText>
      </w:r>
      <w:r w:rsidRPr="00452E2E">
        <w:rPr>
          <w:szCs w:val="24"/>
        </w:rPr>
        <w:fldChar w:fldCharType="separate"/>
      </w:r>
      <w:r w:rsidRPr="00452E2E">
        <w:rPr>
          <w:noProof/>
          <w:szCs w:val="24"/>
        </w:rPr>
        <w:t xml:space="preserve">(Gong </w:t>
      </w:r>
      <w:r w:rsidRPr="00452E2E">
        <w:rPr>
          <w:i/>
          <w:noProof/>
          <w:szCs w:val="24"/>
        </w:rPr>
        <w:t>et al</w:t>
      </w:r>
      <w:r w:rsidRPr="00452E2E">
        <w:rPr>
          <w:noProof/>
          <w:szCs w:val="24"/>
        </w:rPr>
        <w:t xml:space="preserve">., 2009; Elorza </w:t>
      </w:r>
      <w:r w:rsidRPr="00452E2E">
        <w:rPr>
          <w:i/>
          <w:noProof/>
          <w:szCs w:val="24"/>
        </w:rPr>
        <w:t>et al</w:t>
      </w:r>
      <w:r w:rsidRPr="00452E2E">
        <w:rPr>
          <w:noProof/>
          <w:szCs w:val="24"/>
        </w:rPr>
        <w:t>., 2011; Choi &amp; Lee, 2013)</w:t>
      </w:r>
      <w:r w:rsidRPr="00452E2E">
        <w:rPr>
          <w:szCs w:val="24"/>
        </w:rPr>
        <w:fldChar w:fldCharType="end"/>
      </w:r>
      <w:r w:rsidRPr="00452E2E">
        <w:rPr>
          <w:szCs w:val="24"/>
        </w:rPr>
        <w:t xml:space="preserve">, among others. In the subsequent </w:t>
      </w:r>
      <w:r w:rsidR="00CD526C" w:rsidRPr="00452E2E">
        <w:rPr>
          <w:szCs w:val="24"/>
        </w:rPr>
        <w:t>sub-</w:t>
      </w:r>
      <w:r w:rsidRPr="00452E2E">
        <w:rPr>
          <w:szCs w:val="24"/>
        </w:rPr>
        <w:t xml:space="preserve">sections, </w:t>
      </w:r>
      <w:r w:rsidR="00CD526C" w:rsidRPr="00452E2E">
        <w:rPr>
          <w:szCs w:val="24"/>
        </w:rPr>
        <w:t xml:space="preserve">the concepts of </w:t>
      </w:r>
      <w:r w:rsidRPr="00452E2E">
        <w:rPr>
          <w:szCs w:val="24"/>
        </w:rPr>
        <w:t xml:space="preserve">job satisfaction and organizational commitment </w:t>
      </w:r>
      <w:r w:rsidR="003E7C2B" w:rsidRPr="00452E2E">
        <w:rPr>
          <w:szCs w:val="24"/>
        </w:rPr>
        <w:t>will</w:t>
      </w:r>
      <w:r w:rsidRPr="00452E2E">
        <w:rPr>
          <w:szCs w:val="24"/>
        </w:rPr>
        <w:t xml:space="preserve"> be defined whilst studies linking HR practices to each of these attitudes </w:t>
      </w:r>
      <w:r w:rsidR="003E7C2B" w:rsidRPr="00452E2E">
        <w:rPr>
          <w:szCs w:val="24"/>
        </w:rPr>
        <w:t>will</w:t>
      </w:r>
      <w:r w:rsidRPr="00452E2E">
        <w:rPr>
          <w:szCs w:val="24"/>
        </w:rPr>
        <w:t xml:space="preserve"> be reviewed.</w:t>
      </w:r>
    </w:p>
    <w:p w:rsidR="00D03A8E" w:rsidRPr="00452E2E" w:rsidRDefault="00D03A8E" w:rsidP="00D03A8E">
      <w:pPr>
        <w:pStyle w:val="Heading4"/>
      </w:pPr>
      <w:bookmarkStart w:id="65" w:name="_Toc473808127"/>
      <w:r w:rsidRPr="00452E2E">
        <w:lastRenderedPageBreak/>
        <w:t>3.3.1 Job Satisfaction</w:t>
      </w:r>
      <w:bookmarkEnd w:id="65"/>
    </w:p>
    <w:p w:rsidR="00D03A8E" w:rsidRPr="00452E2E" w:rsidRDefault="00D03A8E" w:rsidP="00D03A8E">
      <w:pPr>
        <w:spacing w:line="360" w:lineRule="auto"/>
        <w:jc w:val="both"/>
        <w:rPr>
          <w:szCs w:val="24"/>
        </w:rPr>
      </w:pPr>
      <w:r w:rsidRPr="00452E2E">
        <w:rPr>
          <w:szCs w:val="24"/>
        </w:rPr>
        <w:t xml:space="preserve">Perhaps the most researched variable in organizational behaviour research </w:t>
      </w:r>
      <w:r w:rsidRPr="00452E2E">
        <w:rPr>
          <w:szCs w:val="24"/>
        </w:rPr>
        <w:fldChar w:fldCharType="begin" w:fldLock="1"/>
      </w:r>
      <w:r w:rsidRPr="00452E2E">
        <w:rPr>
          <w:szCs w:val="24"/>
        </w:rPr>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"id" : "ITEM-2", "itemData" : { "author" : [ { "dropping-particle" : "", "family" : "Judge", "given" : "Timothy A", "non-dropping-particle" : "", "parse-names" : false, "suffix" : "" }, { "dropping-particle" : "", "family" : "Klinger", "given" : "R", "non-dropping-particle" : "", "parse-names" : false, "suffix" : "" } ], "container-title" : "The science of subjective well-being", "editor" : [ { "dropping-particle" : "", "family" : "Eid", "given" : "M", "non-dropping-particle" : "", "parse-names" : false, "suffix" : "" }, { "dropping-particle" : "", "family" : "Larsen", "given" : "R", "non-dropping-particle" : "", "parse-names" : false, "suffix" : "" } ], "id" : "ITEM-2", "issued" : { "date-parts" : [ [ "2007" ] ] }, "page" : "393-413", "publisher" : "Guildford Publication", "publisher-place" : "New York", "title" : "Job satisfaction: Subjective well-being at work", "type" : "chapter" }, "uris" : [ "http://www.mendeley.com/documents/?uuid=3bd0e217-3f61-479a-b58a-1fb1445f420f" ] }, { "id" : "ITEM-3", "itemData" : { "author" : [ { "dropping-particle" : "", "family" : "Artz", "given" : "Benjamin", "non-dropping-particle" : "", "parse-names" : false, "suffix" : "" } ], "container-title" : "International Journal of Manpower", "id" : "ITEM-3", "issue" : "6", "issued" : { "date-parts" : [ [ "2010" ] ] }, "page" : "626-644", "title" : "Fringe benefits and job satisfaction", "type" : "article-journal", "volume" : "31" }, "uris" : [ "http://www.mendeley.com/documents/?uuid=befb7ec4-5864-4c2e-8b09-ae41a5344053" ] }, { "id" : "ITEM-4", "itemData" : { "abstract" : "There is a tremendous amount of literature that explores the relationship between employee job satisfaction and intent to stay. Similarly, recent research in te area of human resources has focused on the impact of human resources practices on various organizational outcomes. In this article, the authors explore the relationships between training and development, and employee job satisfaction, loyalty, and intent to stay in four lodging properties in the United States. Results indicate that employees who perceive they have the opportunity to develop new skills are more satisfied with their jobs, more loyal, and more likely to stay with the organization.", "author" : [ { "dropping-particle" : "", "family" : "Costen", "given" : "Wanda M.", "non-dropping-particle" : "", "parse-names" : false, "suffix" : "" }, { "dropping-particle" : "", "family" : "Salazar", "given" : "John", "non-dropping-particle" : "", "parse-names" : false, "suffix" : "" } ], "container-title" : "Journal of Human Resources in Hospitality &amp; Tourism", "id" : "ITEM-4", "issue" : "3", "issued" : { "date-parts" : [ [ "2011" ] ] }, "page" : "273-284", "title" : "The impact of training and development on employee job satisfaction, loyalty, and intent to stay in the lodging industry", "type" : "article-journal", "volume" : "10" }, "uris" : [ "http://www.mendeley.com/documents/?uuid=ed2efca9-3f7c-4fb0-a550-c3ef49a90fa1" ] }, { "id" : "ITEM-5", "itemData" : { "DOI" : "10.1177/0886368712464471", "author" : [ { "dropping-particle" : "", "family" : "Giancola", "given" : "Frank L", "non-dropping-particle" : "", "parse-names" : false, "suffix" : "" } ], "container-title" : "Compensation &amp; Benefits Review", "id" : "ITEM-5", "issue" : "5", "issued" : { "date-parts" : [ [ "2012" ] ] }, "page" : "291-297", "title" : "Are employee benefit programs being given enough credit for their effect on employee attitudes ?", "type" : "article-journal", "volume" : "44" }, "uris" : [ "http://www.mendeley.com/documents/?uuid=f37a06aa-1938-4cf9-835d-185f066b7b2a" ] }, { "id" : "ITEM-6", "itemData" : { "abstract" : "Purpose: The purpose of this paper is to determine the effect of high-performance human resource practices on job satisfaction across four cultural regions\u2014Asia, Europe, North America, and Latin America. High-performance human resource practices were used to predict job satisfaction for each region and then compared to determine significant differences. Hofstede\u2019s cultural dimensions were employed as a basis for structuring hypothesized differences across cultural regions. Design/methodology/approach: Data were collected from a proprietary industry survey on employee work attitudes. The sample consisted of over 70,000 employees from four large multinational organizations with at least four offices in each of the four regions. Data were analyzed using regression analysis and comparison testing across models. Findings: There are significant relationships between job characteristics and job satisfaction across all regions of the world, with a sense of achievement universally the most important driver. Although job characteristics impact job satisfaction across all regions, there are significant differences in the relative importance of job characteristics on job satisfaction, consistent with Hofstede\u2019s cultural dimensions. Practical implications: The findings have implications for tailoring human resource management practices across locations within multinationals. Originality/value: This research is believed to be the first cross-cultural study of human resource practices affecting job satisfaction using multiple organizations and industries. (PsycINFO Database Record (c) 2014 APA, all rights reserved). (journal abstract)", "author" : [ { "dropping-particle" : "", "family" : "Andreassi", "given" : "Jeanine Karin", "non-dropping-particle" : "", "parse-names" : false, "suffix" : "" }, { "dropping-particle" : "", "family" : "Lawter", "given" : "Leanna", "non-dropping-particle" : "", "parse-names" : false, "suffix" : "" }, { "dropping-particle" : "", "family" : "Brockerhoff", "given" : "Martin", "non-dropping-particle" : "", "parse-names" : false, "suffix" : "" }, { "dropping-particle" : "", "family" : "Rutigliano", "given" : "Peter J.", "non-dropping-particle" : "", "parse-names" : false, "suffix" : "" } ], "container-title" : "Cross Cultural Management: An International Journal", "id" : "ITEM-6", "issue" : "1", "issued" : { "date-parts" : [ [ "2014" ] ] }, "page" : "55-77", "title" : "Cultural impact of human resource practices on job satisfaction: A global study across 48 countries", "type" : "article-journal", "volume" : "21" }, "uris" : [ "http://www.mendeley.com/documents/?uuid=f8edccd1-c3c7-4528-a229-6329cd6d7ef7" ] } ], "mendeley" : { "formattedCitation" : "(Wright &amp; Kim 2004; Judge &amp; Klinger 2007; Artz 2010; Costen &amp; Salazar 2011; Giancola 2012; Andreassi et al. 2014)", "manualFormatting" : "(Wright &amp; Kim, 2004; Judge &amp; Klinger, 2007; Artz, 2010; Costen &amp; Salazar, 2011; Giancola, 2012; Andreassi et al., 2014)", "plainTextFormattedCitation" : "(Wright &amp; Kim 2004; Judge &amp; Klinger 2007; Artz 2010; Costen &amp; Salazar 2011; Giancola 2012; Andreassi et al. 2014)", "previouslyFormattedCitation" : "(Wright &amp; Kim 2004; Judge &amp; Klinger 2007; Artz 2010; Costen &amp; Salazar 2011; Giancola 2012; Andreassi et al. 2014)" }, "properties" : { "noteIndex" : 0 }, "schema" : "https://github.com/citation-style-language/schema/raw/master/csl-citation.json" }</w:instrText>
      </w:r>
      <w:r w:rsidRPr="00452E2E">
        <w:rPr>
          <w:szCs w:val="24"/>
        </w:rPr>
        <w:fldChar w:fldCharType="separate"/>
      </w:r>
      <w:r w:rsidRPr="00452E2E">
        <w:rPr>
          <w:noProof/>
          <w:szCs w:val="24"/>
        </w:rPr>
        <w:t xml:space="preserve">(Wright &amp; Kim, 2004; Judge &amp; Klinger, 2007; Artz, 2010; Costen &amp; Salazar, 2011; Giancola, 2012; Andreassi </w:t>
      </w:r>
      <w:r w:rsidRPr="00452E2E">
        <w:rPr>
          <w:i/>
          <w:noProof/>
          <w:szCs w:val="24"/>
        </w:rPr>
        <w:t>et al</w:t>
      </w:r>
      <w:r w:rsidRPr="00452E2E">
        <w:rPr>
          <w:noProof/>
          <w:szCs w:val="24"/>
        </w:rPr>
        <w:t>., 2014)</w:t>
      </w:r>
      <w:r w:rsidRPr="00452E2E">
        <w:rPr>
          <w:szCs w:val="24"/>
        </w:rPr>
        <w:fldChar w:fldCharType="end"/>
      </w:r>
      <w:r w:rsidRPr="00452E2E">
        <w:rPr>
          <w:szCs w:val="24"/>
        </w:rPr>
        <w:t>, job satisfaction is the “pleasurable or positive emotional state resulting from the appraisal of one’s job or job experiences” (</w:t>
      </w:r>
      <w:r w:rsidRPr="00452E2E">
        <w:rPr>
          <w:szCs w:val="24"/>
        </w:rPr>
        <w:fldChar w:fldCharType="begin" w:fldLock="1"/>
      </w:r>
      <w:r w:rsidRPr="00452E2E">
        <w:rPr>
          <w:szCs w:val="24"/>
        </w:rPr>
        <w:instrText>ADDIN CSL_CITATION { "citationItems" : [ { "id" : "ITEM-1", "itemData" : { "author" : [ { "dropping-particle" : "", "family" : "Locke", "given" : "E.A", "non-dropping-particle" : "", "parse-names" : false, "suffix" : "" } ], "container-title" : "Handbook of industrial and organizational psychology", "editor" : [ { "dropping-particle" : "", "family" : "Dunnette", "given" : "M.D", "non-dropping-particle" : "", "parse-names" : false, "suffix" : "" } ], "id" : "ITEM-1", "issued" : { "date-parts" : [ [ "1976" ] ] }, "page" : "1297-1343", "publisher" : "Rand McNally", "publisher-place" : "Chicago", "title" : "The nature and causes of job satisfaction", "type" : "chapter" }, "uris" : [ "http://www.mendeley.com/documents/?uuid=5bc8e107-e458-4591-b273-cea10939779a" ] } ], "mendeley" : { "formattedCitation" : "(Locke 1976)", "manualFormatting" : "Locke 1976, p.1300)", "plainTextFormattedCitation" : "(Locke 1976)", "previouslyFormattedCitation" : "(Locke 1976)" }, "properties" : { "noteIndex" : 0 }, "schema" : "https://github.com/citation-style-language/schema/raw/master/csl-citation.json" }</w:instrText>
      </w:r>
      <w:r w:rsidRPr="00452E2E">
        <w:rPr>
          <w:szCs w:val="24"/>
        </w:rPr>
        <w:fldChar w:fldCharType="separate"/>
      </w:r>
      <w:r w:rsidRPr="00452E2E">
        <w:rPr>
          <w:noProof/>
          <w:szCs w:val="24"/>
        </w:rPr>
        <w:t>Locke 1976, p.1300)</w:t>
      </w:r>
      <w:r w:rsidRPr="00452E2E">
        <w:rPr>
          <w:szCs w:val="24"/>
        </w:rPr>
        <w:fldChar w:fldCharType="end"/>
      </w:r>
      <w:r w:rsidRPr="00452E2E">
        <w:rPr>
          <w:szCs w:val="24"/>
        </w:rPr>
        <w:t xml:space="preserve">.  For </w:t>
      </w:r>
      <w:r w:rsidRPr="00452E2E">
        <w:rPr>
          <w:szCs w:val="24"/>
        </w:rPr>
        <w:fldChar w:fldCharType="begin" w:fldLock="1"/>
      </w:r>
      <w:r w:rsidRPr="00452E2E">
        <w:rPr>
          <w:szCs w:val="24"/>
        </w:rPr>
        <w:instrText>ADDIN CSL_CITATION { "citationItems" : [ { "id" : "ITEM-1", "itemData" : { "author" : [ { "dropping-particle" : "", "family" : "Spector", "given" : "P.E", "non-dropping-particle" : "", "parse-names" : false, "suffix" : "" } ], "id" : "ITEM-1", "issued" : { "date-parts" : [ [ "1997" ] ] }, "publisher" : "SAGE Publications", "publisher-place" : "Thousand Oaks", "title" : "Job Satisfaction: Application, assessment, causes, and consequences", "type" : "book" }, "uris" : [ "http://www.mendeley.com/documents/?uuid=a97a15be-d698-49d3-a82d-e58b90162374" ] } ], "mendeley" : { "formattedCitation" : "(Spector 1997)", "manualFormatting" : "Spector (1997 p.2)", "plainTextFormattedCitation" : "(Spector 1997)", "previouslyFormattedCitation" : "(Spector 1997)" }, "properties" : { "noteIndex" : 0 }, "schema" : "https://github.com/citation-style-language/schema/raw/master/csl-citation.json" }</w:instrText>
      </w:r>
      <w:r w:rsidRPr="00452E2E">
        <w:rPr>
          <w:szCs w:val="24"/>
        </w:rPr>
        <w:fldChar w:fldCharType="separate"/>
      </w:r>
      <w:r w:rsidRPr="00452E2E">
        <w:rPr>
          <w:noProof/>
          <w:szCs w:val="24"/>
        </w:rPr>
        <w:t>Spector (1997</w:t>
      </w:r>
      <w:r w:rsidR="00C41678" w:rsidRPr="00452E2E">
        <w:rPr>
          <w:noProof/>
          <w:szCs w:val="24"/>
        </w:rPr>
        <w:t>,</w:t>
      </w:r>
      <w:r w:rsidRPr="00452E2E">
        <w:rPr>
          <w:noProof/>
          <w:szCs w:val="24"/>
        </w:rPr>
        <w:t xml:space="preserve"> p.2)</w:t>
      </w:r>
      <w:r w:rsidRPr="00452E2E">
        <w:rPr>
          <w:szCs w:val="24"/>
        </w:rPr>
        <w:fldChar w:fldCharType="end"/>
      </w:r>
      <w:r w:rsidRPr="00452E2E">
        <w:rPr>
          <w:szCs w:val="24"/>
        </w:rPr>
        <w:t xml:space="preserve">, “job satisfaction is simply how people feel about their jobs. It is the extent to which people like (satisfaction) or dislike (dissatisfaction) their jobs”. It has also been viewed as an attitude towards an individual’s job, such that individuals who are satisfied will generally express positive attitudes towards their jobs whilst dissatisfied ones are more likely to express negative attitudes </w:t>
      </w:r>
      <w:r w:rsidRPr="00452E2E">
        <w:rPr>
          <w:szCs w:val="24"/>
        </w:rPr>
        <w:fldChar w:fldCharType="begin" w:fldLock="1"/>
      </w:r>
      <w:r w:rsidRPr="00452E2E">
        <w:rPr>
          <w:szCs w:val="24"/>
        </w:rPr>
        <w:instrText>ADDIN CSL_CITATION { "citationItems" : [ { "id" : "ITEM-1", "itemData" : { "author" : [ { "dropping-particle" : "", "family" : "Brief", "given" : "A.P", "non-dropping-particle" : "", "parse-names" : false, "suffix" : "" } ], "id" : "ITEM-1", "issued" : { "date-parts" : [ [ "1998" ] ] }, "publisher" : "SAGE", "publisher-place" : "Thousand Oaks, CA", "title" : "Attitudes in and around organizations", "type" : "book" }, "uris" : [ "http://www.mendeley.com/documents/?uuid=0219bdb4-c59a-4adc-81d2-8e47a1bafd46" ] } ], "mendeley" : { "formattedCitation" : "(Brief 1998)", "manualFormatting" : "(Brief, 1998)", "plainTextFormattedCitation" : "(Brief 1998)", "previouslyFormattedCitation" : "(Brief 1998)" }, "properties" : { "noteIndex" : 0 }, "schema" : "https://github.com/citation-style-language/schema/raw/master/csl-citation.json" }</w:instrText>
      </w:r>
      <w:r w:rsidRPr="00452E2E">
        <w:rPr>
          <w:szCs w:val="24"/>
        </w:rPr>
        <w:fldChar w:fldCharType="separate"/>
      </w:r>
      <w:r w:rsidRPr="00452E2E">
        <w:rPr>
          <w:noProof/>
          <w:szCs w:val="24"/>
        </w:rPr>
        <w:t>(Brief, 1998)</w:t>
      </w:r>
      <w:r w:rsidRPr="00452E2E">
        <w:rPr>
          <w:szCs w:val="24"/>
        </w:rPr>
        <w:fldChar w:fldCharType="end"/>
      </w:r>
      <w:r w:rsidRPr="00452E2E">
        <w:rPr>
          <w:szCs w:val="24"/>
        </w:rPr>
        <w:t xml:space="preserve">. This explains why organizations strive to maintain a satisfied workforce </w:t>
      </w:r>
      <w:r w:rsidRPr="00452E2E">
        <w:rPr>
          <w:szCs w:val="24"/>
        </w:rPr>
        <w:fldChar w:fldCharType="begin" w:fldLock="1"/>
      </w:r>
      <w:r w:rsidRPr="00452E2E">
        <w:rPr>
          <w:szCs w:val="24"/>
        </w:rPr>
        <w:instrText>ADDIN CSL_CITATION { "citationItems" : [ { "id" : "ITEM-1", "itemData" : { "author" : [ { "dropping-particle" : "", "family" : "Saari", "given" : "L.M", "non-dropping-particle" : "", "parse-names" : false, "suffix" : "" }, { "dropping-particle" : "", "family" : "Judge", "given" : "Timothy A", "non-dropping-particle" : "", "parse-names" : false, "suffix" : "" } ], "container-title" : "Human Resource Management", "id" : "ITEM-1", "issue" : "4", "issued" : { "date-parts" : [ [ "2004" ] ] }, "page" : "395-407", "title" : "Employee attitudes and job satisfaction", "type" : "article-journal", "volume" : "43" }, "uris" : [ "http://www.mendeley.com/documents/?uuid=b00bdb36-14b0-4cc4-a366-24d8612000cd" ] } ], "mendeley" : { "formattedCitation" : "(Saari &amp; Judge 2004)", "manualFormatting" : "(Saari &amp; Judge, 2004)", "plainTextFormattedCitation" : "(Saari &amp; Judge 2004)", "previouslyFormattedCitation" : "(Saari &amp; Judge 2004)" }, "properties" : { "noteIndex" : 0 }, "schema" : "https://github.com/citation-style-language/schema/raw/master/csl-citation.json" }</w:instrText>
      </w:r>
      <w:r w:rsidRPr="00452E2E">
        <w:rPr>
          <w:szCs w:val="24"/>
        </w:rPr>
        <w:fldChar w:fldCharType="separate"/>
      </w:r>
      <w:r w:rsidRPr="00452E2E">
        <w:rPr>
          <w:noProof/>
          <w:szCs w:val="24"/>
        </w:rPr>
        <w:t>(Saari &amp; Judge, 2004)</w:t>
      </w:r>
      <w:r w:rsidRPr="00452E2E">
        <w:rPr>
          <w:szCs w:val="24"/>
        </w:rPr>
        <w:fldChar w:fldCharType="end"/>
      </w:r>
      <w:r w:rsidRPr="00452E2E">
        <w:rPr>
          <w:szCs w:val="24"/>
        </w:rPr>
        <w:t xml:space="preserve">. Thus, the core of job satisfaction is that it enables individuals </w:t>
      </w:r>
      <w:r w:rsidR="006C16BE" w:rsidRPr="00452E2E">
        <w:rPr>
          <w:szCs w:val="24"/>
        </w:rPr>
        <w:t xml:space="preserve">to </w:t>
      </w:r>
      <w:r w:rsidRPr="00452E2E">
        <w:rPr>
          <w:szCs w:val="24"/>
        </w:rPr>
        <w:t xml:space="preserve">demonstrate positive attitudes towards their jobs, which makes them more productive </w:t>
      </w:r>
      <w:r w:rsidRPr="00452E2E">
        <w:rPr>
          <w:szCs w:val="24"/>
        </w:rPr>
        <w:fldChar w:fldCharType="begin" w:fldLock="1"/>
      </w:r>
      <w:r w:rsidRPr="00452E2E">
        <w:rPr>
          <w:szCs w:val="24"/>
        </w:rPr>
        <w:instrText>ADDIN CSL_CITATION { "citationItems" : [ { "id" : "ITEM-1", "itemData" : { "author" : [ { "dropping-particle" : "", "family" : "Saari", "given" : "L.M", "non-dropping-particle" : "", "parse-names" : false, "suffix" : "" }, { "dropping-particle" : "", "family" : "Judge", "given" : "Timothy A", "non-dropping-particle" : "", "parse-names" : false, "suffix" : "" } ], "container-title" : "Human Resource Management", "id" : "ITEM-1", "issue" : "4", "issued" : { "date-parts" : [ [ "2004" ] ] }, "page" : "395-407", "title" : "Employee attitudes and job satisfaction", "type" : "article-journal", "volume" : "43" }, "uris" : [ "http://www.mendeley.com/documents/?uuid=b00bdb36-14b0-4cc4-a366-24d8612000cd" ] } ], "mendeley" : { "formattedCitation" : "(Saari &amp; Judge 2004)", "manualFormatting" : "(Saari &amp; Judge, 2004; Judge &amp; Kammeyer-Mueller, 2012)", "plainTextFormattedCitation" : "(Saari &amp; Judge 2004)", "previouslyFormattedCitation" : "(Saari &amp; Judge 2004)" }, "properties" : { "noteIndex" : 0 }, "schema" : "https://github.com/citation-style-language/schema/raw/master/csl-citation.json" }</w:instrText>
      </w:r>
      <w:r w:rsidRPr="00452E2E">
        <w:rPr>
          <w:szCs w:val="24"/>
        </w:rPr>
        <w:fldChar w:fldCharType="separate"/>
      </w:r>
      <w:r w:rsidRPr="00452E2E">
        <w:rPr>
          <w:noProof/>
          <w:szCs w:val="24"/>
        </w:rPr>
        <w:t>(Saari &amp; Judge, 2004; Judge &amp; Kammeyer-Mueller, 2012)</w:t>
      </w:r>
      <w:r w:rsidRPr="00452E2E">
        <w:rPr>
          <w:szCs w:val="24"/>
        </w:rPr>
        <w:fldChar w:fldCharType="end"/>
      </w:r>
      <w:r w:rsidRPr="00452E2E">
        <w:rPr>
          <w:szCs w:val="24"/>
        </w:rPr>
        <w:t>.</w:t>
      </w:r>
    </w:p>
    <w:p w:rsidR="00D03A8E" w:rsidRPr="00452E2E" w:rsidRDefault="00D03A8E" w:rsidP="00D03A8E">
      <w:pPr>
        <w:spacing w:line="360" w:lineRule="auto"/>
        <w:jc w:val="both"/>
        <w:rPr>
          <w:szCs w:val="24"/>
        </w:rPr>
      </w:pPr>
      <w:r w:rsidRPr="00452E2E">
        <w:rPr>
          <w:szCs w:val="24"/>
        </w:rPr>
        <w:t xml:space="preserve">Job satisfaction can be conceptualized as either a global construct or as a multidimensional construct </w:t>
      </w:r>
      <w:r w:rsidRPr="00452E2E">
        <w:rPr>
          <w:szCs w:val="24"/>
        </w:rPr>
        <w:fldChar w:fldCharType="begin" w:fldLock="1"/>
      </w:r>
      <w:r w:rsidRPr="00452E2E">
        <w:rPr>
          <w:szCs w:val="24"/>
        </w:rPr>
        <w:instrText>ADDIN CSL_CITATION { "citationItems" : [ { "id" : "ITEM-1", "itemData" : { "author" : [ { "dropping-particle" : "", "family" : "Judge", "given" : "Timothy A", "non-dropping-particle" : "", "parse-names" : false, "suffix" : "" }, { "dropping-particle" : "", "family" : "Klinger", "given" : "R", "non-dropping-particle" : "", "parse-names" : false, "suffix" : "" } ], "container-title" : "The science of subjective well-being", "editor" : [ { "dropping-particle" : "", "family" : "Eid", "given" : "M", "non-dropping-particle" : "", "parse-names" : false, "suffix" : "" }, { "dropping-particle" : "", "family" : "Larsen", "given" : "R", "non-dropping-particle" : "", "parse-names" : false, "suffix" : "" } ], "id" : "ITEM-1", "issued" : { "date-parts" : [ [ "2007" ] ] }, "page" : "393-413", "publisher" : "Guildford Publication", "publisher-place" : "New York", "title" : "Job satisfaction: Subjective well-being at work", "type" : "chapter" }, "uris" : [ "http://www.mendeley.com/documents/?uuid=3bd0e217-3f61-479a-b58a-1fb1445f420f" ] } ], "mendeley" : { "formattedCitation" : "(Judge &amp; Klinger 2007)", "manualFormatting" : "(Judge &amp; Klinger, 2007)", "plainTextFormattedCitation" : "(Judge &amp; Klinger 2007)", "previouslyFormattedCitation" : "(Judge &amp; Klinger 2007)" }, "properties" : { "noteIndex" : 0 }, "schema" : "https://github.com/citation-style-language/schema/raw/master/csl-citation.json" }</w:instrText>
      </w:r>
      <w:r w:rsidRPr="00452E2E">
        <w:rPr>
          <w:szCs w:val="24"/>
        </w:rPr>
        <w:fldChar w:fldCharType="separate"/>
      </w:r>
      <w:r w:rsidRPr="00452E2E">
        <w:rPr>
          <w:noProof/>
          <w:szCs w:val="24"/>
        </w:rPr>
        <w:t>(Judge &amp; Klinger, 2007)</w:t>
      </w:r>
      <w:r w:rsidRPr="00452E2E">
        <w:rPr>
          <w:szCs w:val="24"/>
        </w:rPr>
        <w:fldChar w:fldCharType="end"/>
      </w:r>
      <w:r w:rsidRPr="00452E2E">
        <w:rPr>
          <w:szCs w:val="24"/>
        </w:rPr>
        <w:t xml:space="preserve">. When construed as a global construct, the overall job satisfaction is measured using scales that seek to obtain an all-encompassing satisfaction level with the job across different aspects of the job. As a global construct, job satisfaction can be measured using single-item measures or multi-item measures </w:t>
      </w:r>
      <w:r w:rsidRPr="00452E2E">
        <w:rPr>
          <w:noProof/>
          <w:szCs w:val="24"/>
        </w:rPr>
        <w:fldChar w:fldCharType="begin" w:fldLock="1"/>
      </w:r>
      <w:r w:rsidRPr="00452E2E">
        <w:rPr>
          <w:noProof/>
          <w:szCs w:val="24"/>
        </w:rPr>
        <w:instrText>ADDIN CSL_CITATION { "citationItems" : [ { "id" : "ITEM-1", "itemData" : { "abstract" : "An attitude scale to give an index of job satisfaction was constructed by a combination of Thurstone and Likert scaling methods. A corrected odd-even reliability coefficient of .87 was computed from scores obtained from a sample of 231 female office employees. Validity was investigated by comparing job satisfaction scores of two groups: (1) 40 students who had personnel jobs, and (2) 51 persons who did not. The mean for the personnel group was 76.9, and for the Non-Personnel group was 65.4. Correlation with the Hoppock Job Satisfaction Blank was r = .92. (PsycINFO Database Record (c) 2012 APA, all rights reserved)", "author" : [ { "dropping-particle" : "", "family" : "Brayfield", "given" : "Arthur H.", "non-dropping-particle" : "", "parse-names" : false, "suffix" : "" }, { "dropping-particle" : "", "family" : "Rothe", "given" : "Harold F.", "non-dropping-particle" : "", "parse-names" : false, "suffix" : "" } ], "container-title" : "Journal of Applied Psychology", "id" : "ITEM-1", "issue" : "5", "issued" : { "date-parts" : [ [ "1951" ] ] }, "page" : "307-311", "title" : "An index of job satisfaction", "type" : "article-journal", "volume" : "35" }, "uris" : [ "http://www.mendeley.com/documents/?uuid=db7fc512-c01e-4dbb-9d01-862301f59ff6" ] }, { "id" : "ITEM-2", "itemData" : { "author" : [ { "dropping-particle" : "", "family" : "Judge", "given" : "T.A", "non-dropping-particle" : "", "parse-names" : false, "suffix" : "" }, { "dropping-particle" : "", "family" : "Boudreau", "given" : "J.W", "non-dropping-particle" : "", "parse-names" : false, "suffix" : "" }, { "dropping-particle" : "", "family" : "Bretz", "given" : "R.D", "non-dropping-particle" : "", "parse-names" : false, "suffix" : "" } ], "container-title" : "Journal of Applied Psychology", "id" : "ITEM-2", "issued" : { "date-parts" : [ [ "1994" ] ] }, "page" : "767-782", "title" : "Job and life attitudes of male executives", "type" : "article-journal", "volume" : "79" }, "uris" : [ "http://www.mendeley.com/documents/?uuid=8912edaf-b873-4f49-aade-a37588681434" ] } ], "mendeley" : { "formattedCitation" : "(Brayfield &amp; Rothe 1951; Judge et al. 1994)", "manualFormatting" : "(Brayfield &amp; Rothe, 1951; Judge et al., 1994)", "plainTextFormattedCitation" : "(Brayfield &amp; Rothe 1951; Judge et al. 1994)", "previouslyFormattedCitation" : "(Brayfield &amp; Rothe 1951; Judge et al. 1994)" }, "properties" : { "noteIndex" : 0 }, "schema" : "https://github.com/citation-style-language/schema/raw/master/csl-citation.json" }</w:instrText>
      </w:r>
      <w:r w:rsidRPr="00452E2E">
        <w:rPr>
          <w:noProof/>
          <w:szCs w:val="24"/>
        </w:rPr>
        <w:fldChar w:fldCharType="separate"/>
      </w:r>
      <w:r w:rsidRPr="00452E2E">
        <w:rPr>
          <w:noProof/>
          <w:szCs w:val="24"/>
        </w:rPr>
        <w:t xml:space="preserve">(Brayfield &amp; Rothe, 1951; Judge </w:t>
      </w:r>
      <w:r w:rsidRPr="00452E2E">
        <w:rPr>
          <w:i/>
          <w:noProof/>
          <w:szCs w:val="24"/>
        </w:rPr>
        <w:t>et al</w:t>
      </w:r>
      <w:r w:rsidRPr="00452E2E">
        <w:rPr>
          <w:noProof/>
          <w:szCs w:val="24"/>
        </w:rPr>
        <w:t>., 1994)</w:t>
      </w:r>
      <w:r w:rsidRPr="00452E2E">
        <w:rPr>
          <w:noProof/>
          <w:szCs w:val="24"/>
        </w:rPr>
        <w:fldChar w:fldCharType="end"/>
      </w:r>
      <w:r w:rsidRPr="00452E2E">
        <w:rPr>
          <w:noProof/>
          <w:szCs w:val="24"/>
        </w:rPr>
        <w:t xml:space="preserve"> </w:t>
      </w:r>
      <w:r w:rsidRPr="00452E2E">
        <w:rPr>
          <w:szCs w:val="24"/>
        </w:rPr>
        <w:t xml:space="preserve">to get the total job satisfaction levels. The problem with single-item measures however is that such measures are not susceptible to internal consistency analysis therefore reliability is often not performed on single-item measures (cf. Steel &amp; Rentsch, 1997). On the other hand, when viewed as a multidimensional construct, job satisfaction is construed as the sum of facets </w:t>
      </w:r>
      <w:r w:rsidRPr="00452E2E">
        <w:rPr>
          <w:szCs w:val="24"/>
        </w:rPr>
        <w:fldChar w:fldCharType="begin" w:fldLock="1"/>
      </w:r>
      <w:r w:rsidRPr="00452E2E">
        <w:rPr>
          <w:szCs w:val="24"/>
        </w:rPr>
        <w:instrText>ADDIN CSL_CITATION { "citationItems" : [ { "id" : "ITEM-1", "itemData" : { "author" : [ { "dropping-particle" : "", "family" : "Smith", "given" : "P.C", "non-dropping-particle" : "", "parse-names" : false, "suffix" : "" }, { "dropping-particle" : "", "family" : "Kendall", "given" : "L.M", "non-dropping-particle" : "", "parse-names" : false, "suffix" : "" }, { "dropping-particle" : "", "family" : "Hulin", "given" : "C.L", "non-dropping-particle" : "", "parse-names" : false, "suffix" : "" } ], "id" : "ITEM-1", "issued" : { "date-parts" : [ [ "1969" ] ] }, "publisher" : "Rand McNally", "publisher-place" : "Chicago", "title" : "The measurement of job satisfaction in work and retirement", "type" : "book" }, "uris" : [ "http://www.mendeley.com/documents/?uuid=1354144e-3bcf-48b4-b9ea-574993264917" ] }, { "id" : "ITEM-2", "itemData" : { "author" : [ { "dropping-particle" : "", "family" : "Spector", "given" : "P.E", "non-dropping-particle" : "", "parse-names" : false, "suffix" : "" } ], "id" : "ITEM-2", "issued" : { "date-parts" : [ [ "1997" ] ] }, "publisher" : "SAGE Publications", "publisher-place" : "Thousand Oaks", "title" : "Job Satisfaction: Application, assessment, causes, and consequences", "type" : "book" }, "uris" : [ "http://www.mendeley.com/documents/?uuid=a97a15be-d698-49d3-a82d-e58b90162374" ] } ], "mendeley" : { "formattedCitation" : "(Smith et al. 1969; Spector 1997)", "manualFormatting" : "(Smith et al., 1969; Spector, 1997)", "plainTextFormattedCitation" : "(Smith et al. 1969; Spector 1997)", "previouslyFormattedCitation" : "(Smith et al. 1969; Spector 1997)" }, "properties" : { "noteIndex" : 0 }, "schema" : "https://github.com/citation-style-language/schema/raw/master/csl-citation.json" }</w:instrText>
      </w:r>
      <w:r w:rsidRPr="00452E2E">
        <w:rPr>
          <w:szCs w:val="24"/>
        </w:rPr>
        <w:fldChar w:fldCharType="separate"/>
      </w:r>
      <w:r w:rsidRPr="00452E2E">
        <w:rPr>
          <w:noProof/>
          <w:szCs w:val="24"/>
        </w:rPr>
        <w:t xml:space="preserve">(Smith </w:t>
      </w:r>
      <w:r w:rsidRPr="00452E2E">
        <w:rPr>
          <w:i/>
          <w:noProof/>
          <w:szCs w:val="24"/>
        </w:rPr>
        <w:t>et al</w:t>
      </w:r>
      <w:r w:rsidRPr="00452E2E">
        <w:rPr>
          <w:noProof/>
          <w:szCs w:val="24"/>
        </w:rPr>
        <w:t>., 1969; Spector, 1997)</w:t>
      </w:r>
      <w:r w:rsidRPr="00452E2E">
        <w:rPr>
          <w:szCs w:val="24"/>
        </w:rPr>
        <w:fldChar w:fldCharType="end"/>
      </w:r>
      <w:r w:rsidRPr="00452E2E">
        <w:rPr>
          <w:szCs w:val="24"/>
        </w:rPr>
        <w:t xml:space="preserve">. As a multidimensional construct, Smith </w:t>
      </w:r>
      <w:r w:rsidRPr="00452E2E">
        <w:rPr>
          <w:i/>
          <w:szCs w:val="24"/>
        </w:rPr>
        <w:t>et al</w:t>
      </w:r>
      <w:r w:rsidR="00FE4603" w:rsidRPr="00452E2E">
        <w:rPr>
          <w:i/>
          <w:szCs w:val="24"/>
        </w:rPr>
        <w:t>.</w:t>
      </w:r>
      <w:r w:rsidRPr="00452E2E">
        <w:rPr>
          <w:szCs w:val="24"/>
        </w:rPr>
        <w:t xml:space="preserve"> (1969) identified five facets of job satisfaction namely, work itself, co-workers, supervision, pay, and promotion. Spector (1997) extended these facets to include fringe benefits, contingent rewards, operating conditions, and communication. </w:t>
      </w:r>
    </w:p>
    <w:p w:rsidR="00D03A8E" w:rsidRPr="00452E2E" w:rsidRDefault="00D03A8E" w:rsidP="00D03A8E">
      <w:pPr>
        <w:spacing w:line="360" w:lineRule="auto"/>
        <w:jc w:val="both"/>
        <w:rPr>
          <w:szCs w:val="24"/>
        </w:rPr>
      </w:pPr>
      <w:r w:rsidRPr="00452E2E">
        <w:rPr>
          <w:szCs w:val="24"/>
        </w:rPr>
        <w:t xml:space="preserve">Whilst both the global and facet approaches are valid, </w:t>
      </w:r>
      <w:r w:rsidRPr="00452E2E">
        <w:rPr>
          <w:szCs w:val="24"/>
        </w:rPr>
        <w:fldChar w:fldCharType="begin" w:fldLock="1"/>
      </w:r>
      <w:r w:rsidRPr="00452E2E">
        <w:rPr>
          <w:szCs w:val="24"/>
        </w:rPr>
        <w:instrText>ADDIN CSL_CITATION { "citationItems" : [ { "id" : "ITEM-1", "itemData" : { "DOI" : "10.1007/BF02230397", "ISBN" : "0889-3268", "ISSN" : "08893268", "author" : [ { "dropping-particle" : "", "family" : "Highhouse", "given" : "Scott", "non-dropping-particle" : "", "parse-names" : false, "suffix" : "" }, { "dropping-particle" : "", "family" : "Becker", "given" : "Alene S.", "non-dropping-particle" : "", "parse-names" : false, "suffix" : "" } ], "container-title" : "Journal of Business and Psychology", "id" : "ITEM-1", "issue" : "1", "issued" : { "date-parts" : [ [ "1993" ] ] }, "page" : "117-127", "title" : "Facet measures and global job satisfaction", "type" : "article-journal", "volume" : "8" }, "uris" : [ "http://www.mendeley.com/documents/?uuid=f889f079-84b6-458f-9f36-c40f98b196be" ] } ], "mendeley" : { "formattedCitation" : "(Highhouse &amp; Becker 1993)", "manualFormatting" : "Highhouse and Becker (1993)", "plainTextFormattedCitation" : "(Highhouse &amp; Becker 1993)", "previouslyFormattedCitation" : "(Highhouse &amp; Becker 1993)" }, "properties" : { "noteIndex" : 0 }, "schema" : "https://github.com/citation-style-language/schema/raw/master/csl-citation.json" }</w:instrText>
      </w:r>
      <w:r w:rsidRPr="00452E2E">
        <w:rPr>
          <w:szCs w:val="24"/>
        </w:rPr>
        <w:fldChar w:fldCharType="separate"/>
      </w:r>
      <w:r w:rsidRPr="00452E2E">
        <w:rPr>
          <w:noProof/>
          <w:szCs w:val="24"/>
        </w:rPr>
        <w:t xml:space="preserve">Highhouse </w:t>
      </w:r>
      <w:r w:rsidR="00D97A42" w:rsidRPr="00452E2E">
        <w:rPr>
          <w:noProof/>
          <w:szCs w:val="24"/>
        </w:rPr>
        <w:t>&amp;</w:t>
      </w:r>
      <w:r w:rsidRPr="00452E2E">
        <w:rPr>
          <w:noProof/>
          <w:szCs w:val="24"/>
        </w:rPr>
        <w:t xml:space="preserve"> Becker (1993)</w:t>
      </w:r>
      <w:r w:rsidRPr="00452E2E">
        <w:rPr>
          <w:szCs w:val="24"/>
        </w:rPr>
        <w:fldChar w:fldCharType="end"/>
      </w:r>
      <w:r w:rsidRPr="00452E2E">
        <w:rPr>
          <w:szCs w:val="24"/>
        </w:rPr>
        <w:t xml:space="preserve"> observed that facet measures of job satisfaction do not include all the </w:t>
      </w:r>
      <w:r w:rsidRPr="00452E2E">
        <w:rPr>
          <w:szCs w:val="24"/>
        </w:rPr>
        <w:lastRenderedPageBreak/>
        <w:t xml:space="preserve">components employees may consider in arriving at their overall perception of job satisfaction. Similarly, Judge </w:t>
      </w:r>
      <w:r w:rsidR="00073C35" w:rsidRPr="00452E2E">
        <w:rPr>
          <w:szCs w:val="24"/>
        </w:rPr>
        <w:t>&amp;</w:t>
      </w:r>
      <w:r w:rsidRPr="00452E2E">
        <w:rPr>
          <w:szCs w:val="24"/>
        </w:rPr>
        <w:t xml:space="preserve"> Klinger (2007) questioned the facet satisfaction approach saying that “the whole is not the same as the sum of the parts” </w:t>
      </w:r>
      <w:r w:rsidRPr="00452E2E">
        <w:rPr>
          <w:szCs w:val="24"/>
        </w:rPr>
        <w:fldChar w:fldCharType="begin" w:fldLock="1"/>
      </w:r>
      <w:r w:rsidRPr="00452E2E">
        <w:rPr>
          <w:szCs w:val="24"/>
        </w:rPr>
        <w:instrText>ADDIN CSL_CITATION { "citationItems" : [ { "id" : "ITEM-1", "itemData" : { "author" : [ { "dropping-particle" : "", "family" : "Judge", "given" : "Timothy A", "non-dropping-particle" : "", "parse-names" : false, "suffix" : "" }, { "dropping-particle" : "", "family" : "Klinger", "given" : "R", "non-dropping-particle" : "", "parse-names" : false, "suffix" : "" } ], "container-title" : "The science of subjective well-being", "editor" : [ { "dropping-particle" : "", "family" : "Eid", "given" : "M", "non-dropping-particle" : "", "parse-names" : false, "suffix" : "" }, { "dropping-particle" : "", "family" : "Larsen", "given" : "R", "non-dropping-particle" : "", "parse-names" : false, "suffix" : "" } ], "id" : "ITEM-1", "issued" : { "date-parts" : [ [ "2007" ] ] }, "page" : "393-413", "publisher" : "Guildford Publication", "publisher-place" : "New York", "title" : "Job satisfaction: Subjective well-being at work", "type" : "chapter" }, "uris" : [ "http://www.mendeley.com/documents/?uuid=3bd0e217-3f61-479a-b58a-1fb1445f420f" ] } ], "mendeley" : { "formattedCitation" : "(Judge &amp; Klinger 2007)", "manualFormatting" : "(Judge &amp; Klinger, 2007 p.397)", "plainTextFormattedCitation" : "(Judge &amp; Klinger 2007)", "previouslyFormattedCitation" : "(Judge &amp; Klinger 2007)" }, "properties" : { "noteIndex" : 0 }, "schema" : "https://github.com/citation-style-language/schema/raw/master/csl-citation.json" }</w:instrText>
      </w:r>
      <w:r w:rsidRPr="00452E2E">
        <w:rPr>
          <w:szCs w:val="24"/>
        </w:rPr>
        <w:fldChar w:fldCharType="separate"/>
      </w:r>
      <w:r w:rsidRPr="00452E2E">
        <w:rPr>
          <w:noProof/>
          <w:szCs w:val="24"/>
        </w:rPr>
        <w:t>(Judge &amp; Klinger, 2007 p.397)</w:t>
      </w:r>
      <w:r w:rsidRPr="00452E2E">
        <w:rPr>
          <w:szCs w:val="24"/>
        </w:rPr>
        <w:fldChar w:fldCharType="end"/>
      </w:r>
      <w:r w:rsidRPr="00452E2E">
        <w:rPr>
          <w:szCs w:val="24"/>
        </w:rPr>
        <w:t xml:space="preserve">. Moreover, when treated as an outcome variable in research, it is more common to view job satisfaction as a global construct </w:t>
      </w:r>
      <w:r w:rsidRPr="00452E2E">
        <w:rPr>
          <w:szCs w:val="24"/>
        </w:rPr>
        <w:fldChar w:fldCharType="begin" w:fldLock="1"/>
      </w:r>
      <w:r w:rsidRPr="00452E2E">
        <w:rPr>
          <w:szCs w:val="24"/>
        </w:rPr>
        <w:instrText>ADDIN CSL_CITATION { "citationItems" : [ { "id" : "ITEM-1", "itemData" : { "DOI" : "10.1146/annurev-psych-120710-100511", "ISBN" : "1545-2085", "ISSN" : "0066-4308", "PMID" : "22129457", "abstract" : "Job attitudes research is arguably the most venerable and popular topic in organizational psychology. This article surveys the field as it has been constituted in the past several years. Definitional issues are addressed first, in an attempt to clarify the nature, scope, and structure of job attitudes. The distinction between cognitive and affective bases of job attitudes has been an issue of debate, and recent research using within-persons designs has done much to inform this discussion. Recent research has also begun to reformulate the question of dispositional or situational influences on employee attitudes by addressing how these factors might work together to influence attitudes. Finally, there has also been a continual growth in research investigating how employee attitudes are related to a variety of behaviors at both the individual and aggregated level of analysis. [ABSTRACT FROM AUTHOR]\\nCopyright of Annual Review of Psychology is the property of Annual Reviews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"Judge", "given" : "Timothy A.", "non-dropping-particle" : "", "parse-names" : false, "suffix" : "" }, { "dropping-particle" : "", "family" : "Kammeyer-Mueller", "given" : "John D.", "non-dropping-particle" : "", "parse-names" : false, "suffix" : "" } ], "container-title" : "Annual Review of Psychology", "id" : "ITEM-1", "issue" : "1", "issued" : { "date-parts" : [ [ "2012" ] ] }, "page" : "341-367", "title" : "Job attitudes", "type" : "article-journal", "volume" : "63" }, "uris" : [ "http://www.mendeley.com/documents/?uuid=4393a31a-6cb4-4686-87eb-11364826f4e6" ] } ], "mendeley" : { "formattedCitation" : "(Judge &amp; Kammeyer-Mueller 2012)", "plainTextFormattedCitation" : "(Judge &amp; Kammeyer-Mueller 2012)", "previouslyFormattedCitation" : "(Judge &amp; Kammeyer-Mueller 2012)" }, "properties" : { "noteIndex" : 0 }, "schema" : "https://github.com/citation-style-language/schema/raw/master/csl-citation.json" }</w:instrText>
      </w:r>
      <w:r w:rsidRPr="00452E2E">
        <w:rPr>
          <w:szCs w:val="24"/>
        </w:rPr>
        <w:fldChar w:fldCharType="separate"/>
      </w:r>
      <w:r w:rsidRPr="00452E2E">
        <w:rPr>
          <w:noProof/>
          <w:szCs w:val="24"/>
        </w:rPr>
        <w:t>(Judge &amp; Kammeyer-Mueller 2012)</w:t>
      </w:r>
      <w:r w:rsidRPr="00452E2E">
        <w:rPr>
          <w:szCs w:val="24"/>
        </w:rPr>
        <w:fldChar w:fldCharType="end"/>
      </w:r>
      <w:r w:rsidRPr="00452E2E">
        <w:rPr>
          <w:szCs w:val="24"/>
        </w:rPr>
        <w:t xml:space="preserve">. Thus, along with previous research on HR practices and job satisfaction </w:t>
      </w:r>
      <w:r w:rsidRPr="00452E2E">
        <w:rPr>
          <w:szCs w:val="24"/>
        </w:rPr>
        <w:fldChar w:fldCharType="begin" w:fldLock="1"/>
      </w:r>
      <w:r w:rsidRPr="00452E2E">
        <w:rPr>
          <w:szCs w:val="24"/>
        </w:rPr>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"id" : "ITEM-2", "itemData" : { "abstract" : "Although mental disorders are common among children, we know little about their long term effects on child outcomes. This paper examines U.S. and Canadian children with symptoms of Attention Deficit Hyperactivity Disorder (ADHD), depression, conduct disorders, and other behavioral problems. Our work offers a number of innovations. First we use large nationally representative samples of children from both countries. Second, we focus on \"screeners\" that were administered to all children in our sample, rather than on diagnosed cases. Third, we address omitted variables bias by estimating sibling-fixed effects models. Fourth, we examine a range of outcomes. Fifth, we ask how the effects of mental health conditions are mediated by family income and maternal education. We find that mental health conditions, and especially ADHD, have large negative effects on future test scores and schooling attainment, regardless of family income and maternal education.", "author" : [ { "dropping-particle" : "", "family" : "Chiang", "given" : "C-F", "non-dropping-particle" : "", "parse-names" : false, "suffix" : "" }, { "dropping-particle" : "", "family" : "Back", "given" : "K-J", "non-dropping-particle" : "", "parse-names" : false, "suffix" : "" }, { "dropping-particle" : "", "family" : "Canter", "given" : "D.D", "non-dropping-particle" : "", "parse-names" : false, "suffix" : "" } ], "container-title" : "Journal of Human Resources in Hospitality &amp; Tourism", "id" : "ITEM-2", "issue" : "2", "issued" : { "date-parts" : [ [ "2005" ] ] }, "page" : "99-118", "title" : "The impact of employee training on job satisfaction and intention to stay in the hotel industry", "type" : "article-journal", "volume" : "4" }, "uris" : [ "http://www.mendeley.com/documents/?uuid=5854c5d6-b2d0-48b6-8449-563b56846006" ] }, { "id" : "ITEM-3", "itemData" : { "DOI" : "10.1108/01437720810908947", "ISBN" : "0885862031047", "ISSN" : "0143-7720", "abstract" : "Purpose \u2013 The purpose of this paper is to investigate the relationship between human resource management (HRM) practices and workers\u2019 overall job satisfaction and their satisfaction with pay. Design/methodology/approach \u2013 The paper uses British data from two different cross-sectional datasets. It estimates probit models with overall job satisfaction and satisfaction with pay as subjective dependent variables. Findings \u2013 After controlling for personal, job and firm characteristics, it is found that several HRM practices raise workers\u2019 overall job satisfaction and their satisfaction with pay. However, these effects are only significant for non-union members. Satisfaction with pay is higher where performance-related pay and seniority-based reward systems are in place.Apay structure that is perceived to be unequal is associated with a substantial reduction in both non-union members\u2019 overall job satisfaction and their satisfaction with pay. Although HRM practices can raise workers\u2019 job satisfaction, if workplace pay inequality widens as a consequence then non-union members may experience reduced job satisfaction. Research limitations/implications \u2013 The data sets used in the analysis are cross-sectional, presenting a snapshot of impacts of HRM practices on job satisfaction at a particular point in time. Dynamic effects are therefore not captured. Originality/value \u2013 The paper adds to the empirical literature on effects of HRM practices, focussing on impacts on both overall job satisfaction and satisfaction with pay. A novel feature of the paper", "author" : [ { "dropping-particle" : "", "family" : "Petrescu", "given" : "Alina I", "non-dropping-particle" : "", "parse-names" : false, "suffix" : "" }, { "dropping-particle" : "", "family" : "Simmons", "given" : "Rob", "non-dropping-particle" : "", "parse-names" : false, "suffix" : "" } ], "container-title" : "International Journal of Manpower", "id" : "ITEM-3", "issue" : "7", "issued" : { "date-parts" : [ [ "2008" ] ] }, "page" : "651-667", "title" : "Human resource management practices and workers' job satisfaction", "type" : "article-journal", "volume" : "29" }, "uris" : [ "http://www.mendeley.com/documents/?uuid=0ac18e29-ec0e-406d-bdbb-2f6efb19c5ed" ] }, { "id" : "ITEM-4", "itemData" : { "DOI" : "10.1080/09585192.2011.560871", "ISBN" : "0958-5192", "ISSN" : "09585192", "abstract" : "The purpose of this study is twofold. The first purpose is to investigate the hypothesis as follows: the enrichment of the employee benefit management and the improvement of job attitudes mediate the relation between the adoption of family-friendly policies and the employee retention. The second purpose is to investigate the gender gap in the above-mentioned model. The facts and conclusions presented in this paper were obtained from a study of 1228 employees. Analysis of covariance structures was adopted for testing hypothesis. About the first one, significant mediator effects of the enrichment of the employee benefit management and the improvement of job satisfaction were clarified. About the second point, there was no gender gap in the above-mentioned retention process by the employee benefit management, except for the number of the employee benefit management practices and the organizational tenure. The necessity of additional research about international comparison, investigation of organization, longitudinal investigation, etc. was pointed out. [ABSTRACT FROM PUBLISHER]", "author" : [ { "dropping-particle" : "", "family" : "Yamamoto", "given" : "Hiroshi", "non-dropping-particle" : "", "parse-names" : false, "suffix" : "" } ], "container-title" : "International Journal of Human Resource Management", "id" : "ITEM-4", "issue" : "17", "issued" : { "date-parts" : [ [ "2011" ] ] }, "page" : "3550-3564", "title" : "The relationship between employee benefit management and employee retention", "type" : "article-journal", "volume" : "22" }, "uris" : [ "http://www.mendeley.com/documents/?uuid=6d4879cd-6b36-4fd8-8ad0-3c55c4021c6f" ] }, { "id" : "ITEM-5",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"ITEM-5",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"ITEM-6", "itemData" : { "DOI" : "10.1080/09585192.2013.826917", "ISBN" : "0958-5192", "ISSN" : "0958-5192", "abstract" : "Previous studies suggest that high performance HR practices (HPHRP) are positively related to employee outcomes. However, the mechanisms through which this relationship occurs require further research. This paper examines the effect of one such mechanism, person\u2013organization (P-O) fit, on the relationship between HPHRP, job satisfaction and organizational citizenship behaviours (OCBs). Using a sample of 671 professionals in the Egyptian health and higher education sectors, a partial mediation model is outlined and tested using structural equation modelling. The study results show that HPHRP had a positive relationship with P-O fit, job satisfaction and OCBs. Further, P-O fit had a positive relationship with job satisfaction and OCBs, and partially mediated the relationship between HPHRP, job satisfaction and OCBs. Thus, the adoption of HPHRP not only leads to desirable employee outcomes, but it is also associated with better fit between employees and organizations. As such, managers should endeavour to us...", "author" : [ { "dropping-particle" : "", "family" : "Mostafa", "given" : "Ahmed Mohammed Sayed", "non-dropping-particle" : "", "parse-names" : false, "suffix" : "" }, { "dropping-particle" : "", "family" : "Gould-Williams", "given" : "Julian Seymour", "non-dropping-particle" : "", "parse-names" : false, "suffix" : "" } ], "container-title" : "The International Journal of Human Resource Management", "id" : "ITEM-6", "issue" : "2", "issued" : { "date-parts" : [ [ "2014" ] ] }, "page" : "276-292", "title" : "Testing the mediation effect of person\u2013organization fit on the relationship between high performance HR practices and employee outcomes in the Egyptian public sector", "type" : "article-journal", "volume" : "25" }, "uris" : [ "http://www.mendeley.com/documents/?uuid=ea373fe4-93d9-4b1f-b927-bbb16638f226" ] }, { "id" : "ITEM-7", "itemData" : { "DOI" : "10.1080/09585192.2014.990397", "ISBN" : "0958-5192", "ISSN" : "0958-5192", "abstract" : "The participation of \u2018new generation\u2019 employees in management and their satisfaction in the workplace, respectively, remain more than ever important issues in the Chinese societal context in particular, as well as having wider implications for human resource management in general. This study accordingly explores the influence of employee participation mechanisms on the satisfaction of this new generation of employees \u2013 by carrying out empirical research in the manufacturing industry in China. The main theoretical contribution aims to show that the participation of such new generation employees in management, supervision and decision-making has a significantly positive impact on their work satisfaction. Furthermore, the employees' willingness to participate (participation intention) appears to play a moderating role between actual participation on the one hand, and satisfaction on the other. Such findings, we argue, potentially apply not only in the societal context of China but might also resonate more wi...", "author" : [ { "dropping-particle" : "", "family" : "Zhu", "given" : "Ying", "non-dropping-particle" : "", "parse-names" : false, "suffix" : "" }, { "dropping-particle" : "", "family" : "Xie", "given" : "Yuhua", "non-dropping-particle" : "", "parse-names" : false, "suffix" : "" }, { "dropping-particle" : "", "family" : "Warner", "given" : "Malcolm", "non-dropping-particle" : "", "parse-names" : false, "suffix" : "" }, { "dropping-particle" : "", "family" : "Guo", "given" : "Yongxing", "non-dropping-particle" : "", "parse-names" : false, "suffix" : "" } ], "container-title" : "The International Journal of Human Resource Management", "id" : "ITEM-7", "issue" : "19", "issued" : { "date-parts" : [ [ "2015" ] ] }, "page" : "2395-2411", "title" : "Employee participation and the influence on job satisfaction of the \u2018new generation\u2019 of Chinese employees", "type" : "article-journal", "volume" : "26" }, "uris" : [ "http://www.mendeley.com/documents/?uuid=cf70f772-fc41-4d32-9ecf-6c68c1510b25" ] }, { "id" : "ITEM-8",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"ITEM-8", "issue" : "2", "issued" : { "date-parts" : [ [ "2016" ] ] }, "page" : "451-466", "title" : "High-performance work systems and job satisfaction: A multilevel model", "type" : "article-journal", "volume" : "31" }, "uris" : [ "http://www.mendeley.com/documents/?uuid=510679f5-e4b3-41b7-a365-8ece414591d1" ] } ], "mendeley" : { "formattedCitation" : "(Wright &amp; Kim 2004; Chiang et al. 2005; Petrescu &amp; Simmons 2008; Yamamoto 2011; Ang et al. 2013; Mostafa &amp; Gould-Williams 2014; Zhu et al. 2015; Garc\u00eda-Chas et al. 2016)", "manualFormatting" : "(e.g. Wright &amp; Kim, 2004; Chiang et al., 2005; Petrescu &amp; Simmons, 2008; Yamamoto, 2011; Zhu et al., 2015; Garc\u00eda-Chas et al., 2016)", "plainTextFormattedCitation" : "(Wright &amp; Kim 2004; Chiang et al. 2005; Petrescu &amp; Simmons 2008; Yamamoto 2011; Ang et al. 2013; Mostafa &amp; Gould-Williams 2014; Zhu et al. 2015; Garc\u00eda-Chas et al. 2016)", "previouslyFormattedCitation" : "(Wright &amp; Kim 2004; Chiang et al. 2005; Petrescu &amp; Simmons 2008; Yamamoto 2011; Ang et al. 2013; Mostafa &amp; Gould-Williams 2014; Zhu et al. 2015; Garc\u00eda-Chas et al. 2016)" }, "properties" : { "noteIndex" : 0 }, "schema" : "https://github.com/citation-style-language/schema/raw/master/csl-citation.json" }</w:instrText>
      </w:r>
      <w:r w:rsidRPr="00452E2E">
        <w:rPr>
          <w:szCs w:val="24"/>
        </w:rPr>
        <w:fldChar w:fldCharType="separate"/>
      </w:r>
      <w:r w:rsidRPr="00452E2E">
        <w:rPr>
          <w:noProof/>
          <w:szCs w:val="24"/>
        </w:rPr>
        <w:t xml:space="preserve">(e.g. Wright &amp; Kim, 2004; Chiang </w:t>
      </w:r>
      <w:r w:rsidRPr="00452E2E">
        <w:rPr>
          <w:i/>
          <w:noProof/>
          <w:szCs w:val="24"/>
        </w:rPr>
        <w:t>et al</w:t>
      </w:r>
      <w:r w:rsidRPr="00452E2E">
        <w:rPr>
          <w:noProof/>
          <w:szCs w:val="24"/>
        </w:rPr>
        <w:t xml:space="preserve">., 2005; Petrescu &amp; Simmons, 2008; Yamamoto, 2011; Zhu </w:t>
      </w:r>
      <w:r w:rsidRPr="00452E2E">
        <w:rPr>
          <w:i/>
          <w:noProof/>
          <w:szCs w:val="24"/>
        </w:rPr>
        <w:t>et al</w:t>
      </w:r>
      <w:r w:rsidRPr="00452E2E">
        <w:rPr>
          <w:noProof/>
          <w:szCs w:val="24"/>
        </w:rPr>
        <w:t xml:space="preserve">., 2015; García-Chas </w:t>
      </w:r>
      <w:r w:rsidRPr="00452E2E">
        <w:rPr>
          <w:i/>
          <w:noProof/>
          <w:szCs w:val="24"/>
        </w:rPr>
        <w:t>et al</w:t>
      </w:r>
      <w:r w:rsidRPr="00452E2E">
        <w:rPr>
          <w:noProof/>
          <w:szCs w:val="24"/>
        </w:rPr>
        <w:t>., 2016)</w:t>
      </w:r>
      <w:r w:rsidRPr="00452E2E">
        <w:rPr>
          <w:szCs w:val="24"/>
        </w:rPr>
        <w:fldChar w:fldCharType="end"/>
      </w:r>
      <w:r w:rsidRPr="00452E2E">
        <w:rPr>
          <w:szCs w:val="24"/>
        </w:rPr>
        <w:t xml:space="preserve">, the concept of job satisfaction is treated as a global construct in this research. </w:t>
      </w:r>
      <w:r w:rsidR="00673782" w:rsidRPr="00452E2E">
        <w:rPr>
          <w:szCs w:val="24"/>
        </w:rPr>
        <w:t>Organizational commitment is discussed in the next section.</w:t>
      </w:r>
    </w:p>
    <w:p w:rsidR="005638CE" w:rsidRPr="00452E2E" w:rsidRDefault="005638CE" w:rsidP="007B28B8">
      <w:pPr>
        <w:pStyle w:val="Heading4"/>
      </w:pPr>
      <w:bookmarkStart w:id="66" w:name="_Toc473808128"/>
      <w:r w:rsidRPr="00452E2E">
        <w:t>3.3.2 Organizational Commitment</w:t>
      </w:r>
      <w:bookmarkEnd w:id="66"/>
    </w:p>
    <w:p w:rsidR="00400BB5" w:rsidRPr="00452E2E" w:rsidRDefault="00400BB5" w:rsidP="00400BB5">
      <w:pPr>
        <w:spacing w:line="360" w:lineRule="auto"/>
        <w:jc w:val="both"/>
        <w:rPr>
          <w:szCs w:val="24"/>
        </w:rPr>
      </w:pPr>
      <w:r w:rsidRPr="00452E2E">
        <w:rPr>
          <w:szCs w:val="24"/>
        </w:rPr>
        <w:t xml:space="preserve">Among the constructs of work-related commitment, organizational commitment has been described as the most developed one; due to the wide research attention it has received </w:t>
      </w:r>
      <w:r w:rsidRPr="00452E2E">
        <w:rPr>
          <w:szCs w:val="24"/>
        </w:rPr>
        <w:fldChar w:fldCharType="begin" w:fldLock="1"/>
      </w:r>
      <w:r w:rsidRPr="00452E2E">
        <w:rPr>
          <w:szCs w:val="24"/>
        </w:rPr>
        <w:instrText>ADDIN CSL_CITATION { "citationItems" : [ { "id" : "ITEM-1", "itemData" : { "author" : [ { "dropping-particle" : "", "family" : "Mathieu", "given" : "J E", "non-dropping-particle" : "", "parse-names" : false, "suffix" : "" }, { "dropping-particle" : "", "family" : "Zajac", "given" : "D M", "non-dropping-particle" : "", "parse-names" : false, "suffix" : "" } ], "container-title" : "Psychological Bulletin", "id" : "ITEM-1", "issue" : "2", "issued" : { "date-parts" : [ [ "1990" ] ] }, "page" : "171-194", "title" : "A review and meta-analysis of the antecedents, correlates, and consequences of organizational commitment", "type" : "article-journal", "volume" : "108" }, "uris" : [ "http://www.mendeley.com/documents/?uuid=30cfdf88-acbf-440b-9ecd-0bc19a627fd8" ] }, { "id" : "ITEM-2", "itemData" : { "DOI" : "10.1016/j.jvb.2010.12.008", "ISBN" : "0001-8791", "ISSN" : "00018791", "abstract" : "This article summarizes what is known about the active management of affective organizational commitment (AOC) through a review of 58 studies employing longitudinal research designs. The review yields six broad categories of antecedents that have empirically demonstrated effects on AOC: socialization practices, organizational changes, human resource practices, interpersonal relations, employee-organizational relations, and a residual \"other\" category. Insights from the review include (a) that perceptions of personal attachment to the organization are among the most substantiated (but tenuous) strategies for enhancing AOC, (b) that theorizing and research efforts have focused almost exclusively on achieving high levels of AOC, and (c) organizations have been reticent to address situations when AOC is low. Implications and recommendations for the theoretical, research and practical advancement of AOC are offered. \u00a9 2010 Elsevier Inc.", "author" : [ { "dropping-particle" : "", "family" : "Morrow", "given" : "Paula C.", "non-dropping-particle" : "", "parse-names" : false, "suffix" : "" } ], "container-title" : "Journal of Vocational Behavior", "id" : "ITEM-2", "issue" : "1", "issued" : { "date-parts" : [ [ "2011" ] ] }, "page" : "18-35", "publisher" : "Elsevier Inc.", "title" : "Managing organizational commitment: Insights from longitudinal research", "type" : "article-journal", "volume" : "79" }, "uris" : [ "http://www.mendeley.com/documents/?uuid=e74e9767-1929-4486-8348-3c77d5f5ac96" ] } ], "mendeley" : { "formattedCitation" : "(Mathieu &amp; Zajac 1990; Morrow 2011)", "manualFormatting" : "(Mathieu &amp; Zajac, 1990; Morrow, 2011)", "plainTextFormattedCitation" : "(Mathieu &amp; Zajac 1990; Morrow 2011)", "previouslyFormattedCitation" : "(Mathieu &amp; Zajac 1990; Morrow 2011)" }, "properties" : { "noteIndex" : 0 }, "schema" : "https://github.com/citation-style-language/schema/raw/master/csl-citation.json" }</w:instrText>
      </w:r>
      <w:r w:rsidRPr="00452E2E">
        <w:rPr>
          <w:szCs w:val="24"/>
        </w:rPr>
        <w:fldChar w:fldCharType="separate"/>
      </w:r>
      <w:r w:rsidRPr="00452E2E">
        <w:rPr>
          <w:noProof/>
          <w:szCs w:val="24"/>
        </w:rPr>
        <w:t>(Mathieu &amp; Zajac, 1990; Morrow, 2011)</w:t>
      </w:r>
      <w:r w:rsidRPr="00452E2E">
        <w:rPr>
          <w:szCs w:val="24"/>
        </w:rPr>
        <w:fldChar w:fldCharType="end"/>
      </w:r>
      <w:r w:rsidRPr="00452E2E">
        <w:rPr>
          <w:szCs w:val="24"/>
        </w:rPr>
        <w:t xml:space="preserve">. However, organizational commitment has been conceptualized in diverse ways </w:t>
      </w:r>
      <w:r w:rsidRPr="00452E2E">
        <w:rPr>
          <w:szCs w:val="24"/>
        </w:rPr>
        <w:fldChar w:fldCharType="begin" w:fldLock="1"/>
      </w:r>
      <w:r w:rsidRPr="00452E2E">
        <w:rPr>
          <w:szCs w:val="24"/>
        </w:rPr>
        <w:instrText>ADDIN CSL_CITATION { "citationItems" : [ { "id" : "ITEM-1", "itemData" : { "author" : [ { "dropping-particle" : "", "family" : "Buchanan", "given" : "B.", "non-dropping-particle" : "", "parse-names" : false, "suffix" : "" } ], "container-title" : "Public Administration Review", "id" : "ITEM-1", "issue" : "4", "issued" : { "date-parts" : [ [ "1974" ] ] }, "page" : "339-347", "title" : "Government managers, business executives, and organizational commitment", "type" : "article-journal", "volume" : "35" }, "uris" : [ "http://www.mendeley.com/documents/?uuid=aec43d64-ea04-4a41-af66-20865b357cd5" ] }, { "id" : "ITEM-2", "itemData" : { "DOI" : "10.1037/h0037335", "ISBN" : "0021-9010\\n1939-1854", "ISSN" : "0021-9010", "PMID" : "131", "abstract" : "Studied changes across time in measures of organizational commitment and job satisfaction as each related to subsequent turnover among 60 recently employed psychiatric technician trainees. A longitudinal study across a 101/2-mo period was conducted, with attitude measures (Organizational Commitment Questionnaire and Job Descriptive Index) collected at 4 points in time. Results of a discriminant analysis indicate that significant relationships existed between certain attitudes held by employees and turnover. Relationships between attitudes and turnover were found in the last 2 time periods only, suggesting that such relationships are strongest at points in time closest to when an individual leaves the organization. Organizational commitment discriminated better between stayers and leavers than did the various components of job satisfaction. (36 ref) (PsycINFO Database Record (c) 2010 APA, all rights reserved)", "author" : [ { "dropping-particle" : "", "family" : "Porter", "given" : "L.W.", "non-dropping-particle" : "", "parse-names" : false, "suffix" : "" }, { "dropping-particle" : "", "family" : "Steers", "given" : "R.M.", "non-dropping-particle" : "", "parse-names" : false, "suffix" : "" }, { "dropping-particle" : "", "family" : "Mowday", "given" : "R.T.", "non-dropping-particle" : "", "parse-names" : false, "suffix" : "" }, { "dropping-particle" : "", "family" : "Boulian", "given" : "P.V.", "non-dropping-particle" : "", "parse-names" : false, "suffix" : "" } ], "container-title" : "Journal of Applied Psychology", "id" : "ITEM-2", "issue" : "5", "issued" : { "date-parts" : [ [ "1974" ] ] }, "page" : "603-609", "title" : "Organizational commitment, job satisfaction, and turnover among psychiatric technicians", "type" : "article-journal", "volume" : "59" }, "uris" : [ "http://www.mendeley.com/documents/?uuid=3797b5f5-328f-4087-b2eb-39706bbb4d1b" ] }, { "id" : "ITEM-3", "itemData" : { "author" : [ { "dropping-particle" : "", "family" : "Meyer", "given" : "J. P.", "non-dropping-particle" : "", "parse-names" : false, "suffix" : "" }, { "dropping-particle" : "", "family" : "Allen", "given" : "N.J.", "non-dropping-particle" : "", "parse-names" : false, "suffix" : "" } ], "container-title" : "Human Resource Management Review", "id" : "ITEM-3", "issue" : "1", "issued" : { "date-parts" : [ [ "1991" ] ] }, "page" : "61-89", "title" : "A three-component model conceptualization of organizational commitment", "type" : "article-journal", "volume" : "1" }, "uris" : [ "http://www.mendeley.com/documents/?uuid=a03ff762-807b-498b-abc6-f0b832302d1f" ] }, { "id" : "ITEM-4", "itemData" : { "abstract" : "A review of the organizational commitment literature has pointed out several advantages as well as some limitations of the approach advanced by Meyer and Allen (Meyer, P.J. and Allen, J.N. (1997). Commitment in the workplace: Theory, research, and application. Thousand Oaks, CA: Sage.). The advantages include good psychometric properties of the current scales, acceptable discriminant validity of the three dimensions, and research findings that showed the usefulness and acceptable content validity of the three-dimensional approach. Some of the limitations are limited predictive validity, conceptual ambiguity of continuance commitment, and concept redundancy between normative and affective commitment. This paper suggests a conceptualization that builds upon the strengths of the current approaches and minimizes their limitations. The proposed theory contends that organizational commitment is two-dimensional. One dimension is instrumental in nature and the second is affective. In addition, a sharp difference needs to be made between commitment propensity that develops before one's entry into the organization and commitment attitudes that develop after one's entry into the organization. The advantages of the suggested theory and its implications for the understanding of organizational commitment and future research on it are discussed. ?? 2007 Elsevier Inc. All rights reserved.", "author" : [ { "dropping-particle" : "", "family" : "Cohen", "given" : "Aaron", "non-dropping-particle" : "", "parse-names" : false, "suffix" : "" } ], "container-title" : "Human Resource Management Review", "id" : "ITEM-4", "issue" : "3", "issued" : { "date-parts" : [ [ "2007" ] ] }, "page" : "336-354", "title" : "Commitment before and after: An evaluation and reconceptualization of organizational commitment", "type" : "article-journal", "volume" : "17" }, "uris" : [ "http://www.mendeley.com/documents/?uuid=c84ea3d4-b2a3-4766-bca5-57ea6cc3c88f" ] }, { "id" : "ITEM-5", "itemData" : { "DOI" : "10.1037/0021-9010.93.1.70", "ISBN" : "0021-9010", "ISSN" : "0021-9010", "PMID" : "18211136", "abstract" : "This article offers a conceptual critique of the three-component model {(TCM)} of organizational commitment {(Allen} &amp; Meyer, 1990) and proposes a reconceptualization based on standard attitude theory. The authors use the attitude-behavior model by Eagly and Chaiken (1993) to demonstrate that the {TCM} combines fundamentally different attitudinal phenomena. They argue that general organizational commitment can best be understood as an attitude regarding the organization, while normative and continuance commitment are attitudes regarding specific forms of behavior (i.e., staying or leaving). The conceptual analysis shows that the {TCM} fails to qualify as general model of organizational commitment but instead represents a specific model for predicting turnover. The authors suggest that the use of the {TCM} be restricted to this purpose and that Eagly and Chaiken's model be adopted as a generic commitment model template from which a range of models for predicting specific organizational behaviors can be extracted. Finally, they discuss the definition and measurement of the organizational commitment attitude. Covering the affective, cognitive, and behavioral facets of this attitude helps to enhance construct validity and to differentiate the construct from other constructs. {(PsycINFO} Database Record (c) 2009 {APA,} all rights reserved). (from the journal abstract)", "author" : [ { "dropping-particle" : "", "family" : "Solinger", "given" : "O.N.", "non-dropping-particle" : "", "parse-names" : false, "suffix" : "" }, { "dropping-particle" : "", "family" : "Olffen", "given" : "W .V.", "non-dropping-particle" : "", "parse-names" : false, "suffix" : "" }, { "dropping-particle" : "", "family" : "Roe", "given" : "R.A.", "non-dropping-particle" : "", "parse-names" : false, "suffix" : "" } ], "container-title" : "Journal of Applied Psychology", "id" : "ITEM-5", "issue" : "1", "issued" : { "date-parts" : [ [ "2008" ] ] }, "page" : "83-70", "title" : "Beyond the three-component model of organizational commitment", "type" : "article-journal", "volume" : "93" }, "uris" : [ "http://www.mendeley.com/documents/?uuid=8a02fbe6-de51-4d5c-b5f6-543965ff9bcf" ] }, { "id" : "ITEM-6", "itemData" : { "DOI" : "10.1146/annurev-psych-120710-100511", "ISBN" : "1545-2085", "ISSN" : "0066-4308", "PMID" : "22129457", "abstract" : "Job attitudes research is arguably the most venerable and popular topic in organizational psychology. This article surveys the field as it has been constituted in the past several years. Definitional issues are addressed first, in an attempt to clarify the nature, scope, and structure of job attitudes. The distinction between cognitive and affective bases of job attitudes has been an issue of debate, and recent research using within-persons designs has done much to inform this discussion. Recent research has also begun to reformulate the question of dispositional or situational influences on employee attitudes by addressing how these factors might work together to influence attitudes. Finally, there has also been a continual growth in research investigating how employee attitudes are related to a variety of behaviors at both the individual and aggregated level of analysis. [ABSTRACT FROM AUTHOR]\\nCopyright of Annual Review of Psychology is the property of Annual Reviews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"Judge", "given" : "Timothy A.", "non-dropping-particle" : "", "parse-names" : false, "suffix" : "" }, { "dropping-particle" : "", "family" : "Kammeyer-Mueller", "given" : "John D.", "non-dropping-particle" : "", "parse-names" : false, "suffix" : "" } ], "container-title" : "Annual Review of Psychology", "id" : "ITEM-6", "issue" : "1", "issued" : { "date-parts" : [ [ "2012" ] ] }, "page" : "341-367", "title" : "Job attitudes", "type" : "article-journal", "volume" : "63" }, "uris" : [ "http://www.mendeley.com/documents/?uuid=4393a31a-6cb4-4686-87eb-11364826f4e6" ] } ], "mendeley" : { "formattedCitation" : "(Buchanan 1974; Porter et al. 1974; Meyer &amp; Allen 1991; Cohen 2007; Solinger et al. 2008; Judge &amp; Kammeyer-Mueller 2012)", "manualFormatting" : "(Buchanan, 1974; Porter et al., 1974; Meyer &amp; Allen, 1991; Cohen, 2007; Solinger et al., 2008; Judge &amp; Kammeyer-Mueller, 2012)", "plainTextFormattedCitation" : "(Buchanan 1974; Porter et al. 1974; Meyer &amp; Allen 1991; Cohen 2007; Solinger et al. 2008; Judge &amp; Kammeyer-Mueller 2012)", "previouslyFormattedCitation" : "(Buchanan 1974; Porter et al. 1974; Meyer &amp; Allen 1991; Cohen 2007; Solinger et al. 2008; Judge &amp; Kammeyer-Mueller 2012)" }, "properties" : { "noteIndex" : 0 }, "schema" : "https://github.com/citation-style-language/schema/raw/master/csl-citation.json" }</w:instrText>
      </w:r>
      <w:r w:rsidRPr="00452E2E">
        <w:rPr>
          <w:szCs w:val="24"/>
        </w:rPr>
        <w:fldChar w:fldCharType="separate"/>
      </w:r>
      <w:r w:rsidRPr="00452E2E">
        <w:rPr>
          <w:noProof/>
          <w:szCs w:val="24"/>
        </w:rPr>
        <w:t xml:space="preserve">(Buchanan, 1974; Porter </w:t>
      </w:r>
      <w:r w:rsidRPr="00452E2E">
        <w:rPr>
          <w:i/>
          <w:noProof/>
          <w:szCs w:val="24"/>
        </w:rPr>
        <w:t>et al</w:t>
      </w:r>
      <w:r w:rsidRPr="00452E2E">
        <w:rPr>
          <w:noProof/>
          <w:szCs w:val="24"/>
        </w:rPr>
        <w:t xml:space="preserve">., 1974; Meyer &amp; Allen, 1991; Cohen, 2007; Solinger </w:t>
      </w:r>
      <w:r w:rsidRPr="00452E2E">
        <w:rPr>
          <w:i/>
          <w:noProof/>
          <w:szCs w:val="24"/>
        </w:rPr>
        <w:t>et al</w:t>
      </w:r>
      <w:r w:rsidRPr="00452E2E">
        <w:rPr>
          <w:noProof/>
          <w:szCs w:val="24"/>
        </w:rPr>
        <w:t>., 2008; Judge &amp; Kammeyer-Mueller, 2012)</w:t>
      </w:r>
      <w:r w:rsidRPr="00452E2E">
        <w:rPr>
          <w:szCs w:val="24"/>
        </w:rPr>
        <w:fldChar w:fldCharType="end"/>
      </w:r>
      <w:r w:rsidRPr="00452E2E">
        <w:rPr>
          <w:szCs w:val="24"/>
        </w:rPr>
        <w:t xml:space="preserve">. For example, Mowday </w:t>
      </w:r>
      <w:r w:rsidRPr="00452E2E">
        <w:rPr>
          <w:i/>
          <w:szCs w:val="24"/>
        </w:rPr>
        <w:t>et al.</w:t>
      </w:r>
      <w:r w:rsidRPr="00452E2E">
        <w:rPr>
          <w:szCs w:val="24"/>
        </w:rPr>
        <w:t xml:space="preserve"> (1979, p. 226) defined organizational commitment as “a strong belief in and acceptance of the organization’s goals and values; a willingness to exert considerable effort on behalf of the organization; and a strong desire to maintain membership in the organization”. </w:t>
      </w:r>
    </w:p>
    <w:p w:rsidR="00400BB5" w:rsidRPr="00452E2E" w:rsidRDefault="00400BB5" w:rsidP="00400BB5">
      <w:pPr>
        <w:spacing w:line="360" w:lineRule="auto"/>
        <w:jc w:val="both"/>
        <w:rPr>
          <w:szCs w:val="24"/>
        </w:rPr>
      </w:pPr>
      <w:r w:rsidRPr="00452E2E">
        <w:rPr>
          <w:szCs w:val="24"/>
        </w:rPr>
        <w:t xml:space="preserve">For Buchanan (1974 p. 340), organizational commitment is ‘’a sense of identification with the organizational mission, a sense of involvement or psychological immersion in one’s organizational duties, and a sense of loyalty and affection for the organization, indicated by an unwillingness to depart for other opportunities”. On the other hand, </w:t>
      </w:r>
      <w:r w:rsidRPr="00452E2E">
        <w:rPr>
          <w:szCs w:val="24"/>
        </w:rPr>
        <w:fldChar w:fldCharType="begin" w:fldLock="1"/>
      </w:r>
      <w:r w:rsidRPr="00452E2E">
        <w:rPr>
          <w:szCs w:val="24"/>
        </w:rPr>
        <w:instrText>ADDIN CSL_CITATION { "citationItems" : [ { "id" : "ITEM-1", "itemData" : { "author" : [ { "dropping-particle" : "", "family" : "Meyer", "given" : "J. P.", "non-dropping-particle" : "", "parse-names" : false, "suffix" : "" }, { "dropping-particle" : "", "family" : "Allen", "given" : "N.J.", "non-dropping-particle" : "", "parse-names" : false, "suffix" : "" } ], "container-title" : "Human Resource Management Review", "id" : "ITEM-1", "issue" : "1", "issued" : { "date-parts" : [ [ "1991" ] ] }, "page" : "61-89", "title" : "A three-component model conceptualization of organizational commitment", "type" : "article-journal", "volume" : "1" }, "uris" : [ "http://www.mendeley.com/documents/?uuid=a03ff762-807b-498b-abc6-f0b832302d1f" ] } ], "mendeley" : { "formattedCitation" : "(Meyer &amp; Allen 1991)", "manualFormatting" : "Meyer &amp; Allen (1991 p.67)", "plainTextFormattedCitation" : "(Meyer &amp; Allen 1991)", "previouslyFormattedCitation" : "(Meyer &amp; Allen 1991)" }, "properties" : { "noteIndex" : 0 }, "schema" : "https://github.com/citation-style-language/schema/raw/master/csl-citation.json" }</w:instrText>
      </w:r>
      <w:r w:rsidRPr="00452E2E">
        <w:rPr>
          <w:szCs w:val="24"/>
        </w:rPr>
        <w:fldChar w:fldCharType="separate"/>
      </w:r>
      <w:r w:rsidRPr="00452E2E">
        <w:rPr>
          <w:noProof/>
          <w:szCs w:val="24"/>
        </w:rPr>
        <w:t>Meyer &amp; Allen (1991 p.67)</w:t>
      </w:r>
      <w:r w:rsidRPr="00452E2E">
        <w:rPr>
          <w:szCs w:val="24"/>
        </w:rPr>
        <w:fldChar w:fldCharType="end"/>
      </w:r>
      <w:r w:rsidRPr="00452E2E">
        <w:rPr>
          <w:szCs w:val="24"/>
        </w:rPr>
        <w:t xml:space="preserve"> view organizational commitment as ‘’a psychological state that characterizes the employee’s relationship with the organization, and  has implications for the decision to continue or discontinue membership in the organization”.  A common theme with these definitions of organizational commitment is that committed employees are inclined to continue their employment with their organization. </w:t>
      </w:r>
    </w:p>
    <w:p w:rsidR="00400BB5" w:rsidRPr="00452E2E" w:rsidRDefault="00400BB5" w:rsidP="00400BB5">
      <w:pPr>
        <w:spacing w:line="360" w:lineRule="auto"/>
        <w:jc w:val="both"/>
        <w:rPr>
          <w:szCs w:val="24"/>
        </w:rPr>
      </w:pPr>
      <w:r w:rsidRPr="00452E2E">
        <w:rPr>
          <w:szCs w:val="24"/>
        </w:rPr>
        <w:lastRenderedPageBreak/>
        <w:t xml:space="preserve">Traditionally, organizational commitment has been construed as a unidimensional construct which explains one’s relationship with the employing organization that reduces turnover (Porter </w:t>
      </w:r>
      <w:r w:rsidRPr="00452E2E">
        <w:rPr>
          <w:i/>
          <w:szCs w:val="24"/>
        </w:rPr>
        <w:t>et al</w:t>
      </w:r>
      <w:r w:rsidRPr="00452E2E">
        <w:rPr>
          <w:szCs w:val="24"/>
        </w:rPr>
        <w:t xml:space="preserve">, 1974; Steers, 1977). However, this approach does not take into account the mind-sets behind an individual’s commitment to the organization which has important implications for work behaviour (Meyer &amp; Allen, 1991). Thus, researchers have viewed organizational commitment as a multidimensional concept; resulting to the proliferation of multidimensional conceptualizations of organizational commitment </w:t>
      </w:r>
      <w:r w:rsidRPr="00452E2E">
        <w:rPr>
          <w:szCs w:val="24"/>
        </w:rPr>
        <w:fldChar w:fldCharType="begin" w:fldLock="1"/>
      </w:r>
      <w:r w:rsidRPr="00452E2E">
        <w:rPr>
          <w:szCs w:val="24"/>
        </w:rPr>
        <w:instrText>ADDIN CSL_CITATION { "citationItems" : [ { "id" : "ITEM-1", "itemData" : { "DOI" : "10.1016/S1053-4822(00)00053-X", "ISBN" : "10534822", "ISSN" : "10534822", "PMID" : "6861299", "abstract" : "It is now well recognized that employees can develop multiple work-relevant commitments, and that commitment itself is a multidimensional construct. Unfortunately, there remains considerable disagreement, both within and across work commitment literatures (e.g., organizational, occupational, union), about what commitment is, its dimensionality, how it develops, and how it affects behavior. We argue that commitment should have a \"core essence\" regardless of the context in which it is studied, and that it should therefore be possible to develop a general model of workplace commitment. We propose such a model based on the propositions that commitment (a) is a force that binds an individual to a course of action of relevance to a target and (b) can be accompanied by different mind-sets that play a role in shaping behavior. We demonstrate how this model helps to explain existing research findings and can serve as a guide for future research and for the management of workplace commitments. ?? 2001 Elsevier Science Inc.", "author" : [ { "dropping-particle" : "", "family" : "Meyer", "given" : "John P.", "non-dropping-particle" : "", "parse-names" : false, "suffix" : "" }, { "dropping-particle" : "", "family" : "Herscovitch", "given" : "Lynne", "non-dropping-particle" : "", "parse-names" : false, "suffix" : "" } ], "container-title" : "Human Resource Management Review", "id" : "ITEM-1", "issue" : "3", "issued" : { "date-parts" : [ [ "2001" ] ] }, "page" : "299-326", "title" : "Commitment in the workplace: Toward a general model", "type" : "article-journal", "volume" : "11" }, "uris" : [ "http://www.mendeley.com/documents/?uuid=298b3f54-7b4a-4a2f-879e-0a0f5c44368d" ] } ], "mendeley" : { "formattedCitation" : "(Meyer &amp; Herscovitch 2001)", "manualFormatting" : "(see Meyer &amp; Herscovitch, 2001)", "plainTextFormattedCitation" : "(Meyer &amp; Herscovitch 2001)", "previouslyFormattedCitation" : "(Meyer &amp; Herscovitch 2001)" }, "properties" : { "noteIndex" : 0 }, "schema" : "https://github.com/citation-style-language/schema/raw/master/csl-citation.json" }</w:instrText>
      </w:r>
      <w:r w:rsidRPr="00452E2E">
        <w:rPr>
          <w:szCs w:val="24"/>
        </w:rPr>
        <w:fldChar w:fldCharType="separate"/>
      </w:r>
      <w:r w:rsidRPr="00452E2E">
        <w:rPr>
          <w:noProof/>
          <w:szCs w:val="24"/>
        </w:rPr>
        <w:t>(see Meyer &amp; Herscovitch, 2001)</w:t>
      </w:r>
      <w:r w:rsidRPr="00452E2E">
        <w:rPr>
          <w:szCs w:val="24"/>
        </w:rPr>
        <w:fldChar w:fldCharType="end"/>
      </w:r>
      <w:r w:rsidRPr="00452E2E">
        <w:rPr>
          <w:szCs w:val="24"/>
        </w:rPr>
        <w:t xml:space="preserve">. However, the most popular among multidimensional conceptualizations of organizational commitment is </w:t>
      </w:r>
      <w:r w:rsidRPr="00452E2E">
        <w:rPr>
          <w:szCs w:val="24"/>
        </w:rPr>
        <w:fldChar w:fldCharType="begin" w:fldLock="1"/>
      </w:r>
      <w:r w:rsidRPr="00452E2E">
        <w:rPr>
          <w:szCs w:val="24"/>
        </w:rPr>
        <w:instrText>ADDIN CSL_CITATION { "citationItems" : [ { "id" : "ITEM-1", "itemData" : { "author" : [ { "dropping-particle" : "", "family" : "Allen", "given" : "N. J.", "non-dropping-particle" : "", "parse-names" : false, "suffix" : "" }, { "dropping-particle" : "", "family" : "Meyer", "given" : "J. P", "non-dropping-particle" : "", "parse-names" : false, "suffix" : "" } ], "container-title" : "Journal of Occupational Psychology", "id" : "ITEM-1", "issued" : { "date-parts" : [ [ "1990" ] ] }, "page" : "1-18", "title" : "The measurement and antecedents of affective, continuance and normative commitment to the organization", "type" : "article-journal", "volume" : "63" }, "uris" : [ "http://www.mendeley.com/documents/?uuid=24d72a7a-f338-4406-bbd7-45ead5c9bdb2" ] } ], "mendeley" : { "formattedCitation" : "(Allen &amp; Meyer 1990)", "manualFormatting" : "Allen &amp; Meyer's (1990)", "plainTextFormattedCitation" : "(Allen &amp; Meyer 1990)", "previouslyFormattedCitation" : "(Allen &amp; Meyer 1990)" }, "properties" : { "noteIndex" : 0 }, "schema" : "https://github.com/citation-style-language/schema/raw/master/csl-citation.json" }</w:instrText>
      </w:r>
      <w:r w:rsidRPr="00452E2E">
        <w:rPr>
          <w:szCs w:val="24"/>
        </w:rPr>
        <w:fldChar w:fldCharType="separate"/>
      </w:r>
      <w:r w:rsidRPr="00452E2E">
        <w:rPr>
          <w:noProof/>
          <w:szCs w:val="24"/>
        </w:rPr>
        <w:t>Allen &amp; Meyer's (1990)</w:t>
      </w:r>
      <w:r w:rsidRPr="00452E2E">
        <w:rPr>
          <w:szCs w:val="24"/>
        </w:rPr>
        <w:fldChar w:fldCharType="end"/>
      </w:r>
      <w:r w:rsidRPr="00452E2E">
        <w:rPr>
          <w:szCs w:val="24"/>
        </w:rPr>
        <w:t xml:space="preserve"> three-component model of commitment which views organizational commitment as a product of three distinct mind-sets namely, the desire to remain with the organization; the need to remain; and the obligation to remain (Meyer &amp; Allen, 1991). The forms of organizational commitment resulting from these mind-sets are labelled as affective, continuance, and normative commitment respectively (Allen &amp; Meyer, 1990; Meyer &amp; Allen, 1991). </w:t>
      </w:r>
    </w:p>
    <w:p w:rsidR="00400BB5" w:rsidRPr="00452E2E" w:rsidRDefault="00400BB5" w:rsidP="00400BB5">
      <w:pPr>
        <w:spacing w:line="360" w:lineRule="auto"/>
        <w:jc w:val="both"/>
        <w:rPr>
          <w:szCs w:val="24"/>
        </w:rPr>
      </w:pPr>
      <w:r w:rsidRPr="00452E2E">
        <w:rPr>
          <w:szCs w:val="24"/>
        </w:rPr>
        <w:t xml:space="preserve">According to Meyer &amp; Allen (1991), each of these components of organizational commitment is distinct as employees with affective commitment are emotionally ‘attached to’, ‘identify with’, and are ‘involved in the organization’. Therefore, affectively committed employees maintain organizational membership because ‘they want to do so’ </w:t>
      </w:r>
      <w:r w:rsidRPr="00452E2E">
        <w:rPr>
          <w:szCs w:val="24"/>
        </w:rPr>
        <w:fldChar w:fldCharType="begin" w:fldLock="1"/>
      </w:r>
      <w:r w:rsidRPr="00452E2E">
        <w:rPr>
          <w:szCs w:val="24"/>
        </w:rPr>
        <w:instrText>ADDIN CSL_CITATION { "citationItems" : [ { "id" : "ITEM-1", "itemData" : { "author" : [ { "dropping-particle" : "", "family" : "Meyer", "given" : "J. P.", "non-dropping-particle" : "", "parse-names" : false, "suffix" : "" }, { "dropping-particle" : "", "family" : "Allen", "given" : "N.J.", "non-dropping-particle" : "", "parse-names" : false, "suffix" : "" } ], "container-title" : "Human Resource Management Review", "id" : "ITEM-1", "issue" : "1", "issued" : { "date-parts" : [ [ "1991" ] ] }, "page" : "61-89", "title" : "A three-component model conceptualization of organizational commitment", "type" : "article-journal", "volume" : "1" }, "uris" : [ "http://www.mendeley.com/documents/?uuid=a03ff762-807b-498b-abc6-f0b832302d1f" ] }, { "id" : "ITEM-2", "itemData" : { "abstract" : "Within the past few years, several studies have used the Affective, Continuance, and Normative Commitment Scales (Allen &amp; Meyer, 1990; Meyer &amp; Allen, 1984, 1991) to assess organizational commitment. The purpose of this paper is to review and evaluate the body of evidence relevant to the construct validity of these measures. Although some empirical questions remain at issue, the overall results strongly support the continued use of the scales in substantive research.", "author" : [ { "dropping-particle" : "", "family" : "Allen", "given" : "Natalie J.", "non-dropping-particle" : "", "parse-names" : false, "suffix" : "" }, { "dropping-particle" : "", "family" : "Meyer", "given" : "John P.", "non-dropping-particle" : "", "parse-names" : false, "suffix" : "" } ], "container-title" : "Journal of Vocational Behavior", "id" : "ITEM-2", "issue" : "3", "issued" : { "date-parts" : [ [ "1996" ] ] }, "page" : "252-276", "title" : "Affective, continuance, and normative commitment to the organization: An examination of construct validity", "type" : "article-journal", "volume" : "49" }, "uris" : [ "http://www.mendeley.com/documents/?uuid=9ea8da69-38c4-4dec-bc76-b39048f60a92" ] }, { "id" : "ITEM-3",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"ITEM-3",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"id" : "ITEM-4", "itemData" : { "DOI" : "10.1016/j.jvb.2011.09.005", "ISBN" : "0001-8791", "ISSN" : "00018791", "abstract" : "With increasing globalization of business and diversity within the workplace, there has been growing interest in cultural differences in employee commitment. We used meta-analysis to compute mean levels of affective (AC; K=966, N=433,129), continuance (CC; K=428, N=199,831), and normative (NC; K=336, N=133,277) organizational commitment for as many as 54 countries and nine geographic regions, and used cultural values/practices from the Hofstede (2001), Schwartz (2006), and GLOBE (House, Hanges, Javidan, Dorfman, &amp; Gupta, 2004) taxonomies to account for observed variance. We found that cultural values/practices explained the greatest amount of variance in NC, followed by AC; they did not explain variance in CC. When economic indicators were controlled, Schwartz's value orientations accounted for the most incremental variance, particularly in NC. We provide country-level normative data for the three components of commitment and discuss the implications of our findings for multi-national organizations as well as for companies employing individuals with varying cultural backgrounds. ?? 2011 Elsevier Inc.", "author" : [ { "dropping-particle" : "", "family" : "Meyer", "given" : "John P.", "non-dropping-particle" : "", "parse-names" : false, "suffix" : "" }, { "dropping-particle" : "", "family" : "Stanley", "given" : "David J.", "non-dropping-particle" : "", "parse-names" : false, "suffix" : "" }, { "dropping-particle" : "", "family" : "Jackson", "given" : "Timothy A.", "non-dropping-particle" : "", "parse-names" : false, "suffix" : "" }, { "dropping-particle" : "", "family" : "McInnis", "given" : "Kate J.", "non-dropping-particle" : "", "parse-names" : false, "suffix" : "" }, { "dropping-particle" : "", "family" : "Maltin", "given" : "Elyse R.", "non-dropping-particle" : "", "parse-names" : false, "suffix" : "" }, { "dropping-particle" : "", "family" : "Sheppard", "given" : "Leah", "non-dropping-particle" : "", "parse-names" : false, "suffix" : "" } ], "container-title" : "Journal of Vocational Behavior", "id" : "ITEM-4", "issue" : "2", "issued" : { "date-parts" : [ [ "2012" ] ] }, "page" : "225-245", "publisher" : "Elsevier Inc.", "title" : "Affective, normative, and continuance commitment levels across cultures: A meta-analysis", "type" : "article-journal", "volume" : "80" }, "uris" : [ "http://www.mendeley.com/documents/?uuid=41adaaf0-a86a-44ec-9b7d-da55941253af" ] } ], "mendeley" : { "formattedCitation" : "(Meyer &amp; Allen 1991; Allen &amp; Meyer 1996; Meyer et al. 2002; Meyer, D. J. Stanley, et al. 2012)", "manualFormatting" : "(Meyer &amp; Allen, 1991; Allen &amp; Meyer, 1996; Meyer et al., 2002; Meyer, et al., 2012a)", "plainTextFormattedCitation" : "(Meyer &amp; Allen 1991; Allen &amp; Meyer 1996; Meyer et al. 2002; Meyer, D. J. Stanley, et al. 2012)", "previouslyFormattedCitation" : "(Meyer &amp; Allen 1991; Allen &amp; Meyer 1996; Meyer et al. 2002; Meyer, D. J. Stanley, et al. 2012)" }, "properties" : { "noteIndex" : 0 }, "schema" : "https://github.com/citation-style-language/schema/raw/master/csl-citation.json" }</w:instrText>
      </w:r>
      <w:r w:rsidRPr="00452E2E">
        <w:rPr>
          <w:szCs w:val="24"/>
        </w:rPr>
        <w:fldChar w:fldCharType="separate"/>
      </w:r>
      <w:r w:rsidRPr="00452E2E">
        <w:rPr>
          <w:noProof/>
          <w:szCs w:val="24"/>
        </w:rPr>
        <w:t xml:space="preserve">(Meyer &amp; Allen, 1991; Allen &amp; Meyer, 1996; Meyer </w:t>
      </w:r>
      <w:r w:rsidRPr="00452E2E">
        <w:rPr>
          <w:i/>
          <w:noProof/>
          <w:szCs w:val="24"/>
        </w:rPr>
        <w:t>et al</w:t>
      </w:r>
      <w:r w:rsidRPr="00452E2E">
        <w:rPr>
          <w:noProof/>
          <w:szCs w:val="24"/>
        </w:rPr>
        <w:t xml:space="preserve">., 2002; Meyer, </w:t>
      </w:r>
      <w:r w:rsidRPr="00452E2E">
        <w:rPr>
          <w:i/>
          <w:noProof/>
          <w:szCs w:val="24"/>
        </w:rPr>
        <w:t>et al</w:t>
      </w:r>
      <w:r w:rsidRPr="00452E2E">
        <w:rPr>
          <w:noProof/>
          <w:szCs w:val="24"/>
        </w:rPr>
        <w:t>., 2012a)</w:t>
      </w:r>
      <w:r w:rsidRPr="00452E2E">
        <w:rPr>
          <w:szCs w:val="24"/>
        </w:rPr>
        <w:fldChar w:fldCharType="end"/>
      </w:r>
      <w:r w:rsidRPr="00452E2E">
        <w:rPr>
          <w:szCs w:val="24"/>
        </w:rPr>
        <w:t xml:space="preserve">. On the other hand, when employees remain with the organization as a result of the recognition of the accompanying cost of leaving the organization, such commitment is known as continuance commitment (Meyer &amp; Allen, 1991). This cost may arise from the perceived loss of benefits associated with discontinuing organizational membership (Meyer &amp; Allen, 1991; Meyer </w:t>
      </w:r>
      <w:r w:rsidRPr="00452E2E">
        <w:rPr>
          <w:i/>
          <w:szCs w:val="24"/>
        </w:rPr>
        <w:t>et al</w:t>
      </w:r>
      <w:r w:rsidRPr="00452E2E">
        <w:rPr>
          <w:szCs w:val="24"/>
        </w:rPr>
        <w:t xml:space="preserve">., 2002). Thus, employees with continuance commitment remain with the organization because ‘they need to do so’ </w:t>
      </w:r>
      <w:r w:rsidRPr="00452E2E">
        <w:rPr>
          <w:szCs w:val="24"/>
        </w:rPr>
        <w:fldChar w:fldCharType="begin" w:fldLock="1"/>
      </w:r>
      <w:r w:rsidRPr="00452E2E">
        <w:rPr>
          <w:szCs w:val="24"/>
        </w:rPr>
        <w:instrText>ADDIN CSL_CITATION { "citationItems" : [ { "id" : "ITEM-1", "itemData" : { "author" : [ { "dropping-particle" : "", "family" : "Meyer", "given" : "J. P.", "non-dropping-particle" : "", "parse-names" : false, "suffix" : "" }, { "dropping-particle" : "", "family" : "Allen", "given" : "N.J.", "non-dropping-particle" : "", "parse-names" : false, "suffix" : "" } ], "container-title" : "Human Resource Management Review", "id" : "ITEM-1", "issue" : "1", "issued" : { "date-parts" : [ [ "1991" ] ] }, "page" : "61-89", "title" : "A three-component model conceptualization of organizational commitment", "type" : "article-journal", "volume" : "1" }, "uris" : [ "http://www.mendeley.com/documents/?uuid=a03ff762-807b-498b-abc6-f0b832302d1f" ] }, { "id" : "ITEM-2", "itemData" : { "abstract" : "Within the past few years, several studies have used the Affective, Continuance, and Normative Commitment Scales (Allen &amp; Meyer, 1990; Meyer &amp; Allen, 1984, 1991) to assess organizational commitment. The purpose of this paper is to review and evaluate the body of evidence relevant to the construct validity of these measures. Although some empirical questions remain at issue, the overall results strongly support the continued use of the scales in substantive research.", "author" : [ { "dropping-particle" : "", "family" : "Allen", "given" : "Natalie J.", "non-dropping-particle" : "", "parse-names" : false, "suffix" : "" }, { "dropping-particle" : "", "family" : "Meyer", "given" : "John P.", "non-dropping-particle" : "", "parse-names" : false, "suffix" : "" } ], "container-title" : "Journal of Vocational Behavior", "id" : "ITEM-2", "issue" : "3", "issued" : { "date-parts" : [ [ "1996" ] ] }, "page" : "252-276", "title" : "Affective, continuance, and normative commitment to the organization: An examination of construct validity", "type" : "article-journal", "volume" : "49" }, "uris" : [ "http://www.mendeley.com/documents/?uuid=9ea8da69-38c4-4dec-bc76-b39048f60a92" ] }, { "id" : "ITEM-3",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"ITEM-3",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"id" : "ITEM-4", "itemData" : { "DOI" : "10.1016/j.jvb.2011.09.005", "ISBN" : "0001-8791", "ISSN" : "00018791", "abstract" : "With increasing globalization of business and diversity within the workplace, there has been growing interest in cultural differences in employee commitment. We used meta-analysis to compute mean levels of affective (AC; K=966, N=433,129), continuance (CC; K=428, N=199,831), and normative (NC; K=336, N=133,277) organizational commitment for as many as 54 countries and nine geographic regions, and used cultural values/practices from the Hofstede (2001), Schwartz (2006), and GLOBE (House, Hanges, Javidan, Dorfman, &amp; Gupta, 2004) taxonomies to account for observed variance. We found that cultural values/practices explained the greatest amount of variance in NC, followed by AC; they did not explain variance in CC. When economic indicators were controlled, Schwartz's value orientations accounted for the most incremental variance, particularly in NC. We provide country-level normative data for the three components of commitment and discuss the implications of our findings for multi-national organizations as well as for companies employing individuals with varying cultural backgrounds. ?? 2011 Elsevier Inc.", "author" : [ { "dropping-particle" : "", "family" : "Meyer", "given" : "John P.", "non-dropping-particle" : "", "parse-names" : false, "suffix" : "" }, { "dropping-particle" : "", "family" : "Stanley", "given" : "David J.", "non-dropping-particle" : "", "parse-names" : false, "suffix" : "" }, { "dropping-particle" : "", "family" : "Jackson", "given" : "Timothy A.", "non-dropping-particle" : "", "parse-names" : false, "suffix" : "" }, { "dropping-particle" : "", "family" : "McInnis", "given" : "Kate J.", "non-dropping-particle" : "", "parse-names" : false, "suffix" : "" }, { "dropping-particle" : "", "family" : "Maltin", "given" : "Elyse R.", "non-dropping-particle" : "", "parse-names" : false, "suffix" : "" }, { "dropping-particle" : "", "family" : "Sheppard", "given" : "Leah", "non-dropping-particle" : "", "parse-names" : false, "suffix" : "" } ], "container-title" : "Journal of Vocational Behavior", "id" : "ITEM-4", "issue" : "2", "issued" : { "date-parts" : [ [ "2012" ] ] }, "page" : "225-245", "publisher" : "Elsevier Inc.", "title" : "Affective, normative, and continuance commitment levels across cultures: A meta-analysis", "type" : "article-journal", "volume" : "80" }, "uris" : [ "http://www.mendeley.com/documents/?uuid=41adaaf0-a86a-44ec-9b7d-da55941253af" ] } ], "mendeley" : { "formattedCitation" : "(Meyer &amp; Allen 1991; Allen &amp; Meyer 1996; Meyer et al. 2002; Meyer, D. J. Stanley, et al. 2012)", "manualFormatting" : "(Meyer &amp; Allen, 1991; Allen &amp; Meyer, 1996; Meyer et al., 2002; Meyer, et al., 2012a)", "plainTextFormattedCitation" : "(Meyer &amp; Allen 1991; Allen &amp; Meyer 1996; Meyer et al. 2002; Meyer, D. J. Stanley, et al. 2012)", "previouslyFormattedCitation" : "(Meyer &amp; Allen 1991; Allen &amp; Meyer 1996; Meyer et al. 2002; Meyer, D. J. Stanley, et al. 2012)" }, "properties" : { "noteIndex" : 0 }, "schema" : "https://github.com/citation-style-language/schema/raw/master/csl-citation.json" }</w:instrText>
      </w:r>
      <w:r w:rsidRPr="00452E2E">
        <w:rPr>
          <w:szCs w:val="24"/>
        </w:rPr>
        <w:fldChar w:fldCharType="separate"/>
      </w:r>
      <w:r w:rsidRPr="00452E2E">
        <w:rPr>
          <w:noProof/>
          <w:szCs w:val="24"/>
        </w:rPr>
        <w:t xml:space="preserve">(Meyer &amp; Allen, 1991; Allen &amp; Meyer, 1996; Meyer </w:t>
      </w:r>
      <w:r w:rsidRPr="00452E2E">
        <w:rPr>
          <w:i/>
          <w:noProof/>
          <w:szCs w:val="24"/>
        </w:rPr>
        <w:t>et al</w:t>
      </w:r>
      <w:r w:rsidRPr="00452E2E">
        <w:rPr>
          <w:noProof/>
          <w:szCs w:val="24"/>
        </w:rPr>
        <w:t xml:space="preserve">., 2002; Meyer, </w:t>
      </w:r>
      <w:r w:rsidRPr="00452E2E">
        <w:rPr>
          <w:i/>
          <w:noProof/>
          <w:szCs w:val="24"/>
        </w:rPr>
        <w:t>et al</w:t>
      </w:r>
      <w:r w:rsidRPr="00452E2E">
        <w:rPr>
          <w:noProof/>
          <w:szCs w:val="24"/>
        </w:rPr>
        <w:t>., 2012a)</w:t>
      </w:r>
      <w:r w:rsidRPr="00452E2E">
        <w:rPr>
          <w:szCs w:val="24"/>
        </w:rPr>
        <w:fldChar w:fldCharType="end"/>
      </w:r>
      <w:r w:rsidRPr="00452E2E">
        <w:rPr>
          <w:szCs w:val="24"/>
        </w:rPr>
        <w:t xml:space="preserve">. Finally, normatively committed employees are those that feel obligated to remain with the organization (Meyer &amp; Allen, 1991). They consider their continued employment as the right thing to do and continue membership with the organization because ‘they ought to do so’ </w:t>
      </w:r>
      <w:r w:rsidRPr="00452E2E">
        <w:rPr>
          <w:szCs w:val="24"/>
        </w:rPr>
        <w:lastRenderedPageBreak/>
        <w:fldChar w:fldCharType="begin" w:fldLock="1"/>
      </w:r>
      <w:r w:rsidRPr="00452E2E">
        <w:rPr>
          <w:szCs w:val="24"/>
        </w:rPr>
        <w:instrText>ADDIN CSL_CITATION { "citationItems" : [ { "id" : "ITEM-1", "itemData" : { "author" : [ { "dropping-particle" : "", "family" : "Meyer", "given" : "J. P.", "non-dropping-particle" : "", "parse-names" : false, "suffix" : "" }, { "dropping-particle" : "", "family" : "Allen", "given" : "N.J.", "non-dropping-particle" : "", "parse-names" : false, "suffix" : "" } ], "container-title" : "Human Resource Management Review", "id" : "ITEM-1", "issue" : "1", "issued" : { "date-parts" : [ [ "1991" ] ] }, "page" : "61-89", "title" : "A three-component model conceptualization of organizational commitment", "type" : "article-journal", "volume" : "1" }, "uris" : [ "http://www.mendeley.com/documents/?uuid=a03ff762-807b-498b-abc6-f0b832302d1f" ] }, { "id" : "ITEM-2", "itemData" : { "abstract" : "Within the past few years, several studies have used the Affective, Continuance, and Normative Commitment Scales (Allen &amp; Meyer, 1990; Meyer &amp; Allen, 1984, 1991) to assess organizational commitment. The purpose of this paper is to review and evaluate the body of evidence relevant to the construct validity of these measures. Although some empirical questions remain at issue, the overall results strongly support the continued use of the scales in substantive research.", "author" : [ { "dropping-particle" : "", "family" : "Allen", "given" : "Natalie J.", "non-dropping-particle" : "", "parse-names" : false, "suffix" : "" }, { "dropping-particle" : "", "family" : "Meyer", "given" : "John P.", "non-dropping-particle" : "", "parse-names" : false, "suffix" : "" } ], "container-title" : "Journal of Vocational Behavior", "id" : "ITEM-2", "issue" : "3", "issued" : { "date-parts" : [ [ "1996" ] ] }, "page" : "252-276", "title" : "Affective, continuance, and normative commitment to the organization: An examination of construct validity", "type" : "article-journal", "volume" : "49" }, "uris" : [ "http://www.mendeley.com/documents/?uuid=9ea8da69-38c4-4dec-bc76-b39048f60a92" ] }, { "id" : "ITEM-3",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"ITEM-3",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"id" : "ITEM-4", "itemData" : { "DOI" : "10.1016/j.jvb.2011.09.005", "ISBN" : "0001-8791", "ISSN" : "00018791", "abstract" : "With increasing globalization of business and diversity within the workplace, there has been growing interest in cultural differences in employee commitment. We used meta-analysis to compute mean levels of affective (AC; K=966, N=433,129), continuance (CC; K=428, N=199,831), and normative (NC; K=336, N=133,277) organizational commitment for as many as 54 countries and nine geographic regions, and used cultural values/practices from the Hofstede (2001), Schwartz (2006), and GLOBE (House, Hanges, Javidan, Dorfman, &amp; Gupta, 2004) taxonomies to account for observed variance. We found that cultural values/practices explained the greatest amount of variance in NC, followed by AC; they did not explain variance in CC. When economic indicators were controlled, Schwartz's value orientations accounted for the most incremental variance, particularly in NC. We provide country-level normative data for the three components of commitment and discuss the implications of our findings for multi-national organizations as well as for companies employing individuals with varying cultural backgrounds. ?? 2011 Elsevier Inc.", "author" : [ { "dropping-particle" : "", "family" : "Meyer", "given" : "John P.", "non-dropping-particle" : "", "parse-names" : false, "suffix" : "" }, { "dropping-particle" : "", "family" : "Stanley", "given" : "David J.", "non-dropping-particle" : "", "parse-names" : false, "suffix" : "" }, { "dropping-particle" : "", "family" : "Jackson", "given" : "Timothy A.", "non-dropping-particle" : "", "parse-names" : false, "suffix" : "" }, { "dropping-particle" : "", "family" : "McInnis", "given" : "Kate J.", "non-dropping-particle" : "", "parse-names" : false, "suffix" : "" }, { "dropping-particle" : "", "family" : "Maltin", "given" : "Elyse R.", "non-dropping-particle" : "", "parse-names" : false, "suffix" : "" }, { "dropping-particle" : "", "family" : "Sheppard", "given" : "Leah", "non-dropping-particle" : "", "parse-names" : false, "suffix" : "" } ], "container-title" : "Journal of Vocational Behavior", "id" : "ITEM-4", "issue" : "2", "issued" : { "date-parts" : [ [ "2012" ] ] }, "page" : "225-245", "publisher" : "Elsevier Inc.", "title" : "Affective, normative, and continuance commitment levels across cultures: A meta-analysis", "type" : "article-journal", "volume" : "80" }, "uris" : [ "http://www.mendeley.com/documents/?uuid=41adaaf0-a86a-44ec-9b7d-da55941253af" ] } ], "mendeley" : { "formattedCitation" : "(Meyer &amp; Allen 1991; Allen &amp; Meyer 1996; Meyer et al. 2002; Meyer, D. J. Stanley, et al. 2012)", "manualFormatting" : "(Meyer &amp; Allen, 1991; Allen &amp; Meyer, 1996; Meyer et al., 2002; Meyer, et al., 2012a)", "plainTextFormattedCitation" : "(Meyer &amp; Allen 1991; Allen &amp; Meyer 1996; Meyer et al. 2002; Meyer, D. J. Stanley, et al. 2012)", "previouslyFormattedCitation" : "(Meyer &amp; Allen 1991; Allen &amp; Meyer 1996; Meyer et al. 2002; Meyer, D. J. Stanley, et al. 2012)" }, "properties" : { "noteIndex" : 0 }, "schema" : "https://github.com/citation-style-language/schema/raw/master/csl-citation.json" }</w:instrText>
      </w:r>
      <w:r w:rsidRPr="00452E2E">
        <w:rPr>
          <w:szCs w:val="24"/>
        </w:rPr>
        <w:fldChar w:fldCharType="separate"/>
      </w:r>
      <w:r w:rsidRPr="00452E2E">
        <w:rPr>
          <w:noProof/>
          <w:szCs w:val="24"/>
        </w:rPr>
        <w:t xml:space="preserve">(Meyer &amp; Allen, 1991; Allen &amp; Meyer, 1996; Meyer </w:t>
      </w:r>
      <w:r w:rsidRPr="00452E2E">
        <w:rPr>
          <w:i/>
          <w:noProof/>
          <w:szCs w:val="24"/>
        </w:rPr>
        <w:t>et al</w:t>
      </w:r>
      <w:r w:rsidRPr="00452E2E">
        <w:rPr>
          <w:noProof/>
          <w:szCs w:val="24"/>
        </w:rPr>
        <w:t xml:space="preserve">., 2002; Meyer, </w:t>
      </w:r>
      <w:r w:rsidRPr="00452E2E">
        <w:rPr>
          <w:i/>
          <w:noProof/>
          <w:szCs w:val="24"/>
        </w:rPr>
        <w:t>et al</w:t>
      </w:r>
      <w:r w:rsidRPr="00452E2E">
        <w:rPr>
          <w:noProof/>
          <w:szCs w:val="24"/>
        </w:rPr>
        <w:t>., 2012</w:t>
      </w:r>
      <w:r w:rsidRPr="00452E2E">
        <w:rPr>
          <w:i/>
          <w:noProof/>
          <w:szCs w:val="24"/>
        </w:rPr>
        <w:t>a</w:t>
      </w:r>
      <w:r w:rsidRPr="00452E2E">
        <w:rPr>
          <w:noProof/>
          <w:szCs w:val="24"/>
        </w:rPr>
        <w:t>)</w:t>
      </w:r>
      <w:r w:rsidRPr="00452E2E">
        <w:rPr>
          <w:szCs w:val="24"/>
        </w:rPr>
        <w:fldChar w:fldCharType="end"/>
      </w:r>
      <w:r w:rsidRPr="00452E2E">
        <w:rPr>
          <w:szCs w:val="24"/>
        </w:rPr>
        <w:t>.</w:t>
      </w:r>
    </w:p>
    <w:p w:rsidR="00400BB5" w:rsidRPr="00452E2E" w:rsidRDefault="00400BB5" w:rsidP="00400BB5">
      <w:pPr>
        <w:spacing w:line="360" w:lineRule="auto"/>
        <w:jc w:val="both"/>
        <w:rPr>
          <w:szCs w:val="24"/>
        </w:rPr>
      </w:pPr>
      <w:r w:rsidRPr="00452E2E">
        <w:rPr>
          <w:szCs w:val="24"/>
        </w:rPr>
        <w:t xml:space="preserve"> The three-component model of organizational commitment is so popular that it has been extended to other forms of work commitment </w:t>
      </w:r>
      <w:r w:rsidRPr="00452E2E">
        <w:rPr>
          <w:szCs w:val="24"/>
        </w:rPr>
        <w:fldChar w:fldCharType="begin" w:fldLock="1"/>
      </w:r>
      <w:r w:rsidRPr="00452E2E">
        <w:rPr>
          <w:szCs w:val="24"/>
        </w:rPr>
        <w:instrText>ADDIN CSL_CITATION { "citationItems" : [ { "id" : "ITEM-1", "itemData" : { "author" : [ { "dropping-particle" : "", "family" : "Meyer", "given" : "John P.", "non-dropping-particle" : "", "parse-names" : false, "suffix" : "" }, { "dropping-particle" : "", "family" : "Allen", "given" : "Natalie J.", "non-dropping-particle" : "", "parse-names" : false, "suffix" : "" }, { "dropping-particle" : "", "family" : "Smith", "given" : "C. A.", "non-dropping-particle" : "", "parse-names" : false, "suffix" : "" } ], "container-title" : "Journal of Applied Psychology", "id" : "ITEM-1", "issue" : "4", "issued" : { "date-parts" : [ [ "1993" ] ] }, "page" : "538-551", "title" : "Commitment to organizations and occupations: Extension and test of a three-component conceptualization", "type" : "article-journal", "volume" : "78" }, "uris" : [ "http://www.mendeley.com/documents/?uuid=e0abe2df-7603-4404-bea4-e4cb529615c7" ] }, { "id" : "ITEM-2", "itemData" : { "DOI" : "10.1016/S1053-4822(00)00053-X", "ISBN" : "10534822", "ISSN" : "10534822", "PMID" : "6861299", "abstract" : "It is now well recognized that employees can develop multiple work-relevant commitments, and that commitment itself is a multidimensional construct. Unfortunately, there remains considerable disagreement, both within and across work commitment literatures (e.g., organizational, occupational, union), about what commitment is, its dimensionality, how it develops, and how it affects behavior. We argue that commitment should have a \"core essence\" regardless of the context in which it is studied, and that it should therefore be possible to develop a general model of workplace commitment. We propose such a model based on the propositions that commitment (a) is a force that binds an individual to a course of action of relevance to a target and (b) can be accompanied by different mind-sets that play a role in shaping behavior. We demonstrate how this model helps to explain existing research findings and can serve as a guide for future research and for the management of workplace commitments. ?? 2001 Elsevier Science Inc.", "author" : [ { "dropping-particle" : "", "family" : "Meyer", "given" : "John P.", "non-dropping-particle" : "", "parse-names" : false, "suffix" : "" }, { "dropping-particle" : "", "family" : "Herscovitch", "given" : "Lynne", "non-dropping-particle" : "", "parse-names" : false, "suffix" : "" } ], "container-title" : "Human Resource Management Review", "id" : "ITEM-2", "issue" : "3", "issued" : { "date-parts" : [ [ "2001" ] ] }, "page" : "299-326", "title" : "Commitment in the workplace: Toward a general model", "type" : "article-journal", "volume" : "11" }, "uris" : [ "http://www.mendeley.com/documents/?uuid=298b3f54-7b4a-4a2f-879e-0a0f5c44368d" ] } ], "mendeley" : { "formattedCitation" : "(Meyer et al. 1993; Meyer &amp; Herscovitch 2001)", "manualFormatting" : "(Meyer et al., 1993; Meyer &amp; Herscovitch, 2001)", "plainTextFormattedCitation" : "(Meyer et al. 1993; Meyer &amp; Herscovitch 2001)", "previouslyFormattedCitation" : "(Meyer et al. 1993; Meyer &amp; Herscovitch 2001)" }, "properties" : { "noteIndex" : 0 }, "schema" : "https://github.com/citation-style-language/schema/raw/master/csl-citation.json" }</w:instrText>
      </w:r>
      <w:r w:rsidRPr="00452E2E">
        <w:rPr>
          <w:szCs w:val="24"/>
        </w:rPr>
        <w:fldChar w:fldCharType="separate"/>
      </w:r>
      <w:r w:rsidRPr="00452E2E">
        <w:rPr>
          <w:noProof/>
          <w:szCs w:val="24"/>
        </w:rPr>
        <w:t xml:space="preserve">(Meyer </w:t>
      </w:r>
      <w:r w:rsidRPr="00452E2E">
        <w:rPr>
          <w:i/>
          <w:noProof/>
          <w:szCs w:val="24"/>
        </w:rPr>
        <w:t>et al</w:t>
      </w:r>
      <w:r w:rsidRPr="00452E2E">
        <w:rPr>
          <w:noProof/>
          <w:szCs w:val="24"/>
        </w:rPr>
        <w:t>., 1993; Meyer &amp; Herscovitch, 2001)</w:t>
      </w:r>
      <w:r w:rsidRPr="00452E2E">
        <w:rPr>
          <w:szCs w:val="24"/>
        </w:rPr>
        <w:fldChar w:fldCharType="end"/>
      </w:r>
      <w:r w:rsidRPr="00452E2E">
        <w:rPr>
          <w:szCs w:val="24"/>
        </w:rPr>
        <w:t xml:space="preserve">. In addition, there is a meta-analysis of antecedents, correlates, and consequences of affective, continuance, and normative commitment </w:t>
      </w:r>
      <w:r w:rsidRPr="00452E2E">
        <w:rPr>
          <w:szCs w:val="24"/>
        </w:rPr>
        <w:fldChar w:fldCharType="begin" w:fldLock="1"/>
      </w:r>
      <w:r w:rsidRPr="00452E2E">
        <w:rPr>
          <w:szCs w:val="24"/>
        </w:rPr>
        <w:instrText>ADDIN CSL_CITATION { "citationItems" : [ { "id" : "ITEM-1",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"ITEM-1",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"mendeley" : { "formattedCitation" : "(Meyer et al. 2002)", "manualFormatting" : "(Meyer et al., 2002)", "plainTextFormattedCitation" : "(Meyer et al. 2002)", "previouslyFormattedCitation" : "(Meyer et al. 2002)" }, "properties" : { "noteIndex" : 0 }, "schema" : "https://github.com/citation-style-language/schema/raw/master/csl-citation.json" }</w:instrText>
      </w:r>
      <w:r w:rsidRPr="00452E2E">
        <w:rPr>
          <w:szCs w:val="24"/>
        </w:rPr>
        <w:fldChar w:fldCharType="separate"/>
      </w:r>
      <w:r w:rsidRPr="00452E2E">
        <w:rPr>
          <w:noProof/>
          <w:szCs w:val="24"/>
        </w:rPr>
        <w:t xml:space="preserve">(Meyer </w:t>
      </w:r>
      <w:r w:rsidRPr="00452E2E">
        <w:rPr>
          <w:i/>
          <w:noProof/>
          <w:szCs w:val="24"/>
        </w:rPr>
        <w:t>et al</w:t>
      </w:r>
      <w:r w:rsidRPr="00452E2E">
        <w:rPr>
          <w:noProof/>
          <w:szCs w:val="24"/>
        </w:rPr>
        <w:t>., 2002)</w:t>
      </w:r>
      <w:r w:rsidRPr="00452E2E">
        <w:rPr>
          <w:szCs w:val="24"/>
        </w:rPr>
        <w:fldChar w:fldCharType="end"/>
      </w:r>
      <w:r w:rsidRPr="00452E2E">
        <w:rPr>
          <w:szCs w:val="24"/>
        </w:rPr>
        <w:t xml:space="preserve">; as well as meta-analyses of studies using the model across cultures </w:t>
      </w:r>
      <w:r w:rsidRPr="00452E2E">
        <w:rPr>
          <w:szCs w:val="24"/>
        </w:rPr>
        <w:fldChar w:fldCharType="begin" w:fldLock="1"/>
      </w:r>
      <w:r w:rsidRPr="00452E2E">
        <w:rPr>
          <w:szCs w:val="24"/>
        </w:rPr>
        <w:instrText>ADDIN CSL_CITATION { "citationItems" : [ { "id" : "ITEM-1", "itemData" : { "author" : [ { "dropping-particle" : "", "family" : "Fischer", "given" : "Ronald", "non-dropping-particle" : "", "parse-names" : false, "suffix" : "" }, { "dropping-particle" : "", "family" : "Mansell", "given" : "Angela", "non-dropping-particle" : "", "parse-names" : false, "suffix" : "" } ], "container-title" : "Journal of International Business Studies", "id" : "ITEM-1", "issue" : "8", "issued" : { "date-parts" : [ [ "2009" ] ] }, "page" : "1339-1358", "title" : "Commitment across cultures: A meta-analytical approach", "type" : "article-journal", "volume" : "40" }, "uris" : [ "http://www.mendeley.com/documents/?uuid=d4a0d6a6-4d40-4434-81e3-478d31fa9994" ] }, { "id" : "ITEM-2", "itemData" : { "DOI" : "10.1016/j.jvb.2011.09.005", "ISBN" : "0001-8791", "ISSN" : "00018791", "abstract" : "With increasing globalization of business and diversity within the workplace, there has been growing interest in cultural differences in employee commitment. We used meta-analysis to compute mean levels of affective (AC; K=966, N=433,129), continuance (CC; K=428, N=199,831), and normative (NC; K=336, N=133,277) organizational commitment for as many as 54 countries and nine geographic regions, and used cultural values/practices from the Hofstede (2001), Schwartz (2006), and GLOBE (House, Hanges, Javidan, Dorfman, &amp; Gupta, 2004) taxonomies to account for observed variance. We found that cultural values/practices explained the greatest amount of variance in NC, followed by AC; they did not explain variance in CC. When economic indicators were controlled, Schwartz's value orientations accounted for the most incremental variance, particularly in NC. We provide country-level normative data for the three components of commitment and discuss the implications of our findings for multi-national organizations as well as for companies employing individuals with varying cultural backgrounds. ?? 2011 Elsevier Inc.", "author" : [ { "dropping-particle" : "", "family" : "Meyer", "given" : "John P.", "non-dropping-particle" : "", "parse-names" : false, "suffix" : "" }, { "dropping-particle" : "", "family" : "Stanley", "given" : "David J.", "non-dropping-particle" : "", "parse-names" : false, "suffix" : "" }, { "dropping-particle" : "", "family" : "Jackson", "given" : "Timothy A.", "non-dropping-particle" : "", "parse-names" : false, "suffix" : "" }, { "dropping-particle" : "", "family" : "McInnis", "given" : "Kate J.", "non-dropping-particle" : "", "parse-names" : false, "suffix" : "" }, { "dropping-particle" : "", "family" : "Maltin", "given" : "Elyse R.", "non-dropping-particle" : "", "parse-names" : false, "suffix" : "" }, { "dropping-particle" : "", "family" : "Sheppard", "given" : "Leah", "non-dropping-particle" : "", "parse-names" : false, "suffix" : "" } ], "container-title" : "Journal of Vocational Behavior", "id" : "ITEM-2", "issue" : "2", "issued" : { "date-parts" : [ [ "2012" ] ] }, "page" : "225-245", "publisher" : "Elsevier Inc.", "title" : "Affective, normative, and continuance commitment levels across cultures: A meta-analysis", "type" : "article-journal", "volume" : "80" }, "uris" : [ "http://www.mendeley.com/documents/?uuid=41adaaf0-a86a-44ec-9b7d-da55941253af" ] } ], "mendeley" : { "formattedCitation" : "(Fischer &amp; Mansell 2009; Meyer, D. J. Stanley, et al. 2012)", "manualFormatting" : "(Fischer &amp; Mansell, 2009; Meyer et al., 2012a)", "plainTextFormattedCitation" : "(Fischer &amp; Mansell 2009; Meyer, D. J. Stanley, et al. 2012)", "previouslyFormattedCitation" : "(Fischer &amp; Mansell 2009; Meyer, D. J. Stanley, et al. 2012)" }, "properties" : { "noteIndex" : 0 }, "schema" : "https://github.com/citation-style-language/schema/raw/master/csl-citation.json" }</w:instrText>
      </w:r>
      <w:r w:rsidRPr="00452E2E">
        <w:rPr>
          <w:szCs w:val="24"/>
        </w:rPr>
        <w:fldChar w:fldCharType="separate"/>
      </w:r>
      <w:r w:rsidRPr="00452E2E">
        <w:rPr>
          <w:noProof/>
          <w:szCs w:val="24"/>
        </w:rPr>
        <w:t xml:space="preserve">(Fischer &amp; Mansell, 2009; Meyer </w:t>
      </w:r>
      <w:r w:rsidRPr="00452E2E">
        <w:rPr>
          <w:i/>
          <w:noProof/>
          <w:szCs w:val="24"/>
        </w:rPr>
        <w:t>et al</w:t>
      </w:r>
      <w:r w:rsidRPr="00452E2E">
        <w:rPr>
          <w:noProof/>
          <w:szCs w:val="24"/>
        </w:rPr>
        <w:t>., 2012</w:t>
      </w:r>
      <w:r w:rsidRPr="00452E2E">
        <w:rPr>
          <w:i/>
          <w:noProof/>
          <w:szCs w:val="24"/>
        </w:rPr>
        <w:t>a</w:t>
      </w:r>
      <w:r w:rsidRPr="00452E2E">
        <w:rPr>
          <w:noProof/>
          <w:szCs w:val="24"/>
        </w:rPr>
        <w:t>)</w:t>
      </w:r>
      <w:r w:rsidRPr="00452E2E">
        <w:rPr>
          <w:szCs w:val="24"/>
        </w:rPr>
        <w:fldChar w:fldCharType="end"/>
      </w:r>
    </w:p>
    <w:p w:rsidR="00400BB5" w:rsidRPr="00452E2E" w:rsidRDefault="00400BB5" w:rsidP="00400BB5">
      <w:pPr>
        <w:spacing w:line="360" w:lineRule="auto"/>
        <w:jc w:val="both"/>
        <w:rPr>
          <w:szCs w:val="24"/>
        </w:rPr>
      </w:pPr>
      <w:r w:rsidRPr="00452E2E">
        <w:rPr>
          <w:szCs w:val="24"/>
        </w:rPr>
        <w:t xml:space="preserve">Nevertheless, the three-component model of commitment has been criticised due to the usually high correlations between affective and normative commitment, as well as the negative effects of continuance commitment on work outcomes </w:t>
      </w:r>
      <w:r w:rsidRPr="00452E2E">
        <w:rPr>
          <w:szCs w:val="24"/>
        </w:rPr>
        <w:fldChar w:fldCharType="begin" w:fldLock="1"/>
      </w:r>
      <w:r w:rsidRPr="00452E2E">
        <w:rPr>
          <w:szCs w:val="24"/>
        </w:rPr>
        <w:instrText>ADDIN CSL_CITATION { "citationItems" : [ { "id" : "ITEM-1", "itemData" : { "abstract" : "A review of the organizational commitment literature has pointed out several advantages as well as some limitations of the approach advanced by Meyer and Allen (Meyer, P.J. and Allen, J.N. (1997). Commitment in the workplace: Theory, research, and application. Thousand Oaks, CA: Sage.). The advantages include good psychometric properties of the current scales, acceptable discriminant validity of the three dimensions, and research findings that showed the usefulness and acceptable content validity of the three-dimensional approach. Some of the limitations are limited predictive validity, conceptual ambiguity of continuance commitment, and concept redundancy between normative and affective commitment. This paper suggests a conceptualization that builds upon the strengths of the current approaches and minimizes their limitations. The proposed theory contends that organizational commitment is two-dimensional. One dimension is instrumental in nature and the second is affective. In addition, a sharp difference needs to be made between commitment propensity that develops before one's entry into the organization and commitment attitudes that develop after one's entry into the organization. The advantages of the suggested theory and its implications for the understanding of organizational commitment and future research on it are discussed. ?? 2007 Elsevier Inc. All rights reserved.", "author" : [ { "dropping-particle" : "", "family" : "Cohen", "given" : "Aaron", "non-dropping-particle" : "", "parse-names" : false, "suffix" : "" } ], "container-title" : "Human Resource Management Review", "id" : "ITEM-1", "issue" : "3", "issued" : { "date-parts" : [ [ "2007" ] ] }, "page" : "336-354", "title" : "Commitment before and after: An evaluation and reconceptualization of organizational commitment", "type" : "article-journal", "volume" : "17" }, "uris" : [ "http://www.mendeley.com/documents/?uuid=c84ea3d4-b2a3-4766-bca5-57ea6cc3c88f" ] }, { "id" : "ITEM-2", "itemData" : { "DOI" : "10.1037/0021-9010.93.1.70", "ISBN" : "0021-9010", "ISSN" : "0021-9010", "PMID" : "18211136", "abstract" : "This article offers a conceptual critique of the three-component model {(TCM)} of organizational commitment {(Allen} &amp; Meyer, 1990) and proposes a reconceptualization based on standard attitude theory. The authors use the attitude-behavior model by Eagly and Chaiken (1993) to demonstrate that the {TCM} combines fundamentally different attitudinal phenomena. They argue that general organizational commitment can best be understood as an attitude regarding the organization, while normative and continuance commitment are attitudes regarding specific forms of behavior (i.e., staying or leaving). The conceptual analysis shows that the {TCM} fails to qualify as general model of organizational commitment but instead represents a specific model for predicting turnover. The authors suggest that the use of the {TCM} be restricted to this purpose and that Eagly and Chaiken's model be adopted as a generic commitment model template from which a range of models for predicting specific organizational behaviors can be extracted. Finally, they discuss the definition and measurement of the organizational commitment attitude. Covering the affective, cognitive, and behavioral facets of this attitude helps to enhance construct validity and to differentiate the construct from other constructs. {(PsycINFO} Database Record (c) 2009 {APA,} all rights reserved). (from the journal abstract)", "author" : [ { "dropping-particle" : "", "family" : "Solinger", "given" : "O.N.", "non-dropping-particle" : "", "parse-names" : false, "suffix" : "" }, { "dropping-particle" : "", "family" : "Olffen", "given" : "W .V.", "non-dropping-particle" : "", "parse-names" : false, "suffix" : "" }, { "dropping-particle" : "", "family" : "Roe", "given" : "R.A.", "non-dropping-particle" : "", "parse-names" : false, "suffix" : "" } ], "container-title" : "Journal of Applied Psychology", "id" : "ITEM-2", "issue" : "1", "issued" : { "date-parts" : [ [ "2008" ] ] }, "page" : "83-70", "title" : "Beyond the three-component model of organizational commitment", "type" : "article-journal", "volume" : "93" }, "uris" : [ "http://www.mendeley.com/documents/?uuid=8a02fbe6-de51-4d5c-b5f6-543965ff9bcf" ] } ], "mendeley" : { "formattedCitation" : "(Cohen 2007; Solinger et al. 2008)", "manualFormatting" : "(Cohen, 2007; Solinger et al., 2008)", "plainTextFormattedCitation" : "(Cohen 2007; Solinger et al. 2008)", "previouslyFormattedCitation" : "(Cohen 2007; Solinger et al. 2008)" }, "properties" : { "noteIndex" : 0 }, "schema" : "https://github.com/citation-style-language/schema/raw/master/csl-citation.json" }</w:instrText>
      </w:r>
      <w:r w:rsidRPr="00452E2E">
        <w:rPr>
          <w:szCs w:val="24"/>
        </w:rPr>
        <w:fldChar w:fldCharType="separate"/>
      </w:r>
      <w:r w:rsidRPr="00452E2E">
        <w:rPr>
          <w:noProof/>
          <w:szCs w:val="24"/>
        </w:rPr>
        <w:t xml:space="preserve">(Cohen, 2007; Solinger </w:t>
      </w:r>
      <w:r w:rsidRPr="00452E2E">
        <w:rPr>
          <w:i/>
          <w:noProof/>
          <w:szCs w:val="24"/>
        </w:rPr>
        <w:t>et al</w:t>
      </w:r>
      <w:r w:rsidRPr="00452E2E">
        <w:rPr>
          <w:noProof/>
          <w:szCs w:val="24"/>
        </w:rPr>
        <w:t>., 2008)</w:t>
      </w:r>
      <w:r w:rsidRPr="00452E2E">
        <w:rPr>
          <w:szCs w:val="24"/>
        </w:rPr>
        <w:fldChar w:fldCharType="end"/>
      </w:r>
      <w:r w:rsidRPr="00452E2E">
        <w:rPr>
          <w:szCs w:val="24"/>
        </w:rPr>
        <w:t xml:space="preserve">. As a result, questions have been asked whether affective and normative commitment are distinct forms of commitment and whether continuance commitment is indeed a valid form of organizational commitment </w:t>
      </w:r>
      <w:r w:rsidRPr="00452E2E">
        <w:rPr>
          <w:szCs w:val="24"/>
        </w:rPr>
        <w:fldChar w:fldCharType="begin" w:fldLock="1"/>
      </w:r>
      <w:r w:rsidRPr="00452E2E">
        <w:rPr>
          <w:szCs w:val="24"/>
        </w:rPr>
        <w:instrText>ADDIN CSL_CITATION { "citationItems" : [ { "id" : "ITEM-1", "itemData" : { "abstract" : "A review of the organizational commitment literature has pointed out several advantages as well as some limitations of the approach advanced by Meyer and Allen (Meyer, P.J. and Allen, J.N. (1997). Commitment in the workplace: Theory, research, and application. Thousand Oaks, CA: Sage.). The advantages include good psychometric properties of the current scales, acceptable discriminant validity of the three dimensions, and research findings that showed the usefulness and acceptable content validity of the three-dimensional approach. Some of the limitations are limited predictive validity, conceptual ambiguity of continuance commitment, and concept redundancy between normative and affective commitment. This paper suggests a conceptualization that builds upon the strengths of the current approaches and minimizes their limitations. The proposed theory contends that organizational commitment is two-dimensional. One dimension is instrumental in nature and the second is affective. In addition, a sharp difference needs to be made between commitment propensity that develops before one's entry into the organization and commitment attitudes that develop after one's entry into the organization. The advantages of the suggested theory and its implications for the understanding of organizational commitment and future research on it are discussed. ?? 2007 Elsevier Inc. All rights reserved.", "author" : [ { "dropping-particle" : "", "family" : "Cohen", "given" : "Aaron", "non-dropping-particle" : "", "parse-names" : false, "suffix" : "" } ], "container-title" : "Human Resource Management Review", "id" : "ITEM-1", "issue" : "3", "issued" : { "date-parts" : [ [ "2007" ] ] }, "page" : "336-354", "title" : "Commitment before and after: An evaluation and reconceptualization of organizational commitment", "type" : "article-journal", "volume" : "17" }, "uris" : [ "http://www.mendeley.com/documents/?uuid=c84ea3d4-b2a3-4766-bca5-57ea6cc3c88f" ] }, { "id" : "ITEM-2", "itemData" : { "DOI" : "10.1037/0021-9010.93.1.70", "ISBN" : "0021-9010", "ISSN" : "0021-9010", "PMID" : "18211136", "abstract" : "This article offers a conceptual critique of the three-component model {(TCM)} of organizational commitment {(Allen} &amp; Meyer, 1990) and proposes a reconceptualization based on standard attitude theory. The authors use the attitude-behavior model by Eagly and Chaiken (1993) to demonstrate that the {TCM} combines fundamentally different attitudinal phenomena. They argue that general organizational commitment can best be understood as an attitude regarding the organization, while normative and continuance commitment are attitudes regarding specific forms of behavior (i.e., staying or leaving). The conceptual analysis shows that the {TCM} fails to qualify as general model of organizational commitment but instead represents a specific model for predicting turnover. The authors suggest that the use of the {TCM} be restricted to this purpose and that Eagly and Chaiken's model be adopted as a generic commitment model template from which a range of models for predicting specific organizational behaviors can be extracted. Finally, they discuss the definition and measurement of the organizational commitment attitude. Covering the affective, cognitive, and behavioral facets of this attitude helps to enhance construct validity and to differentiate the construct from other constructs. {(PsycINFO} Database Record (c) 2009 {APA,} all rights reserved). (from the journal abstract)", "author" : [ { "dropping-particle" : "", "family" : "Solinger", "given" : "O.N.", "non-dropping-particle" : "", "parse-names" : false, "suffix" : "" }, { "dropping-particle" : "", "family" : "Olffen", "given" : "W .V.", "non-dropping-particle" : "", "parse-names" : false, "suffix" : "" }, { "dropping-particle" : "", "family" : "Roe", "given" : "R.A.", "non-dropping-particle" : "", "parse-names" : false, "suffix" : "" } ], "container-title" : "Journal of Applied Psychology", "id" : "ITEM-2", "issue" : "1", "issued" : { "date-parts" : [ [ "2008" ] ] }, "page" : "83-70", "title" : "Beyond the three-component model of organizational commitment", "type" : "article-journal", "volume" : "93" }, "uris" : [ "http://www.mendeley.com/documents/?uuid=8a02fbe6-de51-4d5c-b5f6-543965ff9bcf" ] } ], "mendeley" : { "formattedCitation" : "(Cohen 2007; Solinger et al. 2008)", "manualFormatting" : "(Cohen, 2007; Solinger et al., 2008)", "plainTextFormattedCitation" : "(Cohen 2007; Solinger et al. 2008)", "previouslyFormattedCitation" : "(Cohen 2007; Solinger et al. 2008)" }, "properties" : { "noteIndex" : 0 }, "schema" : "https://github.com/citation-style-language/schema/raw/master/csl-citation.json" }</w:instrText>
      </w:r>
      <w:r w:rsidRPr="00452E2E">
        <w:rPr>
          <w:szCs w:val="24"/>
        </w:rPr>
        <w:fldChar w:fldCharType="separate"/>
      </w:r>
      <w:r w:rsidRPr="00452E2E">
        <w:rPr>
          <w:noProof/>
          <w:szCs w:val="24"/>
        </w:rPr>
        <w:t xml:space="preserve">(Cohen, 2007; Solinger </w:t>
      </w:r>
      <w:r w:rsidRPr="00452E2E">
        <w:rPr>
          <w:i/>
          <w:noProof/>
          <w:szCs w:val="24"/>
        </w:rPr>
        <w:t>et al</w:t>
      </w:r>
      <w:r w:rsidRPr="00452E2E">
        <w:rPr>
          <w:noProof/>
          <w:szCs w:val="24"/>
        </w:rPr>
        <w:t>., 2008)</w:t>
      </w:r>
      <w:r w:rsidRPr="00452E2E">
        <w:rPr>
          <w:szCs w:val="24"/>
        </w:rPr>
        <w:fldChar w:fldCharType="end"/>
      </w:r>
      <w:r w:rsidRPr="00452E2E">
        <w:rPr>
          <w:szCs w:val="24"/>
        </w:rPr>
        <w:t xml:space="preserve">. Based on this, affective commitment has been the most widely validated form of organizational commitment since it has positive effects on work outcomes </w:t>
      </w:r>
      <w:r w:rsidRPr="00452E2E">
        <w:rPr>
          <w:szCs w:val="24"/>
        </w:rPr>
        <w:fldChar w:fldCharType="begin" w:fldLock="1"/>
      </w:r>
      <w:r w:rsidRPr="00452E2E">
        <w:rPr>
          <w:szCs w:val="24"/>
        </w:rPr>
        <w:instrText>ADDIN CSL_CITATION { "citationItems" : [ { "id" : "ITEM-1", "itemData" : { "DOI" : "10.1016/j.jvb.2010.04.007", "ISBN" : "0001-8791", "ISSN" : "00018791", "PMID" : "1239343552", "abstract" : "Although a great deal is known about the implications of employee commitment for organizations, less attention has been paid to its ramifications for employees themselves. Previous research has been unsystematic and the findings have sometimes been inconsistent. The most consistent findings pertain to the positive links between affective commitment and employee well-being. Relations between continuance commitment and well-being are more variable, but generally negative. Little is known about relations involving normative commitment. There is considerable inconsistency in findings pertaining to the moderating effects of commitment on stressor-strain relations. We provide a theoretical framework based on an integration of the three-component model of commitment (Meyer &amp; Allen, 1997) and Deci and Ryan's (1985) self-determination theory of motivation to help explain both the consistencies and inconsistencies, and to guide future research. We also argue for a broadening of the concept of employee well-being to include indices of eudaimonic as well as hedonic well-being. ?? 2010 Elsevier Inc.", "author" : [ { "dropping-particle" : "", "family" : "Meyer", "given" : "John P.", "non-dropping-particle" : "", "parse-names" : false, "suffix" : "" }, { "dropping-particle" : "", "family" : "Maltin", "given" : "Elyse R.", "non-dropping-particle" : "", "parse-names" : false, "suffix" : "" } ], "container-title" : "Journal of Vocational Behavior", "id" : "ITEM-1", "issue" : "2", "issued" : { "date-parts" : [ [ "2010" ] ] }, "page" : "323-337", "publisher" : "Elsevier Inc.", "title" : "Employee commitment and well-being: A critical review, theoretical framework and research agenda", "type" : "article-journal", "volume" : "77" }, "uris" : [ "http://www.mendeley.com/documents/?uuid=f3f313c8-34fe-491a-a058-b496d8d41739" ] }, { "id" : "ITEM-2", "itemData" : { "DOI" : "10.1016/j.hrmr.2009.09.001", "ISBN" : "1053-4822", "ISSN" : "10534822", "abstract" : "Among the components of the Meyer and Allen's [Meyer, J. P., &amp; Allen, N. J. (1991). A three-component conceptualization of organizational commitment. Human Resource Management Review, 1, 64-89] three-component model of organizational commitment, normative commitment (NC) has received the least attention. It is sometimes dismissed as a redundant construct that bears many similarities to affective commitment and does not explain work behaviors beyond other components. In this review, we seek to re-establish the theoretical and practical significance of NC. We argue that NC has a dual nature and that it manifests itself differently depending on the strength of other components in an employee's commitment profile. NC can be experienced either as a moral duty or a sense of indebtedness, each having different implications for work behavior. Drawing on theories of perceived organizational support, motivation, psychological contracts, leadership, and culture, the paper justifies the distinction between two \"faces\" of NC, delineates organizational factors that could promote a more positive interpretation of NC, and proposes an agenda for future research. ?? 2009 Elsevier Inc.", "author" : [ { "dropping-particle" : "", "family" : "Meyer", "given" : "John P.", "non-dropping-particle" : "", "parse-names" : false, "suffix" : "" }, { "dropping-particle" : "", "family" : "Parfyonova", "given" : "Natalya M.", "non-dropping-particle" : "", "parse-names" : false, "suffix" : "" } ], "container-title" : "Human Resource Management Review", "id" : "ITEM-2", "issue" : "4", "issued" : { "date-parts" : [ [ "2010" ] ] }, "page" : "283-294", "publisher" : "Elsevier Inc.", "title" : "Normative commitment in the workplace: A theoretical analysis and re-conceptualization", "type" : "article-journal", "volume" : "20" }, "uris" : [ "http://www.mendeley.com/documents/?uuid=042db698-8abd-43ac-b78b-ff28a9611c52" ] } ], "mendeley" : { "formattedCitation" : "(Meyer &amp; Maltin 2010; Meyer &amp; Parfyonova 2010)", "manualFormatting" : "(Meyer &amp; Maltin, 2010; Meyer &amp; Parfyonova, 2010)", "plainTextFormattedCitation" : "(Meyer &amp; Maltin 2010; Meyer &amp; Parfyonova 2010)", "previouslyFormattedCitation" : "(Meyer &amp; Maltin 2010; Meyer &amp; Parfyonova 2010)" }, "properties" : { "noteIndex" : 0 }, "schema" : "https://github.com/citation-style-language/schema/raw/master/csl-citation.json" }</w:instrText>
      </w:r>
      <w:r w:rsidRPr="00452E2E">
        <w:rPr>
          <w:szCs w:val="24"/>
        </w:rPr>
        <w:fldChar w:fldCharType="separate"/>
      </w:r>
      <w:r w:rsidRPr="00452E2E">
        <w:rPr>
          <w:noProof/>
          <w:szCs w:val="24"/>
        </w:rPr>
        <w:t>(Meyer &amp; Maltin, 2010; Meyer &amp; Parfyonova, 2010)</w:t>
      </w:r>
      <w:r w:rsidRPr="00452E2E">
        <w:rPr>
          <w:szCs w:val="24"/>
        </w:rPr>
        <w:fldChar w:fldCharType="end"/>
      </w:r>
      <w:r w:rsidRPr="00452E2E">
        <w:rPr>
          <w:szCs w:val="24"/>
        </w:rPr>
        <w:t xml:space="preserve">. Unsurprisingly, affective commitment is the dominant form of organizational commitment in research on HR practices and organizational commitment (e.g. </w:t>
      </w:r>
      <w:r w:rsidRPr="00452E2E">
        <w:rPr>
          <w:noProof/>
          <w:szCs w:val="24"/>
        </w:rPr>
        <w:t xml:space="preserve">Chew &amp; Chan, 2008; Kuvaas, 2008; Sanders </w:t>
      </w:r>
      <w:r w:rsidRPr="00452E2E">
        <w:rPr>
          <w:i/>
          <w:noProof/>
          <w:szCs w:val="24"/>
        </w:rPr>
        <w:t>et al</w:t>
      </w:r>
      <w:r w:rsidRPr="00452E2E">
        <w:rPr>
          <w:noProof/>
          <w:szCs w:val="24"/>
        </w:rPr>
        <w:t xml:space="preserve">., 2008; Qiao </w:t>
      </w:r>
      <w:r w:rsidRPr="00452E2E">
        <w:rPr>
          <w:i/>
          <w:noProof/>
          <w:szCs w:val="24"/>
        </w:rPr>
        <w:t>et al</w:t>
      </w:r>
      <w:r w:rsidRPr="00452E2E">
        <w:rPr>
          <w:noProof/>
          <w:szCs w:val="24"/>
        </w:rPr>
        <w:t xml:space="preserve">., 2009; Boselie, 2010; Elorza </w:t>
      </w:r>
      <w:r w:rsidRPr="00452E2E">
        <w:rPr>
          <w:i/>
          <w:noProof/>
          <w:szCs w:val="24"/>
        </w:rPr>
        <w:t>et al</w:t>
      </w:r>
      <w:r w:rsidRPr="00452E2E">
        <w:rPr>
          <w:noProof/>
          <w:szCs w:val="24"/>
        </w:rPr>
        <w:t>., 2011; Kehoe &amp; Wright, 2013)</w:t>
      </w:r>
      <w:r w:rsidRPr="00452E2E">
        <w:rPr>
          <w:szCs w:val="24"/>
        </w:rPr>
        <w:t xml:space="preserve">. </w:t>
      </w:r>
    </w:p>
    <w:p w:rsidR="00400BB5" w:rsidRPr="00452E2E" w:rsidRDefault="00400BB5" w:rsidP="00400BB5">
      <w:pPr>
        <w:spacing w:line="360" w:lineRule="auto"/>
        <w:jc w:val="both"/>
        <w:rPr>
          <w:szCs w:val="24"/>
        </w:rPr>
      </w:pPr>
      <w:r w:rsidRPr="00452E2E">
        <w:rPr>
          <w:szCs w:val="24"/>
        </w:rPr>
        <w:t xml:space="preserve">However, research has shown that the three forms of organizational commitment interact to produce different effects on work outcomes that are different from the individual forms of organizational commitment alone </w:t>
      </w:r>
      <w:r w:rsidRPr="00452E2E">
        <w:rPr>
          <w:szCs w:val="24"/>
        </w:rPr>
        <w:fldChar w:fldCharType="begin" w:fldLock="1"/>
      </w:r>
      <w:r w:rsidRPr="00452E2E">
        <w:rPr>
          <w:szCs w:val="24"/>
        </w:rPr>
        <w:instrText xml:space="preserve">ADDIN CSL_CITATION { "citationItems" : [ { "id" : "ITEM-1", "itemData" : { "DOI" : "10.1016/j.jvb.2004.07.002", "ISBN" : "0001-8791", "ISSN" : "00018791", "abstract" : "Although the three-component model of organizational commitment by Meyer and Allen (1991) posits that an employee can experience the three components concurrently, previous research has been largely variable-centered, looking at the antecedents and outcomes of each component separately. Two studies explored how the three components combine to create distinct \"profiles\" of commitment and the implications of different profiles. In Study 1, six clusters were identified using k-means cluster analysis. These were labeled as the Highly committed, Non-committed, Neutral, Affective dominant, Continuance dominant and the Affective-Normative dominant profiles. Analysis of variance results indicated that the Highly committed, Affective-Normative dominant and the Affective dominant profiles demonstrated the most desirable job behaviors. The Non-committed profile showed the least desirable outcomes, followed by the Continuance dominant profile. Study 2 largely replicated these findings. The results suggest that affective commitment is the primary driver of positive outcomes, especially when combined with low levels of continuance commitment. ?? 2005 Elsevier Ltd. All rights reserved.", "author" : [ { "dropping-particle" : "", "family" : "Wasti", "given" : "S. A", "non-dropping-particle" : "", "parse-names" : false, "suffix" : "" } ], "container-title" : "Journal of Vocational Behavior", "id" : "ITEM-1", "issue" : "2", "issued" : { "date-parts" : [ [ "2005" ] ] }, "page" : "290-308", "title" : "Commitment profiles: Combinations of organizational commitment forms and job outcomes", "type" : "article-journal", "volume" : "67" }, "uris" : [ "http://www.mendeley.com/documents/?uuid=8c4b1486-82b2-47e7-a2b9-f8b5964ca71a" ] }, { "id" : "ITEM-2", "itemData" : { "DOI" : "10.1177/1470595807075180", "ISBN" : "1470-5958 U6 - ctx_ver=Z39.88-2004&amp;ctx_enc=info%3Aofi%2Fenc%3AUTF-8&amp;rfr_id=info:sid/summon.serialssolutions.com&amp;rft_val_fmt=info:ofi/fmt:kev:mtx:journal&amp;rft.genre=article&amp;rft.atitle=Organizational+Commitment+Profiles+and+Job+Satisfaction+among+Greek+Private+and+Public+Sector+Employees&amp;rft.jtitle=International+Journal+of+Cross+Cultural+Management&amp;rft.au=van+Dick%2C+Rolf&amp;rft.au=Davis%2C+Ann+J&amp;rft.au=Markovits%2C+Yannis&amp;rft.date=2007-04-01&amp;rft.pub=Sage+Publications&amp;rft.issn=1470-5958&amp;rft.volume=7&amp;r", "ISSN" : "1470-5958", "abstract" : "Recent research into organizational commitment has advocated a profiles-based approach. However, with the exception of Wasti, published findings are confined to North American samples. This article examines the relationships between organizational commitment profiles and job satisfaction in Greece. Greek organizations have rarely been the subject of detailed examination, so the study provides baseline information regarding levels of organizational commitment and job satisfaction in Greece. Both private sector ( N = 1119) and public sector ( N = 476) employees in Greece were surveyed, as this sectoral distinction is regularly associated with different patterns of job-related attitudes. The contrasts between Greek and Anglo-American values present a new challenge to the profiles approach. The results confirm the utility of the profiles approach to the study of organizational commitment. Affective organizational commitment was found to be most influential with respect to levels of intrinsic and extrinsic job satisfaction. This concurs with other studies of the behavioural outcomes of commitment.", "author" : [ { "dropping-particle" : "", "family" : "Markovits", "given" : "Y", "non-dropping-particle" : "", "parse-names" : false, "suffix" : "" }, { "dropping-particle" : "", "family" : "Davis", "given" : "A", "non-dropping-particle" : "", "parse-names" : false, "suffix" : "" }, { "dropping-particle" : "", "family" : "Dick", "given" : "R", "non-dropping-particle" : "van", "parse-names" : false, "suffix" : "" } ], "container-title" : "International Journal of Cross Cultural Management", "id" : "ITEM-2", "issue" : "1", "issued" : { "date-parts" : [ [ "2007" ] ] }, "page" : "77-99", "title" : "Organizational Commitment Profiles and Job Satisfaction among Greek Private and Public Sector Employees", "type" : "article-journal", "volume" : "7" }, "uris" : [ "http://www.mendeley.com/documents/?uuid=970f8b78-794c-45ea-8dac-1fb8ddddc764" ] }, { "id" : "ITEM-3", "itemData" : { "DOI" : "10.1080/09585190902770794", "ISBN" : "0958-5192 %[ May 01, 2009", "ISSN" : "0958-5192", "abstract" : "In this study, we examined how employee perceptions of development-oriented, stability-oriented, and reward-oriented human resource management (HRM) practices affected the likelihood of affective and continuance commitment profile membership. Our focus on profiles of combined commitment components is a departure from a literature dominated by studies of the separate forms of employee commitment. Drawing from self-determination theory (Deci and Ryan 2000) we described the nature of the psychological states believed to underlie the specific profiles under investigation, then tested a series of theoretical predictions concerning the link between HRM practices and the likelihood of profile membership. Predictor and criterion data for this study were collected from 317 respondents working in a variety of Canadian-based organizations. Our findings suggest ways that organizations can use HRM practices strategically to help shape the nature of overall employee commitment.", "author" : [ { "dropping-particle" : "", "family" : "Gellatly", "given" : "Ian R.", "non-dropping-particle" : "", "parse-names" : false, "suffix" : "" }, { "dropping-particle" : "", "family" : "Hunter", "given" : "Karen H.", "non-dropping-particle" : "", "parse-names" : false, "suffix" : "" }, { "dropping-particle" : "", "family" : "Currie", "given" : "Luanne G.", "non-dropping-particle" : "", "parse-names" : false, "suffix" : "" }, { "dropping-particle" : "", "family" : "Irving", "given" : "P. Gregory", "non-dropping-particle" : "", "parse-names" : false, "suffix" : "" } ], "container-title" : "The International Journal of Human Resource Management", "id" : "ITEM-3", "issue" : "4", "issued" : { "date-parts" : [ [ "2009" ] ] }, "page" : "869-884", "title" : "HRM practices and organizational commitment profiles", "type" : "article-journal", "volume" : "20" }, "uris" : [ "http://www.mendeley.com/documents/?uuid=6f90efd6-b015-404c-8caa-0729f3c8edea" ] }, { "id" : "ITEM-4", "itemData" : { "DOI" : "10.1016/j.jvb.2011.07.002", "ISBN" : "00018791", "ISSN" : "00018791", "abstract" : "It is well established that employee commitment can take different forms (e.g., affective, normative, and continuance), yet it is only recently that theory has been advanced to explain how these different forms combine to influence behavior (Meyer &amp; Herscovitch, 2001). We tested this theory with data from employees in three human services organizations (N = 403). Using latent profile analyses, we identified six distinct profile groups and found that they differed on measures of need satisfaction, regulation, affect, engagement, organizational citizenship behavior, and well-being. The observed differences are consistent with the notion that a commitment profile provides a context that determines how the individual components are experienced (Gellatly, Meyer, &amp; Luchak, 2006). We discuss the theoretical and practical implications of this context effect. ?? 2011 Elsevier Inc.", "author" : [ { "dropping-particle" : "", "family" : "Meyer", "given" : "John P.", "non-dropping-particle" : "", "parse-names" : false, "suffix" : "" }, { "dropping-particle" : "", "family" : "Stanley", "given" : "Laura J.", "non-dropping-particle" : "", "parse-names" : false, "suffix" : "" }, { "dropping-particle" : "", "family" : "Parfyonova", "given" : "Natalya M.", "non-dropping-particle" : "", "parse-names" : false, "suffix" : "" } ], "container-title" : "Journal of Vocational Behavior", "id" : "ITEM-4", "issue" : "1", "issued" : { "date-parts" : [ [ "2012" ] ] }, "page" : "1-16", "publisher" : "Elsevier Inc.", "title" : "Employee commitment in context: The nature and implication of commitment profiles", "type" : "article-journal", "volume" : "80" }, "uris" : [ "http://www.mendeley.com/documents/?uuid=43e24581-9019-4c54-8245-e1285f8390d8" ] }, { "id" : "ITEM-5", "itemData" : { "DOI" : "10.1016/j.jvb.2013.01.011", "ISBN" : "7065423743", "ISSN" : "00018791", "abstract" : "We examined how affective (AC), normative (NC), perceived sacrifice (PS), and few alternatives (FA) commitments combine to form profiles and determine turnover intention and turnover. We theorized that three mechanisms account for how profiles operate, i.e., the degree to which membership is internally regulated, the perceived desirability and ease of movement, and the within-person contextual effects among profiles. In a sample of 712 University alumni, we found evidence of six profiles of commitment, reflecting different combinations of commitment forms. The AC Dominant, AC-NC Dominant, and Committed profiles displayed lower turnover intention than the Continuance Dominant and Not Committed profiles. Moreover, the Continuance Dominant profile and the profiles in which AC was high displayed lower turnover rates than the Not Committed profile. We discuss the implications of these findings for the understanding of drivers operating within commitment profiles. ?? 2013 Elsevier Inc..", "author" : [ { "dropping-particle" : "", "family" : "Stanley", "given" : "Laura", "non-dropping-particle" : "", "parse-names" : false, "suffix" : "" }, { "dropping-particle" : "", </w:instrText>
      </w:r>
      <w:r w:rsidRPr="00452E2E">
        <w:rPr>
          <w:szCs w:val="24"/>
          <w:lang w:val="fr-FR"/>
        </w:rPr>
        <w:instrText>"family" : "Vandenberghe", "given" : "Christian", "non-dropping-particle" : "", "parse-names" : false, "suffix" : "" }, { "dropping-particle" : "", "family" : "Vandenberg", "given" : "Robert", "non-dropping-particle" : "", "parse-names" : false, "suffix" : "" }, { "dropping-particle" : "", "family" : "Bentein", "given" : "Kathleen", "non-dropping-particle" : "", "parse-names" : false, "suffix" : "" } ], "container-title" : "Journal of Vocational Behavior", "id" : "ITEM-5", "issue" : "3", "issued" : { "date-parts" : [ [ "2013" ] ] }, "page" : "176-187", "publisher" : "Elsevier Inc.", "title" : "Commitment profiles and employee turnover", "type" : "article-journal", "volume" : "82" }, "uris" : [ "http://www.mendeley.com/documents/?uuid=753c1086-b0ea-4548-9638-9c2321300d27" ] } ], "mendeley" : { "formattedCitation" : "(Wasti 2005; Markovits et al. 2007; Gellatly et al. 2009; Meyer, L. J. Stanley, et al. 2012; Stanley et al. 2013)", "manualFormatting" : "(Wasti, 2005; Markovits et al., 2007; Gellatly et al., 2009; Meyer et al., 2012b; Stanley et al., 2013)", "plainTextFormattedCitation" : "(Wasti 2005; Markovits et al. 2007; Gellatly et al. 2009; Meyer, L. J. Stanley, et al. 2012; Stanley et al. 2013)", "previouslyFormattedCitation" : "(Wasti 2005; Markovits et al. 2007; Gellatly et al. 2009; Meyer, L. J. Stanley, et al. 2012; Stanley et al. 2013)" }, "properties" : { "noteIndex" : 0 }, "schema" : "https://github.com/citation-style-language/schema/raw/master/csl-citation.json" }</w:instrText>
      </w:r>
      <w:r w:rsidRPr="00452E2E">
        <w:rPr>
          <w:szCs w:val="24"/>
        </w:rPr>
        <w:fldChar w:fldCharType="separate"/>
      </w:r>
      <w:r w:rsidRPr="00452E2E">
        <w:rPr>
          <w:noProof/>
          <w:szCs w:val="24"/>
          <w:lang w:val="fr-FR"/>
        </w:rPr>
        <w:t xml:space="preserve">(Wasti, 2005; Markovits </w:t>
      </w:r>
      <w:r w:rsidRPr="00452E2E">
        <w:rPr>
          <w:i/>
          <w:noProof/>
          <w:szCs w:val="24"/>
          <w:lang w:val="fr-FR"/>
        </w:rPr>
        <w:t>et al</w:t>
      </w:r>
      <w:r w:rsidRPr="00452E2E">
        <w:rPr>
          <w:noProof/>
          <w:szCs w:val="24"/>
          <w:lang w:val="fr-FR"/>
        </w:rPr>
        <w:t xml:space="preserve">., 2007; Gellatly </w:t>
      </w:r>
      <w:r w:rsidRPr="00452E2E">
        <w:rPr>
          <w:i/>
          <w:noProof/>
          <w:szCs w:val="24"/>
          <w:lang w:val="fr-FR"/>
        </w:rPr>
        <w:t>et al</w:t>
      </w:r>
      <w:r w:rsidRPr="00452E2E">
        <w:rPr>
          <w:noProof/>
          <w:szCs w:val="24"/>
          <w:lang w:val="fr-FR"/>
        </w:rPr>
        <w:t xml:space="preserve">., 2009; Meyer </w:t>
      </w:r>
      <w:r w:rsidRPr="00452E2E">
        <w:rPr>
          <w:i/>
          <w:noProof/>
          <w:szCs w:val="24"/>
          <w:lang w:val="fr-FR"/>
        </w:rPr>
        <w:t>et al</w:t>
      </w:r>
      <w:r w:rsidRPr="00452E2E">
        <w:rPr>
          <w:noProof/>
          <w:szCs w:val="24"/>
          <w:lang w:val="fr-FR"/>
        </w:rPr>
        <w:t>., 2012</w:t>
      </w:r>
      <w:r w:rsidRPr="00452E2E">
        <w:rPr>
          <w:i/>
          <w:noProof/>
          <w:szCs w:val="24"/>
          <w:lang w:val="fr-FR"/>
        </w:rPr>
        <w:t>b</w:t>
      </w:r>
      <w:r w:rsidRPr="00452E2E">
        <w:rPr>
          <w:noProof/>
          <w:szCs w:val="24"/>
          <w:lang w:val="fr-FR"/>
        </w:rPr>
        <w:t xml:space="preserve">; Stanley </w:t>
      </w:r>
      <w:r w:rsidRPr="00452E2E">
        <w:rPr>
          <w:i/>
          <w:noProof/>
          <w:szCs w:val="24"/>
          <w:lang w:val="fr-FR"/>
        </w:rPr>
        <w:t>et al</w:t>
      </w:r>
      <w:r w:rsidRPr="00452E2E">
        <w:rPr>
          <w:noProof/>
          <w:szCs w:val="24"/>
          <w:lang w:val="fr-FR"/>
        </w:rPr>
        <w:t>., 2013)</w:t>
      </w:r>
      <w:r w:rsidRPr="00452E2E">
        <w:rPr>
          <w:szCs w:val="24"/>
        </w:rPr>
        <w:fldChar w:fldCharType="end"/>
      </w:r>
      <w:r w:rsidRPr="00452E2E">
        <w:rPr>
          <w:szCs w:val="24"/>
          <w:lang w:val="fr-FR"/>
        </w:rPr>
        <w:t xml:space="preserve">. </w:t>
      </w:r>
      <w:r w:rsidRPr="00452E2E">
        <w:rPr>
          <w:szCs w:val="24"/>
        </w:rPr>
        <w:t xml:space="preserve">This means that affective commitment alone does not provide a complete profile of employees’ organizational commitment levels </w:t>
      </w:r>
      <w:r w:rsidRPr="00452E2E">
        <w:rPr>
          <w:szCs w:val="24"/>
        </w:rPr>
        <w:fldChar w:fldCharType="begin" w:fldLock="1"/>
      </w:r>
      <w:r w:rsidRPr="00452E2E">
        <w:rPr>
          <w:szCs w:val="24"/>
        </w:rPr>
        <w:instrText>ADDIN CSL_CITATION { "citationItems" : [ { "id" : "ITEM-1", "itemData" : { "DOI" : "10.1016/j.jvb.2011.07.002", "ISBN" : "00018791", "ISSN" : "00018791", "abstract" : "It is well established that employee commitment can take different forms (e.g., affective, normative, and continuance), yet it is only recently that theory has been advanced to explain how these different forms combine to influence behavior (Meyer &amp; Herscovitch, 2001). We tested this theory with data from employees in three human services organizations (N = 403). Using latent profile analyses, we identified six distinct profile groups and found that they differed on measures of need satisfaction, regulation, affect, engagement, organizational citizenship behavior, and well-being. The observed differences are consistent with the notion that a commitment profile provides a context that determines how the individual components are experienced (Gellatly, Meyer, &amp; Luchak, 2006). We discuss the theoretical and practical implications of this context effect. ?? 2011 Elsevier Inc.", "author" : [ { "dropping-particle" : "", "family" : "Meyer", "given" : "John P.", "non-dropping-particle" : "", "parse-names" : false, "suffix" : "" }, { "dropping-particle" : "", "family" : "Stanley", "given" : "Laura J.", "non-dropping-particle" : "", "parse-names" : false, "suffix" : "" }, { "dropping-particle" : "", "family" : "Parfyonova", "given" : "Natalya M.", "non-dropping-particle" : "", "parse-names" : false, "suffix" : "" } ], "container-title" : "Journal of Vocational Behavior", "id" : "ITEM-1", "issue" : "1", "issued" : { "date-parts" : [ [ "2012" ] ] }, "page" : "1-16", "publisher" : "Elsevier Inc.", "title" : "Employee commitment in context: The nature and implication of commitment profiles", "type" : "article-journal", "volume" : "80" }, "uris" : [ "http://www.mendeley.com/documents/?uuid=43e24581-9019-4c54-8245-e1285f8390d8" ] } ], "mendeley" : { "formattedCitation" : "(Meyer, L. J. Stanley, et al. 2012)", "manualFormatting" : "(Meyer et al., 2012b)", "plainTextFormattedCitation" : "(Meyer, L. J. Stanley, et al. 2012)", "previouslyFormattedCitation" : "(Meyer, L. J. Stanley, et al. 2012)" }, "properties" : { "noteIndex" : 0 }, "schema" : "https://github.com/citation-style-language/schema/raw/master/csl-citation.json" }</w:instrText>
      </w:r>
      <w:r w:rsidRPr="00452E2E">
        <w:rPr>
          <w:szCs w:val="24"/>
        </w:rPr>
        <w:fldChar w:fldCharType="separate"/>
      </w:r>
      <w:r w:rsidRPr="00452E2E">
        <w:rPr>
          <w:noProof/>
          <w:szCs w:val="24"/>
        </w:rPr>
        <w:t xml:space="preserve">(Meyer </w:t>
      </w:r>
      <w:r w:rsidRPr="00452E2E">
        <w:rPr>
          <w:i/>
          <w:noProof/>
          <w:szCs w:val="24"/>
        </w:rPr>
        <w:t>et al</w:t>
      </w:r>
      <w:r w:rsidRPr="00452E2E">
        <w:rPr>
          <w:noProof/>
          <w:szCs w:val="24"/>
        </w:rPr>
        <w:t>., 2012</w:t>
      </w:r>
      <w:r w:rsidRPr="00452E2E">
        <w:rPr>
          <w:i/>
          <w:noProof/>
          <w:szCs w:val="24"/>
        </w:rPr>
        <w:t>b</w:t>
      </w:r>
      <w:r w:rsidRPr="00452E2E">
        <w:rPr>
          <w:noProof/>
          <w:szCs w:val="24"/>
        </w:rPr>
        <w:t>)</w:t>
      </w:r>
      <w:r w:rsidRPr="00452E2E">
        <w:rPr>
          <w:szCs w:val="24"/>
        </w:rPr>
        <w:fldChar w:fldCharType="end"/>
      </w:r>
      <w:r w:rsidRPr="00452E2E">
        <w:rPr>
          <w:szCs w:val="24"/>
        </w:rPr>
        <w:t xml:space="preserve">. Hence, the need to treat organizational commitment as a multidimensional construct in HRM research has been emphasized by many researchers </w:t>
      </w:r>
      <w:r w:rsidRPr="00452E2E">
        <w:rPr>
          <w:szCs w:val="24"/>
        </w:rPr>
        <w:fldChar w:fldCharType="begin" w:fldLock="1"/>
      </w:r>
      <w:r w:rsidRPr="00452E2E">
        <w:rPr>
          <w:szCs w:val="24"/>
        </w:rPr>
        <w:instrText>ADDIN CSL_CITATION { "citationItems" : [ { "id" : "ITEM-1", "itemData" : { "author" : [ { "dropping-particle" : "", "family" : "Bartlett", "given" : "Kenneth R", "non-dropping-particle" : "", "parse-names" : false, "suffix" : "" } ], "container-title" : "Human Resource Development Quarterly", "id" : "ITEM-1", "issue" : "4", "issued" : { "date-parts" : [ [ "2001" ] ] }, "page" : "335-352", "title" : "The relationship between training and organizational commitment: A study in the health care field", "type" : "article-journal", "volume" : "12" }, "uris" : [ "http://www.mendeley.com/documents/?uuid=243e2de6-dca1-4cb2-86db-f7c9317845be" ] }, { "id" : "ITEM-2", "itemData" : { "DOI" : "10.1177/1038411107086540.APJHR", "ISBN" : "1038411107086", "author" : [ { "dropping-particle" : "", "family" : "Wright", "given" : "Patrick M", "non-dropping-particle" : "", "parse-names" : false, "suffix" : "" }, { "dropping-particle" : "", "family" : "Kehoe", "given" : "Rebecca R", "non-dropping-particle" : "", "parse-names" : false, "suffix" : "" } ], "container-title" : "Asia Pacific Journal of Human Resources", "id" : "ITEM-2", "issue" : "1", "issued" : { "date-parts" : [ [ "2008" ] ] }, "page" : "6-20", "title" : "Human resource practices and organizational commitment: A deeper examination", "type" : "article-journal", "volume" : "46" }, "uris" : [ "http://www.mendeley.com/documents/?uuid=b6a5c3fa-8a3f-4cb1-9f5c-a49e30eb9228" ] }, { "id" : "ITEM-3", "itemData" : { "author" : [ { "dropping-particle" : "", "family" : "Conway", "given" : "Edel", "non-dropping-particle" : "", "parse-names" : false, "suffix" : "" }, { "dropping-particle" : "", "family" : "Monks", "given" : "Kathy", "non-dropping-particle" : "", "parse-names" : false, "suffix" : "" } ], "container-title" : "Human resource management Journal", "id" : "ITEM-3", "issue" : "2", "issued" : { "date-parts" : [ [ "2009" ] ] }, "page" : "140-158", "title" : "Unravelling the complexities of high commitment: An employee-level analysis", "type" : "article-journal", "volume" : "19" }, "uris" : [ "http://www.mendeley.com/documents/?uuid=27e6e8b9-9ee2-45ca-90f0-2264a8bc8e92" ] }, { "id" : "ITEM-4", "itemData" : { "DOI" : "10.1080/09585190902770794", "ISBN" : "0958-5192 %[ May 01, 2009", "ISSN" : "0958-5192", "abstract" : "In this study, we examined how employee perceptions of development-oriented, stability-oriented, and reward-oriented human resource management (HRM) practices affected the likelihood of affective and continuance commitment profile membership. Our focus on profiles of combined commitment components is a departure from a literature dominated by studies of the separate forms of employee commitment. Drawing from self-determination theory (Deci and Ryan 2000) we described the nature of the psychological states believed to underlie the specific profiles under investigation, then tested a series of theoretical predictions concerning the link between HRM practices and the likelihood of profile membership. Predictor and criterion data for this study were collected from 317 respondents working in a variety of Canadian-based organizations. Our findings suggest ways that organizations can use HRM practices strategically to help shape the nature of overall employee commitment.", "author" : [ { "dropping-particle" : "", "family" : "Gellatly", "given" : "Ian R.", "non-dropping-particle" : "", "parse-names" : false, "suffix" : "" }, { "dropping-particle" : "", "family" : "Hunter", "given" : "Karen H.", "non-dropping-particle" : "", "parse-names" : false, "suffix" : "" }, { "dropping-particle" : "", "family" : "Currie", "given" : "Luanne G.", "non-dropping-particle" : "", "parse-names" : false, "suffix" : "" }, { "dropping-particle" : "", "family" : "Irving", "given" : "P. Gregory", "non-dropping-particle" : "", "parse-names" : false, "suffix" : "" } ], "container-title" : "The International Journal of Human Resource Management", "id" : "ITEM-4", "issue" : "4", "issued" : { "date-parts" : [ [ "2009" ] ] }, "page" : "869-884", "title" : "HRM practices and organizational commitment profiles", "type" : "article-journal", "volume" : "20" }, "uris" : [ "http://www.mendeley.com/documents/?uuid=6f90efd6-b015-404c-8caa-0729f3c8edea" ] }, { "id" : "ITEM-5", "itemData" : { "DOI" : "10.1080/13678868.2011.621286", "ISBN" : "1367-8868\\r1469-8374", "ISSN" : "1367-8868", "abstract" : "This paper explores the moderating role of cultural values on relationships between participation satisfaction (PS) and employees\u2019 organizational commitment (OC). A survey of 1390 employees of Bharat Sanchar Nigam Limited, a Government of India Public Sector Undertaking providing telecommunication services across India, shows that PS is directly related to OC, and is moderated by employees\u2019 cultural values at individual level. The form of moderation reveals: positive and insignificant relationship between PS and affective commitment for employees high in uncertainty avoidance; positive and significant relationship between PS and normative commitment for employees high in individualism/collectivism, low in masculinity/femininity, and low in power distance. No moderation has been found in the relationship between PS and continuance commitment. [ABSTRACT FROM AUTHOR]", "author" : [ { "dropping-particle" : "", "family" : "Singh", "given" : "R.N.", "non-dropping-particle" : "", "parse-names" : false, "suffix" : "" }, { "dropping-particle" : "", "family" : "Mohanty", "given" : "R.P.", "non-dropping-particle" : "", "parse-names" : false, "suffix" : "" } ], "container-title" : "Human Resource Development International", "id" : "ITEM-5", "issue" : "5", "issued" : { "date-parts" : [ [ "2011" ] ] }, "page" : "583-603", "title" : "Participation satisfaction and organizational commitment: Moderating role of employee's cultural values", "type" : "article-journal", "volume" : "14" }, "uris" : [ "http://www.mendeley.com/documents/?uuid=458f8c4b-7056-4521-8366-361c5f606987" ] }, { "id" : "ITEM-6", "itemData" : { "DOI" : "10.1080/09585192.2013.767059", "ISBN" : "0958-5192", "ISSN" : "0958-5192", "abstract" : "This paper attempts to document how employees' perceptions of organizations' human resource management (HRM) practices influence their work behavior and outcomes, including the level of turnover intentions and job quality improvement, in a Japanese organizational and management context. In particular, an examination was made to clarify the mediating role of person\u2013environment (P\u2013E) fit and multiple aspects of work commitment to reach possible explanations of the relationships between perceived HRM practices and employees' behavioral outcomes, following recent work that studied the above linkages. The results of structural equation modeling using a sample of 1052 healthcare service employees in Japan provided basic support for the idea that the effects of HRM practices and employees' behavioral outcomes are neither direct nor unconditional. Moreover, employees' evaluations of their fit and commitment to their organizations were found to be the important mediators of the relationships between perceived HRM ...", "author" : [ { "dropping-particle" : "", "family" : "Takeuchi", "given" : "Norihiko", "non-dropping-particle" : "", "parse-names" : false, "suffix" : "" }, { "dropping-particle" : "", "family" : "Takeuchi", "given" : "Tomokazu", "non-dropping-particle" : "", "parse-names" : false, "suffix" : "" } ], "container-title" : "The International Journal of Human Resource Management", "id" : "ITEM-6", "issue" : "11", "issued" : { "date-parts" : [ [ "2013" ] ] }, "page" : "2089-2106", "title" : "Committed to the organization or the job? Effects of perceived HRM practices on employees' behavioral outcomes in the Japanese healthcare industry", "type" : "article-journal", "volume" : "24" }, "uris" : [ "http://www.mendeley.com/documents/?uuid=3aec6b93-f8e0-4756-b4b0-7f216e354047" ] }, { "id" : "ITEM-7", "itemData" : { "author" : [ { "dropping-particle" : "", "family" : "Bashir", "given" : "N", "non-dropping-particle" : "", "parse-names" : false, "suffix" : "" }, { "dropping-particle" : "", "family" : "Long", "given" : "S", "non-dropping-particle" : "", "parse-names" : false, "suffix" : "" } ], "container-title" : "Journal of Management Development", "id" : "ITEM-7", "issue" : "10", "issued" : { "date-parts" : [ [ "2015" ] ] }, "page" : "1227-1245", "title" : "The relationship between training and organizational commitment among academicians", "type" : "article-journal", "volume" : "34" }, "uris" : [ "http://www.mendeley.com/documents/?uuid=22d0d12e-4be1-4426-9473-5ba3ed2411eb" ] } ], "mendeley" : { "formattedCitation" : "(Bartlett 2001; Wright &amp; Kehoe 2008; Conway &amp; Monks 2009; Gellatly et al. 2009; Singh &amp; Mohanty 2011; Takeuchi &amp; Takeuchi 2013; Bashir &amp; Long 2015)", "manualFormatting" : "(Bartlett, 2001; Wright &amp; Kehoe, 2008; Conway &amp; Monks, 2009; Gellatly et al., 2009; Singh &amp; Mohanty, 2011; Takeuchi &amp; Takeuchi, 2013; Bashir &amp; Long, 2015)", "plainTextFormattedCitation" : "(Bartlett 2001; Wright &amp; Kehoe 2008; Conway &amp; Monks 2009; Gellatly et al. 2009; Singh &amp; Mohanty 2011; Takeuchi &amp; Takeuchi 2013; Bashir &amp; Long 2015)", "previouslyFormattedCitation" : "(Bartlett 2001; Wright &amp; Kehoe 2008; Conway &amp; Monks 2009; Gellatly et al. 2009; Singh &amp; Mohanty 2011; Takeuchi &amp; Takeuchi 2013; Bashir &amp; Long 2015)" }, "properties" : { "noteIndex" : 0 }, "schema" : "https://github.com/citation-style-language/schema/raw/master/csl-citation.json" }</w:instrText>
      </w:r>
      <w:r w:rsidRPr="00452E2E">
        <w:rPr>
          <w:szCs w:val="24"/>
        </w:rPr>
        <w:fldChar w:fldCharType="separate"/>
      </w:r>
      <w:r w:rsidRPr="00452E2E">
        <w:rPr>
          <w:noProof/>
          <w:szCs w:val="24"/>
        </w:rPr>
        <w:t xml:space="preserve">(Bartlett, 2001; Wright &amp; Kehoe, 2008; Conway &amp; Monks, 2009; Gellatly </w:t>
      </w:r>
      <w:r w:rsidRPr="00452E2E">
        <w:rPr>
          <w:i/>
          <w:noProof/>
          <w:szCs w:val="24"/>
        </w:rPr>
        <w:t>et al</w:t>
      </w:r>
      <w:r w:rsidRPr="00452E2E">
        <w:rPr>
          <w:noProof/>
          <w:szCs w:val="24"/>
        </w:rPr>
        <w:t>., 2009; Singh &amp; Mohanty, 2011; Takeuchi &amp; Takeuchi, 2013; Bashir &amp; Long, 2015)</w:t>
      </w:r>
      <w:r w:rsidRPr="00452E2E">
        <w:rPr>
          <w:szCs w:val="24"/>
        </w:rPr>
        <w:fldChar w:fldCharType="end"/>
      </w:r>
      <w:r w:rsidRPr="00452E2E">
        <w:rPr>
          <w:szCs w:val="24"/>
        </w:rPr>
        <w:t>. Consequently, the three-</w:t>
      </w:r>
      <w:r w:rsidRPr="00452E2E">
        <w:rPr>
          <w:szCs w:val="24"/>
        </w:rPr>
        <w:lastRenderedPageBreak/>
        <w:t xml:space="preserve">component (affective, continuance, and normative) model of organizational commitment is adopted in this research. </w:t>
      </w:r>
      <w:r w:rsidR="00DD3CBB" w:rsidRPr="00452E2E">
        <w:rPr>
          <w:szCs w:val="24"/>
        </w:rPr>
        <w:t>T</w:t>
      </w:r>
      <w:r w:rsidRPr="00452E2E">
        <w:rPr>
          <w:szCs w:val="24"/>
        </w:rPr>
        <w:t xml:space="preserve">he next section will focus on the link between HR practices and employee attitudes. </w:t>
      </w:r>
    </w:p>
    <w:p w:rsidR="00873810" w:rsidRPr="00452E2E" w:rsidRDefault="00873810" w:rsidP="00170224">
      <w:pPr>
        <w:pStyle w:val="Heading3"/>
      </w:pPr>
      <w:bookmarkStart w:id="67" w:name="_Toc465271176"/>
      <w:bookmarkStart w:id="68" w:name="_Toc473808129"/>
      <w:r w:rsidRPr="00452E2E">
        <w:t>3.4 HR Practices and Employee Attitudes</w:t>
      </w:r>
      <w:bookmarkEnd w:id="67"/>
      <w:bookmarkEnd w:id="68"/>
    </w:p>
    <w:p w:rsidR="00873810" w:rsidRPr="00452E2E" w:rsidRDefault="00873810" w:rsidP="00873810">
      <w:pPr>
        <w:spacing w:line="360" w:lineRule="auto"/>
        <w:jc w:val="both"/>
        <w:rPr>
          <w:szCs w:val="24"/>
        </w:rPr>
      </w:pPr>
      <w:r w:rsidRPr="00452E2E">
        <w:rPr>
          <w:szCs w:val="24"/>
        </w:rPr>
        <w:t xml:space="preserve">Due to the arbitrary inclusion of HR practices in previous studies linking HRM to organizational outcomes </w:t>
      </w:r>
      <w:r w:rsidRPr="00452E2E">
        <w:rPr>
          <w:szCs w:val="24"/>
        </w:rPr>
        <w:fldChar w:fldCharType="begin" w:fldLock="1"/>
      </w:r>
      <w:r w:rsidRPr="00452E2E">
        <w:rPr>
          <w:szCs w:val="24"/>
        </w:rPr>
        <w:instrText>ADDIN CSL_CITATION { "citationItems" : [ { "id" : "ITEM-1", "itemData" : { "abstract" : "This is an overview of what the authors believe to be every empirical research article into the linkages between HRM and performance published in pre-eminent international refereed journals between 1994 and 2003. The analysis covers the design of the study, including the primary level of analysis and the identity of the respondents; the dominant theoretical framework(s) informing the article; how HRM is conceived and operationalised; how performance is conceived and operationalised; and which control and/or contingency variables are incorporated. Finally, the article examines how each study depicts the so-called 'black box' stage between HRM and performance. It reports wide disparities in the treatment of these components, but also some welcome commonalities and indicative trends that point towards a gradual convergence on how future research into this complex relationship might usefully be conducted. The findings are compared with previous reviews of the literature. The analysis should illuminate the ongoing debate about the linkages between HRM and performance, and prove valuable for future research designs.", "author" : [ { "dropping-particle" : "", "family" : "Boselie", "given" : "P", "non-dropping-particle" : "", "parse-names" : false, "suffix" : "" }, { "dropping-particle" : "", "family" : "Dietz", "given" : "G", "non-dropping-particle" : "", "parse-names" : false, "suffix" : "" }, { "dropping-particle" : "", "family" : "Boon", "given" : "C", "non-dropping-particle" : "", "parse-names" : false, "suffix" : "" } ], "container-title" : "Human Resource Management Journal", "id" : "ITEM-1", "issue" : "3", "issued" : { "date-parts" : [ [ "2005" ] ] }, "page" : "67-94", "title" : "Commonalities and contradictions in research on human resource management and performance", "type" : "article-journal", "volume" : "15" }, "uris" : [ "http://www.mendeley.com/documents/?uuid=401996c1-9fdf-4e4c-aa78-a3c8862f043c" ] }, { "id" : "ITEM-2", "itemData" : { "abstract" : "Although there is growing evidence that high performance work prac- tices (HPWPs) affect organizational performance, varying sample char- acteristics, research designs, practices examined, and organizational performance measures used has led extant findings to vary dramatically, making the size of the overall effect difficult to estimate.We use meta- analysis to estimate the effect size and test whether effects are larger for (a) HPWP systems versus individual practices, (b) operational versus financial performance measures, and (c) manufacturing versus service organizations. Statistical aggregation of 92 studies reveals an overall cor- relation that we estimate at .20. Also, the relationship is stronger when researchers examine systems of HPWPs and among manufacturers, but it appears invariant across performance measures.We use our findings as a basis to offer 4 suggestions intended to shape research practices such that future meta-analyses might answer today\u2019s emerging questions.", "author" : [ { "dropping-particle" : "", "family" : "Combs", "given" : "James", "non-dropping-particle" : "", "parse-names" : false, "suffix" : "" }, { "dropping-particle" : "", "family" : "Liu", "given" : "Yongmei", "non-dropping-particle" : "", "parse-names" : false, "suffix" : "" }, { "dropping-particle" : "", "family" : "Hall", "given" : "A", "non-dropping-particle" : "", "parse-names" : false, "suffix" : "" }, { "dropping-particle" : "", "family" : "Ketchen", "given" : "D", "non-dropping-particle" : "", "parse-names" : false, "suffix" : "" } ], "container-title" : "Personnel Psychology", "id" : "ITEM-2", "issued" : { "date-parts" : [ [ "2006" ] ] }, "page" : "501-528", "title" : "How much do high-performance work practices matter? A meta-analysis of their effects on organizational performance", "type" : "article-journal", "volume" : "59" }, "uris" : [ "http://www.mendeley.com/documents/?uuid=5efe9449-b41e-45fe-b2d5-b9010fd5c1e4" ] }, { "id" : "ITEM-3", "itemData" : { "DOI" : "10.1177/0018726705055032", "ISBN" : "0018726705055", "ISSN" : "0018-7267", "abstract" : "It is often assumed that research over the last decade has established an effect of human resource management (HRM) practices on organizational performance. Our critical assessment of existing studies finds that, although collectively they have opened up a promising line of inquiry, their methodological limitations make such a conclusion premature. We argue that future progress depends on using stronger research methods and design that, in turn, will require large-scale long-term research at a level of magnitude that probably can only be achieved through partnerships between research, practitioner and government communities. We conclude that progress so far justifies investment in such big science.", "author" : [ { "dropping-particle" : "", "family" : "Wall", "given" : "T. D.", "non-dropping-particle" : "", "parse-names" : false, "suffix" : "" }, { "dropping-particle" : "", "family" : "Wood", "given" : "Stephen J", "non-dropping-particle" : "", "parse-names" : false, "suffix" : "" } ], "container-title" : "Human Relations", "id" : "ITEM-3", "issue" : "4", "issued" : { "date-parts" : [ [ "2005" ] ] }, "number-of-pages" : "429-462", "title" : "The romance of human resource management and business performance, and the case for big science", "type" : "book", "volume" : "58" }, "uris" : [ "http://www.mendeley.com/documents/?uuid=fbb23ef9-cfea-4050-bdee-386b2535b24f" ] } ], "mendeley" : { "formattedCitation" : "(Boselie et al. 2005; Combs et al. 2006; Wall &amp; Wood 2005)", "manualFormatting" : "(Boselie et al., 2005; Wall &amp; Wood, 2005)", "plainTextFormattedCitation" : "(Boselie et al. 2005; Combs et al. 2006; Wall &amp; Wood 2005)", "previouslyFormattedCitation" : "(Boselie et al. 2005; Combs et al. 2006; Wall &amp; Wood 2005)"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Pr="00452E2E">
        <w:rPr>
          <w:i/>
          <w:noProof/>
          <w:szCs w:val="24"/>
        </w:rPr>
        <w:t>et al</w:t>
      </w:r>
      <w:r w:rsidRPr="00452E2E">
        <w:rPr>
          <w:noProof/>
          <w:szCs w:val="24"/>
        </w:rPr>
        <w:t>., 2005; Wall &amp; Wood, 2005)</w:t>
      </w:r>
      <w:r w:rsidRPr="00452E2E">
        <w:rPr>
          <w:szCs w:val="24"/>
        </w:rPr>
        <w:fldChar w:fldCharType="end"/>
      </w:r>
      <w:r w:rsidRPr="00452E2E">
        <w:rPr>
          <w:szCs w:val="24"/>
        </w:rPr>
        <w:t xml:space="preserve">, researchers have suggested that the choice of practices in testing such relationships should be guided by appropriate theory </w:t>
      </w:r>
      <w:r w:rsidRPr="00452E2E">
        <w:rPr>
          <w:szCs w:val="24"/>
        </w:rPr>
        <w:fldChar w:fldCharType="begin" w:fldLock="1"/>
      </w:r>
      <w:r w:rsidRPr="00452E2E">
        <w:rPr>
          <w:szCs w:val="24"/>
        </w:rPr>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"mendeley" : { "formattedCitation" : "(Guest 2011)", "manualFormatting" : "(Guest, 2011; Jiang et al., 2012b)", "plainTextFormattedCitation" : "(Guest 2011)", "previouslyFormattedCitation" : "(Guest 2011)" }, "properties" : { "noteIndex" : 0 }, "schema" : "https://github.com/citation-style-language/schema/raw/master/csl-citation.json" }</w:instrText>
      </w:r>
      <w:r w:rsidRPr="00452E2E">
        <w:rPr>
          <w:szCs w:val="24"/>
        </w:rPr>
        <w:fldChar w:fldCharType="separate"/>
      </w:r>
      <w:r w:rsidRPr="00452E2E">
        <w:rPr>
          <w:noProof/>
          <w:szCs w:val="24"/>
        </w:rPr>
        <w:t xml:space="preserve">(Guest, 2011; Jiang </w:t>
      </w:r>
      <w:r w:rsidRPr="00452E2E">
        <w:rPr>
          <w:i/>
          <w:noProof/>
          <w:szCs w:val="24"/>
        </w:rPr>
        <w:t>et al</w:t>
      </w:r>
      <w:r w:rsidRPr="00452E2E">
        <w:rPr>
          <w:noProof/>
          <w:szCs w:val="24"/>
        </w:rPr>
        <w:t>., 2012</w:t>
      </w:r>
      <w:r w:rsidRPr="00452E2E">
        <w:rPr>
          <w:i/>
          <w:noProof/>
          <w:szCs w:val="24"/>
        </w:rPr>
        <w:t>b</w:t>
      </w:r>
      <w:r w:rsidRPr="00452E2E">
        <w:rPr>
          <w:noProof/>
          <w:szCs w:val="24"/>
        </w:rPr>
        <w:t>)</w:t>
      </w:r>
      <w:r w:rsidRPr="00452E2E">
        <w:rPr>
          <w:szCs w:val="24"/>
        </w:rPr>
        <w:fldChar w:fldCharType="end"/>
      </w:r>
      <w:r w:rsidRPr="00452E2E">
        <w:rPr>
          <w:szCs w:val="24"/>
        </w:rPr>
        <w:t xml:space="preserve">. One such influential theory is the AMO (that is, ability, motivation, and opportunity) framework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"Boxall", "given" : "Peter", "non-dropping-particle" : "", "parse-names" : false, "suffix" : "" }, { "dropping-particle" : "", "family" : "Purcell", "given" : "John", "non-dropping-particle" : "", "parse-names" : false, "suffix" : "" } ], "id" : "ITEM-2", "issued" : { "date-parts" : [ [ "2003" ] ] }, "publisher" : "Palgrave Macmillan", "publisher-place" : "Houndsmill", "title" : "Strategy and human resource management", "type" : "book" }, "uris" : [ "http://www.mendeley.com/documents/?uuid=7df8cee2-2170-4d1e-b2a0-ed8404b86785" ] } ], "mendeley" : { "formattedCitation" : "(Appelbaum et al. 2000; Boxall &amp; Purcell 2003)", "manualFormatting" : "(Boxall &amp; Purcell, 2003)", "plainTextFormattedCitation" : "(Appelbaum et al. 2000; Boxall &amp; Purcell 2003)", "previouslyFormattedCitation" : "(Appelbaum et al. 2000; Boxall &amp; Purcell 2003)" }, "properties" : { "noteIndex" : 0 }, "schema" : "https://github.com/citation-style-language/schema/raw/master/csl-citation.json" }</w:instrText>
      </w:r>
      <w:r w:rsidRPr="00452E2E">
        <w:rPr>
          <w:szCs w:val="24"/>
        </w:rPr>
        <w:fldChar w:fldCharType="separate"/>
      </w:r>
      <w:r w:rsidRPr="00452E2E">
        <w:rPr>
          <w:noProof/>
          <w:szCs w:val="24"/>
        </w:rPr>
        <w:t>(Boxall &amp; Purcell, 2003)</w:t>
      </w:r>
      <w:r w:rsidRPr="00452E2E">
        <w:rPr>
          <w:szCs w:val="24"/>
        </w:rPr>
        <w:fldChar w:fldCharType="end"/>
      </w:r>
      <w:r w:rsidRPr="00452E2E">
        <w:rPr>
          <w:szCs w:val="24"/>
        </w:rPr>
        <w:t xml:space="preserve"> which suggests that HR practices contribute to organizational outcomes when they develop the abilities of employees, motivate employees, and provide employees with the opportunity to make contributions in the workplace </w:t>
      </w:r>
      <w:r w:rsidRPr="00452E2E">
        <w:rPr>
          <w:szCs w:val="24"/>
        </w:rPr>
        <w:fldChar w:fldCharType="begin" w:fldLock="1"/>
      </w:r>
      <w:r w:rsidRPr="00452E2E">
        <w:rPr>
          <w:szCs w:val="24"/>
        </w:rPr>
        <w:instrText>ADDIN CSL_CITATION { "citationItems" : [ { "id" : "ITEM-1", "itemData" : { "DOI" : "10.1016/j.hrmr.2011.11.005", "ISBN" : "1053-4822", "ISSN" : "10534822", "abstract" : "Strategic human resource management researchers have strongly advocated a system perspective and provided considerable evidence that certain systems of human resource practices have a significant impact on individual and organizational performance. Yet, challenges of understanding the construct of human resource systems still remain in the literature. Specifically, few efforts have been made to explicate the internal fit in human resource systems referring to how the practices in human resource systems work together. For the purpose of clarifying human resource systems construct, we review the components of human resource systems and delineate how the parts of human resource systems work together to influence employee performance. Theoretical and empirical implications for future research are also discussed. ?? 2011 .", "author" : [ { "dropping-particle" : "", "family" : "Jiang", "given" : "Kaifeng", "non-dropping-particle" : "", "parse-names" : false, "suffix" : "" }, { "dropping-particle" : "", "family" : "Lepak", "given" : "D.P.", "non-dropping-particle" : "", "parse-names" : false, "suffix" : "" }, { "dropping-particle" : "", "family" : "Han", "given" : "Kyongji", "non-dropping-particle" : "", "parse-names" : false, "suffix" : "" }, { "dropping-particle" : "", "family" : "Hong", "given" : "Ying", "non-dropping-particle" : "", "parse-names" : false, "suffix" : "" }, { "dropping-particle" : "", "family" : "Kim", "given" : "Andrea", "non-dropping-particle" : "", "parse-names" : false, "suffix" : "" }, { "dropping-particle" : "", "family" : "Winkler", "given" : "Anne Laure", "non-dropping-particle" : "", "parse-names" : false, "suffix" : "" } ], "container-title" : "Human Resource Management Review", "id" : "ITEM-1", "issue" : "2", "issued" : { "date-parts" : [ [ "2012" ] ] }, "page" : "73-85", "publisher" : "Elsevier B.V.", "title" : "Clarifying the construct of human resource systems: Relating human resource management to employee performance", "type" : "article-journal", "volume" : "22" }, "uris" : [ "http://www.mendeley.com/documents/?uuid=7b8166a1-ff00-42d4-8190-5907d0e97619" ] }, { "id" : "ITEM-2",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"ITEM-2", "issued" : { "date-parts" : [ [ "2014" ] ] }, "page" : "26-47", "publisher" : "SAGE", "publisher-place" : "London", "title" : "HRM and firm performance", "type" : "chapter" }, "uris" : [ "http://www.mendeley.com/documents/?uuid=e3c973eb-cf2c-42cc-b672-3c45b350ee20" ] } ], "mendeley" : { "formattedCitation" : "(Jiang, D.P. Lepak, et al. 2012; Katou &amp; Budhwar 2014)", "manualFormatting" : "(Jiang et al., 2012b; Katou &amp; Budhwar, 2014)", "plainTextFormattedCitation" : "(Jiang, D.P. Lepak, et al. 2012; Katou &amp; Budhwar 2014)", "previouslyFormattedCitation" : "(Jiang, D.P. Lepak, et al. 2012; Katou &amp; Budhwar 2014)" }, "properties" : { "noteIndex" : 0 }, "schema" : "https://github.com/citation-style-language/schema/raw/master/csl-citation.json" }</w:instrText>
      </w:r>
      <w:r w:rsidRPr="00452E2E">
        <w:rPr>
          <w:szCs w:val="24"/>
        </w:rPr>
        <w:fldChar w:fldCharType="separate"/>
      </w:r>
      <w:r w:rsidRPr="00452E2E">
        <w:rPr>
          <w:noProof/>
          <w:szCs w:val="24"/>
        </w:rPr>
        <w:t xml:space="preserve">(Jiang </w:t>
      </w:r>
      <w:r w:rsidRPr="00452E2E">
        <w:rPr>
          <w:i/>
          <w:noProof/>
          <w:szCs w:val="24"/>
        </w:rPr>
        <w:t>et al</w:t>
      </w:r>
      <w:r w:rsidRPr="00452E2E">
        <w:rPr>
          <w:noProof/>
          <w:szCs w:val="24"/>
        </w:rPr>
        <w:t>., 2012</w:t>
      </w:r>
      <w:r w:rsidRPr="00452E2E">
        <w:rPr>
          <w:i/>
          <w:noProof/>
          <w:szCs w:val="24"/>
        </w:rPr>
        <w:t>b</w:t>
      </w:r>
      <w:r w:rsidRPr="00452E2E">
        <w:rPr>
          <w:noProof/>
          <w:szCs w:val="24"/>
        </w:rPr>
        <w:t>; Katou &amp; Budhwar, 2014)</w:t>
      </w:r>
      <w:r w:rsidRPr="00452E2E">
        <w:rPr>
          <w:szCs w:val="24"/>
        </w:rPr>
        <w:fldChar w:fldCharType="end"/>
      </w:r>
      <w:r w:rsidRPr="00452E2E">
        <w:rPr>
          <w:szCs w:val="24"/>
        </w:rPr>
        <w:t xml:space="preserve">. As stated in the previous chapter, whilst four dimensions of HR practices namely; recruitment and selection, training, employee benefits, and employee participation are included in </w:t>
      </w:r>
      <w:r w:rsidRPr="00452E2E">
        <w:rPr>
          <w:i/>
          <w:szCs w:val="24"/>
        </w:rPr>
        <w:t xml:space="preserve">study 1 </w:t>
      </w:r>
      <w:r w:rsidRPr="00452E2E">
        <w:rPr>
          <w:szCs w:val="24"/>
        </w:rPr>
        <w:t xml:space="preserve">of this research, only the later three practices are adopted in </w:t>
      </w:r>
      <w:r w:rsidRPr="00452E2E">
        <w:rPr>
          <w:i/>
          <w:szCs w:val="24"/>
        </w:rPr>
        <w:t>study 2</w:t>
      </w:r>
      <w:r w:rsidRPr="00452E2E">
        <w:rPr>
          <w:szCs w:val="24"/>
        </w:rPr>
        <w:t xml:space="preserve"> of the research. These three HR practices (training, employee benefits, and employee participation) reflect ability, motivation and opportunity-promoting HR practices respectively </w:t>
      </w:r>
      <w:r w:rsidRPr="00452E2E">
        <w:rPr>
          <w:szCs w:val="24"/>
        </w:rPr>
        <w:fldChar w:fldCharType="begin" w:fldLock="1"/>
      </w:r>
      <w:r w:rsidRPr="00452E2E">
        <w:rPr>
          <w:szCs w:val="24"/>
        </w:rPr>
        <w:instrText>ADDIN CSL_CITATION { "citationItems" : [ { "id" : "ITEM-1",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"26-47", "publisher" : "SAGE", "publisher-place" : "London", "title" : "HRM and firm performance", "type" : "chapter" }, "uris" : [ "http://www.mendeley.com/documents/?uuid=e3c973eb-cf2c-42cc-b672-3c45b350ee20" ] } ], "mendeley" : { "formattedCitation" : "(Katou &amp; Budhwar 2014)", "manualFormatting" : "(Katou &amp; Budhwar, 2014)", "plainTextFormattedCitation" : "(Katou &amp; Budhwar 2014)", "previouslyFormattedCitation" : "(Katou &amp; Budhwar 2014)" }, "properties" : { "noteIndex" : 0 }, "schema" : "https://github.com/citation-style-language/schema/raw/master/csl-citation.json" }</w:instrText>
      </w:r>
      <w:r w:rsidRPr="00452E2E">
        <w:rPr>
          <w:szCs w:val="24"/>
        </w:rPr>
        <w:fldChar w:fldCharType="separate"/>
      </w:r>
      <w:r w:rsidRPr="00452E2E">
        <w:rPr>
          <w:noProof/>
          <w:szCs w:val="24"/>
        </w:rPr>
        <w:t>(Katou &amp; Budhwar, 2014)</w:t>
      </w:r>
      <w:r w:rsidRPr="00452E2E">
        <w:rPr>
          <w:szCs w:val="24"/>
        </w:rPr>
        <w:fldChar w:fldCharType="end"/>
      </w:r>
      <w:r w:rsidRPr="00452E2E">
        <w:rPr>
          <w:szCs w:val="24"/>
        </w:rPr>
        <w:t xml:space="preserve">. </w:t>
      </w:r>
    </w:p>
    <w:p w:rsidR="00873810" w:rsidRPr="00452E2E" w:rsidRDefault="00873810" w:rsidP="00873810">
      <w:pPr>
        <w:spacing w:line="360" w:lineRule="auto"/>
        <w:jc w:val="both"/>
        <w:rPr>
          <w:szCs w:val="24"/>
        </w:rPr>
      </w:pPr>
      <w:r w:rsidRPr="00452E2E">
        <w:rPr>
          <w:szCs w:val="24"/>
        </w:rPr>
        <w:t xml:space="preserve">Whilst recruitment and selection is an example of ability -enhancing practices in the AMO framework </w:t>
      </w:r>
      <w:r w:rsidRPr="00452E2E">
        <w:rPr>
          <w:szCs w:val="24"/>
        </w:rPr>
        <w:fldChar w:fldCharType="begin" w:fldLock="1"/>
      </w:r>
      <w:r w:rsidRPr="00452E2E">
        <w:rPr>
          <w:szCs w:val="24"/>
        </w:rPr>
        <w:instrText>ADDIN CSL_CITATION { "citationItems" : [ { "id" : "ITEM-1",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"26-47", "publisher" : "SAGE", "publisher-place" : "London", "title" : "HRM and firm performance", "type" : "chapter" }, "uris" : [ "http://www.mendeley.com/documents/?uuid=e3c973eb-cf2c-42cc-b672-3c45b350ee20" ] } ], "mendeley" : { "formattedCitation" : "(Katou &amp; Budhwar 2014)", "manualFormatting" : "(Katou &amp; Budhwar, 2014)", "plainTextFormattedCitation" : "(Katou &amp; Budhwar 2014)", "previouslyFormattedCitation" : "(Katou &amp; Budhwar 2014)" }, "properties" : { "noteIndex" : 0 }, "schema" : "https://github.com/citation-style-language/schema/raw/master/csl-citation.json" }</w:instrText>
      </w:r>
      <w:r w:rsidRPr="00452E2E">
        <w:rPr>
          <w:szCs w:val="24"/>
        </w:rPr>
        <w:fldChar w:fldCharType="separate"/>
      </w:r>
      <w:r w:rsidRPr="00452E2E">
        <w:rPr>
          <w:noProof/>
          <w:szCs w:val="24"/>
        </w:rPr>
        <w:t>(Katou &amp; Budhwar, 2014)</w:t>
      </w:r>
      <w:r w:rsidRPr="00452E2E">
        <w:rPr>
          <w:szCs w:val="24"/>
        </w:rPr>
        <w:fldChar w:fldCharType="end"/>
      </w:r>
      <w:r w:rsidRPr="00452E2E">
        <w:rPr>
          <w:szCs w:val="24"/>
        </w:rPr>
        <w:t xml:space="preserve">, questions relating to recruitment and selection are more within the domain of HR managers. Since </w:t>
      </w:r>
      <w:r w:rsidRPr="00452E2E">
        <w:rPr>
          <w:i/>
          <w:szCs w:val="24"/>
        </w:rPr>
        <w:t>study 2</w:t>
      </w:r>
      <w:r w:rsidRPr="00452E2E">
        <w:rPr>
          <w:szCs w:val="24"/>
        </w:rPr>
        <w:t xml:space="preserve"> of this research involves examining employees’ perception of HR practices, it is important to focus on post-selection HR practices. Although some researchers have included questions on recruitment and selection in bundles of HR practices when the respondents were employees rather than HR managers </w:t>
      </w:r>
      <w:r w:rsidRPr="00452E2E">
        <w:rPr>
          <w:szCs w:val="24"/>
        </w:rPr>
        <w:fldChar w:fldCharType="begin" w:fldLock="1"/>
      </w:r>
      <w:r w:rsidRPr="00452E2E">
        <w:rPr>
          <w:szCs w:val="24"/>
        </w:rPr>
        <w:instrText>ADDIN CSL_CITATION { "citationItems" : [ { "id" : "ITEM-1", "itemData" : { "abstract" : "Although there is a growing body of evidence demonstrating positive effects of \u2018high commitment\u2019 HRM practices on organizational performance, there is less evidence evaluating their effects on individual workers, especially within the public sector. Therefore the implications of applying \u2018high commitment\u2019 practices in the public sector needs to be considered. This paper seeks to address this gap by reporting the results of a staff survey and follow-up interviews conducted on a cross-section of local government employees. The results showed that eight of the ten \u2018high commitment\u2019 practices had significant effects on worker attitudes. The results are discussed in light of HRM theory together with the implications for public sector managers.", "author" : [ { "dropping-particle" : "", "family" : "Gould-Williams", "given" : "Julian", "non-dropping-particle" : "", "parse-names" : false, "suffix" : "" } ], "container-title" : "Public Administration", "id" : "ITEM-1", "issue" : "1", "issued" : { "date-parts" : [ [ "2004" ] ] }, "page" : "63-81", "title" : "The effects of 'high commitment' HRM practices on employee attitude: The views of public sector workers", "type" : "article-journal", "volume" : "82" }, "uris" : [ "http://www.mendeley.com/documents/?uuid=1ea3bc7e-762b-4578-9d64-abbee580b748" ] }, { "id" : "ITEM-2",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"ITEM-2", "issue" : "2", "issued" : { "date-parts" : [ [ "2013" ] ] }, "page" : "366-391", "title" : "The impact of high performance human resource practices on employees' attitudes and behaviors", "type" : "article-journal", "volume" : "39" }, "uris" : [ "http://www.mendeley.com/documents/?uuid=87fa9e55-e4a1-416e-9e06-eb7fd4bd89a6" ] } ], "mendeley" : { "formattedCitation" : "(Gould-Williams 2004; Kehoe &amp; Wright 2013)", "manualFormatting" : "(e.g. Gould-Williams, 2004; Kehoe &amp; Wright, 2013)", "plainTextFormattedCitation" : "(Gould-Williams 2004; Kehoe &amp; Wright 2013)", "previouslyFormattedCitation" : "(Gould-Williams 2004; Kehoe &amp; Wright 2013)" }, "properties" : { "noteIndex" : 0 }, "schema" : "https://github.com/citation-style-language/schema/raw/master/csl-citation.json" }</w:instrText>
      </w:r>
      <w:r w:rsidRPr="00452E2E">
        <w:rPr>
          <w:szCs w:val="24"/>
        </w:rPr>
        <w:fldChar w:fldCharType="separate"/>
      </w:r>
      <w:r w:rsidRPr="00452E2E">
        <w:rPr>
          <w:noProof/>
          <w:szCs w:val="24"/>
        </w:rPr>
        <w:t>(e.g. Gould-Williams, 2004; Kehoe &amp; Wright, 2013)</w:t>
      </w:r>
      <w:r w:rsidRPr="00452E2E">
        <w:rPr>
          <w:szCs w:val="24"/>
        </w:rPr>
        <w:fldChar w:fldCharType="end"/>
      </w:r>
      <w:r w:rsidRPr="00452E2E">
        <w:rPr>
          <w:szCs w:val="24"/>
        </w:rPr>
        <w:t xml:space="preserve">,  even a cursory glance at the questions asked will suggest that such questions were supposed to be within the domain of HR managers rather than employees. For example, in Kehoe &amp; Wright’s (2013) study, employees were asked questions on selection such as: “applicants for this job take formal tests (pencil and work sample) before being hired; applicants for this job undergo structured interviews (job related questions, same questions </w:t>
      </w:r>
      <w:r w:rsidRPr="00452E2E">
        <w:rPr>
          <w:szCs w:val="24"/>
        </w:rPr>
        <w:lastRenderedPageBreak/>
        <w:t xml:space="preserve">asked for all participants) before being hired” (Kehoe &amp; Wright, 2013, p. 387). Except the structured interviews referred to in the study were written ones in which each applicant had access to the questions being asked all the other applicants; or the interview was orally conducted and involved all applicants at the same time and space, it would be extremely difficult for respondents to know whether the ‘same questions were asked for all participants’. This means that HR managers are in a better position to respond to questions on recruitment and selection. </w:t>
      </w:r>
    </w:p>
    <w:p w:rsidR="00873810" w:rsidRPr="00452E2E" w:rsidRDefault="00873810" w:rsidP="00873810">
      <w:pPr>
        <w:spacing w:line="360" w:lineRule="auto"/>
        <w:jc w:val="both"/>
        <w:rPr>
          <w:szCs w:val="24"/>
        </w:rPr>
      </w:pPr>
      <w:r w:rsidRPr="00452E2E">
        <w:rPr>
          <w:szCs w:val="24"/>
        </w:rPr>
        <w:t xml:space="preserve">Even when the respondents were HR managers who have a better knowledge of the organization’s recruitment and selection practices </w:t>
      </w:r>
      <w:r w:rsidRPr="00452E2E">
        <w:rPr>
          <w:szCs w:val="24"/>
        </w:rPr>
        <w:fldChar w:fldCharType="begin" w:fldLock="1"/>
      </w:r>
      <w:r w:rsidRPr="00452E2E">
        <w:rPr>
          <w:szCs w:val="24"/>
        </w:rPr>
        <w:instrText>ADDIN CSL_CITATION { "citationItems" : [ { "id" : "ITEM-1", "itemData" : { "abstract" : "Although there is growing evidence that high performance work prac- tices (HPWPs) affect organizational performance, varying sample char- acteristics, research designs, practices examined, and organizational performance measures used has led extant findings to vary dramatically, making the size of the overall effect difficult to estimate.We use meta- analysis to estimate the effect size and test whether effects are larger for (a) HPWP systems versus individual practices, (b) operational versus financial performance measures, and (c) manufacturing versus service organizations. Statistical aggregation of 92 studies reveals an overall cor- relation that we estimate at .20. Also, the relationship is stronger when researchers examine systems of HPWPs and among manufacturers, but it appears invariant across performance measures.We use our findings as a basis to offer 4 suggestions intended to shape research practices such that future meta-analyses might answer today\u2019s emerging questions.", "author" : [ { "dropping-particle" : "", "family" : "Combs", "given" : "James", "non-dropping-particle" : "", "parse-names" : false, "suffix" : "" }, { "dropping-particle" : "", "family" : "Liu", "given" : "Yongmei", "non-dropping-particle" : "", "parse-names" : false, "suffix" : "" }, { "dropping-particle" : "", "family" : "Hall", "given" : "A", "non-dropping-particle" : "", "parse-names" : false, "suffix" : "" }, { "dropping-particle" : "", "family" : "Ketchen", "given" : "D", "non-dropping-particle" : "", "parse-names" : false, "suffix" : "" } ], "container-title" : "Personnel Psychology", "id" : "ITEM-1", "issued" : { "date-parts" : [ [ "2006" ] ] }, "page" : "501-528", "title" : "How much do high-performance work practices matter? A meta-analysis of their effects on organizational performance", "type" : "article-journal", "volume" : "59" }, "uris" : [ "http://www.mendeley.com/documents/?uuid=5efe9449-b41e-45fe-b2d5-b9010fd5c1e4" ] }, { "id" : "ITEM-2",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"ITEM-2",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"mendeley" : { "formattedCitation" : "(Combs et al. 2006; Jiang, David P Lepak, et al. 2012)", "manualFormatting" : "(Combs et al., 2006; Jiang et al., 2012a)", "plainTextFormattedCitation" : "(Combs et al. 2006; Jiang, David P Lepak, et al. 2012)", "previouslyFormattedCitation" : "(Combs et al. 2006; Jiang, David P Lepak, et al. 2012)" }, "properties" : { "noteIndex" : 0 }, "schema" : "https://github.com/citation-style-language/schema/raw/master/csl-citation.json" }</w:instrText>
      </w:r>
      <w:r w:rsidRPr="00452E2E">
        <w:rPr>
          <w:szCs w:val="24"/>
        </w:rPr>
        <w:fldChar w:fldCharType="separate"/>
      </w:r>
      <w:r w:rsidRPr="00452E2E">
        <w:rPr>
          <w:noProof/>
          <w:szCs w:val="24"/>
        </w:rPr>
        <w:t xml:space="preserve">(Combs </w:t>
      </w:r>
      <w:r w:rsidRPr="00452E2E">
        <w:rPr>
          <w:i/>
          <w:noProof/>
          <w:szCs w:val="24"/>
        </w:rPr>
        <w:t>et al</w:t>
      </w:r>
      <w:r w:rsidRPr="00452E2E">
        <w:rPr>
          <w:noProof/>
          <w:szCs w:val="24"/>
        </w:rPr>
        <w:t xml:space="preserve">., 2006; Jiang </w:t>
      </w:r>
      <w:r w:rsidRPr="00452E2E">
        <w:rPr>
          <w:i/>
          <w:noProof/>
          <w:szCs w:val="24"/>
        </w:rPr>
        <w:t>et al</w:t>
      </w:r>
      <w:r w:rsidRPr="00452E2E">
        <w:rPr>
          <w:noProof/>
          <w:szCs w:val="24"/>
        </w:rPr>
        <w:t>., 2012a)</w:t>
      </w:r>
      <w:r w:rsidRPr="00452E2E">
        <w:rPr>
          <w:szCs w:val="24"/>
        </w:rPr>
        <w:fldChar w:fldCharType="end"/>
      </w:r>
      <w:r w:rsidRPr="00452E2E">
        <w:rPr>
          <w:szCs w:val="24"/>
        </w:rPr>
        <w:t xml:space="preserve">, experts on recruitment and selection research have often questioned the simplistic nature of such measures </w:t>
      </w:r>
      <w:r w:rsidRPr="00452E2E">
        <w:rPr>
          <w:szCs w:val="24"/>
        </w:rPr>
        <w:fldChar w:fldCharType="begin" w:fldLock="1"/>
      </w:r>
      <w:r w:rsidRPr="00452E2E">
        <w:rPr>
          <w:szCs w:val="24"/>
        </w:rPr>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"mendeley" : { "formattedCitation" : "(Lievens &amp; Chapman 2010)", "manualFormatting" : "(Lievens &amp; Chapman, 2010)", "plainTextFormattedCitation" : "(Lievens &amp; Chapman 2010)", "previouslyFormattedCitation" : "(Lievens &amp; Chapman 2010)" }, "properties" : { "noteIndex" : 0 }, "schema" : "https://github.com/citation-style-language/schema/raw/master/csl-citation.json" }</w:instrText>
      </w:r>
      <w:r w:rsidRPr="00452E2E">
        <w:rPr>
          <w:szCs w:val="24"/>
        </w:rPr>
        <w:fldChar w:fldCharType="separate"/>
      </w:r>
      <w:r w:rsidRPr="00452E2E">
        <w:rPr>
          <w:noProof/>
          <w:szCs w:val="24"/>
        </w:rPr>
        <w:t>(Lievens &amp; Chapman, 2010)</w:t>
      </w:r>
      <w:r w:rsidRPr="00452E2E">
        <w:rPr>
          <w:szCs w:val="24"/>
        </w:rPr>
        <w:fldChar w:fldCharType="end"/>
      </w:r>
      <w:r w:rsidRPr="00452E2E">
        <w:rPr>
          <w:szCs w:val="24"/>
        </w:rPr>
        <w:t>. As Lievens and Chapman (2010, p. 135-136) note:</w:t>
      </w:r>
    </w:p>
    <w:p w:rsidR="00873810" w:rsidRPr="00452E2E" w:rsidRDefault="00873810" w:rsidP="00873810">
      <w:pPr>
        <w:spacing w:line="240" w:lineRule="auto"/>
        <w:jc w:val="both"/>
        <w:rPr>
          <w:szCs w:val="24"/>
        </w:rPr>
      </w:pPr>
      <w:r w:rsidRPr="00452E2E">
        <w:rPr>
          <w:szCs w:val="24"/>
        </w:rPr>
        <w:t>“’sound’ selection practice is often equated with whether or not structured interviews were used. Similarly, effective recruitment is associated with the number of qualified applicants for positions most frequently hired by the firm. Although such questions tackle important aspects of selection we also feel such descriptions do not capture the sophisticated level that recruitment and selection research and practice has attained in recent years”.</w:t>
      </w:r>
    </w:p>
    <w:p w:rsidR="00873810" w:rsidRPr="00452E2E" w:rsidRDefault="00873810" w:rsidP="00873810">
      <w:pPr>
        <w:spacing w:line="360" w:lineRule="auto"/>
        <w:jc w:val="both"/>
        <w:rPr>
          <w:szCs w:val="24"/>
        </w:rPr>
      </w:pPr>
      <w:r w:rsidRPr="00452E2E">
        <w:rPr>
          <w:szCs w:val="24"/>
        </w:rPr>
        <w:t xml:space="preserve">Nonetheless, other researchers have used what can be considered as sophisticated measures of recruitment and selection albeit, in research involving HR managers </w:t>
      </w:r>
      <w:r w:rsidRPr="00452E2E">
        <w:rPr>
          <w:szCs w:val="24"/>
        </w:rPr>
        <w:fldChar w:fldCharType="begin" w:fldLock="1"/>
      </w:r>
      <w:r w:rsidRPr="00452E2E">
        <w:rPr>
          <w:szCs w:val="24"/>
        </w:rPr>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"ITEM-1",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"mendeley" : { "formattedCitation" : "(Darwish et al. 2016)", "manualFormatting" : "(e.g. Bae &amp; Lawler 2000; Darwish et al., 2016)", "plainTextFormattedCitation" : "(Darwish et al. 2016)", "previouslyFormattedCitation" : "(Darwish et al. 2016)" }, "properties" : { "noteIndex" : 0 }, "schema" : "https://github.com/citation-style-language/schema/raw/master/csl-citation.json" }</w:instrText>
      </w:r>
      <w:r w:rsidRPr="00452E2E">
        <w:rPr>
          <w:szCs w:val="24"/>
        </w:rPr>
        <w:fldChar w:fldCharType="separate"/>
      </w:r>
      <w:r w:rsidRPr="00452E2E">
        <w:rPr>
          <w:noProof/>
          <w:szCs w:val="24"/>
        </w:rPr>
        <w:t xml:space="preserve">(e.g. </w:t>
      </w:r>
      <w:r w:rsidRPr="00452E2E">
        <w:rPr>
          <w:noProof/>
          <w:szCs w:val="24"/>
        </w:rPr>
        <w:fldChar w:fldCharType="begin" w:fldLock="1"/>
      </w:r>
      <w:r w:rsidRPr="00452E2E">
        <w:rPr>
          <w:noProof/>
          <w:szCs w:val="24"/>
        </w:rPr>
        <w:instrText>ADDIN CSL_CITATION { "citationItems" : [ { "id" : "ITEM-1", "itemData" : { "author" : [ { "dropping-particle" : "", "family" : "Bae", "given" : "Johngseok", "non-dropping-particle" : "", "parse-names" : false, "suffix" : "" }, { "dropping-particle" : "", "family" : "Lawler", "given" : "J. J", "non-dropping-particle" : "", "parse-names" : false, "suffix" : "" } ], "container-title" : "The Academy of Management Journal", "id" : "ITEM-1", "issue" : "3", "issued" : { "date-parts" : [ [ "2000" ] ] }, "page" : "502-517", "title" : "Organizational and HRM strategies in Korea : Impact on firm performance in an emerging economy", "type" : "article-journal", "volume" : "43" }, "uris" : [ "http://www.mendeley.com/documents/?uuid=2c83c6fa-a69b-462c-8be0-5a549af7dc1f" ] } ], "mendeley" : { "formattedCitation" : "(Bae &amp; Lawler 2000)", "manualFormatting" : "Bae &amp; Lawler 2000", "plainTextFormattedCitation" : "(Bae &amp; Lawler 2000)", "previouslyFormattedCitation" : "(Bae &amp; Lawler 2000)" }, "properties" : { "noteIndex" : 0 }, "schema" : "https://github.com/citation-style-language/schema/raw/master/csl-citation.json" }</w:instrText>
      </w:r>
      <w:r w:rsidRPr="00452E2E">
        <w:rPr>
          <w:noProof/>
          <w:szCs w:val="24"/>
        </w:rPr>
        <w:fldChar w:fldCharType="separate"/>
      </w:r>
      <w:r w:rsidRPr="00452E2E">
        <w:rPr>
          <w:noProof/>
          <w:szCs w:val="24"/>
        </w:rPr>
        <w:t>Bae &amp; Lawler 2000</w:t>
      </w:r>
      <w:r w:rsidRPr="00452E2E">
        <w:rPr>
          <w:noProof/>
          <w:szCs w:val="24"/>
        </w:rPr>
        <w:fldChar w:fldCharType="end"/>
      </w:r>
      <w:r w:rsidRPr="00452E2E">
        <w:rPr>
          <w:noProof/>
          <w:szCs w:val="24"/>
        </w:rPr>
        <w:t xml:space="preserve">; Darwish </w:t>
      </w:r>
      <w:r w:rsidRPr="00452E2E">
        <w:rPr>
          <w:i/>
          <w:noProof/>
          <w:szCs w:val="24"/>
        </w:rPr>
        <w:t>et al</w:t>
      </w:r>
      <w:r w:rsidRPr="00452E2E">
        <w:rPr>
          <w:noProof/>
          <w:szCs w:val="24"/>
        </w:rPr>
        <w:t>., 2016)</w:t>
      </w:r>
      <w:r w:rsidRPr="00452E2E">
        <w:rPr>
          <w:szCs w:val="24"/>
        </w:rPr>
        <w:fldChar w:fldCharType="end"/>
      </w:r>
      <w:r w:rsidRPr="00452E2E">
        <w:rPr>
          <w:szCs w:val="24"/>
        </w:rPr>
        <w:t xml:space="preserve">. Therefore, since the effects of HR practices on employee attitudes in this research is conducted at the individual level of analysis with a focus on non-managerial employees, recruitment and selection are justifiably excluded. </w:t>
      </w:r>
      <w:r w:rsidR="00A70622" w:rsidRPr="00452E2E">
        <w:rPr>
          <w:szCs w:val="24"/>
        </w:rPr>
        <w:t>The focus of the next section is to show the theoretical link between HR practices and employee attitudes of job satisfaction and organizational commitment.</w:t>
      </w:r>
    </w:p>
    <w:p w:rsidR="00FD3BA9" w:rsidRPr="00452E2E" w:rsidRDefault="00FD3BA9" w:rsidP="000200A3">
      <w:pPr>
        <w:pStyle w:val="Heading4"/>
      </w:pPr>
      <w:bookmarkStart w:id="69" w:name="_Toc473808130"/>
      <w:r w:rsidRPr="00452E2E">
        <w:rPr>
          <w:szCs w:val="24"/>
        </w:rPr>
        <w:t xml:space="preserve">3.4.1 Theoretical </w:t>
      </w:r>
      <w:r w:rsidRPr="00452E2E">
        <w:t>Link between HR Practices and Employee Attitudes</w:t>
      </w:r>
      <w:bookmarkEnd w:id="69"/>
    </w:p>
    <w:p w:rsidR="00F75649" w:rsidRPr="00452E2E" w:rsidRDefault="00F75649" w:rsidP="00F75649">
      <w:pPr>
        <w:spacing w:line="360" w:lineRule="auto"/>
        <w:jc w:val="both"/>
        <w:rPr>
          <w:lang w:val="fr-FR"/>
        </w:rPr>
      </w:pPr>
      <w:r w:rsidRPr="00452E2E">
        <w:t xml:space="preserve">Different theoretical approaches have been used in previous studies to establish the link between HR practices and work outcomes </w:t>
      </w:r>
      <w:r w:rsidRPr="00452E2E">
        <w:fldChar w:fldCharType="begin" w:fldLock="1"/>
      </w:r>
      <w:r w:rsidRPr="00452E2E">
        <w:instrText>ADDIN CSL_CITATION { "citationItems" : [ { "id" : "ITEM-1", "itemData" : { "author" : [ { "dropping-particle" : "", "family" : "Bowen", "given" : "David E", "non-dropping-particle" : "", "parse-names" : false, "suffix" : "" }, { "dropping-particle" : "", "family" : "Ostroff", "given" : "Cheri", "non-dropping-particle" : "", "parse-names" : false, "suffix" : "" } ], "container-title" : "The Academy of Management Review", "id" : "ITEM-1", "issue" : "2", "issued" : { "date-parts" : [ [ "2004" ] ] }, "page" : "203-221", "title" : "Understanding HRM-firm performance linkages: The role of the \"strength\" of the HRM system", "type" : "article-journal", "volume" : "29" }, "uris" : [ "http://www.mendeley.com/documents/?uuid=cb9ef55e-10bb-4470-993e-c246e8d257ed" ] }, { "id" : "ITEM-2",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"ITEM-2", "issue" : "1", "issued" : { "date-parts" : [ [ "2011" ] ] }, "page" : "3-13", "title" : "Human resource management and performance: Still searching for some answers", "type" : "article-journal", "volume" : "21" }, "uris" : [ "http://www.mendeley.com/documents/?uuid=0dfea17c-7099-4155-9a46-371c25b5072e" ] } ], "mendeley" : { "formattedCitation" : "(Bowen &amp; Ostroff 2004; Guest 2011)", "manualFormatting" : "(Bowen &amp; Ostroff, 2004; Guest, 2011)", "plainTextFormattedCitation" : "(Bowen &amp; Ostroff 2004; Guest 2011)", "previouslyFormattedCitation" : "(Bowen &amp; Ostroff 2004; Guest 2011)" }, "properties" : { "noteIndex" : 0 }, "schema" : "https://github.com/citation-style-language/schema/raw/master/csl-citation.json" }</w:instrText>
      </w:r>
      <w:r w:rsidRPr="00452E2E">
        <w:fldChar w:fldCharType="separate"/>
      </w:r>
      <w:r w:rsidRPr="00452E2E">
        <w:rPr>
          <w:noProof/>
        </w:rPr>
        <w:t>(Wright &amp; McMahan, 1992; Bowen &amp; Ostroff, 2004; Guest, 2011)</w:t>
      </w:r>
      <w:r w:rsidRPr="00452E2E">
        <w:fldChar w:fldCharType="end"/>
      </w:r>
      <w:r w:rsidRPr="00452E2E">
        <w:t xml:space="preserve">. Indeed, Birdi </w:t>
      </w:r>
      <w:r w:rsidRPr="00452E2E">
        <w:rPr>
          <w:i/>
        </w:rPr>
        <w:t>et al.</w:t>
      </w:r>
      <w:r w:rsidRPr="00452E2E">
        <w:t xml:space="preserve"> (2008) distinguished between the resource-based perspective and the behavioural perspective as two main approaches that have dominated research on the relationship between HR practices and work outcomes. According to the resource based theory, an </w:t>
      </w:r>
      <w:r w:rsidRPr="00452E2E">
        <w:lastRenderedPageBreak/>
        <w:t xml:space="preserve">organization’s competitive advantage can be achieved with tangible or intangible resources that are valuable, rare, inimitable and non-substitutable </w:t>
      </w:r>
      <w:r w:rsidRPr="00452E2E">
        <w:fldChar w:fldCharType="begin" w:fldLock="1"/>
      </w:r>
      <w:r w:rsidRPr="00452E2E">
        <w:instrText>ADDIN CSL_CITATION { "citationItems" : [ { "id" : "ITEM-1", "itemData" : { "author" : [ { "dropping-particle" : "", "family" : "Barney", "given" : "Jay", "non-dropping-particle" : "", "parse-names" : false, "suffix" : "" } ], "container-title" : "Journal of Management", "id" : "ITEM-1", "issue" : "1", "issued" : { "date-parts" : [ [ "1991" ] ] }, "page" : "99-120", "title" : "Firm resources and sustained competitive advantage", "type" : "article-journal", "volume" : "17" }, "uris" : [ "http://www.mendeley.com/documents/?uuid=eab71da8-3122-49b6-9f58-a9e00fff3dfc" ] }, { "id" : "ITEM-2", "itemData" : { "DOI" : "10.1177/014920639201800205", "ISBN" : "0149-2063", "ISSN" : "01492063", "abstract" : "Critics have argued that the field of human resource management (HRM) lacks a coherent theoretical framework. This article attempts to further the theoretical development of SHRM through discussing six theoretical models (behavioral perspective, cybernetic models, agency/transaction cost theory, resource-based view of the firm, power/resource dependence models, and institutional theory) that are useful for understanding both strategic and non-strategic determinants of HR practices. Finally, the implications of a stronger theoretical approach to SHRM research and practice are discussed.", "author" : [ { "dropping-particle" : "", "family" : "Wright", "given" : "P. M", "non-dropping-particle" : "", "parse-names" : false, "suffix" : "" }, { "dropping-particle" : "", "family" : "McMahan", "given" : "G.C.", "non-dropping-particle" : "", "parse-names" : false, "suffix" : "" } ], "container-title" : "Journal of management", "id" : "ITEM-2", "issue" : "2", "issued" : { "date-parts" : [ [ "1992" ] ] }, "page" : "295-320", "title" : "Theoretical perspectives for strategic human resource management", "type" : "article", "volume" : "18" }, "uris" : [ "http://www.mendeley.com/documents/?uuid=3eb9120a-c488-4add-9fc0-69cb82ff0325" ] } ], "mendeley" : { "formattedCitation" : "(Barney 1991; Wright &amp; McMahan 1992)", "manualFormatting" : "(Barney, 1991; Wright &amp; McMahan, 1992)", "plainTextFormattedCitation" : "(Barney 1991; Wright &amp; McMahan 1992)", "previouslyFormattedCitation" : "(Barney 1991; Wright &amp; McMahan 1992)" }, "properties" : { "noteIndex" : 0 }, "schema" : "https://github.com/citation-style-language/schema/raw/master/csl-citation.json" }</w:instrText>
      </w:r>
      <w:r w:rsidRPr="00452E2E">
        <w:fldChar w:fldCharType="separate"/>
      </w:r>
      <w:r w:rsidRPr="00452E2E">
        <w:rPr>
          <w:noProof/>
        </w:rPr>
        <w:t>(Barney, 1991; Wright &amp; McMahan, 1992)</w:t>
      </w:r>
      <w:r w:rsidRPr="00452E2E">
        <w:fldChar w:fldCharType="end"/>
      </w:r>
      <w:r w:rsidRPr="00452E2E">
        <w:t xml:space="preserve">. Thus, HR practices are a source of competitive advantage through which organization-specific knowledge, skills and abilities (KSAs) can be developed </w:t>
      </w:r>
      <w:r w:rsidRPr="00452E2E">
        <w:fldChar w:fldCharType="begin" w:fldLock="1"/>
      </w:r>
      <w:r w:rsidRPr="00452E2E">
        <w:instrText>ADDIN CSL_CITATION { "citationItems" : [ { "id" : "ITEM-1",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"Messersmith", "given" : "Jake G", "non-dropping-particle" : "", "parse-names" : false, "suffix" : "" }, { "dropping-particle" : "", "family" : "Guthrie", "given" : "James P", "non-dropping-particle" : "", "parse-names" : false, "suffix" : "" } ], "container-title" : "Human Resource Management", "id" : "ITEM-1", "issue" : "2", "issued" : { "date-parts" : [ [ "2010" ] ] }, "page" : "241-264", "title" : "High performance work systems in emergent organizations: Implications for firm performance", "type" : "article-journal", "volume" : "49" }, "uris" : [ "http://www.mendeley.com/documents/?uuid=9179b856-3e7f-495a-bdc7-8e3f983f84de" ] }, { "id" : "ITEM-2", "itemData" : { "DOI" : "10.1111/j.1748-8583.2010.00165.x", "ISBN" : "1748-8583", "ISSN" : "09545395", "PMID" : "59268381", "abstract" : "The field of strategic human resource management has seemingly rediscovered human capital with increasing research focused on human capital as a mediator in the relationship between HR practices and performance. In this paper we review human capital definitions and measurement approaches within this literature. We then identify some of the issues emerging with human capital research. Finally, we propose some future directions for research on human capital in organisations.", "author" : [ { "dropping-particle" : "", "family" : "Wright", "given" : "Patrick M.", "non-dropping-particle" : "", "parse-names" : false, "suffix" : "" }, { "dropping-particle" : "", "family" : "Mcmahan", "given" : "Gary C.", "non-dropping-particle" : "", "parse-names" : false, "suffix" : "" } ], "container-title" : "Human Resource Management Journal", "id" : "ITEM-2", "issue" : "2", "issued" : { "date-parts" : [ [ "2011" ] ] }, "page" : "93-104", "title" : "Exploring human capital: Putting 'human' back into strategic human resource management", "type" : "article-journal", "volume" : "21" }, "uris" : [ "http://www.mendeley.com/documents/?uuid=bc17e4dd-946b-492e-b830-bbba1f418d6e" ] } ], "mendeley" : { "formattedCitation" : "(Messersmith &amp; Guthrie 2010; Wright &amp; Mcmahan 2011)", "manualFormatting" : "(Messersmith &amp; Guthrie, 2010; Wright &amp; Mcmahan, 2011)", "plainTextFormattedCitation" : "(Messersmith &amp; Guthrie 2010; Wright &amp; Mcmahan 2011)", "previouslyFormattedCitation" : "(Messersmith &amp; Guthrie 2010; Wright &amp; Mcmahan 2011)" }, "properties" : { "noteIndex" : 0 }, "schema" : "https://github.com/citation-style-language/schema/raw/master/csl-citation.json" }</w:instrText>
      </w:r>
      <w:r w:rsidRPr="00452E2E">
        <w:fldChar w:fldCharType="separate"/>
      </w:r>
      <w:r w:rsidRPr="00452E2E">
        <w:rPr>
          <w:noProof/>
        </w:rPr>
        <w:t>(Messersmith &amp; Guthrie, 2010; Wright &amp; Mcmahan, 2011)</w:t>
      </w:r>
      <w:r w:rsidRPr="00452E2E">
        <w:fldChar w:fldCharType="end"/>
      </w:r>
      <w:r w:rsidRPr="00452E2E">
        <w:t xml:space="preserve">. Once these KSAs are non-imitable, the organization can achieve superior performance </w:t>
      </w:r>
      <w:r w:rsidRPr="00452E2E">
        <w:fldChar w:fldCharType="begin" w:fldLock="1"/>
      </w:r>
      <w:r w:rsidRPr="00452E2E">
        <w:instrText>ADDIN CSL_CITATION { "citationItems" : [ { "id" : "ITEM-1", "itemData" : { "DOI" : "10.1177/014920639201800205", "ISBN" : "0149-2063", "ISSN" : "01492063", "abstract" : "Critics have argued that the field of human resource management (HRM) lacks a coherent theoretical framework. This article attempts to further the theoretical development of SHRM through discussing six theoretical models (behavioral perspective, cybernetic models, agency/transaction cost theory, resource-based view of the firm, power/resource dependence models, and institutional theory) that are useful for understanding both strategic and non-strategic determinants of HR practices. Finally, the implications of a stronger theoretical approach to SHRM research and practice are discussed.", "author" : [ { "dropping-particle" : "", "family" : "Wright", "given" : "P. M", "non-dropping-particle" : "", "parse-names" : false, "suffix" : "" }, { "dropping-particle" : "", "family" : "McMahan", "given" : "G.C.", "non-dropping-particle" : "", "parse-names" : false, "suffix" : "" } ], "container-title" : "Journal of management", "id" : "ITEM-1", "issue" : "2", "issued" : { "date-parts" : [ [ "1992" ] ] }, "page" : "295-320", "title" : "Theoretical perspectives for strategic human resource management", "type" : "article", "volume" : "18" }, "uris" : [ "http://www.mendeley.com/documents/?uuid=3eb9120a-c488-4add-9fc0-69cb82ff0325" ] } ], "mendeley" : { "formattedCitation" : "(Wright &amp; McMahan 1992)", "manualFormatting" : "(Wright &amp; McMahan, 1992; Boselie et al., 2005; Katou &amp; Budhwar, 2014)", "plainTextFormattedCitation" : "(Wright &amp; McMahan 1992)", "previouslyFormattedCitation" : "(Wright &amp; McMahan 1992)" }, "properties" : { "noteIndex" : 0 }, "schema" : "https://github.com/citation-style-language/schema/raw/master/csl-citation.json" }</w:instrText>
      </w:r>
      <w:r w:rsidRPr="00452E2E">
        <w:fldChar w:fldCharType="separate"/>
      </w:r>
      <w:r w:rsidRPr="00452E2E">
        <w:rPr>
          <w:noProof/>
        </w:rPr>
        <w:t xml:space="preserve">(Wright &amp; McMahan, 1992; Boselie </w:t>
      </w:r>
      <w:r w:rsidRPr="00452E2E">
        <w:rPr>
          <w:i/>
          <w:noProof/>
        </w:rPr>
        <w:t>et al</w:t>
      </w:r>
      <w:r w:rsidRPr="00452E2E">
        <w:rPr>
          <w:noProof/>
        </w:rPr>
        <w:t>., 2005; Katou &amp; Budhwar, 2014)</w:t>
      </w:r>
      <w:r w:rsidRPr="00452E2E">
        <w:fldChar w:fldCharType="end"/>
      </w:r>
      <w:r w:rsidRPr="00452E2E">
        <w:t xml:space="preserve">. Hence, the resource-based perspective is concerned with establishing a link between HR practices and organizational level outcomes, notably performance </w:t>
      </w:r>
      <w:r w:rsidRPr="00452E2E">
        <w:fldChar w:fldCharType="begin" w:fldLock="1"/>
      </w:r>
      <w:r w:rsidRPr="00452E2E">
        <w:instrText>ADDIN CSL_CITATION { "citationItems" : [ { "id" : "ITEM-1", "itemData" : { "DOI" : "10.1080/09585190010015105", "ISBN" : "09585192", "ISSN" : "09585192", "abstract" : "This study tests whether strategic human resource management (SHRM) effectiveness significantly affects organizational level outcomes. Using the resource-based view of the firm, this study examines the effective use of human capital on organizational performance. Further, the role that a contextual factor - capital intensity - plays in modelling is explored. Results show that SHRM effectiveness significantly reduces employee turnover and increases overall market performance assessment. However, SHRM effectiveness affected both firm productivity and return on equity only when moderated by capital intensity.", "author" : [ { "dropping-particle" : "", "family" : "Richard", "given" : "Orlando C.", "non-dropping-particle" : "", "parse-names" : false, "suffix" : "" }, { "dropping-particle" : "", "family" : "Johnson", "given" : "Nancy Brown", "non-dropping-particle" : "", "parse-names" : false, "suffix" : "" } ], "container-title" : "International Journal of Human Resource Management", "id" : "ITEM-1", "issue" : "2", "issued" : { "date-parts" : [ [ "2001" ] ] }, "page" : "299-310", "title" : "Strategic human resource management effectiveness and firm performance", "type" : "article-journal", "volume" : "12" }, "uris" : [ "http://www.mendeley.com/documents/?uuid=5720f1de-3135-4ad3-99e0-cc34b414c961" ] }, { "id" : "ITEM-2", "itemData" : { "abstract" : "Although there is growing evidence that high performance work prac- tices (HPWPs) affect organizational performance, varying sample char- acteristics, research designs, practices examined, and organizational performance measures used has led extant findings to vary dramatically, making the size of the overall effect difficult to estimate.We use meta- analysis to estimate the effect size and test whether effects are larger for (a) HPWP systems versus individual practices, (b) operational versus financial performance measures, and (c) manufacturing versus service organizations. Statistical aggregation of 92 studies reveals an overall cor- relation that we estimate at .20. Also, the relationship is stronger when researchers examine systems of HPWPs and among manufacturers, but it appears invariant across performance measures.We use our findings as a basis to offer 4 suggestions intended to shape research practices such that future meta-analyses might answer today\u2019s emerging questions.", "author" : [ { "dropping-particle" : "", "family" : "Combs", "given" : "James", "non-dropping-particle" : "", "parse-names" : false, "suffix" : "" }, { "dropping-particle" : "", "family" : "Liu", "given" : "Yongmei", "non-dropping-particle" : "", "parse-names" : false, "suffix" : "" }, { "dropping-particle" : "", "family" : "Hall", "given" : "A", "non-dropping-particle" : "", "parse-names" : false, "suffix" : "" }, { "dropping-particle" : "", "family" : "Ketchen", "given" : "D", "non-dropping-particle" : "", "parse-names" : false, "suffix" : "" } ], "container-title" : "Personnel Psychology", "id" : "ITEM-2", "issued" : { "date-parts" : [ [ "2006" ] ] }, "page" : "501-528", "title" : "How much do high-performance work practices matter? A meta-analysis of their effects on organizational performance", "type" : "article-journal", "volume" : "59" }, "uris" : [ "http://www.mendeley.com/documents/?uuid=5efe9449-b41e-45fe-b2d5-b9010fd5c1e4" ] }, { "id" : "ITEM-3",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"Messersmith", "given" : "Jake G", "non-dropping-particle" : "", "parse-names" : false, "suffix" : "" }, { "dropping-particle" : "", "family" : "Guthrie", "given" : "James P", "non-dropping-particle" : "", "parse-names" : false, "suffix" : "" } ], "container-title" : "Human Resource Management", "id" : "ITEM-3", "issue" : "2", "issued" : { "date-parts" : [ [ "2010" ] ] }, "page" : "241-264", "title" : "High performance work systems in emergent organizations: Implications for firm performance", "type" : "article-journal", "volume" : "49" }, "uris" : [ "http://www.mendeley.com/documents/?uuid=9179b856-3e7f-495a-bdc7-8e3f983f84de" ] }, { "id" : "ITEM-4",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w:instrText>
      </w:r>
      <w:r w:rsidRPr="00452E2E">
        <w:rPr>
          <w:lang w:val="fr-FR"/>
        </w:rPr>
        <w:instrText>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"ITEM-4",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"mendeley" : { "formattedCitation" : "(Richard &amp; Johnson 2001; Combs et al. 2006; Messersmith &amp; Guthrie 2010; Jiang et al. 2012)", "manualFormatting" : "(Richard &amp; Johnson, 2001; Combs et al., 2006; Messersmith &amp; Guthrie, 2010; Jiang et al., 2012)", "plainTextFormattedCitation" : "(Richard &amp; Johnson 2001; Combs et al. 2006; Messersmith &amp; Guthrie 2010; Jiang et al. 2012)", "previouslyFormattedCitation" : "(Richard &amp; Johnson 2001; Combs et al. 2006; Messersmith &amp; Guthrie 2010; Jiang et al. 2012)" }, "properties" : { "noteIndex" : 0 }, "schema" : "https://github.com/citation-style-language/schema/raw/master/csl-citation.json" }</w:instrText>
      </w:r>
      <w:r w:rsidRPr="00452E2E">
        <w:fldChar w:fldCharType="separate"/>
      </w:r>
      <w:r w:rsidRPr="00452E2E">
        <w:rPr>
          <w:noProof/>
          <w:lang w:val="fr-FR"/>
        </w:rPr>
        <w:t xml:space="preserve">(Richard &amp; Johnson, 2001; Combs </w:t>
      </w:r>
      <w:r w:rsidRPr="00452E2E">
        <w:rPr>
          <w:i/>
          <w:noProof/>
          <w:lang w:val="fr-FR"/>
        </w:rPr>
        <w:t>et al</w:t>
      </w:r>
      <w:r w:rsidRPr="00452E2E">
        <w:rPr>
          <w:noProof/>
          <w:lang w:val="fr-FR"/>
        </w:rPr>
        <w:t xml:space="preserve">., 2006; Messersmith &amp; Guthrie, 2010; Jiang </w:t>
      </w:r>
      <w:r w:rsidRPr="00452E2E">
        <w:rPr>
          <w:i/>
          <w:noProof/>
          <w:lang w:val="fr-FR"/>
        </w:rPr>
        <w:t>et al</w:t>
      </w:r>
      <w:r w:rsidRPr="00452E2E">
        <w:rPr>
          <w:noProof/>
          <w:lang w:val="fr-FR"/>
        </w:rPr>
        <w:t>., 2012)</w:t>
      </w:r>
      <w:r w:rsidRPr="00452E2E">
        <w:fldChar w:fldCharType="end"/>
      </w:r>
      <w:r w:rsidRPr="00452E2E">
        <w:rPr>
          <w:lang w:val="fr-FR"/>
        </w:rPr>
        <w:t xml:space="preserve">. </w:t>
      </w:r>
    </w:p>
    <w:p w:rsidR="00F75649" w:rsidRPr="00452E2E" w:rsidRDefault="00F75649" w:rsidP="00F75649">
      <w:pPr>
        <w:spacing w:line="360" w:lineRule="auto"/>
        <w:jc w:val="both"/>
      </w:pPr>
      <w:r w:rsidRPr="00452E2E">
        <w:t xml:space="preserve">On the other hand, the organizational behaviour perspective argues </w:t>
      </w:r>
      <w:r w:rsidRPr="00452E2E">
        <w:rPr>
          <w:szCs w:val="24"/>
        </w:rPr>
        <w:t>that HR practices act as enablers of positive attitudes and behaviours, which in turn influence organizational</w:t>
      </w:r>
      <w:r w:rsidRPr="00452E2E">
        <w:t xml:space="preserve"> level outcomes such as firm performance </w:t>
      </w:r>
      <w:r w:rsidRPr="00452E2E">
        <w:fldChar w:fldCharType="begin" w:fldLock="1"/>
      </w:r>
      <w:r w:rsidRPr="00452E2E">
        <w:instrText>ADDIN CSL_CITATION { "citationItems" : [ { "id" : "ITEM-1", "itemData" : { "author" : [ { "dropping-particle" : "", "family" : "Birdi", "given" : "Kamal", "non-dropping-particle" : "", "parse-names" : false, "suffix" : "" }, { "dropping-particle" : "", "family" : "Clegg", "given" : "Chris", "non-dropping-particle" : "", "parse-names" : false, "suffix" : "" }, { "dropping-particle" : "", "family" : "Patterson", "given" : "Malcom", "non-dropping-particle" : "", "parse-names" : false, "suffix" : "" }, { "dropping-particle" : "", "family" : "Robinson", "given" : "Andrew", "non-dropping-particle" : "", "parse-names" : false, "suffix" : "" }, { "dropping-particle" : "", "family" : "Stride", "given" : "Chris", "non-dropping-particle" : "", "parse-names" : false, "suffix" : "" }, { "dropping-particle" : "", "family" : "Wall", "given" : "Toby D.", "non-dropping-particle" : "", "parse-names" : false, "suffix" : "" }, { "dropping-particle" : "", "family" : "Wood", "given" : "Stephen J", "non-dropping-particle" : "", "parse-names" : false, "suffix" : "" } ], "container-title" : "Personnel Psychology", "id" : "ITEM-1", "issued" : { "date-parts" : [ [ "2008" ] ] }, "page" : "467-501", "title" : "The impact of human resource and operational management practices on company productivity: A longitudinal study", "type" : "article-journal", "volume" : "61" }, "uris" : [ "http://www.mendeley.com/documents/?uuid=42240540-8ca0-4b35-91f4-5c6c318912f2" ] } ], "mendeley" : { "formattedCitation" : "(Birdi et al. 2008)", "manualFormatting" : "(Appelbaum et al., 2000; Birdi et al., 2008)", "plainTextFormattedCitation" : "(Birdi et al. 2008)", "previouslyFormattedCitation" : "(Birdi et al. 2008)" }, "properties" : { "noteIndex" : 0 }, "schema" : "https://github.com/citation-style-language/schema/raw/master/csl-citation.json" }</w:instrText>
      </w:r>
      <w:r w:rsidRPr="00452E2E">
        <w:fldChar w:fldCharType="separate"/>
      </w:r>
      <w:r w:rsidRPr="00452E2E">
        <w:rPr>
          <w:noProof/>
        </w:rPr>
        <w:t xml:space="preserve">(Appelbaum </w:t>
      </w:r>
      <w:r w:rsidRPr="00452E2E">
        <w:rPr>
          <w:i/>
          <w:noProof/>
        </w:rPr>
        <w:t>et al</w:t>
      </w:r>
      <w:r w:rsidRPr="00452E2E">
        <w:rPr>
          <w:noProof/>
        </w:rPr>
        <w:t xml:space="preserve">., 2000; Birdi </w:t>
      </w:r>
      <w:r w:rsidRPr="00452E2E">
        <w:rPr>
          <w:i/>
          <w:noProof/>
        </w:rPr>
        <w:t>et al</w:t>
      </w:r>
      <w:r w:rsidRPr="00452E2E">
        <w:rPr>
          <w:noProof/>
        </w:rPr>
        <w:t>., 2008)</w:t>
      </w:r>
      <w:r w:rsidRPr="00452E2E">
        <w:fldChar w:fldCharType="end"/>
      </w:r>
      <w:r w:rsidRPr="00452E2E">
        <w:t xml:space="preserve">. In a bid to understand how HR practices contribute to performance, attention has now been focused on the effect of HR practices on individual level outcomes as mediating variables between HR practices and organizational performance </w:t>
      </w:r>
      <w:r w:rsidRPr="00452E2E">
        <w:fldChar w:fldCharType="begin" w:fldLock="1"/>
      </w:r>
      <w:r w:rsidRPr="00452E2E">
        <w:instrText>ADDIN CSL_CITATION { "citationItems" : [ { "id" : "ITEM-1",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"ITEM-1",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"id" : "ITEM-2",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"ITEM-2", "issue" : "5", "issued" : { "date-parts" : [ [ "2013" ] ] }, "page" : "573-594", "title" : "Effects of employees' perceptions on the relationship between HR practices and firm performance for Korean firms", "type" : "article-journal", "volume" : "42" }, "uris" : [ "http://www.mendeley.com/documents/?uuid=ffb61f90-b58e-4457-9560-eaad5c903c53" ] }, { "id" : "ITEM-3", "itemData" : { "author" : [ { "dropping-particle" : "", "family" : "Hartog", "given" : "D. N.", "non-dropping-particle" : "Den", "parse-names" : false, "suffix" : "" }, { "dropping-particle" : "", "family" : "Boon", "given" : "C.", "non-dropping-particle" : "", "parse-names" : false, "suffix" : "" }, { "dropping-particle" : "", "family" : "Verburg", "given" : "R. M.", "non-dropping-particle" : "", "parse-names" : false, "suffix" : "" }, { "dropping-particle" : "", "family" : "Croon", "given" : "M. A.", "non-dropping-particle" : "", "parse-names" : false, "suffix" : "" } ], "container-title" : "Journal of Management", "id" : "ITEM-3", "issue" : "6", "issued" : { "date-parts" : [ [ "2013" ] ] }, "page" : "1637-1665", "title" : "HRM, communication, satisfaction, and perceived performance: A cross-level test", "type" : "article-journal", "volume" : "39" }, "uris" : [ "http://www.mendeley.com/documents/?uuid=aaf5ee5f-23ca-4c61-ab59-e1572ec0401b" ] }, { "id" : "ITEM-4",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"ITEM-4", "issue" : "2", "issued" : { "date-parts" : [ [ "2013" ] ] }, "page" : "366-391", "title" : "The impact of high performance human resource practices on employees' attitudes and behaviors", "type" : "article-journal", "volume" : "39" }, "uris" : [ "http://www.mendeley.com/documents/?uuid=87fa9e55-e4a1-416e-9e06-eb7fd4bd89a6" ] }, { "id" : "ITEM-5",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"ITEM-5",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"(Jiang et al. 2012; Choi &amp; Lee 2013; Den Hartog et al. 2013; Kehoe &amp; Wright 2013; Ollo-L\u00f3pez et al. 2016)", "manualFormatting" : "(Jiang et al., 2012; Choi &amp; Lee, 2013; Ollo-L\u00f3pez et al., 2016)", "plainTextFormattedCitation" : "(Jiang et al. 2012; Choi &amp; Lee 2013; Den Hartog et al. 2013; Kehoe &amp; Wright 2013; Ollo-L\u00f3pez et al. 2016)", "previouslyFormattedCitation" : "(Jiang et al. 2012; Choi &amp; Lee 2013; Den Hartog et al. 2013; Kehoe &amp; Wright 2013; Ollo-L\u00f3pez et al. 2016)" }, "properties" : { "noteIndex" : 0 }, "schema" : "https://github.com/citation-style-language/schema/raw/master/csl-citation.json" }</w:instrText>
      </w:r>
      <w:r w:rsidRPr="00452E2E">
        <w:fldChar w:fldCharType="separate"/>
      </w:r>
      <w:r w:rsidRPr="00452E2E">
        <w:rPr>
          <w:noProof/>
        </w:rPr>
        <w:t xml:space="preserve">(Jiang </w:t>
      </w:r>
      <w:r w:rsidRPr="00452E2E">
        <w:rPr>
          <w:i/>
          <w:noProof/>
        </w:rPr>
        <w:t>et al</w:t>
      </w:r>
      <w:r w:rsidRPr="00452E2E">
        <w:rPr>
          <w:noProof/>
        </w:rPr>
        <w:t xml:space="preserve">., 2012; Choi &amp; Lee, 2013; Ollo-López </w:t>
      </w:r>
      <w:r w:rsidRPr="00452E2E">
        <w:rPr>
          <w:i/>
          <w:noProof/>
        </w:rPr>
        <w:t>et al</w:t>
      </w:r>
      <w:r w:rsidRPr="00452E2E">
        <w:rPr>
          <w:noProof/>
        </w:rPr>
        <w:t>., 2016)</w:t>
      </w:r>
      <w:r w:rsidRPr="00452E2E">
        <w:fldChar w:fldCharType="end"/>
      </w:r>
      <w:r w:rsidRPr="00452E2E">
        <w:t xml:space="preserve">. Researchers have distinguished between proximal and distal outcomes of HR practices </w:t>
      </w:r>
      <w:r w:rsidRPr="00452E2E">
        <w:fldChar w:fldCharType="begin" w:fldLock="1"/>
      </w:r>
      <w:r w:rsidRPr="00452E2E">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"id" : "ITEM-2",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"ITEM-2",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"mendeley" : { "formattedCitation" : "(Guest 2011; Jiang et al. 2012)", "manualFormatting" : "(Guest, 2011; Jiang et al., 2012)", "plainTextFormattedCitation" : "(Guest 2011; Jiang et al. 2012)", "previouslyFormattedCitation" : "(Guest 2011; Jiang et al. 2012)" }, "properties" : { "noteIndex" : 0 }, "schema" : "https://github.com/citation-style-language/schema/raw/master/csl-citation.json" }</w:instrText>
      </w:r>
      <w:r w:rsidRPr="00452E2E">
        <w:fldChar w:fldCharType="separate"/>
      </w:r>
      <w:r w:rsidRPr="00452E2E">
        <w:rPr>
          <w:noProof/>
        </w:rPr>
        <w:t xml:space="preserve">(Guest, 2011; Jiang </w:t>
      </w:r>
      <w:r w:rsidRPr="00452E2E">
        <w:rPr>
          <w:i/>
          <w:noProof/>
        </w:rPr>
        <w:t>et al</w:t>
      </w:r>
      <w:r w:rsidRPr="00452E2E">
        <w:rPr>
          <w:noProof/>
        </w:rPr>
        <w:t>., 2012)</w:t>
      </w:r>
      <w:r w:rsidRPr="00452E2E">
        <w:fldChar w:fldCharType="end"/>
      </w:r>
      <w:r w:rsidRPr="00452E2E">
        <w:t xml:space="preserve">. Whilst the former relates to variables that are directly influenced by HR practices such as job satisfaction and organizational commitment, the latter relates to organizational level outcomes such as organizational performance that are indirectly influenced by HR practices through the proximal outcomes </w:t>
      </w:r>
      <w:r w:rsidRPr="00452E2E">
        <w:fldChar w:fldCharType="begin" w:fldLock="1"/>
      </w:r>
      <w:r w:rsidRPr="00452E2E">
        <w:instrText>ADDIN CSL_CITATION { "citationItems" : [ { "id" : "ITEM-1", "itemData" : { "DOI" : "10.1111/j.1748-8583.2010.00164.x", "ISBN" : "1748-8583", "ISSN" : "09545395", "PMID" : "60027023", "abstract" : "Over the past 20 years, there has been a considerable expansion in theory and research about human resource management and performance. This paper reviews progress by identifying a series of phases in the development of relevant theory and research. It then sets out a number of challenges for the future on issues of theory, management processes and research methodology. The main conclusion from the review is that after over two decades of extensive research, we are still unable to answer core questions about the relationship between human resource management and performance. This is largely attributed to the limited amount of research that is longitudinal and has been able to address the linkages between HRM and performance and to study the management of HR implementation.", "author" : [ { "dropping-particle" : "", "family" : "Guest", "given" : "David E.", "non-dropping-particle" : "", "parse-names" : false, "suffix" : "" } ], "container-title" : "Human Resource Management Journal", "id" : "ITEM-1", "issue" : "1", "issued" : { "date-parts" : [ [ "2011" ] ] }, "page" : "3-13", "title" : "Human resource management and performance: Still searching for some answers", "type" : "article-journal", "volume" : "21" }, "uris" : [ "http://www.mendeley.com/documents/?uuid=0dfea17c-7099-4155-9a46-371c25b5072e" ] }, { "id" : "ITEM-2",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"ITEM-2",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"mendeley" : { "formattedCitation" : "(Guest 2011; Jiang et al. 2012)", "manualFormatting" : "(Guest, 2011; Jiang et al., 2012)", "plainTextFormattedCitation" : "(Guest 2011; Jiang et al. 2012)", "previouslyFormattedCitation" : "(Guest 2011; Jiang et al. 2012)" }, "properties" : { "noteIndex" : 0 }, "schema" : "https://github.com/citation-style-language/schema/raw/master/csl-citation.json" }</w:instrText>
      </w:r>
      <w:r w:rsidRPr="00452E2E">
        <w:fldChar w:fldCharType="separate"/>
      </w:r>
      <w:r w:rsidRPr="00452E2E">
        <w:rPr>
          <w:noProof/>
        </w:rPr>
        <w:t xml:space="preserve">(Guest, 2011; Jiang </w:t>
      </w:r>
      <w:r w:rsidRPr="00452E2E">
        <w:rPr>
          <w:i/>
          <w:noProof/>
        </w:rPr>
        <w:t>et al</w:t>
      </w:r>
      <w:r w:rsidRPr="00452E2E">
        <w:rPr>
          <w:noProof/>
        </w:rPr>
        <w:t>., 2012)</w:t>
      </w:r>
      <w:r w:rsidRPr="00452E2E">
        <w:fldChar w:fldCharType="end"/>
      </w:r>
      <w:r w:rsidRPr="00452E2E">
        <w:t xml:space="preserve">. </w:t>
      </w:r>
      <w:r w:rsidRPr="00452E2E">
        <w:rPr>
          <w:szCs w:val="24"/>
        </w:rPr>
        <w:t xml:space="preserve">Since the outcome variable in this research is employee attitudes – job satisfaction and organizational commitment – we turn our attention to the behavioural perspective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"Birdi", "given" : "Kamal", "non-dropping-particle" : "", "parse-names" : false, "suffix" : "" }, { "dropping-particle" : "", "family" : "Clegg", "given" : "Chris", "non-dropping-particle" : "", "parse-names" : false, "suffix" : "" }, { "dropping-particle" : "", "family" : "Patterson", "given" : "Malcom", "non-dropping-particle" : "", "parse-names" : false, "suffix" : "" }, { "dropping-particle" : "", "family" : "Robinson", "given" : "Andrew", "non-dropping-particle" : "", "parse-names" : false, "suffix" : "" }, { "dropping-particle" : "", "family" : "Stride", "given" : "Chris", "non-dropping-particle" : "", "parse-names" : false, "suffix" : "" }, { "dropping-particle" : "", "family" : "Wall", "given" : "Toby D.", "non-dropping-particle" : "", "parse-names" : false, "suffix" : "" }, { "dropping-particle" : "", "family" : "Wood", "given" : "Stephen J", "non-dropping-particle" : "", "parse-names" : false, "suffix" : "" } ], "container-title" : "Personnel Psychology", "id" : "ITEM-2", "issued" : { "date-parts" : [ [ "2008" ] ] }, "page" : "467-501", "title" : "The impact of human resource and operational management practices on company productivity: A longitudinal study", "type" : "article-journal", "volume" : "61" }, "uris" : [ "http://www.mendeley.com/documents/?uuid=42240540-8ca0-4b35-91f4-5c6c318912f2" ] } ], "mendeley" : { "formattedCitation" : "(Appelbaum et al. 2000; Birdi et al. 2008)", "manualFormatting" : "(Appelbaum et al., 2000; Birdi et al., 2008)", "plainTextFormattedCitation" : "(Appelbaum et al. 2000; Birdi et al. 2008)", "previouslyFormattedCitation" : "(Appelbaum et al. 2000; Birdi et al. 2008)" }, "properties" : { "noteIndex" : 0 }, "schema" : "https://github.com/citation-style-language/schema/raw/master/csl-citation.json" }</w:instrText>
      </w:r>
      <w:r w:rsidRPr="00452E2E">
        <w:rPr>
          <w:szCs w:val="24"/>
        </w:rPr>
        <w:fldChar w:fldCharType="separate"/>
      </w:r>
      <w:r w:rsidRPr="00452E2E">
        <w:rPr>
          <w:noProof/>
          <w:szCs w:val="24"/>
        </w:rPr>
        <w:t xml:space="preserve">(Appelbaum </w:t>
      </w:r>
      <w:r w:rsidRPr="00452E2E">
        <w:rPr>
          <w:i/>
          <w:noProof/>
          <w:szCs w:val="24"/>
        </w:rPr>
        <w:t>et al</w:t>
      </w:r>
      <w:r w:rsidRPr="00452E2E">
        <w:rPr>
          <w:noProof/>
          <w:szCs w:val="24"/>
        </w:rPr>
        <w:t xml:space="preserve">., 2000; Birdi </w:t>
      </w:r>
      <w:r w:rsidRPr="00452E2E">
        <w:rPr>
          <w:i/>
          <w:noProof/>
          <w:szCs w:val="24"/>
        </w:rPr>
        <w:t>et al</w:t>
      </w:r>
      <w:r w:rsidRPr="00452E2E">
        <w:rPr>
          <w:noProof/>
          <w:szCs w:val="24"/>
        </w:rPr>
        <w:t>., 2008)</w:t>
      </w:r>
      <w:r w:rsidRPr="00452E2E">
        <w:rPr>
          <w:szCs w:val="24"/>
        </w:rPr>
        <w:fldChar w:fldCharType="end"/>
      </w:r>
      <w:r w:rsidRPr="00452E2E">
        <w:rPr>
          <w:szCs w:val="24"/>
        </w:rPr>
        <w:t xml:space="preserve"> in order to establish a link between the HR practices and employee attitudes. </w:t>
      </w:r>
    </w:p>
    <w:p w:rsidR="00F75649" w:rsidRPr="00452E2E" w:rsidRDefault="00F75649" w:rsidP="00F75649">
      <w:pPr>
        <w:spacing w:line="360" w:lineRule="auto"/>
        <w:jc w:val="both"/>
      </w:pPr>
      <w:r w:rsidRPr="00452E2E">
        <w:rPr>
          <w:szCs w:val="24"/>
        </w:rPr>
        <w:t xml:space="preserve">Two theories that are commonly used in the behavioural perspective and which are relevant to this study are the AMO framework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"Boxall", "given" : "Peter", "non-dropping-particle" : "", "parse-names" : false, "suffix" : "" }, { "dropping-particle" : "", "family" : "Purcell", "given" : "John", "non-dropping-particle" : "", "parse-names" : false, "suffix" : "" } ], "id" : "ITEM-2", "issued" : { "date-parts" : [ [ "2003" ] ] }, "publisher" : "Palgrave Macmillan", "publisher-place" : "Houndsmill", "title" : "Strategy and human resource management", "type" : "book" }, "uris" : [ "http://www.mendeley.com/documents/?uuid=7df8cee2-2170-4d1e-b2a0-ed8404b86785" ] } ], "mendeley" : { "formattedCitation" : "(Appelbaum et al. 2000; Boxall &amp; Purcell 2003)", "manualFormatting" : "(Appelbaum et al., 2000; Boxall &amp; Purcell, 2003)", "plainTextFormattedCitation" : "(Appelbaum et al. 2000; Boxall &amp; Purcell 2003)", "previouslyFormattedCitation" : "(Appelbaum et al. 2000; Boxall &amp; Purcell 2003)" }, "properties" : { "noteIndex" : 0 }, "schema" : "https://github.com/citation-style-language/schema/raw/master/csl-citation.json" }</w:instrText>
      </w:r>
      <w:r w:rsidRPr="00452E2E">
        <w:rPr>
          <w:szCs w:val="24"/>
        </w:rPr>
        <w:fldChar w:fldCharType="separate"/>
      </w:r>
      <w:r w:rsidRPr="00452E2E">
        <w:rPr>
          <w:noProof/>
          <w:szCs w:val="24"/>
        </w:rPr>
        <w:t xml:space="preserve">(Appelbaum </w:t>
      </w:r>
      <w:r w:rsidRPr="00452E2E">
        <w:rPr>
          <w:i/>
          <w:noProof/>
          <w:szCs w:val="24"/>
        </w:rPr>
        <w:t>et al</w:t>
      </w:r>
      <w:r w:rsidRPr="00452E2E">
        <w:rPr>
          <w:noProof/>
          <w:szCs w:val="24"/>
        </w:rPr>
        <w:t>., 2000; Boxall &amp; Purcell, 2003)</w:t>
      </w:r>
      <w:r w:rsidRPr="00452E2E">
        <w:rPr>
          <w:szCs w:val="24"/>
        </w:rPr>
        <w:fldChar w:fldCharType="end"/>
      </w:r>
      <w:r w:rsidRPr="00452E2E">
        <w:rPr>
          <w:szCs w:val="24"/>
        </w:rPr>
        <w:t xml:space="preserve">  and social exchange theory </w:t>
      </w:r>
      <w:r w:rsidRPr="00452E2E">
        <w:rPr>
          <w:szCs w:val="24"/>
        </w:rPr>
        <w:fldChar w:fldCharType="begin" w:fldLock="1"/>
      </w:r>
      <w:r w:rsidRPr="00452E2E">
        <w:rPr>
          <w:szCs w:val="24"/>
        </w:rPr>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"id" : "ITEM-2", "itemData" : { "DOI" : "10.1037//0021-9010.87.4.698", "ISBN" : "0021-9010", "ISSN" : "0021-9010", "PMID" : "12130443", "author" : [ { "dropping-particle" : "", "family" : "Rhoades", "given" : "Linda", "non-dropping-particle" : "", "parse-names" : false, "suffix" : "" }, { "dropping-particle" : "", "family" : "Eisenberger", "given" : "Robert", "non-dropping-particle" : "", "parse-names" : false, "suffix" : "" } ], "container-title" : "Journal of Applied Psychology", "id" : "ITEM-2", "issue" : "4", "issued" : { "date-parts" : [ [ "2002" ] ] }, "page" : "698-714", "title" : "Perceived organizational support: A review of the literature", "type" : "article-journal", "volume" : "87" }, "uris" : [ "http://www.mendeley.com/documents/?uuid=05fa9f60-bc12-4704-b3af-d9801fb50251" ] } ], "mendeley" : { "formattedCitation" : "(Blau 1964; Rhoades &amp; Eisenberger 2002)", "manualFormatting" : "(Blau, 1964; Rhoades &amp; Eisenberger, 2002)", "plainTextFormattedCitation" : "(Blau 1964; Rhoades &amp; Eisenberger 2002)", "previouslyFormattedCitation" : "(Blau 1964; Rhoades &amp; Eisenberger 2002)" }, "properties" : { "noteIndex" : 0 }, "schema" : "https://github.com/citation-style-language/schema/raw/master/csl-citation.json" }</w:instrText>
      </w:r>
      <w:r w:rsidRPr="00452E2E">
        <w:rPr>
          <w:szCs w:val="24"/>
        </w:rPr>
        <w:fldChar w:fldCharType="separate"/>
      </w:r>
      <w:r w:rsidRPr="00452E2E">
        <w:rPr>
          <w:noProof/>
          <w:szCs w:val="24"/>
        </w:rPr>
        <w:t>(Blau, 1964; Rhoades &amp; Eisenberger, 2002)</w:t>
      </w:r>
      <w:r w:rsidRPr="00452E2E">
        <w:rPr>
          <w:szCs w:val="24"/>
        </w:rPr>
        <w:fldChar w:fldCharType="end"/>
      </w:r>
      <w:r w:rsidRPr="00452E2E">
        <w:rPr>
          <w:szCs w:val="24"/>
        </w:rPr>
        <w:t xml:space="preserve">. </w:t>
      </w:r>
      <w:r w:rsidRPr="00452E2E">
        <w:t xml:space="preserve">The AMO framework has gained prominence recently in studies </w:t>
      </w:r>
      <w:r w:rsidRPr="00452E2E">
        <w:lastRenderedPageBreak/>
        <w:t xml:space="preserve">examining the effects of HR practices on employee outcomes such as job satisfaction and organizational commitment </w:t>
      </w:r>
      <w:r w:rsidRPr="00452E2E">
        <w:fldChar w:fldCharType="begin" w:fldLock="1"/>
      </w:r>
      <w:r w:rsidRPr="00452E2E">
        <w:instrText>ADDIN CSL_CITATION { "citationItems" : [ { "id" : "ITEM-1", "itemData" : { "abstract" : "Purpose: This paper aims to present an empirical study of the effect of high performance work practices on commitment and citizenship behaviour in the health care sector. The theory suggests that individual employees are willing \"to go the extra mile\" when they are given the opportunity to develop their abilities and to participate, and when they are motivated. Design/methodology/approach: The data were gathered in a Dutch general hospital using employee questionnaires. Medical specialists were not included in the study. Findings: The results of the study suggest that employee development (e.g. skills training, general training, and task enrichment) and employee involvement (e.g. job autonomy, participation in decision making) are important HR practices in creating a high performance work climate in a health care organisation. Research limitations/implications: The data come from one hospital and the analysis is cross-sectional. However, the importance of the study lies in its focus on the individual employee perspective rather than the organisational level analyses which currently predominate in the HRM and performance debate. Practical implications: The training and development of health care employees can increase their affective commitment. Increasing employee involvement can also help stimulate citizenship behaviour. Originality/value: The paper looks at the non-profit sector, whereas the majority of previous HR research has focused on multinational companies. \u00a9 Emerald Group Publishing Limited.", "author" : [ { "dropping-particle" : "", "family" : "Boselie", "given" : "Paul", "non-dropping-particle" : "", "parse-names" : false, "suffix" : "" } ], "container-title" : "International Journal of Manpower", "id" : "ITEM-1", "issue" : "1", "issued" : { "date-parts" : [ [ "2010" ] ] }, "page" : "42-58", "title" : "High performance work practices in the health care sector: A Dutch case study", "type" : "article-journal", "volume" : "31" }, "uris" : [ "http://www.mendeley.com/documents/?uuid=a1717bb6-a722-4213-87d0-ca5efc310966" ] }, { "id" : "ITEM-2",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"ITEM-2",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"id" : "ITEM-3",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"ITEM-3",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"ITEM-4", "itemData" : { "DOI" : "10.1177/0020852315591642", "ISSN" : "0020-8523", "abstract" : "Background: In response to recent calls in the literature to decompose both the human resources system and performance, this study has examined the effects of ability-, motivation-and opportunity-enhancing human resources practices on the effectiveness, efficiency and fairness of public organizations, with job satisfaction considered as a mediating variable. Aim: Insights from Human Resource Management and performance research, mostly conducted in the private sector, have been combined with public management literature in order to gain insight into the Human Resource Management\u2013performance relation-ship in the public sector. Method: Regression analysis with a bootstrapping method was used to test the mediat-ing effects. Results: The analysis showed that the three human resources components heterogeneously impact upon the three performance outcomes. Further, the results showed that ability-enhancing and opportunity-enhancing human resources practices are more strongly related to performance outcomes than motivation-enhancing human resources practices. Conclusion: Decomposing Human Resource Management and performance provides greater insight into the Human Resource Management\u2013performance relationship. Points for practitioners The results show that investing in Human Resource Management positively influences performance outcomes. Moreover, our results show that various aspects of public per-formance require different human resources approaches. Investing in ability-enhancing human resources practices seems to be particularly relevant if one wants to enhance effectiveness. All the human resources practices, but especially ability-enhancing ones, are relevant to enhancing efficiency. However, investing in motivation-enhancing human resources practices seems to make little sense if one is seeking to enhance fairness.", "author" : [ { "dropping-particle" : "", "family" : "Vermeeren", "given" : "Brenda", "non-dropping-particle" : "", "parse-names" : false, "suffix" : "" } ], "container-title" : "International Review of Administrative Sciences", "id" : "ITEM-4", "issue" : "0", "issued" : { "date-parts" : [ [ "2015" ] ] }, "page" : "1-21", "title" : "Influencing public sector performance: Studying the impact of ability-, motivation-and opportunity-enhancing human resources practices on various performance outcomes in the public sector", "type" : "article-journal", "volume" : "0" }, "uris" : [ "http://www.mendeley.com/documents/?uuid=e94ccd21-bfcd-4def-8476-e5a8fb4192ef" ] }, { "id" : "ITEM-5",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"ITEM-5",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"(Boselie 2010; Elorza et al. 2011; Fabi et al. 2015; Vermeeren 2015; Ollo-L\u00f3pez et al. 2016)", "manualFormatting" : "(Boselie, 2010; Elorza et al., 2011; Fabi et al., 2015; Vermeeren, 2015; Ollo-L\u00f3pez et al., 2016)", "plainTextFormattedCitation" : "(Boselie 2010; Elorza et al. 2011; Fabi et al. 2015; Vermeeren 2015; Ollo-L\u00f3pez et al. 2016)", "previouslyFormattedCitation" : "(Boselie 2010; Elorza et al. 2011; Fabi et al. 2015; Vermeeren 2015; Ollo-L\u00f3pez et al. 2016)" }, "properties" : { "noteIndex" : 0 }, "schema" : "https://github.com/citation-style-language/schema/raw/master/csl-citation.json" }</w:instrText>
      </w:r>
      <w:r w:rsidRPr="00452E2E">
        <w:fldChar w:fldCharType="separate"/>
      </w:r>
      <w:r w:rsidRPr="00452E2E">
        <w:rPr>
          <w:noProof/>
        </w:rPr>
        <w:t xml:space="preserve">(Boselie, 2010; Elorza </w:t>
      </w:r>
      <w:r w:rsidRPr="00452E2E">
        <w:rPr>
          <w:i/>
          <w:noProof/>
        </w:rPr>
        <w:t>et al</w:t>
      </w:r>
      <w:r w:rsidRPr="00452E2E">
        <w:rPr>
          <w:noProof/>
        </w:rPr>
        <w:t xml:space="preserve">., 2011; Fabi </w:t>
      </w:r>
      <w:r w:rsidRPr="00452E2E">
        <w:rPr>
          <w:i/>
          <w:noProof/>
        </w:rPr>
        <w:t>et al</w:t>
      </w:r>
      <w:r w:rsidRPr="00452E2E">
        <w:rPr>
          <w:noProof/>
        </w:rPr>
        <w:t xml:space="preserve">., 2015; Vermeeren, 2015; Ollo-López </w:t>
      </w:r>
      <w:r w:rsidRPr="00452E2E">
        <w:rPr>
          <w:i/>
          <w:noProof/>
        </w:rPr>
        <w:t>et al</w:t>
      </w:r>
      <w:r w:rsidRPr="00452E2E">
        <w:rPr>
          <w:noProof/>
        </w:rPr>
        <w:t>., 2016)</w:t>
      </w:r>
      <w:r w:rsidRPr="00452E2E">
        <w:fldChar w:fldCharType="end"/>
      </w:r>
      <w:r w:rsidRPr="00452E2E">
        <w:t xml:space="preserve">.  According to the AMO framework, organizational performance can be achieved when employees have the ability to perform; are motivated and given the opportunity to participate in work-related decisions </w:t>
      </w:r>
      <w:r w:rsidRPr="00452E2E">
        <w:fldChar w:fldCharType="begin" w:fldLock="1"/>
      </w:r>
      <w:r w:rsidRPr="00452E2E">
        <w:instrText>ADDIN CSL_CITATION { "citationItems" : [ { "id" : "ITEM-1", "itemData" : { "author" : [ { "dropping-particle" : "", "family" : "Boxall", "given" : "Peter", "non-dropping-particle" : "", "parse-names" : false, "suffix" : "" }, { "dropping-particle" : "", "family" : "Purcell", "given" : "John", "non-dropping-particle" : "", "parse-names" : false, "suffix" : "" } ], "id" : "ITEM-1", "issued" : { "date-parts" : [ [ "2003" ] ] }, "publisher" : "Palgrave Macmillan", "publisher-place" : "Houndsmill", "title" : "Strategy and human resource management", "type" : "book" }, "uris" : [ "http://www.mendeley.com/documents/?uuid=7df8cee2-2170-4d1e-b2a0-ed8404b86785" ] }, { "id" : "ITEM-2", "itemData" : { "abstract" : "Purpose: This paper aims to present an empirical study of the effect of high performance work practices on commitment and citizenship behaviour in the health care sector. The theory suggests that individual employees are willing \"to go the extra mile\" when they are given the opportunity to develop their abilities and to participate, and when they are motivated. Design/methodology/approach: The data were gathered in a Dutch general hospital using employee questionnaires. Medical specialists were not included in the study. Findings: The results of the study suggest that employee development (e.g. skills training, general training, and task enrichment) and employee involvement (e.g. job autonomy, participation in decision making) are important HR practices in creating a high performance work climate in a health care organisation. Research limitations/implications: The data come from one hospital and the analysis is cross-sectional. However, the importance of the study lies in its focus on the individual employee perspective rather than the organisational level analyses which currently predominate in the HRM and performance debate. Practical implications: The training and development of health care employees can increase their affective commitment. Increasing employee involvement can also help stimulate citizenship behaviour. Originality/value: The paper looks at the non-profit sector, whereas the majority of previous HR research has focused on multinational companies. \u00a9 Emerald Group Publishing Limited.", "author" : [ { "dropping-particle" : "", "family" : "Boselie", "given" : "Paul", "non-dropping-particle" : "", "parse-names" : false, "suffix" : "" } ], "container-title" : "International Journal of Manpower", "id" : "ITEM-2", "issue" : "1", "issued" : { "date-parts" : [ [ "2010" ] ] }, "page" : "42-58", "title" : "High performance work practices in the health care sector: A Dutch case study", "type" : "article-journal", "volume" : "31" }, "uris" : [ "http://www.mendeley.com/documents/?uuid=a1717bb6-a722-4213-87d0-ca5efc310966" ] } ], "mendeley" : { "formattedCitation" : "(Boxall &amp; Purcell 2003; Boselie 2010)", "manualFormatting" : "(Boxall &amp; Purcell, 2003; Boselie, 2010)", "plainTextFormattedCitation" : "(Boxall &amp; Purcell 2003; Boselie 2010)", "previouslyFormattedCitation" : "(Boxall &amp; Purcell 2003; Boselie 2010)" }, "properties" : { "noteIndex" : 0 }, "schema" : "https://github.com/citation-style-language/schema/raw/master/csl-citation.json" }</w:instrText>
      </w:r>
      <w:r w:rsidRPr="00452E2E">
        <w:fldChar w:fldCharType="separate"/>
      </w:r>
      <w:r w:rsidRPr="00452E2E">
        <w:rPr>
          <w:noProof/>
        </w:rPr>
        <w:t>(Boxall &amp; Purcell, 2003; Boselie, 2010)</w:t>
      </w:r>
      <w:r w:rsidRPr="00452E2E">
        <w:fldChar w:fldCharType="end"/>
      </w:r>
      <w:r w:rsidRPr="00452E2E">
        <w:t xml:space="preserve">. This means that employees are at the key to the performance of the organization, suggesting that performance can be improved when employees exhibit positive attitudes and behaviours at work </w:t>
      </w:r>
      <w:r w:rsidRPr="00452E2E">
        <w:fldChar w:fldCharType="begin" w:fldLock="1"/>
      </w:r>
      <w:r w:rsidRPr="00452E2E">
        <w:instrText>ADDIN CSL_CITATION { "citationItems" : [ { "id" : "ITEM-1",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"26-47", "publisher" : "SAGE", "publisher-place" : "London", "title" : "HRM and firm performance", "type" : "chapter" }, "uris" : [ "http://www.mendeley.com/documents/?uuid=e3c973eb-cf2c-42cc-b672-3c45b350ee20" ] }, { "id" : "ITEM-2", "itemData" : { "DOI" : "10.1177/0020852315591642", "ISSN" : "0020-8523", "abstract" : "Background: In response to recent calls in the literature to decompose both the human resources system and performance, this study has examined the effects of ability-, motivation-and opportunity-enhancing human resources practices on the effectiveness, efficiency and fairness of public organizations, with job satisfaction considered as a mediating variable. Aim: Insights from Human Resource Management and performance research, mostly conducted in the private sector, have been combined with public management literature in order to gain insight into the Human Resource Management\u2013performance relation-ship in the public sector. Method: Regression analysis with a bootstrapping method was used to test the mediat-ing effects. Results: The analysis showed that the three human resources components heterogeneously impact upon the three performance outcomes. Further, the results showed that ability-enhancing and opportunity-enhancing human resources practices are more strongly related to performance outcomes than motivation-enhancing human resources practices. Conclusion: Decomposing Human Resource Management and performance provides greater insight into the Human Resource Management\u2013performance relationship. Points for practitioners The results show that investing in Human Resource Management positively influences performance outcomes. Moreover, our results show that various aspects of public per-formance require different human resources approaches. Investing in ability-enhancing human resources practices seems to be particularly relevant if one wants to enhance effectiveness. All the human resources practices, but especially ability-enhancing ones, are relevant to enhancing efficiency. However, investing in motivation-enhancing human resources practices seems to make little sense if one is seeking to enhance fairness.", "author" : [ { "dropping-particle" : "", "family" : "Vermeeren", "given" : "Brenda", "non-dropping-particle" : "", "parse-names" : false, "suffix" : "" } ], "container-title" : "International Review of Administrative Sciences", "id" : "ITEM-2", "issue" : "0", "issued" : { "date-parts" : [ [ "2015" ] ] }, "page" : "1-21", "title" : "Influencing public sector performance: Studying the impact of ability-, motivation-and opportunity-enhancing human resources practices on various performance outcomes in the public sector", "type" : "article-journal", "volume" : "0" }, "uris" : [ "http://www.mendeley.com/documents/?uuid=e94ccd21-bfcd-4def-8476-e5a8fb4192ef" ] } ], "mendeley" : { "formattedCitation" : "(Katou &amp; Budhwar 2014; Vermeeren 2015)", "manualFormatting" : "(Katou &amp; Budhwar, 2014; Vermeeren, 2015)", "plainTextFormattedCitation" : "(Katou &amp; Budhwar 2014; Vermeeren 2015)", "previouslyFormattedCitation" : "(Katou &amp; Budhwar 2014; Vermeeren 2015)" }, "properties" : { "noteIndex" : 0 }, "schema" : "https://github.com/citation-style-language/schema/raw/master/csl-citation.json" }</w:instrText>
      </w:r>
      <w:r w:rsidRPr="00452E2E">
        <w:fldChar w:fldCharType="separate"/>
      </w:r>
      <w:r w:rsidRPr="00452E2E">
        <w:rPr>
          <w:noProof/>
        </w:rPr>
        <w:t>(Katou &amp; Budhwar, 2014; Vermeeren, 2015)</w:t>
      </w:r>
      <w:r w:rsidRPr="00452E2E">
        <w:fldChar w:fldCharType="end"/>
      </w:r>
      <w:r w:rsidRPr="00452E2E">
        <w:t xml:space="preserve">.  Thus, the aim of HRM should be to instil in workers the right attitudes that will be beneficial to both employees and the organization </w:t>
      </w:r>
      <w:r w:rsidRPr="00452E2E">
        <w:fldChar w:fldCharType="begin" w:fldLock="1"/>
      </w:r>
      <w:r w:rsidRPr="00452E2E">
        <w:instrText>ADDIN CSL_CITATION { "citationItems" : [ { "id" : "ITEM-1",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"ITEM-1",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"mendeley" : { "formattedCitation" : "(Fabi et al. 2015)", "manualFormatting" : "(Fabi et al., 2015)", "plainTextFormattedCitation" : "(Fabi et al. 2015)", "previouslyFormattedCitation" : "(Fabi et al. 2015)" }, "properties" : { "noteIndex" : 0 }, "schema" : "https://github.com/citation-style-language/schema/raw/master/csl-citation.json" }</w:instrText>
      </w:r>
      <w:r w:rsidRPr="00452E2E">
        <w:fldChar w:fldCharType="separate"/>
      </w:r>
      <w:r w:rsidRPr="00452E2E">
        <w:rPr>
          <w:noProof/>
        </w:rPr>
        <w:t xml:space="preserve">(Fabi </w:t>
      </w:r>
      <w:r w:rsidRPr="00452E2E">
        <w:rPr>
          <w:i/>
          <w:noProof/>
        </w:rPr>
        <w:t>et al</w:t>
      </w:r>
      <w:r w:rsidRPr="00452E2E">
        <w:rPr>
          <w:noProof/>
        </w:rPr>
        <w:t>., 2015)</w:t>
      </w:r>
      <w:r w:rsidRPr="00452E2E">
        <w:fldChar w:fldCharType="end"/>
      </w:r>
      <w:r w:rsidRPr="00452E2E">
        <w:t xml:space="preserve">. </w:t>
      </w:r>
    </w:p>
    <w:p w:rsidR="00F75649" w:rsidRPr="00452E2E" w:rsidRDefault="00F75649" w:rsidP="00F75649">
      <w:pPr>
        <w:spacing w:line="360" w:lineRule="auto"/>
        <w:jc w:val="both"/>
      </w:pPr>
      <w:r w:rsidRPr="00452E2E">
        <w:t xml:space="preserve">The framework suggests that HR practices can elicit positive employee attitudes and behaviours when such practices enhance the development of skills and abilities of employees </w:t>
      </w:r>
      <w:r w:rsidRPr="00452E2E">
        <w:fldChar w:fldCharType="begin" w:fldLock="1"/>
      </w:r>
      <w:r w:rsidRPr="00452E2E">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"Boxall", "given" : "Peter", "non-dropping-particle" : "", "parse-names" : false, "suffix" : "" }, { "dropping-particle" : "", "family" : "Purcell", "given" : "John", "non-dropping-particle" : "", "parse-names" : false, "suffix" : "" } ], "id" : "ITEM-2", "issued" : { "date-parts" : [ [ "2003" ] ] }, "publisher" : "Palgrave Macmillan", "publisher-place" : "Houndsmill", "title" : "Strategy and human resource management", "type" : "book" }, "uris" : [ "http://www.mendeley.com/documents/?uuid=7df8cee2-2170-4d1e-b2a0-ed8404b86785" ] }, { "id" : "ITEM-3",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"ITEM-3",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"mendeley" : { "formattedCitation" : "(Appelbaum et al. 2000; Boxall &amp; Purcell 2003; Elorza et al. 2011)", "manualFormatting" : "(Appelbaum et al., 2000; Boxall &amp; Purcell, 2003; Elorza et al., 2011; Ollo-L\u00f3pez et al., 2016)", "plainTextFormattedCitation" : "(Appelbaum et al. 2000; Boxall &amp; Purcell 2003; Elorza et al. 2011)", "previouslyFormattedCitation" : "(Appelbaum et al. 2000; Boxall &amp; Purcell 2003; Elorza et al. 2011)" }, "properties" : { "noteIndex" : 0 }, "schema" : "https://github.com/citation-style-language/schema/raw/master/csl-citation.json" }</w:instrText>
      </w:r>
      <w:r w:rsidRPr="00452E2E">
        <w:fldChar w:fldCharType="separate"/>
      </w:r>
      <w:r w:rsidRPr="00452E2E">
        <w:rPr>
          <w:noProof/>
        </w:rPr>
        <w:t xml:space="preserve">(Appelbaum </w:t>
      </w:r>
      <w:r w:rsidRPr="00452E2E">
        <w:rPr>
          <w:i/>
          <w:noProof/>
        </w:rPr>
        <w:t>et al</w:t>
      </w:r>
      <w:r w:rsidRPr="00452E2E">
        <w:rPr>
          <w:noProof/>
        </w:rPr>
        <w:t xml:space="preserve">., 2000; Boxall &amp; Purcell, 2003; Elorza </w:t>
      </w:r>
      <w:r w:rsidRPr="00452E2E">
        <w:rPr>
          <w:i/>
          <w:noProof/>
        </w:rPr>
        <w:t>et al</w:t>
      </w:r>
      <w:r w:rsidRPr="00452E2E">
        <w:rPr>
          <w:noProof/>
        </w:rPr>
        <w:t xml:space="preserve">., 2011; Ollo-López </w:t>
      </w:r>
      <w:r w:rsidRPr="00452E2E">
        <w:rPr>
          <w:i/>
          <w:noProof/>
        </w:rPr>
        <w:t>et al</w:t>
      </w:r>
      <w:r w:rsidRPr="00452E2E">
        <w:rPr>
          <w:noProof/>
        </w:rPr>
        <w:t>., 2016)</w:t>
      </w:r>
      <w:r w:rsidRPr="00452E2E">
        <w:fldChar w:fldCharType="end"/>
      </w:r>
      <w:r w:rsidRPr="00452E2E">
        <w:t xml:space="preserve">. In addition, HR practices should motivate employees whilst providing employees the opportunity to contribute to work-related decisions </w:t>
      </w:r>
      <w:r w:rsidRPr="00452E2E">
        <w:fldChar w:fldCharType="begin" w:fldLock="1"/>
      </w:r>
      <w:r w:rsidRPr="00452E2E">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"Boxall", "given" : "Peter", "non-dropping-particle" : "", "parse-names" : false, "suffix" : "" }, { "dropping-particle" : "", "family" : "Purcell", "given" : "John", "non-dropping-particle" : "", "parse-names" : false, "suffix" : "" } ], "id" : "ITEM-2", "issued" : { "date-parts" : [ [ "2003" ] ] }, "publisher" : "Palgrave Macmillan", "publisher-place" : "Houndsmill", "title" : "Strategy and human resource management", "type" : "book" }, "uris" : [ "http://www.mendeley.com/documents/?uuid=7df8cee2-2170-4d1e-b2a0-ed8404b86785" ] }, { "id" : "ITEM-3",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"ITEM-3",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"(Appelbaum et al. 2000; Boxall &amp; Purcell 2003; Ollo-L\u00f3pez et al. 2016)", "manualFormatting" : "(Appelbaum et al., 2000; Boxall &amp; Purcell, 2003; Ollo-L\u00f3pez et al., 2016)", "plainTextFormattedCitation" : "(Appelbaum et al. 2000; Boxall &amp; Purcell 2003; Ollo-L\u00f3pez et al. 2016)", "previouslyFormattedCitation" : "(Appelbaum et al. 2000; Boxall &amp; Purcell 2003; Ollo-L\u00f3pez et al. 2016)" }, "properties" : { "noteIndex" : 0 }, "schema" : "https://github.com/citation-style-language/schema/raw/master/csl-citation.json" }</w:instrText>
      </w:r>
      <w:r w:rsidRPr="00452E2E">
        <w:fldChar w:fldCharType="separate"/>
      </w:r>
      <w:r w:rsidRPr="00452E2E">
        <w:rPr>
          <w:noProof/>
        </w:rPr>
        <w:t xml:space="preserve">(Appelbaum </w:t>
      </w:r>
      <w:r w:rsidRPr="00452E2E">
        <w:rPr>
          <w:i/>
          <w:noProof/>
        </w:rPr>
        <w:t>et al</w:t>
      </w:r>
      <w:r w:rsidRPr="00452E2E">
        <w:rPr>
          <w:noProof/>
        </w:rPr>
        <w:t xml:space="preserve">., 2000; Boxall &amp; Purcell, 2003; Ollo-López </w:t>
      </w:r>
      <w:r w:rsidRPr="00452E2E">
        <w:rPr>
          <w:i/>
          <w:noProof/>
        </w:rPr>
        <w:t>et al</w:t>
      </w:r>
      <w:r w:rsidRPr="00452E2E">
        <w:rPr>
          <w:noProof/>
        </w:rPr>
        <w:t>., 2016)</w:t>
      </w:r>
      <w:r w:rsidRPr="00452E2E">
        <w:fldChar w:fldCharType="end"/>
      </w:r>
      <w:r w:rsidRPr="00452E2E">
        <w:t xml:space="preserve">.  Based on the AMO framework, HR practices such as recruitment and selection, training and development are ability-enhancing practices. On the other hand, compensation-related HR practices such as pay and employee benefits are motivation-enhancing practices whilst HR practices such as employee participation and involvement, autonomy, and empowerment fall under the banner of opportunity-enhancing HR practices </w:t>
      </w:r>
      <w:r w:rsidRPr="00452E2E">
        <w:fldChar w:fldCharType="begin" w:fldLock="1"/>
      </w:r>
      <w:r w:rsidRPr="00452E2E">
        <w:instrText>ADDIN CSL_CITATION { "citationItems" : [ { "id" : "ITEM-1", "itemData" : { "author" : [ { "dropping-particle" : "", "family" : "Boxall", "given" : "Peter", "non-dropping-particle" : "", "parse-names" : false, "suffix" : "" }, { "dropping-particle" : "", "family" : "Purcell", "given" : "John", "non-dropping-particle" : "", "parse-names" : false, "suffix" : "" } ], "id" : "ITEM-1", "issued" : { "date-parts" : [ [ "2003" ] ] }, "publisher" : "Palgrave Macmillan", "publisher-place" : "Houndsmill", "title" : "Strategy and human resource management", "type" : "book" }, "uris" : [ "http://www.mendeley.com/documents/?uuid=7df8cee2-2170-4d1e-b2a0-ed8404b86785" ] }, { "id" : "ITEM-2",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"ITEM-2", "issued" : { "date-parts" : [ [ "2014" ] ] }, "page" : "26-47", "publisher" : "SAGE", "publisher-place" : "London", "title" : "HRM and firm performance", "type" : "chapter" }, "uris" : [ "http://www.mendeley.com/documents/?uuid=e3c973eb-cf2c-42cc-b672-3c45b350ee20" ] } ], "mendeley" : { "formattedCitation" : "(Boxall &amp; Purcell 2003; Katou &amp; Budhwar 2014)", "manualFormatting" : "(Boxall &amp; Purcell, 2003; Katou &amp; Budhwar, 2014)", "plainTextFormattedCitation" : "(Boxall &amp; Purcell 2003; Katou &amp; Budhwar 2014)", "previouslyFormattedCitation" : "(Boxall &amp; Purcell 2003; Katou &amp; Budhwar 2014)" }, "properties" : { "noteIndex" : 0 }, "schema" : "https://github.com/citation-style-language/schema/raw/master/csl-citation.json" }</w:instrText>
      </w:r>
      <w:r w:rsidRPr="00452E2E">
        <w:fldChar w:fldCharType="separate"/>
      </w:r>
      <w:r w:rsidRPr="00452E2E">
        <w:rPr>
          <w:noProof/>
        </w:rPr>
        <w:t>(Boxall &amp; Purcell, 2003; Katou &amp; Budhwar, 2014)</w:t>
      </w:r>
      <w:r w:rsidRPr="00452E2E">
        <w:fldChar w:fldCharType="end"/>
      </w:r>
      <w:r w:rsidRPr="00452E2E">
        <w:t xml:space="preserve">. </w:t>
      </w:r>
    </w:p>
    <w:p w:rsidR="00F75649" w:rsidRPr="00452E2E" w:rsidRDefault="00F75649" w:rsidP="00F75649">
      <w:pPr>
        <w:spacing w:line="360" w:lineRule="auto"/>
        <w:jc w:val="both"/>
        <w:rPr>
          <w:szCs w:val="24"/>
        </w:rPr>
      </w:pPr>
      <w:r w:rsidRPr="00452E2E">
        <w:t xml:space="preserve">One of the main strengths of the AMO framework is that it is built on the philosophy that there is no particular set of best practices that may influence performance </w:t>
      </w:r>
      <w:r w:rsidRPr="00452E2E">
        <w:fldChar w:fldCharType="begin" w:fldLock="1"/>
      </w:r>
      <w:r w:rsidRPr="00452E2E">
        <w:instrText>ADDIN CSL_CITATION { "citationItems" : [ { "id" : "ITEM-1",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"26-47", "publisher" : "SAGE", "publisher-place" : "London", "title" : "HRM and firm performance", "type" : "chapter" }, "uris" : [ "http://www.mendeley.com/documents/?uuid=e3c973eb-cf2c-42cc-b672-3c45b350ee20" ] } ], "mendeley" : { "formattedCitation" : "(Katou &amp; Budhwar 2014)", "manualFormatting" : "(Katou &amp; Budhwar, 2014)", "plainTextFormattedCitation" : "(Katou &amp; Budhwar 2014)", "previouslyFormattedCitation" : "(Katou &amp; Budhwar 2014)" }, "properties" : { "noteIndex" : 0 }, "schema" : "https://github.com/citation-style-language/schema/raw/master/csl-citation.json" }</w:instrText>
      </w:r>
      <w:r w:rsidRPr="00452E2E">
        <w:fldChar w:fldCharType="separate"/>
      </w:r>
      <w:r w:rsidRPr="00452E2E">
        <w:rPr>
          <w:noProof/>
        </w:rPr>
        <w:t>(Katou &amp; Budhwar, 2014)</w:t>
      </w:r>
      <w:r w:rsidRPr="00452E2E">
        <w:fldChar w:fldCharType="end"/>
      </w:r>
      <w:r w:rsidRPr="00452E2E">
        <w:t xml:space="preserve">. Rather it suggests that depending on their peculiarities, organizations can select from wide array of HR practices in order to develop, retain, and influence behaviour of employees </w:t>
      </w:r>
      <w:r w:rsidRPr="00452E2E">
        <w:fldChar w:fldCharType="begin" w:fldLock="1"/>
      </w:r>
      <w:r w:rsidRPr="00452E2E">
        <w:instrText>ADDIN CSL_CITATION { "citationItems" : [ { "id" : "ITEM-1", "itemData" : { "author" : [ { "dropping-particle" : "", "family" : "Katou", "given" : "Anastasia", "non-dropping-particle" : "", "parse-names" : false, "suffix" : "" }, { "dropping-particle" : "", "family" : "Budhwar", "given" : "Pawan", "non-dropping-particle" : "", "parse-names" : false, "suffix" : "" } ], "container-title" : "Human resource management: Strategic &amp; international perspectives", "editor" : [ { "dropping-particle" : "", "family" : "Crawshaw", "given" : "J.R.", "non-dropping-particle" : "", "parse-names" : false, "suffix" : "" }, { "dropping-particle" : "", "family" : "Budhwar", "given" : "Pawan", "non-dropping-particle" : "", "parse-names" : false, "suffix" : "" }, { "dropping-particle" : "", "family" : "Davis", "given" : "A", "non-dropping-particle" : "", "parse-names" : false, "suffix" : "" } ], "id" : "ITEM-1", "issued" : { "date-parts" : [ [ "2014" ] ] }, "page" : "26-47", "publisher" : "SAGE", "publisher-place" : "London", "title" : "HRM and firm performance", "type" : "chapter" }, "uris" : [ "http://www.mendeley.com/documents/?uuid=e3c973eb-cf2c-42cc-b672-3c45b350ee20" ] } ], "mendeley" : { "formattedCitation" : "(Katou &amp; Budhwar 2014)", "manualFormatting" : "(Katou &amp; Budhwar, 2014)", "plainTextFormattedCitation" : "(Katou &amp; Budhwar 2014)", "previouslyFormattedCitation" : "(Katou &amp; Budhwar 2014)" }, "properties" : { "noteIndex" : 0 }, "schema" : "https://github.com/citation-style-language/schema/raw/master/csl-citation.json" }</w:instrText>
      </w:r>
      <w:r w:rsidRPr="00452E2E">
        <w:fldChar w:fldCharType="separate"/>
      </w:r>
      <w:r w:rsidRPr="00452E2E">
        <w:rPr>
          <w:noProof/>
        </w:rPr>
        <w:t>(Katou &amp; Budhwar, 2014)</w:t>
      </w:r>
      <w:r w:rsidRPr="00452E2E">
        <w:fldChar w:fldCharType="end"/>
      </w:r>
      <w:r w:rsidRPr="00452E2E">
        <w:t xml:space="preserve">. Hence, whether treated as a bundle, sub-bundle of practices or even as individual practices, research has shown that HR practices that are ability-enhancing, motivation-enhancing, or opportunity-enhancing can result to </w:t>
      </w:r>
      <w:r w:rsidRPr="00452E2E">
        <w:lastRenderedPageBreak/>
        <w:t xml:space="preserve">positive attitudes of employees </w:t>
      </w:r>
      <w:r w:rsidRPr="00452E2E">
        <w:fldChar w:fldCharType="begin" w:fldLock="1"/>
      </w:r>
      <w:r w:rsidRPr="00452E2E">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"Bartlett", "given" : "Kenneth R", "non-dropping-particle" : "", "parse-names" : false, "suffix" : "" } ], "container-title" : "Human Resource Development Quarterly", "id" : "ITEM-2", "issue" : "4", "issued" : { "date-parts" : [ [ "2001" ] ] }, "page" : "335-352", "title" : "The relationship between training and organizational commitment: A study in the health care field", "type" : "article-journal", "volume" : "12" }, "uris" : [ "http://www.mendeley.com/documents/?uuid=243e2de6-dca1-4cb2-86db-f7c9317845be" ] }, { "id" : "ITEM-3",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"ITEM-3", "issue" : "4", "issued" : { "date-parts" : [ [ "2010" ] ] }, "page" : "368-392", "title" : "Participative decision making and organizational commitment", "type" : "article-journal", "volume" : "17" }, "uris" : [ "http://www.mendeley.com/documents/?uuid=0fdfa12a-cb95-4f52-9f14-24feff7c4e3b" ] }, { "id" : "ITEM-4",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"ITEM-4",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"id" : "ITEM-5",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"ITEM-5", "issue" : "2", "issued" : { "date-parts" : [ [ "2013" ] ] }, "page" : "366-391", "title" : "The impact of high performance human resource practices on employees' attitudes and behaviors", "type" : "article-journal", "volume" : "39" }, "uris" : [ "http://www.mendeley.com/documents/?uuid=87fa9e55-e4a1-416e-9e06-eb7fd4bd89a6" ] }, { "id" : "ITEM-6",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"ITEM-6",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"ITEM-7",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"ITEM-7",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"(Appelbaum et al. 2000; Bartlett 2001; Elele &amp; Fields 2010; Elorza et al. 2011; Kehoe &amp; Wright 2013; Fabi et al. 2015; Ollo-L\u00f3pez et al. 2016)", "manualFormatting" : "(e.g. Wright &amp; Kim, 2004; Chew &amp; Chan, 2008; Elele &amp; Fields, 2010; Elorza et al., 2011; Farndale et al., 2011a; Fabi et al., 2015; Hefferman &amp; Dundon, 2016; Ollo-L\u00f3pez et al., 2016)", "plainTextFormattedCitation" : "(Appelbaum et al. 2000; Bartlett 2001; Elele &amp; Fields 2010; Elorza et al. 2011; Kehoe &amp; Wright 2013; Fabi et al. 2015; Ollo-L\u00f3pez et al. 2016)", "previouslyFormattedCitation" : "(Appelbaum et al. 2000; Bartlett 2001; Elele &amp; Fields 2010; Elorza et al. 2011; Kehoe &amp; Wright 2013; Fabi et al. 2015; Ollo-L\u00f3pez et al. 2016)" }, "properties" : { "noteIndex" : 0 }, "schema" : "https://github.com/citation-style-language/schema/raw/master/csl-citation.json" }</w:instrText>
      </w:r>
      <w:r w:rsidRPr="00452E2E">
        <w:fldChar w:fldCharType="separate"/>
      </w:r>
      <w:r w:rsidRPr="00452E2E">
        <w:rPr>
          <w:noProof/>
        </w:rPr>
        <w:t xml:space="preserve">(e.g. Wright &amp; Kim, 2004; Chew &amp; Chan, 2008; Elele &amp; Fields, 2010; Elorza </w:t>
      </w:r>
      <w:r w:rsidRPr="00452E2E">
        <w:rPr>
          <w:i/>
          <w:noProof/>
        </w:rPr>
        <w:t>et al</w:t>
      </w:r>
      <w:r w:rsidRPr="00452E2E">
        <w:rPr>
          <w:noProof/>
        </w:rPr>
        <w:t xml:space="preserve">., 2011; Farndale </w:t>
      </w:r>
      <w:r w:rsidRPr="00452E2E">
        <w:rPr>
          <w:i/>
          <w:noProof/>
        </w:rPr>
        <w:t xml:space="preserve">et al., </w:t>
      </w:r>
      <w:r w:rsidRPr="00452E2E">
        <w:rPr>
          <w:noProof/>
        </w:rPr>
        <w:t>2011</w:t>
      </w:r>
      <w:r w:rsidRPr="00452E2E">
        <w:rPr>
          <w:i/>
          <w:noProof/>
        </w:rPr>
        <w:t>a</w:t>
      </w:r>
      <w:r w:rsidRPr="00452E2E">
        <w:rPr>
          <w:noProof/>
        </w:rPr>
        <w:t xml:space="preserve">; Fabi </w:t>
      </w:r>
      <w:r w:rsidRPr="00452E2E">
        <w:rPr>
          <w:i/>
          <w:noProof/>
        </w:rPr>
        <w:t>et al</w:t>
      </w:r>
      <w:r w:rsidRPr="00452E2E">
        <w:rPr>
          <w:noProof/>
        </w:rPr>
        <w:t xml:space="preserve">., 2015; Hefferman &amp; Dundon, 2016; Ollo-López </w:t>
      </w:r>
      <w:r w:rsidRPr="00452E2E">
        <w:rPr>
          <w:i/>
          <w:noProof/>
        </w:rPr>
        <w:t>et al</w:t>
      </w:r>
      <w:r w:rsidRPr="00452E2E">
        <w:rPr>
          <w:noProof/>
        </w:rPr>
        <w:t>., 2016)</w:t>
      </w:r>
      <w:r w:rsidRPr="00452E2E">
        <w:fldChar w:fldCharType="end"/>
      </w:r>
      <w:r w:rsidRPr="00452E2E">
        <w:t>. In the current study, training, employee benefits, and employee participation are ability-enhancing, motivation-enhancing and opportunity-enhancing HR practices respectively. This means that these HR practices should result to positive attitudes of employee in the form of job satisfaction and organizational commitment.</w:t>
      </w:r>
    </w:p>
    <w:p w:rsidR="00F75649" w:rsidRPr="00452E2E" w:rsidRDefault="00F75649" w:rsidP="00F75649">
      <w:pPr>
        <w:spacing w:line="360" w:lineRule="auto"/>
        <w:jc w:val="both"/>
        <w:rPr>
          <w:szCs w:val="24"/>
        </w:rPr>
      </w:pPr>
      <w:r w:rsidRPr="00452E2E">
        <w:t xml:space="preserve">Equally, the effects of HR practices on employee attitudes can be examined through the lens of social exchange theory </w:t>
      </w:r>
      <w:r w:rsidRPr="00452E2E">
        <w:fldChar w:fldCharType="begin" w:fldLock="1"/>
      </w:r>
      <w:r w:rsidRPr="00452E2E">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"mendeley" : { "formattedCitation" : "(Blau 1964)", "manualFormatting" : "(Blau, 1964)", "plainTextFormattedCitation" : "(Blau 1964)", "previouslyFormattedCitation" : "(Blau 1964)" }, "properties" : { "noteIndex" : 0 }, "schema" : "https://github.com/citation-style-language/schema/raw/master/csl-citation.json" }</w:instrText>
      </w:r>
      <w:r w:rsidRPr="00452E2E">
        <w:fldChar w:fldCharType="separate"/>
      </w:r>
      <w:r w:rsidRPr="00452E2E">
        <w:rPr>
          <w:noProof/>
        </w:rPr>
        <w:t>(Blau, 1964)</w:t>
      </w:r>
      <w:r w:rsidRPr="00452E2E">
        <w:fldChar w:fldCharType="end"/>
      </w:r>
      <w:r w:rsidRPr="00452E2E">
        <w:t xml:space="preserve"> </w:t>
      </w:r>
      <w:r w:rsidRPr="00452E2E">
        <w:rPr>
          <w:szCs w:val="24"/>
        </w:rPr>
        <w:t xml:space="preserve">which assumes that individuals are under obligation to reciprocate the favours they receive </w:t>
      </w:r>
      <w:r w:rsidRPr="00452E2E">
        <w:rPr>
          <w:szCs w:val="24"/>
        </w:rPr>
        <w:fldChar w:fldCharType="begin" w:fldLock="1"/>
      </w:r>
      <w:r w:rsidRPr="00452E2E">
        <w:rPr>
          <w:szCs w:val="24"/>
        </w:rPr>
        <w:instrText xml:space="preserve">ADDIN CSL_CITATION { "citationItems" : [ { "id" : "ITEM-1",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"ITEM-1",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"id" : "ITEM-2",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"ITEM-2", "issue" : "1", "issued" : { "date-parts" : [ [ "2011" ] ] }, "page" : "5-23", "title" : "High commitment performance management: the roles of justice and trust", "type" : "article-journal", "volume" : "40" }, "uris" : [ "http://www.mendeley.com/documents/?uuid=1d416136-441a-4178-a5d0-8f497239e9e4" ] }, { "id" : "ITEM-3",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"ITEM-3",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"id" : "ITEM-4", "itemData" : </w:instrText>
      </w:r>
      <w:r w:rsidRPr="00452E2E">
        <w:rPr>
          <w:szCs w:val="24"/>
          <w:lang w:val="fr-FR"/>
        </w:rPr>
        <w:instrText>{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"ITEM-4", "issue" : "2", "issued" : { "date-parts" : [ [ "2016" ] ] }, "page" : "451-466", "title" : "High-performance work systems and job satisfaction: A multilevel model", "type" : "article-journal", "volume" : "31" }, "uris" : [ "http://www.mendeley.com/documents/?uuid=510679f5-e4b3-41b7-a365-8ece414591d1" ] } ], "mendeley" : { "formattedCitation" : "(Gong et al. 2009; Farndale, Hope-Hailey, et al. 2011; Newman et al. 2011; Garc\u00eda-Chas et al. 2016)", "manualFormatting" : "(Gong et al., 2009; Farndale et al., 2011; Newman et al., 2011; Garc\u00eda-Chas et al., 2016)", "plainTextFormattedCitation" : "(Gong et al. 2009; Farndale, Hope-Hailey, et al. 2011; Newman et al. 2011; Garc\u00eda-Chas et al. 2016)", "previouslyFormattedCitation" : "(Gong et al. 2009; Farndale, Hope-Hailey, et al. 2011; Newman et al. 2011; Garc\u00eda-Chas et al. 2016)" }, "properties" : { "noteIndex" : 0 }, "schema" : "https://github.com/citation-style-language/schema/raw/master/csl-citation.json" }</w:instrText>
      </w:r>
      <w:r w:rsidRPr="00452E2E">
        <w:rPr>
          <w:szCs w:val="24"/>
        </w:rPr>
        <w:fldChar w:fldCharType="separate"/>
      </w:r>
      <w:r w:rsidRPr="00452E2E">
        <w:rPr>
          <w:noProof/>
          <w:szCs w:val="24"/>
          <w:lang w:val="fr-FR"/>
        </w:rPr>
        <w:t xml:space="preserve">(Gong </w:t>
      </w:r>
      <w:r w:rsidRPr="00452E2E">
        <w:rPr>
          <w:i/>
          <w:noProof/>
          <w:szCs w:val="24"/>
          <w:lang w:val="fr-FR"/>
        </w:rPr>
        <w:t>et al</w:t>
      </w:r>
      <w:r w:rsidRPr="00452E2E">
        <w:rPr>
          <w:noProof/>
          <w:szCs w:val="24"/>
          <w:lang w:val="fr-FR"/>
        </w:rPr>
        <w:t xml:space="preserve">., 2009; Farndale </w:t>
      </w:r>
      <w:r w:rsidRPr="00452E2E">
        <w:rPr>
          <w:i/>
          <w:noProof/>
          <w:szCs w:val="24"/>
          <w:lang w:val="fr-FR"/>
        </w:rPr>
        <w:t>et al</w:t>
      </w:r>
      <w:r w:rsidRPr="00452E2E">
        <w:rPr>
          <w:noProof/>
          <w:szCs w:val="24"/>
          <w:lang w:val="fr-FR"/>
        </w:rPr>
        <w:t xml:space="preserve">., 2011; Newman </w:t>
      </w:r>
      <w:r w:rsidRPr="00452E2E">
        <w:rPr>
          <w:i/>
          <w:noProof/>
          <w:szCs w:val="24"/>
          <w:lang w:val="fr-FR"/>
        </w:rPr>
        <w:t>et al</w:t>
      </w:r>
      <w:r w:rsidRPr="00452E2E">
        <w:rPr>
          <w:noProof/>
          <w:szCs w:val="24"/>
          <w:lang w:val="fr-FR"/>
        </w:rPr>
        <w:t>., 2011)</w:t>
      </w:r>
      <w:r w:rsidRPr="00452E2E">
        <w:rPr>
          <w:szCs w:val="24"/>
        </w:rPr>
        <w:fldChar w:fldCharType="end"/>
      </w:r>
      <w:r w:rsidRPr="00452E2E">
        <w:rPr>
          <w:szCs w:val="24"/>
          <w:lang w:val="fr-FR"/>
        </w:rPr>
        <w:t xml:space="preserve">. </w:t>
      </w:r>
      <w:r w:rsidRPr="00452E2E">
        <w:rPr>
          <w:szCs w:val="24"/>
        </w:rPr>
        <w:t xml:space="preserve">In work contexts, employment relationships are established on economic and social exchange terms </w:t>
      </w:r>
      <w:r w:rsidRPr="00452E2E">
        <w:rPr>
          <w:szCs w:val="24"/>
        </w:rPr>
        <w:fldChar w:fldCharType="begin" w:fldLock="1"/>
      </w:r>
      <w:r w:rsidRPr="00452E2E">
        <w:rPr>
          <w:szCs w:val="24"/>
        </w:rPr>
        <w:instrText>ADDIN CSL_CITATION { "citationItems" : [ { "id" : "ITEM-1", "itemData" : { "abstract" : "In the contemporary business environment, human resource (HR) is an indispensable input for organizational effectiveness. Hence, an effective management of human resources has an important role to play in the performance and success of organizations. Competitive pressures have encouraged organizations to be proactive in diagnosing HR problems and to adopt more innovative HR practices since these were no longer a matter of trend, but rather of survival. The present study attempted to explore the relationship of three dimensions of innovative human resource practices (IHRPs): that is, the extent of introduction of IHRPs, their importance for organizational goal achievement and satisfaction with implementation of IHRPs, with organizational commitment (OC). Regression analyses showed that the perceived extent of introduction of innovative human resource practices by the organizations was the most significant predictor of organizational commitment.", "author" : [ { "dropping-particle" : "", "family" : "Agarwala", "given" : "Tanuja", "non-dropping-particle" : "", "parse-names" : false, "suffix" : "" } ], "container-title" : "The International Journal of Human Resource Management", "id" : "ITEM-1", "issue" : "2", "issued" : { "date-parts" : [ [ "2003" ] ] }, "page" : "175-197", "title" : "Innovative human resource practices and organizational commitment: An empirical investigation", "type" : "article-journal", "volume" : "14" }, "uris" : [ "http://www.mendeley.com/documents/?uuid=a0d7a9f5-8299-4d50-9fa6-83879f0a5fc9" ] }, { "id" : "ITEM-2",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"ITEM-2",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"mendeley" : { "formattedCitation" : "(Agarwala 2003; Wu &amp; Chaturvedi 2009)", "manualFormatting" : "(Agarwala, 2003; Wu &amp; Chaturvedi, 2009)", "plainTextFormattedCitation" : "(Agarwala 2003; Wu &amp; Chaturvedi 2009)", "previouslyFormattedCitation" : "(Agarwala 2003; Wu &amp; Chaturvedi 2009)" }, "properties" : { "noteIndex" : 0 }, "schema" : "https://github.com/citation-style-language/schema/raw/master/csl-citation.json" }</w:instrText>
      </w:r>
      <w:r w:rsidRPr="00452E2E">
        <w:rPr>
          <w:szCs w:val="24"/>
        </w:rPr>
        <w:fldChar w:fldCharType="separate"/>
      </w:r>
      <w:r w:rsidRPr="00452E2E">
        <w:rPr>
          <w:noProof/>
          <w:szCs w:val="24"/>
        </w:rPr>
        <w:t>(Agarwala, 2003; Wu &amp; Chaturvedi, 2009)</w:t>
      </w:r>
      <w:r w:rsidRPr="00452E2E">
        <w:rPr>
          <w:szCs w:val="24"/>
        </w:rPr>
        <w:fldChar w:fldCharType="end"/>
      </w:r>
      <w:r w:rsidRPr="00452E2E">
        <w:rPr>
          <w:szCs w:val="24"/>
        </w:rPr>
        <w:t xml:space="preserve">. On the basis of economic exchange, parties in the employment relationship are expected to perform strictly according to the stipulated terms of the employment contract whilst social exchange relationships are built on the expectation that parties involved will perform above the stipulations of the employment contract </w:t>
      </w:r>
      <w:r w:rsidRPr="00452E2E">
        <w:rPr>
          <w:szCs w:val="24"/>
        </w:rPr>
        <w:fldChar w:fldCharType="begin" w:fldLock="1"/>
      </w:r>
      <w:r w:rsidRPr="00452E2E">
        <w:rPr>
          <w:szCs w:val="24"/>
        </w:rPr>
        <w:instrText>ADDIN CSL_CITATION { "citationItems" : [ { "id" : "ITEM-1", "itemData" : { "abstract" : "In the contemporary business environment, human resource (HR) is an indispensable input for organizational effectiveness. Hence, an effective management of human resources has an important role to play in the performance and success of organizations. Competitive pressures have encouraged organizations to be proactive in diagnosing HR problems and to adopt more innovative HR practices since these were no longer a matter of trend, but rather of survival. The present study attempted to explore the relationship of three dimensions of innovative human resource practices (IHRPs): that is, the extent of introduction of IHRPs, their importance for organizational goal achievement and satisfaction with implementation of IHRPs, with organizational commitment (OC). Regression analyses showed that the perceived extent of introduction of innovative human resource practices by the organizations was the most significant predictor of organizational commitment.", "author" : [ { "dropping-particle" : "", "family" : "Agarwala", "given" : "Tanuja", "non-dropping-particle" : "", "parse-names" : false, "suffix" : "" } ], "container-title" : "The International Journal of Human Resource Management", "id" : "ITEM-1", "issue" : "2", "issued" : { "date-parts" : [ [ "2003" ] ] }, "page" : "175-197", "title" : "Innovative human resource practices and organizational commitment: An empirical investigation", "type" : "article-journal", "volume" : "14" }, "uris" : [ "http://www.mendeley.com/documents/?uuid=a0d7a9f5-8299-4d50-9fa6-83879f0a5fc9" ] }, { "id" : "ITEM-2",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"ITEM-2",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"id" : "ITEM-3",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"ITEM-3",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"ITEM-4",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"ITEM-4", "issue" : "5", "issued" : { "date-parts" : [ [ "2015" ] ] }, "page" : "747-757", "title" : "High-performance human resource practices and employee outcomes: The mediating role of public service motivation", "type" : "article-journal", "volume" : "75" }, "uris" : [ "http://www.mendeley.com/documents/?uuid=d929d627-475b-4d7b-9d57-7ed8e89a7d6c" ] } ], "mendeley" : { "formattedCitation" : "(Agarwala 2003; Kuvaas 2008; Wu &amp; Chaturvedi 2009; Mostafa &amp; Gould-Williams 2015)", "manualFormatting" : "(Agarwala, 2003; Kuvaas, 2008; Wu &amp; Chaturvedi, 2009; Mostafa &amp; Gould-Williams, 2015)", "plainTextFormattedCitation" : "(Agarwala 2003; Kuvaas 2008; Wu &amp; Chaturvedi 2009; Mostafa &amp; Gould-Williams 2015)", "previouslyFormattedCitation" : "(Agarwala 2003; Kuvaas 2008; Wu &amp; Chaturvedi 2009; Mostafa &amp; Gould-Williams 2015)" }, "properties" : { "noteIndex" : 0 }, "schema" : "https://github.com/citation-style-language/schema/raw/master/csl-citation.json" }</w:instrText>
      </w:r>
      <w:r w:rsidRPr="00452E2E">
        <w:rPr>
          <w:szCs w:val="24"/>
        </w:rPr>
        <w:fldChar w:fldCharType="separate"/>
      </w:r>
      <w:r w:rsidRPr="00452E2E">
        <w:rPr>
          <w:noProof/>
          <w:szCs w:val="24"/>
        </w:rPr>
        <w:t>(Agarwala, 2003; Kuvaas, 2008; Wu &amp; Chaturvedi, 2009; Mostafa &amp; Gould-Williams, 2015)</w:t>
      </w:r>
      <w:r w:rsidRPr="00452E2E">
        <w:rPr>
          <w:szCs w:val="24"/>
        </w:rPr>
        <w:fldChar w:fldCharType="end"/>
      </w:r>
      <w:r w:rsidRPr="00452E2E">
        <w:rPr>
          <w:szCs w:val="24"/>
        </w:rPr>
        <w:t xml:space="preserve">.  Thus, according to the norm of reciprocity </w:t>
      </w:r>
      <w:r w:rsidRPr="00452E2E">
        <w:rPr>
          <w:szCs w:val="24"/>
        </w:rPr>
        <w:fldChar w:fldCharType="begin" w:fldLock="1"/>
      </w:r>
      <w:r w:rsidRPr="00452E2E">
        <w:rPr>
          <w:szCs w:val="24"/>
        </w:rPr>
        <w:instrText>ADDIN CSL_CITATION { "citationItems" : [ { "id" : "ITEM-1", "itemData" : { "author" : [ { "dropping-particle" : "", "family" : "Goulder", "given" : "A.W", "non-dropping-particle" : "", "parse-names" : false, "suffix" : "" } ], "container-title" : "American Sociological Review", "id" : "ITEM-1", "issue" : "2", "issued" : { "date-parts" : [ [ "1960" ] ] }, "page" : "161-178", "title" : "The norm of reciprocity: A preliminary statement", "type" : "article-journal", "volume" : "25" }, "uris" : [ "http://www.mendeley.com/documents/?uuid=dc18540c-1cfb-481e-86ed-3e200c3a1c03" ] } ], "mendeley" : { "formattedCitation" : "(Goulder 1960)", "manualFormatting" : "(Goulder, 1960)", "plainTextFormattedCitation" : "(Goulder 1960)", "previouslyFormattedCitation" : "(Goulder 1960)" }, "properties" : { "noteIndex" : 0 }, "schema" : "https://github.com/citation-style-language/schema/raw/master/csl-citation.json" }</w:instrText>
      </w:r>
      <w:r w:rsidRPr="00452E2E">
        <w:rPr>
          <w:szCs w:val="24"/>
        </w:rPr>
        <w:fldChar w:fldCharType="separate"/>
      </w:r>
      <w:r w:rsidRPr="00452E2E">
        <w:rPr>
          <w:noProof/>
          <w:szCs w:val="24"/>
        </w:rPr>
        <w:t>(Goulder, 1960)</w:t>
      </w:r>
      <w:r w:rsidRPr="00452E2E">
        <w:rPr>
          <w:szCs w:val="24"/>
        </w:rPr>
        <w:fldChar w:fldCharType="end"/>
      </w:r>
      <w:r w:rsidRPr="00452E2E">
        <w:rPr>
          <w:szCs w:val="24"/>
        </w:rPr>
        <w:t xml:space="preserve">, employees are under obligation to reciprocate favours they receive from the organization </w:t>
      </w:r>
      <w:r w:rsidRPr="00452E2E">
        <w:rPr>
          <w:szCs w:val="24"/>
        </w:rPr>
        <w:fldChar w:fldCharType="begin" w:fldLock="1"/>
      </w:r>
      <w:r w:rsidRPr="00452E2E">
        <w:rPr>
          <w:szCs w:val="24"/>
        </w:rPr>
        <w:instrText>ADDIN CSL_CITATION { "citationItems" : [ { "id" : "ITEM-1",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"ITEM-1", "issue" : "8", "issued" : { "date-parts" : [ [ "2012" ] ] }, "page" : "1209-1227", "title" : "High-involvement human resource practices, affective commitment, and organizational citizenship behaviors", "type" : "article-journal", "volume" : "32" }, "uris" : [ "http://www.mendeley.com/documents/?uuid=3233ad68-00c0-4a22-bbc0-0ed35d43dfad" ] }, { "id" : "ITEM-2",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"ITEM-2", "issue" : "1", "issued" : { "date-parts" : [ [ "2011" ] ] }, "page" : "5-23", "title" : "High commitment performance management: the roles of justice and trust", "type" : "article-journal", "volume" : "40" }, "uris" : [ "http://www.mendeley.com/documents/?uuid=1d416136-441a-4178-a5d0-8f497239e9e4" ] } ], "mendeley" : { "formattedCitation" : "(Yang 2012; Farndale, Hope-Hailey, et al. 2011)", "manualFormatting" : "(Farndale et al., 2011a; Yang 2012)", "plainTextFormattedCitation" : "(Yang 2012; Farndale, Hope-Hailey, et al. 2011)", "previouslyFormattedCitation" : "(Yang 2012; Farndale, Hope-Hailey, et al. 2011)" }, "properties" : { "noteIndex" : 0 }, "schema" : "https://github.com/citation-style-language/schema/raw/master/csl-citation.json" }</w:instrText>
      </w:r>
      <w:r w:rsidRPr="00452E2E">
        <w:rPr>
          <w:szCs w:val="24"/>
        </w:rPr>
        <w:fldChar w:fldCharType="separate"/>
      </w:r>
      <w:r w:rsidRPr="00452E2E">
        <w:rPr>
          <w:noProof/>
          <w:szCs w:val="24"/>
        </w:rPr>
        <w:t xml:space="preserve">(Farndale </w:t>
      </w:r>
      <w:r w:rsidRPr="00452E2E">
        <w:rPr>
          <w:i/>
          <w:noProof/>
          <w:szCs w:val="24"/>
        </w:rPr>
        <w:t>et al</w:t>
      </w:r>
      <w:r w:rsidRPr="00452E2E">
        <w:rPr>
          <w:noProof/>
          <w:szCs w:val="24"/>
        </w:rPr>
        <w:t>., 2011</w:t>
      </w:r>
      <w:r w:rsidRPr="00452E2E">
        <w:rPr>
          <w:i/>
          <w:noProof/>
          <w:szCs w:val="24"/>
        </w:rPr>
        <w:t>a</w:t>
      </w:r>
      <w:r w:rsidRPr="00452E2E">
        <w:rPr>
          <w:noProof/>
          <w:szCs w:val="24"/>
        </w:rPr>
        <w:t>; Yang 2012)</w:t>
      </w:r>
      <w:r w:rsidRPr="00452E2E">
        <w:rPr>
          <w:szCs w:val="24"/>
        </w:rPr>
        <w:fldChar w:fldCharType="end"/>
      </w:r>
      <w:r w:rsidRPr="00452E2E">
        <w:rPr>
          <w:szCs w:val="24"/>
        </w:rPr>
        <w:t xml:space="preserve">. HRM represents an important way that managers can build social exchange relationships with employees </w:t>
      </w:r>
      <w:r w:rsidRPr="00452E2E">
        <w:rPr>
          <w:szCs w:val="24"/>
        </w:rPr>
        <w:fldChar w:fldCharType="begin" w:fldLock="1"/>
      </w:r>
      <w:r w:rsidRPr="00452E2E">
        <w:rPr>
          <w:szCs w:val="24"/>
        </w:rPr>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"id" : "ITEM-2",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"ITEM-2", "issue" : "5", "issued" : { "date-parts" : [ [ "2015" ] ] }, "page" : "747-757", "title" : "High-performance human resource practices and employee outcomes: The mediating role of public service motivation", "type" : "article-journal", "volume" : "75" }, "uris" : [ "http://www.mendeley.com/documents/?uuid=d929d627-475b-4d7b-9d57-7ed8e89a7d6c" ] } ], "mendeley" : { "formattedCitation" : "(Farndale, Hope-Hailey, et al. 2011; Mostafa &amp; Gould-Williams 2015)", "manualFormatting" : "(Farndale et al., 2011a; Mostafa &amp; Gould-Williams, 2015)", "plainTextFormattedCitation" : "(Farndale, Hope-Hailey, et al. 2011; Mostafa &amp; Gould-Williams 2015)", "previouslyFormattedCitation" : "(Farndale, Hope-Hailey, et al. 2011; Mostafa &amp; Gould-Williams 2015)" }, "properties" : { "noteIndex" : 0 }, "schema" : "https://github.com/citation-style-language/schema/raw/master/csl-citation.json" }</w:instrText>
      </w:r>
      <w:r w:rsidRPr="00452E2E">
        <w:rPr>
          <w:szCs w:val="24"/>
        </w:rPr>
        <w:fldChar w:fldCharType="separate"/>
      </w:r>
      <w:r w:rsidRPr="00452E2E">
        <w:rPr>
          <w:noProof/>
          <w:szCs w:val="24"/>
        </w:rPr>
        <w:t xml:space="preserve">(Farndale </w:t>
      </w:r>
      <w:r w:rsidRPr="00452E2E">
        <w:rPr>
          <w:i/>
          <w:noProof/>
          <w:szCs w:val="24"/>
        </w:rPr>
        <w:t>et al</w:t>
      </w:r>
      <w:r w:rsidRPr="00452E2E">
        <w:rPr>
          <w:noProof/>
          <w:szCs w:val="24"/>
        </w:rPr>
        <w:t>., 2011</w:t>
      </w:r>
      <w:r w:rsidRPr="00452E2E">
        <w:rPr>
          <w:i/>
          <w:noProof/>
          <w:szCs w:val="24"/>
        </w:rPr>
        <w:t>a</w:t>
      </w:r>
      <w:r w:rsidRPr="00452E2E">
        <w:rPr>
          <w:noProof/>
          <w:szCs w:val="24"/>
        </w:rPr>
        <w:t>; Mostafa &amp; Gould-Williams, 2015)</w:t>
      </w:r>
      <w:r w:rsidRPr="00452E2E">
        <w:rPr>
          <w:szCs w:val="24"/>
        </w:rPr>
        <w:fldChar w:fldCharType="end"/>
      </w:r>
      <w:r w:rsidRPr="00452E2E">
        <w:rPr>
          <w:szCs w:val="24"/>
        </w:rPr>
        <w:t xml:space="preserve">. When managers demonstrate through HR practices a caring attitude towards employees, they are bound to respond favourably with positive attitudes in the shape of job satisfaction and organizational commitment </w:t>
      </w:r>
      <w:r w:rsidRPr="00452E2E">
        <w:rPr>
          <w:szCs w:val="24"/>
        </w:rPr>
        <w:fldChar w:fldCharType="begin" w:fldLock="1"/>
      </w:r>
      <w:r w:rsidRPr="00452E2E">
        <w:rPr>
          <w:szCs w:val="24"/>
        </w:rPr>
        <w:instrText>ADDIN CSL_CITATION { "citationItems" : [ { "id" : "ITEM-1",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"ITEM-1", "issue" : "5", "issued" : { "date-parts" : [ [ "2015" ] ] }, "page" : "747-757", "title" : "High-performance human resource practices and employee outcomes: The mediating role of public service motivation", "type" : "article-journal", "volume" : "75" }, "uris" : [ "http://www.mendeley.com/documents/?uuid=d929d627-475b-4d7b-9d57-7ed8e89a7d6c" ] }, { "id" : "ITEM-2",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"ITEM-2", "issue" : "2", "issued" : { "date-parts" : [ [ "2016" ] ] }, "page" : "451-466", "title" : "High-performance work systems and job satisfaction: A multilevel model", "type" : "article-journal", "volume" : "31" }, "uris" : [ "http://www.mendeley.com/documents/?uuid=510679f5-e4b3-41b7-a365-8ece414591d1" ] } ], "mendeley" : { "formattedCitation" : "(Mostafa &amp; Gould-Williams 2015; Garc\u00eda-Chas et al. 2016)", "manualFormatting" : "(Mostafa &amp; Gould-Williams, 2015; Garc\u00eda-Chas et al., 2016)", "plainTextFormattedCitation" : "(Mostafa &amp; Gould-Williams 2015; Garc\u00eda-Chas et al. 2016)", "previouslyFormattedCitation" : "(Mostafa &amp; Gould-Williams 2015; Garc\u00eda-Chas et al. 2016)" }, "properties" : { "noteIndex" : 0 }, "schema" : "https://github.com/citation-style-language/schema/raw/master/csl-citation.json" }</w:instrText>
      </w:r>
      <w:r w:rsidRPr="00452E2E">
        <w:rPr>
          <w:szCs w:val="24"/>
        </w:rPr>
        <w:fldChar w:fldCharType="separate"/>
      </w:r>
      <w:r w:rsidRPr="00452E2E">
        <w:rPr>
          <w:noProof/>
          <w:szCs w:val="24"/>
        </w:rPr>
        <w:t xml:space="preserve">(Mostafa &amp; Gould-Williams, 2015; García-Chas </w:t>
      </w:r>
      <w:r w:rsidRPr="00452E2E">
        <w:rPr>
          <w:i/>
          <w:noProof/>
          <w:szCs w:val="24"/>
        </w:rPr>
        <w:t>et al</w:t>
      </w:r>
      <w:r w:rsidRPr="00452E2E">
        <w:rPr>
          <w:noProof/>
          <w:szCs w:val="24"/>
        </w:rPr>
        <w:t>., 2016)</w:t>
      </w:r>
      <w:r w:rsidRPr="00452E2E">
        <w:rPr>
          <w:szCs w:val="24"/>
        </w:rPr>
        <w:fldChar w:fldCharType="end"/>
      </w:r>
      <w:r w:rsidRPr="00452E2E">
        <w:rPr>
          <w:szCs w:val="24"/>
        </w:rPr>
        <w:t xml:space="preserve">. </w:t>
      </w:r>
    </w:p>
    <w:p w:rsidR="00F75649" w:rsidRPr="00452E2E" w:rsidRDefault="00F75649" w:rsidP="00F75649">
      <w:pPr>
        <w:spacing w:line="360" w:lineRule="auto"/>
        <w:jc w:val="both"/>
        <w:rPr>
          <w:szCs w:val="24"/>
        </w:rPr>
      </w:pPr>
      <w:r w:rsidRPr="00452E2E">
        <w:rPr>
          <w:szCs w:val="24"/>
        </w:rPr>
        <w:t xml:space="preserve">When employers invest in training of employees, it sends signals that the employer is concerned about the developmental needs of employees which will encourage them to respond positively with job satisfaction </w:t>
      </w:r>
      <w:r w:rsidRPr="00452E2E">
        <w:rPr>
          <w:szCs w:val="24"/>
        </w:rPr>
        <w:fldChar w:fldCharType="begin" w:fldLock="1"/>
      </w:r>
      <w:r w:rsidRPr="00452E2E">
        <w:rPr>
          <w:szCs w:val="24"/>
        </w:rPr>
        <w:instrText>ADDIN CSL_CITATION { "citationItems" : [ { "id" : "ITEM-1", "itemData" : { "author" : [ { "dropping-particle" : "", "family" : "Bartlett", "given" : "Kenneth R", "non-dropping-particle" : "", "parse-names" : false, "suffix" : "" } ], "container-title" : "Human Resource Development Quarterly", "id" : "ITEM-1", "issue" : "4", "issued" : { "date-parts" : [ [ "2001" ] ] }, "page" : "335-352", "title" : "The relationship between training and organizational commitment: A study in the health care field", "type" : "article-journal", "volume" : "12" }, "uris" : [ "http://www.mendeley.com/documents/?uuid=243e2de6-dca1-4cb2-86db-f7c9317845be" ] }, { "id" : "ITEM-2",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"ITEM-2",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"mendeley" : { "formattedCitation" : "(Bartlett 2001; Newman et al. 2011)", "manualFormatting" : "(Bartlett, 2001; Newman et al., 2011)", "plainTextFormattedCitation" : "(Bartlett 2001; Newman et al. 2011)", "previouslyFormattedCitation" : "(Bartlett 2001; Newman et al. 2011)" }, "properties" : { "noteIndex" : 0 }, "schema" : "https://github.com/citation-style-language/schema/raw/master/csl-citation.json" }</w:instrText>
      </w:r>
      <w:r w:rsidRPr="00452E2E">
        <w:rPr>
          <w:szCs w:val="24"/>
        </w:rPr>
        <w:fldChar w:fldCharType="separate"/>
      </w:r>
      <w:r w:rsidRPr="00452E2E">
        <w:rPr>
          <w:noProof/>
          <w:szCs w:val="24"/>
        </w:rPr>
        <w:t xml:space="preserve">(Bartlett, 2001; Newman </w:t>
      </w:r>
      <w:r w:rsidRPr="00452E2E">
        <w:rPr>
          <w:i/>
          <w:noProof/>
          <w:szCs w:val="24"/>
        </w:rPr>
        <w:t>et al</w:t>
      </w:r>
      <w:r w:rsidRPr="00452E2E">
        <w:rPr>
          <w:noProof/>
          <w:szCs w:val="24"/>
        </w:rPr>
        <w:t>., 2011)</w:t>
      </w:r>
      <w:r w:rsidRPr="00452E2E">
        <w:rPr>
          <w:szCs w:val="24"/>
        </w:rPr>
        <w:fldChar w:fldCharType="end"/>
      </w:r>
      <w:r w:rsidRPr="00452E2E">
        <w:rPr>
          <w:szCs w:val="24"/>
        </w:rPr>
        <w:t xml:space="preserve">. Hence, as employees gain skills from training, they become more effective on the job </w:t>
      </w:r>
      <w:r w:rsidRPr="00452E2E">
        <w:rPr>
          <w:szCs w:val="24"/>
        </w:rPr>
        <w:fldChar w:fldCharType="begin" w:fldLock="1"/>
      </w:r>
      <w:r w:rsidRPr="00452E2E">
        <w:rPr>
          <w:szCs w:val="24"/>
        </w:rPr>
        <w:instrText>ADDIN CSL_CITATION { "citationItems" : [ { "id" : "ITEM-1", "itemData" : { "author" : [ { "dropping-particle" : "", "family" : "Bartlett", "given" : "Kenneth R", "non-dropping-particle" : "", "parse-names" : false, "suffix" : "" } ], "container-title" : "Human Resource Development Quarterly", "id" : "ITEM-1", "issue" : "4", "issued" : { "date-parts" : [ [ "2001" ] ] }, "page" : "335-352", "title" : "The relationship between training and organizational commitment: A study in the health care field", "type" : "article-journal", "volume" : "12" }, "uris" : [ "http://www.mendeley.com/documents/?uuid=243e2de6-dca1-4cb2-86db-f7c9317845be" ] }, { "id" : "ITEM-2", "itemData" : { "abstract" : "This survey study examines the relationship between employee attitudes related to training and organizational commitment among a sample of nurses in New Zealand and the United States. The magnitude of recent restructuring to New Zealand's public health system allows for an examination of employee attitudes towards training and organizational commitment in comparison to nurses from similar sized hospitals in the United States. Results show that perceived access to training, supervisory support for training, motivation to learn from training and perceived benefits of training were positively related to the affective and normative components of organizational commitment. Several significant differences were found on both training and organizational commitment variables between New Zealand and the United States. The findings are discussed in terms of their theoretical and practical application to human resource development (HRD) outcomes and the management of HRD in health care settings. Reprinted by permission of Routledge, Taylor and Francis Ltd.", "author" : [ { "dropping-particle" : "", "family" : "Bartlett", "given" : "Kenneth R", "non-dropping-particle" : "", "parse-names" : false, "suffix" : "" }, { "dropping-particle" : "", "family" : "Kang", "given" : "Dae-seok", "non-dropping-particle" : "", "parse-names" : false, "suffix" : "" } ], "container-title" : "Human Resource Development International", "id" : "ITEM-2", "issue" : "4", "issued" : { "date-parts" : [ [ "2004" ] ] }, "page" : "423-440", "title" : "Training and organizational commitment among nurses following industry and organizational change in New Zealand and the United States", "type" : "article-journal", "volume" : "7" }, "uris" : [ "http://www.mendeley.com/documents/?uuid=740cb35e-041c-4685-85e7-b432fc1e8068" ] } ], "mendeley" : { "formattedCitation" : "(Bartlett 2001; Bartlett &amp; Kang 2004)", "manualFormatting" : "(Bartlett, 2001; Bartlett &amp; Kang, 2004)", "plainTextFormattedCitation" : "(Bartlett 2001; Bartlett &amp; Kang 2004)", "previouslyFormattedCitation" : "(Bartlett 2001; Bartlett &amp; Kang 2004)" }, "properties" : { "noteIndex" : 0 }, "schema" : "https://github.com/citation-style-language/schema/raw/master/csl-citation.json" }</w:instrText>
      </w:r>
      <w:r w:rsidRPr="00452E2E">
        <w:rPr>
          <w:szCs w:val="24"/>
        </w:rPr>
        <w:fldChar w:fldCharType="separate"/>
      </w:r>
      <w:r w:rsidRPr="00452E2E">
        <w:rPr>
          <w:noProof/>
          <w:szCs w:val="24"/>
        </w:rPr>
        <w:t>(Bartlett, 2001; Bartlett &amp; Kang, 2004)</w:t>
      </w:r>
      <w:r w:rsidRPr="00452E2E">
        <w:rPr>
          <w:szCs w:val="24"/>
        </w:rPr>
        <w:fldChar w:fldCharType="end"/>
      </w:r>
      <w:r w:rsidRPr="00452E2E">
        <w:rPr>
          <w:szCs w:val="24"/>
        </w:rPr>
        <w:t xml:space="preserve">. This feeling of </w:t>
      </w:r>
      <w:r w:rsidRPr="00452E2E">
        <w:rPr>
          <w:szCs w:val="24"/>
        </w:rPr>
        <w:lastRenderedPageBreak/>
        <w:t xml:space="preserve">competence, accompanied with the success it brings thereby improves job satisfaction </w:t>
      </w:r>
      <w:r w:rsidRPr="00452E2E">
        <w:rPr>
          <w:szCs w:val="24"/>
        </w:rPr>
        <w:fldChar w:fldCharType="begin" w:fldLock="1"/>
      </w:r>
      <w:r w:rsidRPr="00452E2E">
        <w:rPr>
          <w:szCs w:val="24"/>
        </w:rPr>
        <w:instrText>ADDIN CSL_CITATION { "citationItems" : [ { "id" : "ITEM-1", "itemData" : { "abstract" : "There is a tremendous amount of literature that explores the relationship between employee job satisfaction and intent to stay. Similarly, recent research in te area of human resources has focused on the impact of human resources practices on various organizational outcomes. In this article, the authors explore the relationships between training and development, and employee job satisfaction, loyalty, and intent to stay in four lodging properties in the United States. Results indicate that employees who perceive they have the opportunity to develop new skills are more satisfied with their jobs, more loyal, and more likely to stay with the organization.", "author" : [ { "dropping-particle" : "", "family" : "Costen", "given" : "Wanda M.", "non-dropping-particle" : "", "parse-names" : false, "suffix" : "" }, { "dropping-particle" : "", "family" : "Salazar", "given" : "John", "non-dropping-particle" : "", "parse-names" : false, "suffix" : "" } ], "container-title" : "Journal of Human Resources in Hospitality &amp; Tourism", "id" : "ITEM-1", "issue" : "3", "issued" : { "date-parts" : [ [ "2011" ] ] }, "page" : "273-284", "title" : "The impact of training and development on employee job satisfaction, loyalty, and intent to stay in the lodging industry", "type" : "article-journal", "volume" : "10" }, "uris" : [ "http://www.mendeley.com/documents/?uuid=ed2efca9-3f7c-4fb0-a550-c3ef49a90fa1" ] } ], "mendeley" : { "formattedCitation" : "(Costen &amp; Salazar 2011)", "manualFormatting" : "(Costen &amp; Salazar, 2011)", "plainTextFormattedCitation" : "(Costen &amp; Salazar 2011)", "previouslyFormattedCitation" : "(Costen &amp; Salazar 2011)" }, "properties" : { "noteIndex" : 0 }, "schema" : "https://github.com/citation-style-language/schema/raw/master/csl-citation.json" }</w:instrText>
      </w:r>
      <w:r w:rsidRPr="00452E2E">
        <w:rPr>
          <w:szCs w:val="24"/>
        </w:rPr>
        <w:fldChar w:fldCharType="separate"/>
      </w:r>
      <w:r w:rsidRPr="00452E2E">
        <w:rPr>
          <w:noProof/>
          <w:szCs w:val="24"/>
        </w:rPr>
        <w:t>(Costen &amp; Salazar, 2011)</w:t>
      </w:r>
      <w:r w:rsidRPr="00452E2E">
        <w:rPr>
          <w:szCs w:val="24"/>
        </w:rPr>
        <w:fldChar w:fldCharType="end"/>
      </w:r>
      <w:r w:rsidRPr="00452E2E">
        <w:rPr>
          <w:szCs w:val="24"/>
        </w:rPr>
        <w:t xml:space="preserve">. Likewise, it is also expected that employees who receive training should have strong affective commitment to the organization </w:t>
      </w:r>
      <w:r w:rsidRPr="00452E2E">
        <w:rPr>
          <w:szCs w:val="24"/>
        </w:rPr>
        <w:fldChar w:fldCharType="begin" w:fldLock="1"/>
      </w:r>
      <w:r w:rsidRPr="00452E2E">
        <w:rPr>
          <w:szCs w:val="24"/>
        </w:rPr>
        <w:instrText>ADDIN CSL_CITATION { "citationItems" : [ { "id" : "ITEM-1",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"ITEM-1",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"id" : "ITEM-2", "itemData" : { "author" : [ { "dropping-particle" : "", "family" : "Choi", "given" : "Myungweon", "non-dropping-particle" : "", "parse-names" : false, "suffix" : "" }, { "dropping-particle" : "", "family" : "Yoon", "given" : "Hea Jun", "non-dropping-particle" : "", "parse-names" : false, "suffix" : "" } ], "container-title" : "The International Journal of Human Resource Management", "id" : "ITEM-2", "issue" : "20", "issued" : { "date-parts" : [ [ "2015" ] ] }, "page" : "2632-2651", "title" : "Training investment and organizational outcomes: A moderated mediation model of employee outcomes and strategic orientation of the HR function", "type" : "article-journal", "volume" : "26" }, "uris" : [ "http://www.mendeley.com/documents/?uuid=608269df-8fc1-421d-8e2b-aa4f571ef7b1" ] } ], "mendeley" : { "formattedCitation" : "(Newman et al. 2011; Choi &amp; Yoon 2015)", "manualFormatting" : "(Newman et al., 2011; Choi &amp; Yoon, 2015)", "plainTextFormattedCitation" : "(Newman et al. 2011; Choi &amp; Yoon 2015)", "previouslyFormattedCitation" : "(Newman et al. 2011; Choi &amp; Yoon 2015)" }, "properties" : { "noteIndex" : 0 }, "schema" : "https://github.com/citation-style-language/schema/raw/master/csl-citation.json" }</w:instrText>
      </w:r>
      <w:r w:rsidRPr="00452E2E">
        <w:rPr>
          <w:szCs w:val="24"/>
        </w:rPr>
        <w:fldChar w:fldCharType="separate"/>
      </w:r>
      <w:r w:rsidRPr="00452E2E">
        <w:rPr>
          <w:noProof/>
          <w:szCs w:val="24"/>
        </w:rPr>
        <w:t xml:space="preserve">(Newman </w:t>
      </w:r>
      <w:r w:rsidRPr="00452E2E">
        <w:rPr>
          <w:i/>
          <w:noProof/>
          <w:szCs w:val="24"/>
        </w:rPr>
        <w:t>et al</w:t>
      </w:r>
      <w:r w:rsidRPr="00452E2E">
        <w:rPr>
          <w:noProof/>
          <w:szCs w:val="24"/>
        </w:rPr>
        <w:t>., 2011; Choi &amp; Yoon, 2015)</w:t>
      </w:r>
      <w:r w:rsidRPr="00452E2E">
        <w:rPr>
          <w:szCs w:val="24"/>
        </w:rPr>
        <w:fldChar w:fldCharType="end"/>
      </w:r>
      <w:r w:rsidRPr="00452E2E">
        <w:rPr>
          <w:szCs w:val="24"/>
        </w:rPr>
        <w:t xml:space="preserve">. The basis for this relationship is that by providing employees with training, employees view the organization as caring and dependable, thereby increasing their emotional attachment to the organization </w:t>
      </w:r>
      <w:r w:rsidRPr="00452E2E">
        <w:rPr>
          <w:szCs w:val="24"/>
        </w:rPr>
        <w:fldChar w:fldCharType="begin" w:fldLock="1"/>
      </w:r>
      <w:r w:rsidRPr="00452E2E">
        <w:rPr>
          <w:szCs w:val="24"/>
        </w:rPr>
        <w:instrText>ADDIN CSL_CITATION { "citationItems" : [ { "id" : "ITEM-1",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"ITEM-1",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"mendeley" : { "formattedCitation" : "(Newman et al. 2011)", "manualFormatting" : "(Newman et al., 2011)", "plainTextFormattedCitation" : "(Newman et al. 2011)", "previouslyFormattedCitation" : "(Newman et al. 2011)" }, "properties" : { "noteIndex" : 0 }, "schema" : "https://github.com/citation-style-language/schema/raw/master/csl-citation.json" }</w:instrText>
      </w:r>
      <w:r w:rsidRPr="00452E2E">
        <w:rPr>
          <w:szCs w:val="24"/>
        </w:rPr>
        <w:fldChar w:fldCharType="separate"/>
      </w:r>
      <w:r w:rsidRPr="00452E2E">
        <w:rPr>
          <w:noProof/>
          <w:szCs w:val="24"/>
        </w:rPr>
        <w:t xml:space="preserve">(Newman </w:t>
      </w:r>
      <w:r w:rsidRPr="00452E2E">
        <w:rPr>
          <w:i/>
          <w:noProof/>
          <w:szCs w:val="24"/>
        </w:rPr>
        <w:t>et al</w:t>
      </w:r>
      <w:r w:rsidRPr="00452E2E">
        <w:rPr>
          <w:noProof/>
          <w:szCs w:val="24"/>
        </w:rPr>
        <w:t>., 2011)</w:t>
      </w:r>
      <w:r w:rsidRPr="00452E2E">
        <w:rPr>
          <w:szCs w:val="24"/>
        </w:rPr>
        <w:fldChar w:fldCharType="end"/>
      </w:r>
      <w:r w:rsidRPr="00452E2E">
        <w:rPr>
          <w:szCs w:val="24"/>
        </w:rPr>
        <w:t xml:space="preserve">. </w:t>
      </w:r>
    </w:p>
    <w:p w:rsidR="00F75649" w:rsidRPr="00452E2E" w:rsidRDefault="00F75649" w:rsidP="00F75649">
      <w:pPr>
        <w:spacing w:line="360" w:lineRule="auto"/>
        <w:jc w:val="both"/>
      </w:pPr>
      <w:r w:rsidRPr="00452E2E">
        <w:rPr>
          <w:szCs w:val="24"/>
        </w:rPr>
        <w:t xml:space="preserve">Since continuance commitment is associated with the cost of leaving the organization </w:t>
      </w:r>
      <w:r w:rsidRPr="00452E2E">
        <w:rPr>
          <w:szCs w:val="24"/>
        </w:rPr>
        <w:fldChar w:fldCharType="begin" w:fldLock="1"/>
      </w:r>
      <w:r w:rsidRPr="00452E2E">
        <w:rPr>
          <w:szCs w:val="24"/>
        </w:rPr>
        <w:instrText>ADDIN CSL_CITATION { "citationItems" : [ { "id" : "ITEM-1", "itemData" : { "DOI" : "10.1016/j.jvb.2011.09.005", "ISBN" : "0001-8791", "ISSN" : "00018791", "abstract" : "With increasing globalization of business and diversity within the workplace, there has been growing interest in cultural differences in employee commitment. We used meta-analysis to compute mean levels of affective (AC; K=966, N=433,129), continuance (CC; K=428, N=199,831), and normative (NC; K=336, N=133,277) organizational commitment for as many as 54 countries and nine geographic regions, and used cultural values/practices from the Hofstede (2001), Schwartz (2006), and GLOBE (House, Hanges, Javidan, Dorfman, &amp; Gupta, 2004) taxonomies to account for observed variance. We found that cultural values/practices explained the greatest amount of variance in NC, followed by AC; they did not explain variance in CC. When economic indicators were controlled, Schwartz's value orientations accounted for the most incremental variance, particularly in NC. We provide country-level normative data for the three components of commitment and discuss the implications of our findings for multi-national organizations as well as for companies employing individuals with varying cultural backgrounds. ?? 2011 Elsevier Inc.", "author" : [ { "dropping-particle" : "", "family" : "Meyer", "given" : "John P.", "non-dropping-particle" : "", "parse-names" : false, "suffix" : "" }, { "dropping-particle" : "", "family" : "Stanley", "given" : "David J.", "non-dropping-particle" : "", "parse-names" : false, "suffix" : "" }, { "dropping-particle" : "", "family" : "Jackson", "given" : "Timothy A.", "non-dropping-particle" : "", "parse-names" : false, "suffix" : "" }, { "dropping-particle" : "", "family" : "McInnis", "given" : "Kate J.", "non-dropping-particle" : "", "parse-names" : false, "suffix" : "" }, { "dropping-particle" : "", "family" : "Maltin", "given" : "Elyse R.", "non-dropping-particle" : "", "parse-names" : false, "suffix" : "" }, { "dropping-particle" : "", "family" : "Sheppard", "given" : "Leah", "non-dropping-particle" : "", "parse-names" : false, "suffix" : "" } ], "container-title" : "Journal of Vocational Behavior", "id" : "ITEM-1", "issue" : "2", "issued" : { "date-parts" : [ [ "2012" ] ] }, "page" : "225-245", "publisher" : "Elsevier Inc.", "title" : "Affective, normative, and continuance commitment levels across cultures: A meta-analysis", "type" : "article-journal", "volume" : "80" }, "uris" : [ "http://www.mendeley.com/documents/?uuid=41adaaf0-a86a-44ec-9b7d-da55941253af" ] } ], "mendeley" : { "formattedCitation" : "(Meyer et al. 2012)", "manualFormatting" : "(Meyer et al., 2002)", "plainTextFormattedCitation" : "(Meyer et al. 2012)", "previouslyFormattedCitation" : "(Meyer et al. 2012)" }, "properties" : { "noteIndex" : 0 }, "schema" : "https://github.com/citation-style-language/schema/raw/master/csl-citation.json" }</w:instrText>
      </w:r>
      <w:r w:rsidRPr="00452E2E">
        <w:rPr>
          <w:szCs w:val="24"/>
        </w:rPr>
        <w:fldChar w:fldCharType="separate"/>
      </w:r>
      <w:r w:rsidRPr="00452E2E">
        <w:rPr>
          <w:noProof/>
          <w:szCs w:val="24"/>
        </w:rPr>
        <w:t xml:space="preserve">(Meyer </w:t>
      </w:r>
      <w:r w:rsidRPr="00452E2E">
        <w:rPr>
          <w:i/>
          <w:noProof/>
          <w:szCs w:val="24"/>
        </w:rPr>
        <w:t>et al</w:t>
      </w:r>
      <w:r w:rsidRPr="00452E2E">
        <w:rPr>
          <w:noProof/>
          <w:szCs w:val="24"/>
        </w:rPr>
        <w:t>., 2002)</w:t>
      </w:r>
      <w:r w:rsidRPr="00452E2E">
        <w:rPr>
          <w:szCs w:val="24"/>
        </w:rPr>
        <w:fldChar w:fldCharType="end"/>
      </w:r>
      <w:r w:rsidRPr="00452E2E">
        <w:rPr>
          <w:szCs w:val="24"/>
        </w:rPr>
        <w:t xml:space="preserve">, it is expected that in Nigeria where unemployment levels are high, there will be high continuance commitment as a result of unavailable job alternatives.  Thus, employees may feel the need to remain with the organization as a result of the training opportunities they receive in the organization </w:t>
      </w:r>
      <w:r w:rsidRPr="00452E2E">
        <w:rPr>
          <w:szCs w:val="24"/>
        </w:rPr>
        <w:fldChar w:fldCharType="begin" w:fldLock="1"/>
      </w:r>
      <w:r w:rsidRPr="00452E2E">
        <w:rPr>
          <w:szCs w:val="24"/>
        </w:rPr>
        <w:instrText>ADDIN CSL_CITATION { "citationItems" : [ { "id" : "ITEM-1", "itemData" : { "abstract" : "The exploration of the relationship between organizational commitment and training is still in its early stages. Although there have been several studies reported on training and organizational commitment in Western countries, very little has been done in respect of the local professionals in Malaysia. This research investigates the association between five training variables (availability of training, support for training, motivation to learn, training environment and perceived benefits of training), and various aspects of organizational commitment (affective commitment, normative commitment, continuance commitment and overall organizational commitment). The availability of training, support for training, motivation to learn, training environment, perceived benefits of training were all significantly correlated with affective commitment, normative commitment and overall organizational commitment. The training environment and perceived benefits were also significantly correlated with continuance commitment. However the availability of training, support for training and motivation to learn were not significantly correlated with continuance commitment. This suggests that despite other forms of commitment, Malaysian workers do not feel that they need to remain in an organization that has made available the training, given support for the training and were motivated to learn. Otherwise, results suggest that on the whole, training does seem to have an influence on organizational commitment. The practical implication of this is that managers, who are so desirous of enhancing organizational commitment among their subordinates, should pay more attention to training. Annual income was found to correlate positively with affective commitment and overall commitment. Age and tenure were not significant predictors of overall organizational commitment contradicting studies in the West. This demonstrated that Malaysians might have different attitudes towards organizational commitment. The older they are and the longer they stay within an organization do not imply that they will be committed towards their organization. This phenomenon can be attributed to the uncertain business environment in Malaysia.", "author" : [ { "dropping-particle" : "", "family" : "Ahmad", "given" : "Kamarul Zaman", "non-dropping-particle" : "", "parse-names" : false, "suffix" : "" }, { "dropping-particle" : "", "family" : "Bakar", "given" : "Raida Abu", "non-dropping-particle" : "", "parse-names" : false, "suffix" : "" } ], "container-title" : "International Journal of Training and Development", "id" : "ITEM-1", "issue" : "3", "issued" : { "date-parts" : [ [ "2003" ] ] }, "page" : "166-185", "title" : "The association between training and organizational commitment among white-collar workers in Malaysia", "type" : "article-journal", "volume" : "7" }, "uris" : [ "http://www.mendeley.com/documents/?uuid=e5cf5154-3ab0-4796-ba06-0c93dc30699a" ] }, { "id" : "ITEM-2", "itemData" : { "abstract" : "This survey study examines the relationship between employee attitudes related to training and organizational commitment among a sample of nurses in New Zealand and the United States. The magnitude of recent restructuring to New Zealand's public health system allows for an examination of employee attitudes towards training and organizational commitment in comparison to nurses from similar sized hospitals in the United States. Results show that perceived access to training, supervisory support for training, motivation to learn from training and perceived benefits of training were positively related to the affective and normative components of organizational commitment. Several significant differences were found on both training and organizational commitment variables between New Zealand and the United States. The findings are discussed in terms of their theoretical and practical application to human resource development (HRD) outcomes and the management of HRD in health care settings. Reprinted by permission of Routledge, Taylor and Francis Ltd.", "author" : [ { "dropping-particle" : "", "family" : "Bartlett", "given" : "Kenneth R", "non-dropping-particle" : "", "parse-names" : false, "suffix" : "" }, { "dropping-particle" : "", "family" : "Kang", "given" : "Dae-seok", "non-dropping-particle" : "", "parse-names" : false, "suffix" : "" } ], "container-title" : "Human Resource Development International", "id" : "ITEM-2", "issue" : "4", "issued" : { "date-parts" : [ [ "2004" ] ] }, "page" : "423-440", "title" : "Training and organizational commitment among nurses following industry and organizational change in New Zealand and the United States", "type" : "article-journal", "volume" : "7" }, "uris" : [ "http://www.mendeley.com/documents/?uuid=740cb35e-041c-4685-85e7-b432fc1e8068" ] }, { "id" : "ITEM-3",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"ITEM-3",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"mendeley" : { "formattedCitation" : "(Ahmad &amp; Bakar 2003; Bartlett &amp; Kang 2004; Newman et al. 2011)", "manualFormatting" : "(Ahmad &amp; Bakar, 2003; Bartlett &amp; Kang, 2004; Newman et al., 2011)", "plainTextFormattedCitation" : "(Ahmad &amp; Bakar 2003; Bartlett &amp; Kang 2004; Newman et al. 2011)", "previouslyFormattedCitation" : "(Ahmad &amp; Bakar 2003; Bartlett &amp; Kang 2004; Newman et al. 2011)" }, "properties" : { "noteIndex" : 0 }, "schema" : "https://github.com/citation-style-language/schema/raw/master/csl-citation.json" }</w:instrText>
      </w:r>
      <w:r w:rsidRPr="00452E2E">
        <w:rPr>
          <w:szCs w:val="24"/>
        </w:rPr>
        <w:fldChar w:fldCharType="separate"/>
      </w:r>
      <w:r w:rsidRPr="00452E2E">
        <w:rPr>
          <w:noProof/>
          <w:szCs w:val="24"/>
        </w:rPr>
        <w:t xml:space="preserve">(Ahmad &amp; Bakar, 2003; Bartlett &amp; Kang, 2004; Newman </w:t>
      </w:r>
      <w:r w:rsidRPr="00452E2E">
        <w:rPr>
          <w:i/>
          <w:noProof/>
          <w:szCs w:val="24"/>
        </w:rPr>
        <w:t>et al</w:t>
      </w:r>
      <w:r w:rsidRPr="00452E2E">
        <w:rPr>
          <w:noProof/>
          <w:szCs w:val="24"/>
        </w:rPr>
        <w:t>., 2011)</w:t>
      </w:r>
      <w:r w:rsidRPr="00452E2E">
        <w:rPr>
          <w:szCs w:val="24"/>
        </w:rPr>
        <w:fldChar w:fldCharType="end"/>
      </w:r>
      <w:r w:rsidRPr="00452E2E">
        <w:rPr>
          <w:szCs w:val="24"/>
        </w:rPr>
        <w:t xml:space="preserve">. This means that the more training is available to employees, the more they will feel the need to remain thus creating a positive relationship between training and continuance commitment </w:t>
      </w:r>
      <w:r w:rsidRPr="00452E2E">
        <w:rPr>
          <w:szCs w:val="24"/>
        </w:rPr>
        <w:fldChar w:fldCharType="begin" w:fldLock="1"/>
      </w:r>
      <w:r w:rsidRPr="00452E2E">
        <w:rPr>
          <w:szCs w:val="24"/>
        </w:rPr>
        <w:instrText>ADDIN CSL_CITATION { "citationItems" : [ { "id" : "ITEM-1",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"ITEM-1",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"mendeley" : { "formattedCitation" : "(Newman et al. 2011)", "manualFormatting" : "(Newman et al., 2011)", "plainTextFormattedCitation" : "(Newman et al. 2011)", "previouslyFormattedCitation" : "(Newman et al. 2011)" }, "properties" : { "noteIndex" : 0 }, "schema" : "https://github.com/citation-style-language/schema/raw/master/csl-citation.json" }</w:instrText>
      </w:r>
      <w:r w:rsidRPr="00452E2E">
        <w:rPr>
          <w:szCs w:val="24"/>
        </w:rPr>
        <w:fldChar w:fldCharType="separate"/>
      </w:r>
      <w:r w:rsidRPr="00452E2E">
        <w:rPr>
          <w:noProof/>
          <w:szCs w:val="24"/>
        </w:rPr>
        <w:t xml:space="preserve">(Newman </w:t>
      </w:r>
      <w:r w:rsidRPr="00452E2E">
        <w:rPr>
          <w:i/>
          <w:noProof/>
          <w:szCs w:val="24"/>
        </w:rPr>
        <w:t>et al</w:t>
      </w:r>
      <w:r w:rsidRPr="00452E2E">
        <w:rPr>
          <w:noProof/>
          <w:szCs w:val="24"/>
        </w:rPr>
        <w:t>., 2011)</w:t>
      </w:r>
      <w:r w:rsidRPr="00452E2E">
        <w:rPr>
          <w:szCs w:val="24"/>
        </w:rPr>
        <w:fldChar w:fldCharType="end"/>
      </w:r>
      <w:r w:rsidRPr="00452E2E">
        <w:rPr>
          <w:szCs w:val="24"/>
        </w:rPr>
        <w:t xml:space="preserve">.  Moreover, employees may also feel obligated to remain with the organization as a result of the investment the organization has made in training them, suggesting a positive effect of training on normative commitment as well </w:t>
      </w:r>
      <w:r w:rsidRPr="00452E2E">
        <w:rPr>
          <w:szCs w:val="24"/>
        </w:rPr>
        <w:fldChar w:fldCharType="begin" w:fldLock="1"/>
      </w:r>
      <w:r w:rsidRPr="00452E2E">
        <w:rPr>
          <w:szCs w:val="24"/>
        </w:rPr>
        <w:instrText>ADDIN CSL_CITATION { "citationItems" : [ { "id" : "ITEM-1", "itemData" : { "author" : [ { "dropping-particle" : "", "family" : "Bartlett", "given" : "Kenneth R", "non-dropping-particle" : "", "parse-names" : false, "suffix" : "" } ], "container-title" : "Human Resource Development Quarterly", "id" : "ITEM-1", "issue" : "4", "issued" : { "date-parts" : [ [ "2001" ] ] }, "page" : "335-352", "title" : "The relationship between training and organizational commitment: A study in the health care field", "type" : "article-journal", "volume" : "12" }, "uris" : [ "http://www.mendeley.com/documents/?uuid=243e2de6-dca1-4cb2-86db-f7c9317845be" ] }, { "id" : "ITEM-2", "itemData" : { "abstract" : "The exploration of the relationship between organizational commitment and training is still in its early stages. Although there have been several studies reported on training and organizational commitment in Western countries, very little has been done in respect of the local professionals in Malaysia. This research investigates the association between five training variables (availability of training, support for training, motivation to learn, training environment and perceived benefits of training), and various aspects of organizational commitment (affective commitment, normative commitment, continuance commitment and overall organizational commitment). The availability of training, support for training, motivation to learn, training environment, perceived benefits of training were all significantly correlated with affective commitment, normative commitment and overall organizational commitment. The training environment and perceived benefits were also significantly correlated with continuance commitment. However the availability of training, support for training and motivation to learn were not significantly correlated with continuance commitment. This suggests that despite other forms of commitment, Malaysian workers do not feel that they need to remain in an organization that has made available the training, given support for the training and were motivated to learn. Otherwise, results suggest that on the whole, training does seem to have an influence on organizational commitment. The practical implication of this is that managers, who are so desirous of enhancing organizational commitment among their subordinates, should pay more attention to training. Annual income was found to correlate positively with affective commitment and overall commitment. Age and tenure were not significant predictors of overall organizational commitment contradicting studies in the West. This demonstrated that Malaysians might have different attitudes towards organizational commitment. The older they are and the longer they stay within an organization do not imply that they will be committed towards their organization. This phenomenon can be attributed to the uncertain business environment in Malaysia.", "author" : [ { "dropping-particle" : "", "family" : "Ahmad", "given" : "Kamarul Zaman", "non-dropping-particle" : "", "parse-names" : false, "suffix" : "" }, { "dropping-particle" : "", "family" : "Bakar", "given" : "Raida Abu", "non-dropping-particle" : "", "parse-names" : false, "suffix" : "" } ], "container-title" : "International Journal of Training and Development", "id" : "ITEM-2", "issue" : "3", "issued" : { "date-parts" : [ [ "2003" ] ] }, "page" : "166-185", "title" : "The association between training and organizational commitment among white-collar workers in Malaysia", "type" : "article-journal", "volume" : "7" }, "uris" : [ "http://www.mendeley.com/documents/?uuid=e5cf5154-3ab0-4796-ba06-0c93dc30699a" ] }, { "id" : "ITEM-3", "itemData" : { "abstract" : "This survey study examines the relationship between employee attitudes related to training and organizational commitment among a sample of nurses in New Zealand and the United States. The magnitude of recent restructuring to New Zealand's public health system allows for an examination of employee attitudes towards training and organizational commitment in comparison to nurses from similar sized hospitals in the United States. Results show that perceived access to training, supervisory support for training, motivation to learn from training and perceived benefits of training were positively related to the affective and normative components of organizational commitment. Several significant differences were found on both training and organizational commitment variables between New Zealand and the United States. The findings are discussed in terms of their theoretical and practical application to human resource development (HRD) outcomes and the management of HRD in health care settings. Reprinted by permission of Routledge, Taylor and Francis Ltd.", "author" : [ { "dropping-particle" : "", "family" : "Bartlett", "given" : "Kenneth R", "non-dropping-particle" : "", "parse-names" : false, "suffix" : "" }, { "dropping-particle" : "", "family" : "Kang", "given" : "Dae-seok", "non-dropping-particle" : "", "parse-names" : false, "suffix" : "" } ], "container-title" : "Human Resource Development International", "id" : "ITEM-3", "issue" : "4", "issued" : { "date-parts" : [ [ "2004" ] ] }, "page" : "423-440", "title" : "Training and organizational commitment among nurses following industry and organizational change in New Zealand and the United States", "type" : "article-journal", "volume" : "7" }, "uris" : [ "http://www.mendeley.com/documents/?uuid=740cb35e-041c-4685-85e7-b432fc1e8068" ] }, { "id" : "ITEM-4", "itemData" : { "author" : [ { "dropping-particle" : "", "family" : "Bashir", "given" : "N", "non-dropping-particle" : "", "parse-names" : false, "suffix" : "" }, { "dropping-particle" : "", "family" : "Long", "given" : "S", "non-dropping-particle" : "", "parse-names" : false, "suffix" : "" } ], "container-title" : "Journal of Management Development", "id" : "ITEM-4", "issue" : "10", "issued" : { "date-parts" : [ [ "2015" ] ] }, "page" : "1227-1245", "title" : "The relationship between training and organizational commitment among academicians", "type" : "article-journal", "volume" : "34" }, "uris" : [ "http://www.mendeley.com/documents/?uuid=22d0d12e-4be1-4426-9473-5ba3ed2411eb" ] } ], "mendeley" : { "formattedCitation" : "(Bartlett 2001; Ahmad &amp; Bakar 2003; Bartlett &amp; Kang 2004; Bashir &amp; Long 2015)", "manualFormatting" : "(Bartlett &amp; Kang, 2004; Bashir &amp; Long, 2015)", "plainTextFormattedCitation" : "(Bartlett 2001; Ahmad &amp; Bakar 2003; Bartlett &amp; Kang 2004; Bashir &amp; Long 2015)", "previouslyFormattedCitation" : "(Bartlett 2001; Ahmad &amp; Bakar 2003; Bartlett &amp; Kang 2004; Bashir &amp; Long 2015)" }, "properties" : { "noteIndex" : 0 }, "schema" : "https://github.com/citation-style-language/schema/raw/master/csl-citation.json" }</w:instrText>
      </w:r>
      <w:r w:rsidRPr="00452E2E">
        <w:rPr>
          <w:szCs w:val="24"/>
        </w:rPr>
        <w:fldChar w:fldCharType="separate"/>
      </w:r>
      <w:r w:rsidRPr="00452E2E">
        <w:rPr>
          <w:noProof/>
          <w:szCs w:val="24"/>
        </w:rPr>
        <w:t>(Bartlett &amp; Kang, 2004; Bashir &amp; Long, 2015)</w:t>
      </w:r>
      <w:r w:rsidRPr="00452E2E">
        <w:rPr>
          <w:szCs w:val="24"/>
        </w:rPr>
        <w:fldChar w:fldCharType="end"/>
      </w:r>
      <w:r w:rsidRPr="00452E2E">
        <w:rPr>
          <w:szCs w:val="24"/>
        </w:rPr>
        <w:t xml:space="preserve">. </w:t>
      </w:r>
    </w:p>
    <w:p w:rsidR="00F75649" w:rsidRPr="00452E2E" w:rsidRDefault="00F75649" w:rsidP="00F75649">
      <w:pPr>
        <w:spacing w:line="360" w:lineRule="auto"/>
        <w:jc w:val="both"/>
      </w:pPr>
      <w:r w:rsidRPr="00452E2E">
        <w:t xml:space="preserve">Research has shown that employee benefits is a major source of motivation and employees value benefits more than pay </w:t>
      </w:r>
      <w:r w:rsidRPr="00452E2E">
        <w:fldChar w:fldCharType="begin" w:fldLock="1"/>
      </w:r>
      <w:r w:rsidRPr="00452E2E">
        <w:instrText>ADDIN CSL_CITATION { "citationItems" : [ { "id" : "ITEM-1", "itemData" : { "DOI" : "10.1177/0886368712464471", "author" : [ { "dropping-particle" : "", "family" : "Giancola", "given" : "Frank L", "non-dropping-particle" : "", "parse-names" : false, "suffix" : "" } ], "container-title" : "Compensation &amp; Benefits Review", "id" : "ITEM-1", "issue" : "5", "issued" : { "date-parts" : [ [ "2012" ] ] }, "page" : "291-297", "title" : "Are employee benefit programs being given enough credit for their effect on employee attitudes ?", "type" : "article-journal", "volume" : "44" }, "uris" : [ "http://www.mendeley.com/documents/?uuid=f37a06aa-1938-4cf9-835d-185f066b7b2a" ] } ], "mendeley" : { "formattedCitation" : "(Giancola 2012)", "manualFormatting" : "(Giancola, 2012)", "plainTextFormattedCitation" : "(Giancola 2012)", "previouslyFormattedCitation" : "(Giancola 2012)" }, "properties" : { "noteIndex" : 0 }, "schema" : "https://github.com/citation-style-language/schema/raw/master/csl-citation.json" }</w:instrText>
      </w:r>
      <w:r w:rsidRPr="00452E2E">
        <w:fldChar w:fldCharType="separate"/>
      </w:r>
      <w:r w:rsidRPr="00452E2E">
        <w:rPr>
          <w:noProof/>
        </w:rPr>
        <w:t>(Giancola, 2012)</w:t>
      </w:r>
      <w:r w:rsidRPr="00452E2E">
        <w:fldChar w:fldCharType="end"/>
      </w:r>
      <w:r w:rsidRPr="00452E2E">
        <w:t xml:space="preserve">. Particularly in Nigeria where wages are generally low, employee benefits can be a powerful way to motivate employees and improve their job satisfaction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Providing benefits to employees can be a demonstration that employers care for the well-being of employees </w:t>
      </w:r>
      <w:r w:rsidRPr="00452E2E">
        <w:fldChar w:fldCharType="begin" w:fldLock="1"/>
      </w:r>
      <w:r w:rsidRPr="00452E2E">
        <w:instrText>ADDIN CSL_CITATION { "citationItems" : [ { "id" : "ITEM-1", "itemData" : { "DOI" : "10.1080/09585192.2011.560871", "ISBN" : "0958-5192", "ISSN" : "09585192", "abstract" : "The purpose of this study is twofold. The first purpose is to investigate the hypothesis as follows: the enrichment of the employee benefit management and the improvement of job attitudes mediate the relation between the adoption of family-friendly policies and the employee retention. The second purpose is to investigate the gender gap in the above-mentioned model. The facts and conclusions presented in this paper were obtained from a study of 1228 employees. Analysis of covariance structures was adopted for testing hypothesis. About the first one, significant mediator effects of the enrichment of the employee benefit management and the improvement of job satisfaction were clarified. About the second point, there was no gender gap in the above-mentioned retention process by the employee benefit management, except for the number of the employee benefit management practices and the organizational tenure. The necessity of additional research about international comparison, investigation of organization, longitudinal investigation, etc. was pointed out. [ABSTRACT FROM PUBLISHER]", "author" : [ { "dropping-particle" : "", "family" : "Yamamoto", "given" : "Hiroshi", "non-dropping-particle" : "", "parse-names" : false, "suffix" : "" } ], "container-title" : "International Journal of Human Resource Management", "id" : "ITEM-1", "issue" : "17", "issued" : { "date-parts" : [ [ "2011" ] ] }, "page" : "3550-3564", "title" : "The relationship between employee benefit management and employee retention", "type" : "article-journal", "volume" : "22" }, "uris" : [ "http://www.mendeley.com/documents/?uuid=6d4879cd-6b36-4fd8-8ad0-3c55c4021c6f" ] } ], "mendeley" : { "formattedCitation" : "(Yamamoto 2011)", "manualFormatting" : "(Yamamoto, 2011)", "plainTextFormattedCitation" : "(Yamamoto 2011)", "previouslyFormattedCitation" : "(Yamamoto 2011)" }, "properties" : { "noteIndex" : 0 }, "schema" : "https://github.com/citation-style-language/schema/raw/master/csl-citation.json" }</w:instrText>
      </w:r>
      <w:r w:rsidRPr="00452E2E">
        <w:fldChar w:fldCharType="separate"/>
      </w:r>
      <w:r w:rsidRPr="00452E2E">
        <w:rPr>
          <w:noProof/>
        </w:rPr>
        <w:t>(Yamamoto, 2011)</w:t>
      </w:r>
      <w:r w:rsidRPr="00452E2E">
        <w:fldChar w:fldCharType="end"/>
      </w:r>
      <w:r w:rsidRPr="00452E2E">
        <w:t xml:space="preserve">. Therefore, employee benefits are a form of extrinsic motivation which should increase job satisfaction levels </w:t>
      </w:r>
      <w:r w:rsidRPr="00452E2E">
        <w:fldChar w:fldCharType="begin" w:fldLock="1"/>
      </w:r>
      <w:r w:rsidRPr="00452E2E">
        <w:instrText>ADDIN CSL_CITATION { "citationItems" : [ { "id" : "ITEM-1", "itemData" : { "author" : [ { "dropping-particle" : "", "family" : "Artz", "given" : "Benjamin", "non-dropping-particle" : "", "parse-names" : false, "suffix" : "" } ], "container-title" : "International Journal of Manpower", "id" : "ITEM-1", "issue" : "6", "issued" : { "date-parts" : [ [ "2010" ] ] }, "page" : "626-644", "title" : "Fringe benefits and job satisfaction", "type" : "article-journal", "volume" : "31" }, "uris" : [ "http://www.mendeley.com/documents/?uuid=befb7ec4-5864-4c2e-8b09-ae41a5344053" ] }, { "id" : "ITEM-2", "itemData" : { "DOI" : "10.1080/09585192.2011.560871", "ISBN" : "0958-5192", "ISSN" : "09585192", "abstract" : "The purpose of this study is twofold. The first purpose is to investigate the hypothesis as follows: the enrichment of the employee benefit management and the improvement of job attitudes mediate the relation between the adoption of family-friendly policies and the employee retention. The second purpose is to investigate the gender gap in the above-mentioned model. The facts and conclusions presented in this paper were obtained from a study of 1228 employees. Analysis of covariance structures was adopted for testing hypothesis. About the first one, significant mediator effects of the enrichment of the employee benefit management and the improvement of job satisfaction were clarified. About the second point, there was no gender gap in the above-mentioned retention process by the employee benefit management, except for the number of the employee benefit management practices and the organizational tenure. The necessity of additional research about international comparison, investigation of organization, longitudinal investigation, etc. was pointed out. [ABSTRACT FROM PUBLISHER]", "author" : [ { "dropping-particle" : "", "family" : "Yamamoto", "given" : "Hiroshi", "non-dropping-particle" : "", "parse-names" : false, "suffix" : "" } ], "container-title" : "International Journal of Human Resource Management", "id" : "ITEM-2", "issue" : "17", "issued" : { "date-parts" : [ [ "2011" ] ] }, "page" : "3550-3564", "title" : "The relationship between employee benefit management and employee retention", "type" : "article-journal", "volume" : "22" }, "uris" : [ "http://www.mendeley.com/documents/?uuid=6d4879cd-6b36-4fd8-8ad0-3c55c4021c6f" ] }, { "id" : "ITEM-3", "itemData" : { "DOI" : "10.1177/0886368712464471", "author" : [ { "dropping-particle" : "", "family" : "Giancola", "given" : "Frank L", "non-dropping-particle" : "", "parse-names" : false, "suffix" : "" } ], "container-title" : "Compensation &amp; Benefits Review", "id" : "ITEM-3", "issue" : "5", "issued" : { "date-parts" : [ [ "2012" ] ] }, "page" : "291-297", "title" : "Are employee benefit programs being given enough credit for their effect on employee attitudes ?", "type" : "article-journal", "volume" : "44" }, "uris" : [ "http://www.mendeley.com/documents/?uuid=f37a06aa-1938-4cf9-835d-185f066b7b2a" ] }, { "id" : "ITEM-4",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"ITEM-4",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"mendeley" : { "formattedCitation" : "(Artz 2010; Yamamoto 2011; Giancola 2012; Ko &amp; Hur 2014)", "manualFormatting" : "(Artz, 2010; Yamamoto, 2011; Giancola, 2012; Ko &amp; Hur, 2014)", "plainTextFormattedCitation" : "(Artz 2010; Yamamoto 2011; Giancola 2012; Ko &amp; Hur 2014)", "previouslyFormattedCitation" : "(Artz 2010; Yamamoto 2011; Giancola 2012; Ko &amp; Hur 2014)" }, "properties" : { "noteIndex" : 0 }, "schema" : "https://github.com/citation-style-language/schema/raw/master/csl-citation.json" }</w:instrText>
      </w:r>
      <w:r w:rsidRPr="00452E2E">
        <w:fldChar w:fldCharType="separate"/>
      </w:r>
      <w:r w:rsidRPr="00452E2E">
        <w:rPr>
          <w:noProof/>
        </w:rPr>
        <w:t>(Artz, 2010; Yamamoto, 2011; Giancola, 2012; Ko &amp; Hur, 2014)</w:t>
      </w:r>
      <w:r w:rsidRPr="00452E2E">
        <w:fldChar w:fldCharType="end"/>
      </w:r>
      <w:r w:rsidRPr="00452E2E">
        <w:t xml:space="preserve">. Also employee benefits can engender employees’ psychological attachment to the organization since it demonstrates a show of concern for the well-being of employees </w:t>
      </w:r>
      <w:r w:rsidRPr="00452E2E">
        <w:fldChar w:fldCharType="begin" w:fldLock="1"/>
      </w:r>
      <w:r w:rsidRPr="00452E2E">
        <w:instrText>ADDIN CSL_CITATION { "citationItems" : [ { "id" : "ITEM-1",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"ITEM-1", "issue" : "1", "issued" : { "date-parts" : [ [ "2005" ] ] }, "page" : "3-29", "title" : "Benefit system effects on employees' benefit knowledge, use and organizational commitment", "type" : "article-journal", "volume" : "20" }, "uris" : [ "http://www.mendeley.com/documents/?uuid=76153374-7214-4e74-b268-ebcd9498b8b1" ] } ], "mendeley" : { "formattedCitation" : "(Sinclair et al. 2005)", "manualFormatting" : "(Sinclair et al., 2005)", "plainTextFormattedCitation" : "(Sinclair et al. 2005)", "previouslyFormattedCitation" : "(Sinclair et al. 2005)" }, "properties" : { "noteIndex" : 0 }, "schema" : "https://github.com/citation-style-language/schema/raw/master/csl-citation.json" }</w:instrText>
      </w:r>
      <w:r w:rsidRPr="00452E2E">
        <w:fldChar w:fldCharType="separate"/>
      </w:r>
      <w:r w:rsidRPr="00452E2E">
        <w:rPr>
          <w:noProof/>
        </w:rPr>
        <w:t xml:space="preserve">(Sinclair </w:t>
      </w:r>
      <w:r w:rsidRPr="00452E2E">
        <w:rPr>
          <w:i/>
          <w:noProof/>
        </w:rPr>
        <w:t>et al</w:t>
      </w:r>
      <w:r w:rsidRPr="00452E2E">
        <w:rPr>
          <w:noProof/>
        </w:rPr>
        <w:t>., 2005)</w:t>
      </w:r>
      <w:r w:rsidRPr="00452E2E">
        <w:fldChar w:fldCharType="end"/>
      </w:r>
      <w:r w:rsidRPr="00452E2E">
        <w:t xml:space="preserve">.  Hence, it is expected that employee benefits will result to increased affective commitment to the organization. </w:t>
      </w:r>
    </w:p>
    <w:p w:rsidR="00F75649" w:rsidRPr="00452E2E" w:rsidRDefault="00F75649" w:rsidP="00F75649">
      <w:pPr>
        <w:spacing w:line="360" w:lineRule="auto"/>
        <w:jc w:val="both"/>
      </w:pPr>
      <w:r w:rsidRPr="00452E2E">
        <w:lastRenderedPageBreak/>
        <w:t xml:space="preserve">Equally, we would expect a positive effect of employee benefits on continuance commitment since the loss of employee benefits may compel employees to remain with the organization </w:t>
      </w:r>
      <w:r w:rsidRPr="00452E2E">
        <w:fldChar w:fldCharType="begin" w:fldLock="1"/>
      </w:r>
      <w:r w:rsidRPr="00452E2E">
        <w:instrText>ADDIN CSL_CITATION { "citationItems" : [ { "id" : "ITEM-1",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"ITEM-1", "issue" : "1", "issued" : { "date-parts" : [ [ "2005" ] ] }, "page" : "3-29", "title" : "Benefit system effects on employees' benefit knowledge, use and organizational commitment", "type" : "article-journal", "volume" : "20" }, "uris" : [ "http://www.mendeley.com/documents/?uuid=76153374-7214-4e74-b268-ebcd9498b8b1" ] } ], "mendeley" : { "formattedCitation" : "(Sinclair et al. 2005)", "manualFormatting" : "(Sinclair et al., 2005)", "plainTextFormattedCitation" : "(Sinclair et al. 2005)", "previouslyFormattedCitation" : "(Sinclair et al. 2005)" }, "properties" : { "noteIndex" : 0 }, "schema" : "https://github.com/citation-style-language/schema/raw/master/csl-citation.json" }</w:instrText>
      </w:r>
      <w:r w:rsidRPr="00452E2E">
        <w:fldChar w:fldCharType="separate"/>
      </w:r>
      <w:r w:rsidRPr="00452E2E">
        <w:rPr>
          <w:noProof/>
        </w:rPr>
        <w:t xml:space="preserve">(Sinclair </w:t>
      </w:r>
      <w:r w:rsidRPr="00452E2E">
        <w:rPr>
          <w:i/>
          <w:noProof/>
        </w:rPr>
        <w:t>et al</w:t>
      </w:r>
      <w:r w:rsidRPr="00452E2E">
        <w:rPr>
          <w:noProof/>
        </w:rPr>
        <w:t>., 2005)</w:t>
      </w:r>
      <w:r w:rsidRPr="00452E2E">
        <w:fldChar w:fldCharType="end"/>
      </w:r>
      <w:r w:rsidRPr="00452E2E">
        <w:t xml:space="preserve">, especially in a context with less available alternative jobs </w:t>
      </w:r>
      <w:r w:rsidRPr="00452E2E">
        <w:fldChar w:fldCharType="begin" w:fldLock="1"/>
      </w:r>
      <w:r w:rsidRPr="00452E2E">
        <w:instrText>ADDIN CSL_CITATION { "citationItems" : [ { "id" : "ITEM-1", "itemData" : { "author" : [ { "dropping-particle" : "", "family" : "Meyer", "given" : "J. P.", "non-dropping-particle" : "", "parse-names" : false, "suffix" : "" }, { "dropping-particle" : "", "family" : "Allen", "given" : "N.J.", "non-dropping-particle" : "", "parse-names" : false, "suffix" : "" } ], "container-title" : "Human Resource Management Review", "id" : "ITEM-1", "issue" : "1", "issued" : { "date-parts" : [ [ "1991" ] ] }, "page" : "61-89", "title" : "A three-component model conceptualization of organizational commitment", "type" : "article-journal", "volume" : "1" }, "uris" : [ "http://www.mendeley.com/documents/?uuid=a03ff762-807b-498b-abc6-f0b832302d1f" ] } ], "mendeley" : { "formattedCitation" : "(Meyer &amp; Allen 1991)", "manualFormatting" : "(Meyer &amp; Allen, 1991; Meyer et al., 2002)", "plainTextFormattedCitation" : "(Meyer &amp; Allen 1991)", "previouslyFormattedCitation" : "(Meyer &amp; Allen 1991)" }, "properties" : { "noteIndex" : 0 }, "schema" : "https://github.com/citation-style-language/schema/raw/master/csl-citation.json" }</w:instrText>
      </w:r>
      <w:r w:rsidRPr="00452E2E">
        <w:fldChar w:fldCharType="separate"/>
      </w:r>
      <w:r w:rsidRPr="00452E2E">
        <w:rPr>
          <w:noProof/>
        </w:rPr>
        <w:t xml:space="preserve">(Meyer &amp; Allen, 1991; Meyer </w:t>
      </w:r>
      <w:r w:rsidRPr="00452E2E">
        <w:rPr>
          <w:i/>
          <w:noProof/>
        </w:rPr>
        <w:t>et al</w:t>
      </w:r>
      <w:r w:rsidRPr="00452E2E">
        <w:rPr>
          <w:noProof/>
        </w:rPr>
        <w:t>., 2002)</w:t>
      </w:r>
      <w:r w:rsidRPr="00452E2E">
        <w:fldChar w:fldCharType="end"/>
      </w:r>
      <w:r w:rsidRPr="00452E2E">
        <w:t xml:space="preserve">. As employers commit resources in providing employee benefits, this may also create in employees a sense of obligation to remain with the organization as a way of repaying the organization for their investment </w:t>
      </w:r>
      <w:r w:rsidRPr="00452E2E">
        <w:fldChar w:fldCharType="begin" w:fldLock="1"/>
      </w:r>
      <w:r w:rsidRPr="00452E2E">
        <w:instrText>ADDIN CSL_CITATION { "citationItems" : [ { "id" : "ITEM-1",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"ITEM-1",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"mendeley" : { "formattedCitation" : "(Meyer et al. 2002)", "manualFormatting" : "(Meyer et al., 2002)", "plainTextFormattedCitation" : "(Meyer et al. 2002)", "previouslyFormattedCitation" : "(Meyer et al. 2002)" }, "properties" : { "noteIndex" : 0 }, "schema" : "https://github.com/citation-style-language/schema/raw/master/csl-citation.json" }</w:instrText>
      </w:r>
      <w:r w:rsidRPr="00452E2E">
        <w:fldChar w:fldCharType="separate"/>
      </w:r>
      <w:r w:rsidRPr="00452E2E">
        <w:rPr>
          <w:noProof/>
        </w:rPr>
        <w:t xml:space="preserve">(Meyer </w:t>
      </w:r>
      <w:r w:rsidRPr="00452E2E">
        <w:rPr>
          <w:i/>
          <w:noProof/>
        </w:rPr>
        <w:t>et al</w:t>
      </w:r>
      <w:r w:rsidRPr="00452E2E">
        <w:rPr>
          <w:noProof/>
        </w:rPr>
        <w:t>., 2002)</w:t>
      </w:r>
      <w:r w:rsidRPr="00452E2E">
        <w:fldChar w:fldCharType="end"/>
      </w:r>
      <w:r w:rsidRPr="00452E2E">
        <w:t>. Hence, it is expected that employee benefits will result to higher normative commitment to the organization.</w:t>
      </w:r>
    </w:p>
    <w:p w:rsidR="00F75649" w:rsidRPr="00452E2E" w:rsidRDefault="00F75649" w:rsidP="00F75649">
      <w:pPr>
        <w:spacing w:line="360" w:lineRule="auto"/>
        <w:jc w:val="both"/>
      </w:pPr>
      <w:r w:rsidRPr="00452E2E">
        <w:t xml:space="preserve">Employee participation provides employees the opportunity to make contributions to work-related issues </w:t>
      </w:r>
      <w:r w:rsidRPr="00452E2E">
        <w:fldChar w:fldCharType="begin" w:fldLock="1"/>
      </w:r>
      <w:r w:rsidRPr="00452E2E">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"id" : "ITEM-2",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"ITEM-2", "issue" : "7", "issued" : { "date-parts" : [ [ "2011" ] ] }, "page" : "1586-1610", "title" : "High involvement management, high-performance work systems and well-being", "type" : "article-journal", "volume" : "22" }, "uris" : [ "http://www.mendeley.com/documents/?uuid=f03e0834-790d-47b4-8abc-ab22f06c3537" ] } ], "mendeley" : { "formattedCitation" : "(Wright &amp; Kim 2004; Wood &amp; de Menezes 2011)", "manualFormatting" : "(Wright &amp; Kim, 2004; Wood &amp; de Menezes, 2011)", "plainTextFormattedCitation" : "(Wright &amp; Kim 2004; Wood &amp; de Menezes 2011)", "previouslyFormattedCitation" : "(Wright &amp; Kim 2004; Wood &amp; de Menezes 2011)" }, "properties" : { "noteIndex" : 0 }, "schema" : "https://github.com/citation-style-language/schema/raw/master/csl-citation.json" }</w:instrText>
      </w:r>
      <w:r w:rsidRPr="00452E2E">
        <w:fldChar w:fldCharType="separate"/>
      </w:r>
      <w:r w:rsidRPr="00452E2E">
        <w:rPr>
          <w:noProof/>
        </w:rPr>
        <w:t>(Wright &amp; Kim, 2004; Wood &amp; de Menezes, 2011)</w:t>
      </w:r>
      <w:r w:rsidRPr="00452E2E">
        <w:fldChar w:fldCharType="end"/>
      </w:r>
      <w:r w:rsidRPr="00452E2E">
        <w:t xml:space="preserve">. Thus, the relationship between participation and job satisfaction is rooted in theories of job design </w:t>
      </w:r>
      <w:r w:rsidRPr="00452E2E">
        <w:fldChar w:fldCharType="begin" w:fldLock="1"/>
      </w:r>
      <w:r w:rsidRPr="00452E2E">
        <w:instrText>ADDIN CSL_CITATION { "citationItems" : [ { "id" : "ITEM-1", "itemData" : { "author" : [ { "dropping-particle" : "", "family" : "Hackman", "given" : "J.R.", "non-dropping-particle" : "", "parse-names" : false, "suffix" : "" }, { "dropping-particle" : "", "family" : "Oldham", "given" : "G.R.", "non-dropping-particle" : "", "parse-names" : false, "suffix" : "" } ], "container-title" : "Organizational Behavior and Human Performance", "id" : "ITEM-1", "issued" : { "date-parts" : [ [ "1976" ] ] }, "page" : "250-279", "title" : "Motivation through the design of work: Test of a theory", "type" : "article-journal", "volume" : "16" }, "uris" : [ "http://www.mendeley.com/documents/?uuid=25d7e8f5-4b88-44c2-8bd0-7508e92120ab" ] }, { "id" : "ITEM-2",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"ITEM-2", "issue" : "3", "issued" : { "date-parts" : [ [ "2014" ] ] }, "page" : "403-420", "title" : "How high-commitment HRM relates to engagement and commitment: The moderating role of task proficiency", "type" : "article-journal", "volume" : "53" }, "uris" : [ "http://www.mendeley.com/documents/?uuid=cb756747-5761-4893-aa48-62d0692bb7b9" ] } ], "mendeley" : { "formattedCitation" : "(Hackman &amp; Oldham 1976; Boon &amp; Kalshoven 2014)", "manualFormatting" : "(Hackman &amp; Oldham, 1976; Boon &amp; Kalshoven, 2014)", "plainTextFormattedCitation" : "(Hackman &amp; Oldham 1976; Boon &amp; Kalshoven 2014)", "previouslyFormattedCitation" : "(Hackman &amp; Oldham 1976; Boon &amp; Kalshoven 2014)" }, "properties" : { "noteIndex" : 0 }, "schema" : "https://github.com/citation-style-language/schema/raw/master/csl-citation.json" }</w:instrText>
      </w:r>
      <w:r w:rsidRPr="00452E2E">
        <w:fldChar w:fldCharType="separate"/>
      </w:r>
      <w:r w:rsidRPr="00452E2E">
        <w:rPr>
          <w:noProof/>
        </w:rPr>
        <w:t>(Hackman &amp; Oldham, 1976; Boon &amp; Kalshoven, 2014)</w:t>
      </w:r>
      <w:r w:rsidRPr="00452E2E">
        <w:fldChar w:fldCharType="end"/>
      </w:r>
      <w:r w:rsidRPr="00452E2E">
        <w:t xml:space="preserve">. As employees are allowed to participate in work-related decisions, it makes the job more meaningful and interesting to them </w:t>
      </w:r>
      <w:r w:rsidRPr="00452E2E">
        <w:fldChar w:fldCharType="begin" w:fldLock="1"/>
      </w:r>
      <w:r w:rsidRPr="00452E2E">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"id" : "ITEM-2",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"ITEM-2", "issue" : "3", "issued" : { "date-parts" : [ [ "2014" ] ] }, "page" : "403-420", "title" : "How high-commitment HRM relates to engagement and commitment: The moderating role of task proficiency", "type" : "article-journal", "volume" : "53" }, "uris" : [ "http://www.mendeley.com/documents/?uuid=cb756747-5761-4893-aa48-62d0692bb7b9" ] }, { "id" : "ITEM-3", "itemData" : { "abstract" : "Using a national population survey, this article examines how high-involvement work processes affect employee well-being. The analysis shows that greater experiences of autonomy and participation in decision-making have positive or neutral effects. Higher involvement is a key factor predicting higher job satisfaction and better work\u2013life balance while it has no relationship to stress or fatigue. In contrast, higher levels of work intensity increase fatigue and stress and undermine work\u2013life balance. If the quality of working life is a key objective in a reform based on greater employee involvement, close attention needs to be paid to the balance between processes that release human potential and those that increase the intensity of work. Keywords", "author" : [ { "dropping-particle" : "", "family" : "Boxall", "given" : "Peter", "non-dropping-particle" : "", "parse-names" : false, "suffix" : "" }, { "dropping-particle" : "", "family" : "Macky", "given" : "Keith", "non-dropping-particle" : "", "parse-names" : false, "suffix" : "" } ], "container-title" : "Work, Employment &amp; Society", "id" : "ITEM-3", "issue" : "6", "issued" : { "date-parts" : [ [ "2014" ] ] }, "page" : "963-984", "title" : "High-involvement work process, work intensification and employee well-being", "type" : "article-journal", "volume" : "28" }, "uris" : [ "http://www.mendeley.com/documents/?uuid=676e6816-0c74-4d96-b5f0-7e364ff2d3fc" ] } ], "mendeley" : { "formattedCitation" : "(Wright &amp; Kim 2004; Boon &amp; Kalshoven 2014; Boxall &amp; Macky 2014)", "manualFormatting" : "(Wright &amp; Kim 2004; Boon &amp; Kalshoven, 2014; Boxall &amp; Macky, 2014)", "plainTextFormattedCitation" : "(Wright &amp; Kim 2004; Boon &amp; Kalshoven 2014; Boxall &amp; Macky 2014)", "previouslyFormattedCitation" : "(Wright &amp; Kim 2004; Boon &amp; Kalshoven 2014; Boxall &amp; Macky 2014)" }, "properties" : { "noteIndex" : 0 }, "schema" : "https://github.com/citation-style-language/schema/raw/master/csl-citation.json" }</w:instrText>
      </w:r>
      <w:r w:rsidRPr="00452E2E">
        <w:fldChar w:fldCharType="separate"/>
      </w:r>
      <w:r w:rsidRPr="00452E2E">
        <w:rPr>
          <w:noProof/>
        </w:rPr>
        <w:t>(Wright &amp; Kim 2004; Boon &amp; Kalshoven, 2014; Boxall &amp; Macky, 2014)</w:t>
      </w:r>
      <w:r w:rsidRPr="00452E2E">
        <w:fldChar w:fldCharType="end"/>
      </w:r>
      <w:r w:rsidRPr="00452E2E">
        <w:t xml:space="preserve">. As information is shared with employees, it promotes clarity in the work environment whist employee contributions enhance the utilization of their skills and knowledge </w:t>
      </w:r>
      <w:r w:rsidRPr="00452E2E">
        <w:fldChar w:fldCharType="begin" w:fldLock="1"/>
      </w:r>
      <w:r w:rsidRPr="00452E2E">
        <w:instrText>ADDIN CSL_CITATION { "citationItems" : [ { "id" : "ITEM-1",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"ITEM-1", "issue" : "7", "issued" : { "date-parts" : [ [ "2011" ] ] }, "page" : "1586-1610", "title" : "High involvement management, high-performance work systems and well-being", "type" : "article-journal", "volume" : "22" }, "uris" : [ "http://www.mendeley.com/documents/?uuid=f03e0834-790d-47b4-8abc-ab22f06c3537" ] }, { "id" : "ITEM-2",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"ITEM-2", "issue" : "3", "issued" : { "date-parts" : [ [ "2014" ] ] }, "page" : "403-420", "title" : "How high-commitment HRM relates to engagement and commitment: The moderating role of task proficiency", "type" : "article-journal", "volume" : "53" }, "uris" : [ "http://www.mendeley.com/documents/?uuid=cb756747-5761-4893-aa48-62d0692bb7b9" ] } ], "mendeley" : { "formattedCitation" : "(Wood &amp; de Menezes 2011; Boon &amp; Kalshoven 2014)", "plainTextFormattedCitation" : "(Wood &amp; de Menezes 2011; Boon &amp; Kalshoven 2014)", "previouslyFormattedCitation" : "(Wood &amp; de Menezes 2011; Boon &amp; Kalshoven 2014)" }, "properties" : { "noteIndex" : 0 }, "schema" : "https://github.com/citation-style-language/schema/raw/master/csl-citation.json" }</w:instrText>
      </w:r>
      <w:r w:rsidRPr="00452E2E">
        <w:fldChar w:fldCharType="separate"/>
      </w:r>
      <w:r w:rsidRPr="00452E2E">
        <w:rPr>
          <w:noProof/>
        </w:rPr>
        <w:t>(Wood &amp; de Menezes 2011; Boon &amp; Kalshoven 2014)</w:t>
      </w:r>
      <w:r w:rsidRPr="00452E2E">
        <w:fldChar w:fldCharType="end"/>
      </w:r>
      <w:r w:rsidRPr="00452E2E">
        <w:t xml:space="preserve">. This signals that employees’ contributions are valued thereby creating a sense of psychological empowerment and self-esteem in employees </w:t>
      </w:r>
      <w:r w:rsidRPr="00452E2E">
        <w:fldChar w:fldCharType="begin" w:fldLock="1"/>
      </w:r>
      <w:r w:rsidRPr="00452E2E">
        <w:instrText>ADDIN CSL_CITATION { "citationItems" : [ { "id" : "ITEM-1",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"Farndale", "given" : "Elaine", "non-dropping-particle" : "", "parse-names" : false, "suffix" : "" }, { "dropping-particle" : "", "family" : "Ruiten", "given" : "Joppe", "non-dropping-particle" : "Van", "parse-names" : false, "suffix" : "" }, { "dropping-particle" : "", "family" : "Kelliher", "given" : "Clare", "non-dropping-particle" : "", "parse-names" : false, "suffix" : "" }, { "dropping-particle" : "", "family" : "Hope-Hailey", "given" : "Veronica", "non-dropping-particle" : "", "parse-names" : false, "suffix" : "" } ], "container-title" : "Human Resource Management", "id" : "ITEM-1", "issue" : "1", "issued" : { "date-parts" : [ [ "2011" ] ] }, "page" : "113-129", "title" : "The influence of perceived employee voice on organizational commitment: an exchange perspective", "type" : "article-journal", "volume" : "50" }, "uris" : [ "http://www.mendeley.com/documents/?uuid=01bf87d8-1907-4136-9ada-7ca0bc69a1ad" ] }, { "id" : "ITEM-2",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"ITEM-2", "issue" : "7", "issued" : { "date-parts" : [ [ "2011" ] ] }, "page" : "1586-1610", "title" : "High involvement management, high-performance work systems and well-being", "type" : "article-journal", "volume" : "22" }, "uris" : [ "http://www.mendeley.com/documents/?uuid=f03e0834-790d-47b4-8abc-ab22f06c3537" ] } ], "mendeley" : { "formattedCitation" : "(Farndale, Van Ruiten, et al. 2011; Wood &amp; de Menezes 2011)", "manualFormatting" : "(Farndale et al., 2011b; Wood &amp; de Menezes, 2011)", "plainTextFormattedCitation" : "(Farndale, Van Ruiten, et al. 2011; Wood &amp; de Menezes 2011)", "previouslyFormattedCitation" : "(Farndale, Van Ruiten, et al. 2011; Wood &amp; de Menezes 2011)" }, "properties" : { "noteIndex" : 0 }, "schema" : "https://github.com/citation-style-language/schema/raw/master/csl-citation.json" }</w:instrText>
      </w:r>
      <w:r w:rsidRPr="00452E2E">
        <w:fldChar w:fldCharType="separate"/>
      </w:r>
      <w:r w:rsidRPr="00452E2E">
        <w:rPr>
          <w:noProof/>
        </w:rPr>
        <w:t xml:space="preserve">(Farndale </w:t>
      </w:r>
      <w:r w:rsidRPr="00452E2E">
        <w:rPr>
          <w:i/>
          <w:noProof/>
        </w:rPr>
        <w:t>et al</w:t>
      </w:r>
      <w:r w:rsidRPr="00452E2E">
        <w:rPr>
          <w:noProof/>
        </w:rPr>
        <w:t>., 2011b; Wood &amp; de Menezes, 2011)</w:t>
      </w:r>
      <w:r w:rsidRPr="00452E2E">
        <w:fldChar w:fldCharType="end"/>
      </w:r>
      <w:r w:rsidRPr="00452E2E">
        <w:t xml:space="preserve">. In turn, this results to increased levels of job satisfaction </w:t>
      </w:r>
      <w:r w:rsidRPr="00452E2E">
        <w:fldChar w:fldCharType="begin" w:fldLock="1"/>
      </w:r>
      <w:r w:rsidRPr="00452E2E">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"id" : "ITEM-2",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"ITEM-2", "issue" : "7", "issued" : { "date-parts" : [ [ "2011" ] ] }, "page" : "1586-1610", "title" : "High involvement management, high-performance work systems and well-being", "type" : "article-journal", "volume" : "22" }, "uris" : [ "http://www.mendeley.com/documents/?uuid=f03e0834-790d-47b4-8abc-ab22f06c3537" ] }, { "id" : "ITEM-3", "itemData" : { "abstract" : "Using a national population survey, this article examines how high-involvement work processes affect employee well-being. The analysis shows that greater experiences of autonomy and participation in decision-making have positive or neutral effects. Higher involvement is a key factor predicting higher job satisfaction and better work\u2013life balance while it has no relationship to stress or fatigue. In contrast, higher levels of work intensity increase fatigue and stress and undermine work\u2013life balance. If the quality of working life is a key objective in a reform based on greater employee involvement, close attention needs to be paid to the balance between processes that release human potential and those that increase the intensity of work. Keywords", "author" : [ { "dropping-particle" : "", "family" : "Boxall", "given" : "Peter", "non-dropping-particle" : "", "parse-names" : false, "suffix" : "" }, { "dropping-particle" : "", "family" : "Macky", "given" : "Keith", "non-dropping-particle" : "", "parse-names" : false, "suffix" : "" } ], "container-title" : "Work, Employment &amp; Society", "id" : "ITEM-3", "issue" : "6", "issued" : { "date-parts" : [ [ "2014" ] ] }, "page" : "963-984", "title" : "High-involvement work process, work intensification and employee well-being", "type" : "article-journal", "volume" : "28" }, "uris" : [ "http://www.mendeley.com/documents/?uuid=676e6816-0c74-4d96-b5f0-7e364ff2d3fc" ] }, { "id" : "ITEM-4", "itemData" : { "DOI" : "10.1080/09585192.2014.990397", "ISBN" : "0958-5192", "ISSN" : "0958-5192", "abstract" : "The participation of \u2018new generation\u2019 employees in management and their satisfaction in the workplace, respectively, remain more than ever important issues in the Chinese societal context in particular, as well as having wider implications for human resource management in general. This study accordingly explores the influence of employee participation mechanisms on the satisfaction of this new generation of employees \u2013 by carrying out empirical research in the manufacturing industry in China. The main theoretical contribution aims to show that the participation of such new generation employees in management, supervision and decision-making has a significantly positive impact on their work satisfaction. Furthermore, the employees' willingness to participate (participation intention) appears to play a moderating role between actual participation on the one hand, and satisfaction on the other. Such findings, we argue, potentially apply not only in the societal context of China but might also resonate more wi...", "author" : [ { "dropping-particle" : "", "family" : "Zhu", "given" : "Ying", "non-dropping-particle" : "", "parse-names" : false, "suffix" : "" }, { "dropping-particle" : "", "family" : "Xie", "given" : "Yuhua", "non-dropping-particle" : "", "parse-names" : false, "suffix" : "" }, { "dropping-particle" : "", "family" : "Warner", "given" : "Malcolm", "non-dropping-particle" : "", "parse-names" : false, "suffix" : "" }, { "dropping-particle" : "", "family" : "Guo", "given" : "Yongxing", "non-dropping-particle" : "", "parse-names" : false, "suffix" : "" } ], "container-title" : "The International Journal of Human Resource Management", "id" : "ITEM-4", "issue" : "19", "issued" : { "date-parts" : [ [ "2015" ] ] }, "page" : "2395-2411", "title" : "Employee participation and the influence on job satisfaction of the \u2018new generation\u2019 of Chinese employees", "type" : "article-journal", "volume" : "26" }, "uris" : [ "http://www.mendeley.com/documents/?uuid=cf70f772-fc41-4d32-9ecf-6c68c1510b25" ] } ], "mendeley" : { "formattedCitation" : "(Wright &amp; Kim 2004; Wood &amp; de Menezes 2011; Boxall &amp; Macky 2014; Zhu et al. 2015)", "manualFormatting" : "(Wright &amp; Kim, 2004; Wood &amp; de Menezes, 2011; Boxall &amp; Macky, 2014; Zhu et al., 2015)", "plainTextFormattedCitation" : "(Wright &amp; Kim 2004; Wood &amp; de Menezes 2011; Boxall &amp; Macky 2014; Zhu et al. 2015)", "previouslyFormattedCitation" : "(Wright &amp; Kim 2004; Wood &amp; de Menezes 2011; Boxall &amp; Macky 2014; Zhu et al. 2015)" }, "properties" : { "noteIndex" : 0 }, "schema" : "https://github.com/citation-style-language/schema/raw/master/csl-citation.json" }</w:instrText>
      </w:r>
      <w:r w:rsidRPr="00452E2E">
        <w:fldChar w:fldCharType="separate"/>
      </w:r>
      <w:r w:rsidRPr="00452E2E">
        <w:rPr>
          <w:noProof/>
        </w:rPr>
        <w:t xml:space="preserve">(Wright &amp; Kim, 2004; Wood &amp; de Menezes, 2011; Boxall &amp; Macky, 2014; Zhu </w:t>
      </w:r>
      <w:r w:rsidRPr="00452E2E">
        <w:rPr>
          <w:i/>
          <w:noProof/>
        </w:rPr>
        <w:t>et al</w:t>
      </w:r>
      <w:r w:rsidRPr="00452E2E">
        <w:rPr>
          <w:noProof/>
        </w:rPr>
        <w:t>., 2015)</w:t>
      </w:r>
      <w:r w:rsidRPr="00452E2E">
        <w:fldChar w:fldCharType="end"/>
      </w:r>
      <w:r w:rsidRPr="00452E2E">
        <w:t xml:space="preserve">. </w:t>
      </w:r>
    </w:p>
    <w:p w:rsidR="00F75649" w:rsidRPr="00452E2E" w:rsidRDefault="00F75649" w:rsidP="00F75649">
      <w:pPr>
        <w:spacing w:line="360" w:lineRule="auto"/>
        <w:jc w:val="both"/>
        <w:rPr>
          <w:szCs w:val="24"/>
        </w:rPr>
      </w:pPr>
      <w:r w:rsidRPr="00452E2E">
        <w:rPr>
          <w:szCs w:val="24"/>
        </w:rPr>
        <w:t xml:space="preserve">Employee participation creates a feeling that the organization trusts employees to make sound judgement about task-related decisions </w:t>
      </w:r>
      <w:r w:rsidRPr="00452E2E">
        <w:rPr>
          <w:szCs w:val="24"/>
        </w:rPr>
        <w:fldChar w:fldCharType="begin" w:fldLock="1"/>
      </w:r>
      <w:r w:rsidRPr="00452E2E">
        <w:rPr>
          <w:szCs w:val="24"/>
        </w:rPr>
        <w:instrText>ADDIN CSL_CITATION { "citationItems" : [ { "id" : "ITEM-1",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"ITEM-1", "issue" : "7", "issued" : { "date-parts" : [ [ "2011" ] ] }, "page" : "1586-1610", "title" : "High involvement management, high-performance work systems and well-being", "type" : "article-journal", "volume" : "22" }, "uris" : [ "http://www.mendeley.com/documents/?uuid=f03e0834-790d-47b4-8abc-ab22f06c3537" ] }, { "id" : "ITEM-2", "itemData" : { "DOI" : "10.1080/09585192.2014.990397", "ISBN" : "0958-5192", "ISSN" : "0958-5192", "abstract" : "The participation of \u2018new generation\u2019 employees in management and their satisfaction in the workplace, respectively, remain more than ever important issues in the Chinese societal context in particular, as well as having wider implications for human resource management in general. This study accordingly explores the influence of employee participation mechanisms on the satisfaction of this new generation of employees \u2013 by carrying out empirical research in the manufacturing industry in China. The main theoretical contribution aims to show that the participation of such new generation employees in management, supervision and decision-making has a significantly positive impact on their work satisfaction. Furthermore, the employees' willingness to participate (participation intention) appears to play a moderating role between actual participation on the one hand, and satisfaction on the other. Such findings, we argue, potentially apply not only in the societal context of China but might also resonate more wi...", "author" : [ { "dropping-particle" : "", "family" : "Zhu", "given" : "Ying", "non-dropping-particle" : "", "parse-names" : false, "suffix" : "" }, { "dropping-particle" : "", "family" : "Xie", "given" : "Yuhua", "non-dropping-particle" : "", "parse-names" : false, "suffix" : "" }, { "dropping-particle" : "", "family" : "Warner", "given" : "Malcolm", "non-dropping-particle" : "", "parse-names" : false, "suffix" : "" }, { "dropping-particle" : "", "family" : "Guo", "given" : "Yongxing", "non-dropping-particle" : "", "parse-names" : false, "suffix" : "" } ], "container-title" : "The International Journal of Human Resource Management", "id" : "ITEM-2", "issue" : "19", "issued" : { "date-parts" : [ [ "2015" ] ] }, "page" : "2395-2411", "title" : "Employee participation and the influence on job satisfaction of the \u2018new generation\u2019 of Chinese employees", "type" : "article-journal", "volume" : "26" }, "uris" : [ "http://www.mendeley.com/documents/?uuid=cf70f772-fc41-4d32-9ecf-6c68c1510b25" ] } ], "mendeley" : { "formattedCitation" : "(Wood &amp; de Menezes 2011; Zhu et al. 2015)", "manualFormatting" : "(Wood &amp; de Menezes, 2011; Zhu et al., 2015)", "plainTextFormattedCitation" : "(Wood &amp; de Menezes 2011; Zhu et al. 2015)", "previouslyFormattedCitation" : "(Wood &amp; de Menezes 2011; Zhu et al. 2015)" }, "properties" : { "noteIndex" : 0 }, "schema" : "https://github.com/citation-style-language/schema/raw/master/csl-citation.json" }</w:instrText>
      </w:r>
      <w:r w:rsidRPr="00452E2E">
        <w:rPr>
          <w:szCs w:val="24"/>
        </w:rPr>
        <w:fldChar w:fldCharType="separate"/>
      </w:r>
      <w:r w:rsidRPr="00452E2E">
        <w:rPr>
          <w:noProof/>
          <w:szCs w:val="24"/>
        </w:rPr>
        <w:t xml:space="preserve">(Wood &amp; de Menezes, 2011; Zhu </w:t>
      </w:r>
      <w:r w:rsidRPr="00452E2E">
        <w:rPr>
          <w:i/>
          <w:noProof/>
          <w:szCs w:val="24"/>
        </w:rPr>
        <w:t>et al</w:t>
      </w:r>
      <w:r w:rsidRPr="00452E2E">
        <w:rPr>
          <w:noProof/>
          <w:szCs w:val="24"/>
        </w:rPr>
        <w:t>., 2015)</w:t>
      </w:r>
      <w:r w:rsidRPr="00452E2E">
        <w:rPr>
          <w:szCs w:val="24"/>
        </w:rPr>
        <w:fldChar w:fldCharType="end"/>
      </w:r>
      <w:r w:rsidRPr="00452E2E">
        <w:rPr>
          <w:szCs w:val="24"/>
        </w:rPr>
        <w:t xml:space="preserve"> This feeling of trust enables employees to be emotionally attached to, and identify with the organization </w:t>
      </w:r>
      <w:r w:rsidRPr="00452E2E">
        <w:rPr>
          <w:szCs w:val="24"/>
        </w:rPr>
        <w:fldChar w:fldCharType="begin" w:fldLock="1"/>
      </w:r>
      <w:r w:rsidRPr="00452E2E">
        <w:rPr>
          <w:szCs w:val="24"/>
        </w:rPr>
        <w:instrText>ADDIN CSL_CITATION { "citationItems" : [ { "id" : "ITEM-1", "itemData" : { "DOI" : "10.1080/13678868.2011.621286", "ISBN" : "1367-8868\\r1469-8374", "ISSN" : "1367-8868", "abstract" : "This paper explores the moderating role of cultural values on relationships between participation satisfaction (PS) and employees\u2019 organizational commitment (OC). A survey of 1390 employees of Bharat Sanchar Nigam Limited, a Government of India Public Sector Undertaking providing telecommunication services across India, shows that PS is directly related to OC, and is moderated by employees\u2019 cultural values at individual level. The form of moderation reveals: positive and insignificant relationship between PS and affective commitment for employees high in uncertainty avoidance; positive and significant relationship between PS and normative commitment for employees high in individualism/collectivism, low in masculinity/femininity, and low in power distance. No moderation has been found in the relationship between PS and continuance commitment. [ABSTRACT FROM AUTHOR]", "author" : [ { "dropping-particle" : "", "family" : "Singh", "given" : "R.N.", "non-dropping-particle" : "", "parse-names" : false, "suffix" : "" }, { "dropping-particle" : "", "family" : "Mohanty", "given" : "R.P.", "non-dropping-particle" : "", "parse-names" : false, "suffix" : "" } ], "container-title" : "Human Resource Development International", "id" : "ITEM-1", "issue" : "5", "issued" : { "date-parts" : [ [ "2011" ] ] }, "page" : "583-603", "title" : "Participation satisfaction and organizational commitment: Moderating role of employee's cultural values", "type" : "article-journal", "volume" : "14" }, "uris" : [ "http://www.mendeley.com/documents/?uuid=458f8c4b-7056-4521-8366-361c5f606987" ] }, { "id" : "ITEM-2",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"ITEM-2", "issue" : "3", "issued" : { "date-parts" : [ [ "2014" ] ] }, "page" : "403-420", "title" : "How high-commitment HRM relates to engagement and commitment: The moderating role of task proficiency", "type" : "article-journal", "volume" : "53" }, "uris" : [ "http://www.mendeley.com/documents/?uuid=cb756747-5761-4893-aa48-62d0692bb7b9" ] } ], "mendeley" : { "formattedCitation" : "(Singh &amp; Mohanty 2011; Boon &amp; Kalshoven 2014)", "manualFormatting" : "(Singh &amp; Mohanty, 2011; Boon &amp; Kalshoven, 2014)", "plainTextFormattedCitation" : "(Singh &amp; Mohanty 2011; Boon &amp; Kalshoven 2014)", "previouslyFormattedCitation" : "(Singh &amp; Mohanty 2011; Boon &amp; Kalshoven 2014)" }, "properties" : { "noteIndex" : 0 }, "schema" : "https://github.com/citation-style-language/schema/raw/master/csl-citation.json" }</w:instrText>
      </w:r>
      <w:r w:rsidRPr="00452E2E">
        <w:rPr>
          <w:szCs w:val="24"/>
        </w:rPr>
        <w:fldChar w:fldCharType="separate"/>
      </w:r>
      <w:r w:rsidRPr="00452E2E">
        <w:rPr>
          <w:noProof/>
          <w:szCs w:val="24"/>
        </w:rPr>
        <w:t>(Singh &amp; Mohanty, 2011; Boon &amp; Kalshoven, 2014)</w:t>
      </w:r>
      <w:r w:rsidRPr="00452E2E">
        <w:rPr>
          <w:szCs w:val="24"/>
        </w:rPr>
        <w:fldChar w:fldCharType="end"/>
      </w:r>
      <w:r w:rsidRPr="00452E2E">
        <w:rPr>
          <w:szCs w:val="24"/>
        </w:rPr>
        <w:t xml:space="preserve">. This means that a positive relationship exists between participation and affective commitment </w:t>
      </w:r>
      <w:r w:rsidRPr="00452E2E">
        <w:rPr>
          <w:szCs w:val="24"/>
        </w:rPr>
        <w:fldChar w:fldCharType="begin" w:fldLock="1"/>
      </w:r>
      <w:r w:rsidRPr="00452E2E">
        <w:rPr>
          <w:szCs w:val="24"/>
        </w:rPr>
        <w:instrText>ADDIN CSL_CITATION { "citationItems" : [ { "id" : "ITEM-1",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"ITEM-1", "issue" : "4", "issued" : { "date-parts" : [ [ "2010" ] ] }, "page" : "368-392", "title" : "Participative decision making and organizational commitment", "type" : "article-journal", "volume" : "17" }, "uris" : [ "http://www.mendeley.com/documents/?uuid=0fdfa12a-cb95-4f52-9f14-24feff7c4e3b" ] }, { "id" : "ITEM-2", "itemData" : { "DOI" : "10.1080/13678868.2011.621286", "ISBN" : "1367-8868\\r1469-8374", "ISSN" : "1367-8868", "abstract" : "This paper explores the moderating role of cultural values on relationships between participation satisfaction (PS) and employees\u2019 organizational commitment (OC). A survey of 1390 employees of Bharat Sanchar Nigam Limited, a Government of India Public Sector Undertaking providing telecommunication services across India, shows that PS is directly related to OC, and is moderated by employees\u2019 cultural values at individual level. The form of moderation reveals: positive and insignificant relationship between PS and affective commitment for employees high in uncertainty avoidance; positive and significant relationship between PS and normative commitment for employees high in individualism/collectivism, low in masculinity/femininity, and low in power distance. No moderation has been found in the relationship between PS and continuance commitment. [ABSTRACT FROM AUTHOR]", "author" : [ { "dropping-particle" : "", "family" : "Singh", "given" : "R.N.", "non-dropping-particle" : "", "parse-names" : false, "suffix" : "" }, { "dropping-particle" : "", "family" : "Mohanty", "given" : "R.P.", "non-dropping-particle" : "", "parse-names" : false, "suffix" : "" } ], "container-title" : "Human Resource Development International", "id" : "ITEM-2", "issue" : "5", "issued" : { "date-parts" : [ [ "2011" ] ] }, "page" : "583-603", "title" : "Participation satisfaction and organizational commitment: Moderating role of employee's cultural values", "type" : "article-journal", "volume" : "14" }, "uris" : [ "http://www.mendeley.com/documents/?uuid=458f8c4b-7056-4521-8366-361c5f606987" ] }, { "id" : "ITEM-3",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"ITEM-3", "issue" : "3", "issued" : { "date-parts" : [ [ "2014" ] ] }, "page" : "403-420", "title" : "How high-commitment HRM relates to engagement and commitment: The moderating role of task proficiency", "type" : "article-journal", "volume" : "53" }, "uris" : [ "http://www.mendeley.com/documents/?uuid=cb756747-5761-4893-aa48-62d0692bb7b9" ] } ], "mendeley" : { "formattedCitation" : "(Elele &amp; Fields 2010; Singh &amp; Mohanty 2011; Boon &amp; Kalshoven 2014)", "manualFormatting" : "(Elele &amp; Fields, 2010; Singh &amp; Mohanty, 2011; Boon &amp; Kalshoven, 2014)", "plainTextFormattedCitation" : "(Elele &amp; Fields 2010; Singh &amp; Mohanty 2011; Boon &amp; Kalshoven 2014)", "previouslyFormattedCitation" : "(Elele &amp; Fields 2010; Singh &amp; Mohanty 2011; Boon &amp; Kalshoven 2014)" }, "properties" : { "noteIndex" : 0 }, "schema" : "https://github.com/citation-style-language/schema/raw/master/csl-citation.json" }</w:instrText>
      </w:r>
      <w:r w:rsidRPr="00452E2E">
        <w:rPr>
          <w:szCs w:val="24"/>
        </w:rPr>
        <w:fldChar w:fldCharType="separate"/>
      </w:r>
      <w:r w:rsidRPr="00452E2E">
        <w:rPr>
          <w:noProof/>
          <w:szCs w:val="24"/>
        </w:rPr>
        <w:t>(Elele &amp; Fields, 2010; Singh &amp; Mohanty, 2011; Boon &amp; Kalshoven, 2014)</w:t>
      </w:r>
      <w:r w:rsidRPr="00452E2E">
        <w:rPr>
          <w:szCs w:val="24"/>
        </w:rPr>
        <w:fldChar w:fldCharType="end"/>
      </w:r>
      <w:r w:rsidRPr="00452E2E">
        <w:rPr>
          <w:szCs w:val="24"/>
        </w:rPr>
        <w:t xml:space="preserve">. Similarly, as employees enjoy this influence, they will feel compelled to maintain membership with the organization since they may feel that the influence and esteem they presently enjoy might be lost if </w:t>
      </w:r>
      <w:r w:rsidRPr="00452E2E">
        <w:rPr>
          <w:szCs w:val="24"/>
        </w:rPr>
        <w:lastRenderedPageBreak/>
        <w:t xml:space="preserve">they went elsewhere, thus resulting to a positive relationship between employee participation and continuance commitment </w:t>
      </w:r>
      <w:r w:rsidRPr="00452E2E">
        <w:rPr>
          <w:szCs w:val="24"/>
        </w:rPr>
        <w:fldChar w:fldCharType="begin" w:fldLock="1"/>
      </w:r>
      <w:r w:rsidRPr="00452E2E">
        <w:rPr>
          <w:szCs w:val="24"/>
        </w:rPr>
        <w:instrText>ADDIN CSL_CITATION { "citationItems" : [ { "id" : "ITEM-1", "itemData" : { "DOI" : "10.1080/13678868.2011.621286", "ISBN" : "1367-8868\\r1469-8374", "ISSN" : "1367-8868", "abstract" : "This paper explores the moderating role of cultural values on relationships between participation satisfaction (PS) and employees\u2019 organizational commitment (OC). A survey of 1390 employees of Bharat Sanchar Nigam Limited, a Government of India Public Sector Undertaking providing telecommunication services across India, shows that PS is directly related to OC, and is moderated by employees\u2019 cultural values at individual level. The form of moderation reveals: positive and insignificant relationship between PS and affective commitment for employees high in uncertainty avoidance; positive and significant relationship between PS and normative commitment for employees high in individualism/collectivism, low in masculinity/femininity, and low in power distance. No moderation has been found in the relationship between PS and continuance commitment. [ABSTRACT FROM AUTHOR]", "author" : [ { "dropping-particle" : "", "family" : "Singh", "given" : "R.N.", "non-dropping-particle" : "", "parse-names" : false, "suffix" : "" }, { "dropping-particle" : "", "family" : "Mohanty", "given" : "R.P.", "non-dropping-particle" : "", "parse-names" : false, "suffix" : "" } ], "container-title" : "Human Resource Development International", "id" : "ITEM-1", "issue" : "5", "issued" : { "date-parts" : [ [ "2011" ] ] }, "page" : "583-603", "title" : "Participation satisfaction and organizational commitment: Moderating role of employee's cultural values", "type" : "article-journal", "volume" : "14" }, "uris" : [ "http://www.mendeley.com/documents/?uuid=458f8c4b-7056-4521-8366-361c5f606987" ] } ], "mendeley" : { "formattedCitation" : "(Singh &amp; Mohanty 2011)", "manualFormatting" : "(Singh &amp; Mohanty, 2011)", "plainTextFormattedCitation" : "(Singh &amp; Mohanty 2011)", "previouslyFormattedCitation" : "(Singh &amp; Mohanty 2011)" }, "properties" : { "noteIndex" : 0 }, "schema" : "https://github.com/citation-style-language/schema/raw/master/csl-citation.json" }</w:instrText>
      </w:r>
      <w:r w:rsidRPr="00452E2E">
        <w:rPr>
          <w:szCs w:val="24"/>
        </w:rPr>
        <w:fldChar w:fldCharType="separate"/>
      </w:r>
      <w:r w:rsidRPr="00452E2E">
        <w:rPr>
          <w:noProof/>
          <w:szCs w:val="24"/>
        </w:rPr>
        <w:t>(Singh &amp; Mohanty, 2011)</w:t>
      </w:r>
      <w:r w:rsidRPr="00452E2E">
        <w:rPr>
          <w:szCs w:val="24"/>
        </w:rPr>
        <w:fldChar w:fldCharType="end"/>
      </w:r>
      <w:r w:rsidRPr="00452E2E">
        <w:rPr>
          <w:szCs w:val="24"/>
        </w:rPr>
        <w:t xml:space="preserve">. This will be particularly true where there are few job alternatives </w:t>
      </w:r>
      <w:r w:rsidRPr="00452E2E">
        <w:rPr>
          <w:szCs w:val="24"/>
        </w:rPr>
        <w:fldChar w:fldCharType="begin" w:fldLock="1"/>
      </w:r>
      <w:r w:rsidRPr="00452E2E">
        <w:rPr>
          <w:szCs w:val="24"/>
        </w:rPr>
        <w:instrText>ADDIN CSL_CITATION { "citationItems" : [ { "id" : "ITEM-1", "itemData" : { "DOI" : "10.1006/jvbe.2001.1842", "ISBN" : "0001-8791", "ISSN" : "00018791", "abstract" : "The authors conducted meta-analyses to assess (a) relations among affective, continuance, and normative commitment to the organization and (b) relations between the three forms of commitment and variables identified as their antecedents, correlates, and consequences in Meyer and Allen's (1991) Three-Component Model. They found that the three forms of commitment are related yet distinguishable from one another as well as from job satisfaction, job involvement, and occupational commitment. Affective and continuance commitment generally correlated as expected with their hypothesized antecedent variables; no unique antecedents of normative commitment were identified. Also, as expected, all three forms of commitment related negatively to withdrawal cognition and turnover, and affective commitment had the strongest and most favorable correlations with organization-relevant (attendance, performance, and organizational citizenship behavior) and employee-relevant (stress and work\u2013family conflict) outcomes. Normative commitment was also associated with desirable outcomes, albeit not as strongly. Continuance commitment was unrelated, or related negatively, to these outcomes. Comparisons of studies conducted within and outside North America revealed considerable similarity yet suggested that more systematic primary research concerning cultural differences is warranted.", "author" : [ { "dropping-particle" : "", "family" : "Meyer", "given" : "John P.", "non-dropping-particle" : "", "parse-names" : false, "suffix" : "" }, { "dropping-particle" : "", "family" : "Stanley", "given" : "David J.", "non-dropping-particle" : "", "parse-names" : false, "suffix" : "" }, { "dropping-particle" : "", "family" : "Herscovitch", "given" : "Lynne", "non-dropping-particle" : "", "parse-names" : false, "suffix" : "" }, { "dropping-particle" : "", "family" : "Topolnytsky", "given" : "Laryssa", "non-dropping-particle" : "", "parse-names" : false, "suffix" : "" } ], "container-title" : "Journal of Vocational Behavior", "id" : "ITEM-1", "issue" : "1", "issued" : { "date-parts" : [ [ "2002" ] ] }, "page" : "20-52", "title" : "Affective, continuance, and normative commitment to the organization: A meta-analysis of antecedents, correlates, and consequences", "type" : "article-journal", "volume" : "61" }, "uris" : [ "http://www.mendeley.com/documents/?uuid=4b6f796b-90a4-4257-a17e-f2d7bf3f323e" ] } ], "mendeley" : { "formattedCitation" : "(Meyer et al. 2002)", "manualFormatting" : "(Meyer et al., 2002)", "plainTextFormattedCitation" : "(Meyer et al. 2002)", "previouslyFormattedCitation" : "(Meyer et al. 2002)" }, "properties" : { "noteIndex" : 0 }, "schema" : "https://github.com/citation-style-language/schema/raw/master/csl-citation.json" }</w:instrText>
      </w:r>
      <w:r w:rsidRPr="00452E2E">
        <w:rPr>
          <w:szCs w:val="24"/>
        </w:rPr>
        <w:fldChar w:fldCharType="separate"/>
      </w:r>
      <w:r w:rsidRPr="00452E2E">
        <w:rPr>
          <w:noProof/>
          <w:szCs w:val="24"/>
        </w:rPr>
        <w:t xml:space="preserve">(Meyer </w:t>
      </w:r>
      <w:r w:rsidRPr="00452E2E">
        <w:rPr>
          <w:i/>
          <w:noProof/>
          <w:szCs w:val="24"/>
        </w:rPr>
        <w:t>et al</w:t>
      </w:r>
      <w:r w:rsidRPr="00452E2E">
        <w:rPr>
          <w:noProof/>
          <w:szCs w:val="24"/>
        </w:rPr>
        <w:t>., 2002)</w:t>
      </w:r>
      <w:r w:rsidRPr="00452E2E">
        <w:rPr>
          <w:szCs w:val="24"/>
        </w:rPr>
        <w:fldChar w:fldCharType="end"/>
      </w:r>
      <w:r w:rsidRPr="00452E2E">
        <w:rPr>
          <w:szCs w:val="24"/>
        </w:rPr>
        <w:t xml:space="preserve">, as is the case of Nigeria. Finally, as employees are given some form of influence over work-related decisions, they will feel obligated to reciprocate this gesture by remaining with the organization, resulting to a positive relationship between employee participation and normative commitment </w:t>
      </w:r>
      <w:r w:rsidRPr="00452E2E">
        <w:rPr>
          <w:szCs w:val="24"/>
        </w:rPr>
        <w:fldChar w:fldCharType="begin" w:fldLock="1"/>
      </w:r>
      <w:r w:rsidRPr="00452E2E">
        <w:rPr>
          <w:szCs w:val="24"/>
        </w:rPr>
        <w:instrText>ADDIN CSL_CITATION { "citationItems" : [ { "id" : "ITEM-1",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"ITEM-1", "issue" : "4", "issued" : { "date-parts" : [ [ "2010" ] ] }, "page" : "368-392", "title" : "Participative decision making and organizational commitment", "type" : "article-journal", "volume" : "17" }, "uris" : [ "http://www.mendeley.com/documents/?uuid=0fdfa12a-cb95-4f52-9f14-24feff7c4e3b" ] } ], "mendeley" : { "formattedCitation" : "(Elele &amp; Fields 2010)", "manualFormatting" : "(Elele &amp; Fields, 2010)", "plainTextFormattedCitation" : "(Elele &amp; Fields 2010)", "previouslyFormattedCitation" : "(Elele &amp; Fields 2010)" }, "properties" : { "noteIndex" : 0 }, "schema" : "https://github.com/citation-style-language/schema/raw/master/csl-citation.json" }</w:instrText>
      </w:r>
      <w:r w:rsidRPr="00452E2E">
        <w:rPr>
          <w:szCs w:val="24"/>
        </w:rPr>
        <w:fldChar w:fldCharType="separate"/>
      </w:r>
      <w:r w:rsidRPr="00452E2E">
        <w:rPr>
          <w:noProof/>
          <w:szCs w:val="24"/>
        </w:rPr>
        <w:t>(Elele &amp; Fields, 2010)</w:t>
      </w:r>
      <w:r w:rsidRPr="00452E2E">
        <w:rPr>
          <w:szCs w:val="24"/>
        </w:rPr>
        <w:fldChar w:fldCharType="end"/>
      </w:r>
      <w:r w:rsidRPr="00452E2E">
        <w:rPr>
          <w:szCs w:val="24"/>
        </w:rPr>
        <w:t xml:space="preserve">. </w:t>
      </w:r>
    </w:p>
    <w:p w:rsidR="00400BB5" w:rsidRPr="00452E2E" w:rsidRDefault="00F75649" w:rsidP="00D03A8E">
      <w:pPr>
        <w:spacing w:line="360" w:lineRule="auto"/>
        <w:jc w:val="both"/>
        <w:rPr>
          <w:szCs w:val="24"/>
        </w:rPr>
      </w:pPr>
      <w:r w:rsidRPr="00452E2E">
        <w:rPr>
          <w:szCs w:val="24"/>
        </w:rPr>
        <w:t>Based on the foregoing, it is evident that HR practices may contribute to positive employee attitudes in the form of job satisfaction and organizational commitment. In the subsequent sections, previous studies linking HR practices and employee attitudes of job satisfaction and organizational commitment will be presented. This will be followed by an analysis of these studies in order to identify the research gaps that the present study seeks to fill.</w:t>
      </w:r>
      <w:r w:rsidR="00175283" w:rsidRPr="00452E2E">
        <w:rPr>
          <w:szCs w:val="24"/>
        </w:rPr>
        <w:t xml:space="preserve"> It is worth stating that t</w:t>
      </w:r>
      <w:r w:rsidR="00F27A48" w:rsidRPr="00452E2E">
        <w:rPr>
          <w:szCs w:val="24"/>
        </w:rPr>
        <w:t xml:space="preserve">he studies presented were drawn from a literature search on Web of Science by entering search terms such as </w:t>
      </w:r>
      <w:r w:rsidR="0063748B" w:rsidRPr="00452E2E">
        <w:rPr>
          <w:szCs w:val="24"/>
        </w:rPr>
        <w:t>‘</w:t>
      </w:r>
      <w:r w:rsidR="00F27A48" w:rsidRPr="00452E2E">
        <w:rPr>
          <w:szCs w:val="24"/>
        </w:rPr>
        <w:t>HRM and job satisfaction</w:t>
      </w:r>
      <w:r w:rsidR="0063748B" w:rsidRPr="00452E2E">
        <w:rPr>
          <w:szCs w:val="24"/>
        </w:rPr>
        <w:t>’</w:t>
      </w:r>
      <w:r w:rsidR="00F27A48" w:rsidRPr="00452E2E">
        <w:rPr>
          <w:szCs w:val="24"/>
        </w:rPr>
        <w:t xml:space="preserve">, </w:t>
      </w:r>
      <w:r w:rsidR="0063748B" w:rsidRPr="00452E2E">
        <w:rPr>
          <w:szCs w:val="24"/>
        </w:rPr>
        <w:t>‘</w:t>
      </w:r>
      <w:r w:rsidR="00F27A48" w:rsidRPr="00452E2E">
        <w:rPr>
          <w:szCs w:val="24"/>
        </w:rPr>
        <w:t xml:space="preserve">HRM </w:t>
      </w:r>
      <w:r w:rsidR="00175283" w:rsidRPr="00452E2E">
        <w:rPr>
          <w:szCs w:val="24"/>
        </w:rPr>
        <w:t>and organizational commitment</w:t>
      </w:r>
      <w:r w:rsidR="0063748B" w:rsidRPr="00452E2E">
        <w:rPr>
          <w:szCs w:val="24"/>
        </w:rPr>
        <w:t>’</w:t>
      </w:r>
      <w:r w:rsidR="00175283" w:rsidRPr="00452E2E">
        <w:rPr>
          <w:szCs w:val="24"/>
        </w:rPr>
        <w:t xml:space="preserve">, </w:t>
      </w:r>
      <w:r w:rsidR="0063748B" w:rsidRPr="00452E2E">
        <w:rPr>
          <w:szCs w:val="24"/>
        </w:rPr>
        <w:t>‘</w:t>
      </w:r>
      <w:r w:rsidR="00175283" w:rsidRPr="00452E2E">
        <w:rPr>
          <w:szCs w:val="24"/>
        </w:rPr>
        <w:t>t</w:t>
      </w:r>
      <w:r w:rsidR="00F27A48" w:rsidRPr="00452E2E">
        <w:rPr>
          <w:szCs w:val="24"/>
        </w:rPr>
        <w:t>raining and job satisfaction</w:t>
      </w:r>
      <w:r w:rsidR="0063748B" w:rsidRPr="00452E2E">
        <w:rPr>
          <w:szCs w:val="24"/>
        </w:rPr>
        <w:t>’</w:t>
      </w:r>
      <w:r w:rsidR="00F27A48" w:rsidRPr="00452E2E">
        <w:rPr>
          <w:szCs w:val="24"/>
        </w:rPr>
        <w:t xml:space="preserve">, </w:t>
      </w:r>
      <w:r w:rsidR="0063748B" w:rsidRPr="00452E2E">
        <w:rPr>
          <w:szCs w:val="24"/>
        </w:rPr>
        <w:t>‘</w:t>
      </w:r>
      <w:r w:rsidR="00F27A48" w:rsidRPr="00452E2E">
        <w:rPr>
          <w:szCs w:val="24"/>
        </w:rPr>
        <w:t>training and organizational commitment</w:t>
      </w:r>
      <w:r w:rsidR="0063748B" w:rsidRPr="00452E2E">
        <w:rPr>
          <w:szCs w:val="24"/>
        </w:rPr>
        <w:t>’</w:t>
      </w:r>
      <w:r w:rsidR="00F27A48" w:rsidRPr="00452E2E">
        <w:rPr>
          <w:szCs w:val="24"/>
        </w:rPr>
        <w:t xml:space="preserve">, </w:t>
      </w:r>
      <w:r w:rsidR="0063748B" w:rsidRPr="00452E2E">
        <w:rPr>
          <w:szCs w:val="24"/>
        </w:rPr>
        <w:t>‘</w:t>
      </w:r>
      <w:r w:rsidR="00ED1CDE" w:rsidRPr="00452E2E">
        <w:rPr>
          <w:szCs w:val="24"/>
        </w:rPr>
        <w:t>employee benefits and job satisfaction</w:t>
      </w:r>
      <w:r w:rsidR="0063748B" w:rsidRPr="00452E2E">
        <w:rPr>
          <w:szCs w:val="24"/>
        </w:rPr>
        <w:t>’</w:t>
      </w:r>
      <w:r w:rsidR="00ED1CDE" w:rsidRPr="00452E2E">
        <w:rPr>
          <w:szCs w:val="24"/>
        </w:rPr>
        <w:t xml:space="preserve">, </w:t>
      </w:r>
      <w:r w:rsidR="0063748B" w:rsidRPr="00452E2E">
        <w:rPr>
          <w:szCs w:val="24"/>
        </w:rPr>
        <w:t>‘</w:t>
      </w:r>
      <w:r w:rsidR="00ED1CDE" w:rsidRPr="00452E2E">
        <w:rPr>
          <w:szCs w:val="24"/>
        </w:rPr>
        <w:t>employee benefits and organizational commitment</w:t>
      </w:r>
      <w:r w:rsidR="0063748B" w:rsidRPr="00452E2E">
        <w:rPr>
          <w:szCs w:val="24"/>
        </w:rPr>
        <w:t>’</w:t>
      </w:r>
      <w:r w:rsidR="00ED1CDE" w:rsidRPr="00452E2E">
        <w:rPr>
          <w:szCs w:val="24"/>
        </w:rPr>
        <w:t xml:space="preserve">, </w:t>
      </w:r>
      <w:r w:rsidR="0063748B" w:rsidRPr="00452E2E">
        <w:rPr>
          <w:szCs w:val="24"/>
        </w:rPr>
        <w:t>‘</w:t>
      </w:r>
      <w:r w:rsidR="00ED1CDE" w:rsidRPr="00452E2E">
        <w:rPr>
          <w:szCs w:val="24"/>
        </w:rPr>
        <w:t>employee participation and job satisfaction</w:t>
      </w:r>
      <w:r w:rsidR="0063748B" w:rsidRPr="00452E2E">
        <w:rPr>
          <w:szCs w:val="24"/>
        </w:rPr>
        <w:t>’</w:t>
      </w:r>
      <w:r w:rsidR="00ED1CDE" w:rsidRPr="00452E2E">
        <w:rPr>
          <w:szCs w:val="24"/>
        </w:rPr>
        <w:t xml:space="preserve">, and </w:t>
      </w:r>
      <w:r w:rsidR="0063748B" w:rsidRPr="00452E2E">
        <w:rPr>
          <w:szCs w:val="24"/>
        </w:rPr>
        <w:t>‘</w:t>
      </w:r>
      <w:r w:rsidR="00ED1CDE" w:rsidRPr="00452E2E">
        <w:rPr>
          <w:szCs w:val="24"/>
        </w:rPr>
        <w:t>employee participation and organizational commitment</w:t>
      </w:r>
      <w:r w:rsidR="0063748B" w:rsidRPr="00452E2E">
        <w:rPr>
          <w:szCs w:val="24"/>
        </w:rPr>
        <w:t>’</w:t>
      </w:r>
      <w:r w:rsidR="00ED1CDE" w:rsidRPr="00452E2E">
        <w:rPr>
          <w:szCs w:val="24"/>
        </w:rPr>
        <w:t xml:space="preserve">. After sieving through the search results, studies that were considered relevant to </w:t>
      </w:r>
      <w:r w:rsidR="00967B96" w:rsidRPr="00452E2E">
        <w:rPr>
          <w:szCs w:val="24"/>
        </w:rPr>
        <w:t xml:space="preserve">addressing </w:t>
      </w:r>
      <w:r w:rsidR="00B80332" w:rsidRPr="00452E2E">
        <w:rPr>
          <w:szCs w:val="24"/>
        </w:rPr>
        <w:t xml:space="preserve">the research question </w:t>
      </w:r>
      <w:r w:rsidR="00ED1CDE" w:rsidRPr="00452E2E">
        <w:rPr>
          <w:szCs w:val="24"/>
        </w:rPr>
        <w:t>were then reviewed</w:t>
      </w:r>
      <w:r w:rsidR="009448E9" w:rsidRPr="00452E2E">
        <w:rPr>
          <w:szCs w:val="24"/>
        </w:rPr>
        <w:t xml:space="preserve"> and</w:t>
      </w:r>
      <w:r w:rsidR="00ED1CDE" w:rsidRPr="00452E2E">
        <w:rPr>
          <w:szCs w:val="24"/>
        </w:rPr>
        <w:t xml:space="preserve"> presented </w:t>
      </w:r>
      <w:r w:rsidR="009448E9" w:rsidRPr="00452E2E">
        <w:rPr>
          <w:szCs w:val="24"/>
        </w:rPr>
        <w:t>below</w:t>
      </w:r>
      <w:r w:rsidR="00ED1CDE" w:rsidRPr="00452E2E">
        <w:rPr>
          <w:szCs w:val="24"/>
        </w:rPr>
        <w:t xml:space="preserve">. </w:t>
      </w:r>
    </w:p>
    <w:p w:rsidR="00D03A8E" w:rsidRPr="00452E2E" w:rsidRDefault="0050429F" w:rsidP="000200A3">
      <w:pPr>
        <w:pStyle w:val="Heading4"/>
      </w:pPr>
      <w:bookmarkStart w:id="70" w:name="_Toc473808131"/>
      <w:r w:rsidRPr="00452E2E">
        <w:t>3.4.2</w:t>
      </w:r>
      <w:r w:rsidR="00D03A8E" w:rsidRPr="00452E2E">
        <w:t xml:space="preserve"> Studies on HR Practices and Job Satisfaction</w:t>
      </w:r>
      <w:bookmarkEnd w:id="70"/>
    </w:p>
    <w:p w:rsidR="00D03A8E" w:rsidRPr="00452E2E" w:rsidRDefault="00D03A8E" w:rsidP="00D03A8E">
      <w:pPr>
        <w:spacing w:line="360" w:lineRule="auto"/>
        <w:jc w:val="both"/>
        <w:rPr>
          <w:szCs w:val="24"/>
        </w:rPr>
      </w:pPr>
      <w:r w:rsidRPr="00452E2E">
        <w:rPr>
          <w:szCs w:val="24"/>
        </w:rPr>
        <w:t xml:space="preserve">Several studies have examined the relationship </w:t>
      </w:r>
      <w:r w:rsidR="00073ABB" w:rsidRPr="00452E2E">
        <w:rPr>
          <w:szCs w:val="24"/>
        </w:rPr>
        <w:t xml:space="preserve">between </w:t>
      </w:r>
      <w:r w:rsidRPr="00452E2E">
        <w:rPr>
          <w:szCs w:val="24"/>
        </w:rPr>
        <w:t xml:space="preserve">HR practices and job satisfaction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"abstract" : "There is a growing interest in theory and in practice with regard to the relationship between human resource management [HRM] and total quality management [TQM] as well as the relationship between these two perspectives and business performances. Empirical research suggests significant effects of HRM/TQM on the performances of an organisation. The majority of research in this area is focused on the effects of HRM/TQM at the organisational level. Research on the perceptions of individual employees might obtain new insights for further discussion on the effectiveness of HRM/TQM in an organisation. The authors have the opportunity to analyse a relatively large database with recent data of individual employee perceptions from a knowledge-intensive organisation in The Netherlands. This analysis gives new insight in relation to concepts like 'co-operation', 'information', 'leadership', 'salary', 'work conditions', and 'goal setting' in relation to employee satisfaction and the intention to leave the organisation.", "author" : [ { "dropping-particle" : "", "family" : "Boselie", "given" : "Paul", "non-dropping-particle" : "", "parse-names" : false, "suffix" : "" }, { "dropping-particle" : "", "family" : "Wiele", "given" : "Ton", "non-dropping-particle" : "van de", "parse-names" : false, "suffix" : "" } ], "container-title" : "Managing Service Quality: An International Journal", "id" : "ITEM-2", "issue" : "3", "issued" : { "date-parts" : [ [ "2002" ] ] }, "page" : "165-172", "title" : "Employee perceptions of HRM and TQM, and the effects on satisfaction and intention to leave", "type" : "article-journal", "volume" : "12" }, "uris" : [ "http://www.mendeley.com/documents/?uuid=ab366c04-da60-44e0-a0c4-47e9686ca1ca" ] }, { "id" : "ITEM-3", "itemData" : { "DOI" : "10.1080/09585190210158501", "ISBN" : "0958519021", "ISSN" : "0958-5192", "PMID" : "9173613", "abstract" : "This paper assesses the impact of bundles of HR practices on workplace trust, job satisfaction, commitment, effort and perceived organizational performance. A theoretical model is developed and tested using data collected through a postal survey of UK local government employees. The results support the hypothesis that HR practices are powerful predictors of trust and organizational performance. These findings demonstrate the need for public organizations to re-evaluate their current battery of HR practices in an attempt to improve overall performance.", "author" : [ { "dropping-particle" : "", "family" : "Gould-Williams", "given" : "Julian", "non-dropping-particle" : "", "parse-names" : false, "suffix" : "" } ], "container-title" : "The International Journal of Human Resource Management", "id" : "ITEM-3", "issue" : "1", "issued" : { "date-parts" : [ [ "2003" ] ] }, "page" : "28-54", "title" : "The importance of HR practices and workplace trust in achieving superior performance: A study of public-sector organizations", "type" : "article-journal", "volume" : "14" }, "uris" : [ "http://www.mendeley.com/documents/?uuid=fb0949b0-c830-4532-bfa9-55739950a3b5" ] }, { "id" : "ITEM-4", "itemData" : { "abstract" : "Although there is a growing body of evidence demonstrating positive effects of \u2018high commitment\u2019 HRM practices on organizational performance, there is less evidence evaluating their effects on individual workers, especially within the public sector. Therefore the implications of applying \u2018high commitment\u2019 practices in the public sector needs to be considered. This paper seeks to address this gap by reporting the results of a staff survey and follow-up interviews conducted on a cross-section of local government employees. The results showed that eight of the ten \u2018high commitment\u2019 practices had significant effects on worker attitudes. The results are discussed in light of HRM theory together with the implications for public sector managers.", "author" : [ { "dropping-particle" : "", "family" : "Gould-Williams", "given" : "Julian", "non-dropping-particle" : "", "parse-names" : false, "suffix" : "" } ], "container-title" : "Public Administration", "id" : "ITEM-4", "issue" : "1", "issued" : { "date-parts" : [ [ "2004" ] ] }, "page" : "63-81", "title" : "The effects of 'high commitment' HRM practices on employee attitude: The views of public sector workers", "type" : "article-journal", "volume" : "82" }, "uris" : [ "http://www.mendeley.com/documents/?uuid=1ea3bc7e-762b-4578-9d64-abbee580b748" ] }, { "id" : "ITEM-5",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"ITEM-5", "issue" : "5", "issued" : { "date-parts" : [ [ "2005" ] ] }, "page" : "534-549", "title" : "HRM practice and employee attitudes: Different measures \u2013 different results", "type" : "article-journal", "volume" : "34" }, "uris" : [ "http://www.mendeley.com/documents/?uuid=9d6909f5-8480-4f8c-af13-1d14286dcfa0" ] }, { "id" : "ITEM-6", "itemData" : { "DOI" : "10.1108/01437720810908947", "ISBN" : "0885862031047", "ISSN" : "0143-7720", "abstract" : "Purpose \u2013 The purpose of this paper is to investigate the relationship between human resource management (HRM) practices and workers\u2019 overall job satisfaction and their satisfaction with pay. Design/methodology/approach \u2013 The paper uses British data from two different cross-sectional datasets. It estimates probit models with overall job satisfaction and satisfaction with pay as subjective dependent variables. Findings \u2013 After controlling for personal, job and firm characteristics, it is found that several HRM practices raise workers\u2019 overall job satisfaction and their satisfaction with pay. However, these effects are only significant for non-union members. Satisfaction with pay is higher where performance-related pay and seniority-based reward systems are in place.Apay structure that is perceived to be unequal is associated with a substantial reduction in both non-union members\u2019 overall job satisfaction and their satisfaction with pay. Although HRM practices can raise workers\u2019 job satisfaction, if workplace pay inequality widens as a consequence then non-union members may experience reduced job satisfaction. Research limitations/implications \u2013 The data sets used in the analysis are cross-sectional, presenting a snapshot of impacts of HRM practices on job satisfaction at a particular point in time. Dynamic effects are therefore not captured. Originality/value \u2013 The paper adds to the empirical literature on effects of HRM practices, focussing on impacts on both overall job satisfaction and satisfaction with pay. A novel feature of the paper", "author" : [ { "dropping-particle" : "", "family" : "Petrescu", "given" : "Alina I", "non-dropping-particle" : "", "parse-names" : false, "suffix" : "" }, { "dropping-particle" : "", "family" : "Simmons", "given" : "Rob", "non-dropping-particle" : "", "parse-names" : false, "suffix" : "" } ], "container-title" : "International Journal of Manpower", "id" : "ITEM-6", "issue" : "7", "issued" : { "date-parts" : [ [ "2008" ] ] }, "page" : "651-667", "title" : "Human resource management practices and workers' job satisfaction", "type" : "article-journal", "volume" : "29" }, "uris" : [ "http://www.mendeley.com/documents/?uuid=0ac18e29-ec0e-406d-bdbb-2f6efb19c5ed" ] }, { "id" : "ITEM-7", "itemData" : { "author" : [ { "dropping-particle" : "", "family" : "Mohr", "given" : "R D", "non-dropping-particle" : "", "parse-names" : false, "suffix" : "" }, { "dropping-particle" : "", "family" : "Zoghi", "given" : "C", "non-dropping-particle" : "", "parse-names" : false, "suffix" : "" } ], "container-title" : "Industrial and Labour Relations Review", "id" : "ITEM-7", "issue" : "3", "issued" : { "date-parts" : [ [ "2008" ] ] }, "page" : "275-296", "title" : "High involvement management work design and job satisfaction", "type" : "article-journal", "volume" : "61" }, "uris" : [ "http://www.mendeley.com/documents/?uuid=8c2fd714-930f-4506-aa24-fb2808f6327d" ] }, { "id" : "ITEM-8",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"ITEM-8",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"ITEM-9", "itemData" : { "DOI" : "10.1080/09585191003658821", "ISBN" : "0958-5192", "ISSN" : "0958-5192", "abstract" : "This paper presents the findings of a cross-cultural comparison of the effects of \u2018best practice\u2019 HRM using employees from a matched sample of local government service departments in England and Malaysia (England n = 569, Malaysian n = 453). The paper tests the universal \u2018best practice\u2019 thesis, and also assesses the perceived level of up-take of HR practices in the two samples. The research also considers the effects of the psychological climate and employees' perceptions of trust on five work-related outcomes, namely job satisfaction, motivation, organizational citizenship behaviour, stress and quit intentions. The findings reveal that the Malaysian workers perceived the up-take of HR practices to be higher in comparison to their counterparts in England. A less consistent pattern emerged with regards to perceptions of climate. OLS regression revealed that consistent with the universal thesis, a bundle of HR practices significantly predicted employee outcomes in the hypothesized directions in both samples. Therefore, these findings provide strong support for the universal thesis.", "author" : [ { "dropping-particle" : "", "family" : "Gould-Williams", "given" : "Julian Seymour", "non-dropping-particle" : "", "parse-names" : false, "suffix" : "" }, { "dropping-particle" : "", "family" : "Mohamed", "given" : "R. B.", "non-dropping-particle" : "", "parse-names" : false, "suffix" : "" } ], "container-title" : "International Journal of Human Resource Management", "id" : "ITEM-9", "issue" : "5", "issued" : { "date-parts" : [ [ "2010" ] ] }, "page" : "653-675", "title" : "A comparative study of the effects of 'best practice' HRM on worker outcomes in Malaysia and England local government", "type" : "article-journal", "volume" : "21" }, "uris" : [ "http://www.mendeley.com/documents/?uuid=98a188d6-200c-4802-9dc6-91c1531372f0" ] }, { "id" : "ITEM-10", "itemData" : { "DOI" : "10.1002/job", "ISBN" : "0143-7739", "ISSN" : "12045357", "PMID" : "21451395", "author" : [ { "dropping-particle" : "", "family" : "Kooij", "given" : "Dorien", "non-dropping-particle" : "", "parse-names" : false, "suffix" : "" }, { "dropping-particle" : "", "family" : "Jansen", "given" : "Paul G W", "non-dropping-particle" : "", "parse-names" : false, "suffix" : "" }, { "dropping-particle" : "", "family" : "Dikkers", "given" : "Josje S E", "non-dropping-particle" : "", "parse-names" : false, "suffix" : "" }, { "dropping-particle" : "", "family" : "Lange", "given" : "A.H.", "non-dropping-particle" : "De", "parse-names" : false, "suffix" : "" } ], "container-title" : "Journal of Organizational Behavior", "id" : "ITEM-10", "issued" : { "date-parts" : [ [ "2010" ] ] }, "page" : "1111-1136", "title" : "The influence of age on associations between HR practices and both affective commitment and job satisfaction: A meta-analysis", "type" : "article-journal", "volume" : "31" }, "uris" : [ "http://www.mendeley.com/documents/?uuid=9656bbe6-a94f-4f61-90d3-f187e33ddc6d" ] }, { "id" : "ITEM-11",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"ITEM-11",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"id" : "ITEM-12",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"ITEM-12",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"ITEM-13",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"ITEM-13", "issue" : "7", "issued" : { "date-parts" : [ [ "2011" ] ] }, "page" : "1586-1610", "title" : "High involvement management, high-performance work systems and well-being", "type" : "article-journal", "volume" : "22" }, "uris" : [ "http://www.mendeley.com/documents/?uuid=f03e0834-790d-47b4-8abc-ab22f06c3537" ] }, { "id" : "ITEM-14", "itemData" : { "DOI" : "10.1080/09585192.2011.561016", "ISSN" : "0958-5192", "abstract" : "The current study examines how high-involvement work systems (HIWS) influence employee responses to involvement initiatives. While existing research has linked HIWS to individual attitudes, we predict that an organization\u2019s HIWS moderate the relationship between employee involvement and job satisfaction and absenteeism. Using multilevel data (8454 employees from 1429 workplaces), we found that employee involvement and HIWS are positively related to employee job satisfaction. Additionally, the results support a cross-level interaction: at high levels of HIWS, employee involvement is negatively related to absenteeism, whereas at low levels of HIWS, the negative relationship is weaker. The implications of the findings are discussed.", "author" : [ { "dropping-particle" : "", "family" : "Zatzick", "given" : "Christopher D.", "non-dropping-particle" : "", "parse-names" : false, "suffix" : "" }, { "dropping-particle" : "", "family" : "Iverson", "given" : "Roderick D.", "non-dropping-particle" : "", "parse-names" : false, "suffix" : "" } ], "container-title" : "The International Journal of Human Resource Management", "id" : "ITEM-14", "issue" : "17", "issued" : { "date-parts" : [ [ "2011" ] ] }, "page" : "3462-3476", "title" : "Putting employee involvement in context: A cross-level model examining job satisfaction and absenteeism in high-involvement work systems", "type" : "article-journal", "volume" : "22" }, "uris" : [ "http://www.mendeley.com/documents/?uuid=946cff3e-0b7a-42c8-b450-9727b6de32ea" ] }, { "id" : "ITEM-15",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"ITEM-15",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"ITEM-16",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"ITEM-16", "issue" : "5", "issued" : { "date-parts" : [ [ "2013" ] ] }, "page" : "573-594", "title" : "Effects of employees' perceptions on the relationship between HR practices and firm performance for Korean firms", "type" : "article-journal", "volume" : "42" }, "uris" : [ "http://www.mendeley.com/documents/?uuid=ffb61f90-b58e-4457-9560-eaad5c903c53" ] }, { "id" : "ITEM-17", "itemData" : { "author" : [ { "dropping-particle" : "", "family" : "Hartog", "given" : "D. N.", "non-dropping-particle" : "Den", "parse-names" : false, "suffix" : "" }, { "dropping-particle" : "", "family" : "Boon", "given" : "C.", "non-dropping-particle" : "", "parse-names" : false, "suffix" : "" }, { "dropping-particle" : "", "family" : "Verburg", "given" : "R. M.", "non-dropping-particle" : "", "parse-names" : false, "suffix" : "" }, { "dropping-particle" : "", "family" : "Croon", "given" : "M. A.", "non-dropping-particle" : "", "parse-names" : false, "suffix" : "" } ], "container-title" : "Journal of Management", "id" : "ITEM-17", "issue" : "6", "issued" : { "date-parts" : [ [ "2013" ] ] }, "page" : "1637-1665", "title" : "HRM, communication, satisfaction, and perceived performance: A cross-level test", "type" : "article-journal", "volume" : "39" }, "uris" : [ "http://www.mendeley.com/documents/?uuid=aaf5ee5f-23ca-4c61-ab59-e1572ec0401b" ] }, { "id" : "ITEM-18", "itemData" : { "abstract" : "Purpose: The purpose of this paper is to determine the effect of high-performance human resource practices on job satisfaction across four cultural regions\u2014Asia, Europe, North America, and Latin America. High-performance human resource practices were used to predict job satisfaction for each region and then compared to determine significant differences. Hofstede\u2019s cultural dimensions were employed as a basis for structuring hypothesized differences across cultural regions. Design/methodology/approach: Data were collected from a proprietary industry survey on employee work attitudes. The sample consisted of over 70,000 employees from four large multinational organizations with at least four offices in each of the four regions. Data were analyzed using regression analysis and comparison testing across models. Findings: There are significant relationships between job characteristics and job satisfaction across all regions of the world, with a sense of achievement universally the most important driver. Although job characteristics impact job satisfaction across all regions, there are significant differences in the relative importance of job characteristics on job satisfaction, consistent with Hofstede\u2019s cultural dimensions. Practical implications: The findings have implications for tailoring human resource management practices across locations within multinationals. Originality/value: This research is believed to be the first cross-cultural study of human resource practices affecting job satisfaction using multiple organizations and industries. (PsycINFO Database Record (c) 2014 APA, all rights reserved). (journal abstract)", "author" : [ { "dropping-particle" : "", "family" : "Andreassi", "given" : "Jeanine Karin", "non-dropping-particle" : "", "parse-names" : false, "suffix" : "" }, { "dropping-particle" : "", "family" : "Lawter", "given" : "Leanna", "non-dropping-particle" : "", "parse-names" : false, "suffix" : "" }, { "dropping-particle" : "", "family" : "Brockerhoff", "given" : "Martin", "non-dropping-particle" : "", "parse-names" : false, "suffix" : "" }, { "dropping-particle" : "", "family" : "Rutigliano", "given" : "Peter J.", "non-dropping-particle" : "", "parse-names" : false, "suffix" : "" } ], "container-title" : "Cross Cultural Management: An International Journal", "id" : "ITEM-18", "issue" : "1", "issued" : { "date-parts" : [ [ "2014" ] ] }, "page" : "55-77", "title" : "Cultural impact of human resource practices on job satisfaction: A global study across 48 countries", "type" : "article-journal", "volume" : "21" }, "uris" : [ "http://www.mendeley.com/documents/?uuid=f8edccd1-c3c7-4528-a229-6329cd6d7ef7" ] }, { "id" : "ITEM-19", "itemData" : { "DOI" : "10.1080/09585192.2013.826917", "ISBN" : "0958-5192", "ISSN" : "0958-5192", "abstract" : "Previous studies suggest that high performance HR practices (HPHRP) are positively related to employee outcomes. However, the mechanisms through which this relationship occurs require further research. This paper examines the effect of one such mechanism, person\u2013organization (P-O) fit, on the relationship between HPHRP, job satisfaction and organizational citizenship behaviours (OCBs). Using a sample of 671 professionals in the Egyptian health and higher education sectors, a partial mediation model is outlined and tested using structural equation modelling. The study results show that HPHRP had a positive relationship with P-O fit, job satisfaction and OCBs. Further, P-O fit had a positive relationship with job satisfaction and OCBs, and partially mediated the relationship between HPHRP, job satisfaction and OCBs. Thus, the adoption of HPHRP not only leads to desirable employee outcomes, but it is also associated with better fit between employees and organizations. As such, managers should endeavour to us...", "author" : [ { "dropping-particle" : "", "family" : "Mostafa", "given" : "Ahmed Mohammed Sayed", "non-dropping-particle" : "", "parse-names" : false, "suffix" : "" }, { "dropping-particle" : "", "family" : "Gould-Williams", "given" : "Julian Seymour", "non-dropping-particle" : "", "parse-names" : false, "suffix" : "" } ], "container-title" : "The International Journal of Human Resource Management", "id" : "ITEM-19", "issue" : "2", "issued" : { "date-parts" : [ [ "2014" ] ] }, "page" : "276-292", "title" : "Testing the mediation effect of person\u2013organization fit on the relationship between high performance HR practices and employee outcomes in the Egyptian public sector", "type" : "article-journal", "volume" : "25" }, "uris" : [ "http://www.mendeley.com/documents/?uuid=ea373fe4-93d9-4b1f-b927-bbb16638f226" ] }, { "id" : "ITEM-20", "itemData" : { "DOI" : "10.1017/jmo.2014.50", "ISSN" : "1833-3672", "author" : [ { "dropping-particle" : "", "family" : "Shamsudin", "given" : "Faridahwati Mohd", "non-dropping-particle" : "", "parse-names" : false, "suffix" : "" }, { "dropping-particle" : "", "family" : "Ramalu", "given" : "Subramaniam Sri", "non-dropping-particle" : "", "parse-names" : false, "suffix" : "" } ], "container-title" : "Journal of Management &amp; Organization", "id" : "ITEM-20", "issue" : "5", "issued" : { "date-parts" : [ [ "2014" ] ] }, "page" : "691-709", "title" : "The influence of HR practices and job satisfaction on interpersonal deviance in the workplace", "type" : "article-journal", "volume" : "20" }, "uris" : [ "http://www.mendeley.com/documents/?uuid=7c1f42f7-1669-4642-8cb6-babbe5136e21" ] }, { "id" : "ITEM-21",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"ITEM-21",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"ITEM-22", "itemData" : { "DOI" : "10.1177/0020852315591642", "ISSN" : "0020-8523", "abstract" : "Background: In response to recent calls in the literature to decompose both the human resources system and performance, this study has examined the effects of ability-, motivation-and opportunity-enhancing human resources practices on the effectiveness, efficiency and fairness of public organizations, with job satisfaction considered as a mediating variable. Aim: Insights from Human Resource Management and performance research, mostly conducted in the private sector, have been combined with public management literature in order to gain insight into the Human Resource Management\u2013performance relation-ship in the public sector. Method: Regression analysis with a bootstrapping method was used to test the mediat-ing effects. Results: The analysis showed that the three human resources components heterogeneously impact upon the three performance outcomes. Further, the results showed that ability-enhancing and opportunity-enhancing human resources practices are more strongly related to performance outcomes than motivation-enhancing human resources practices. Conclusion: Decomposing Human Resource Management and performance provides greater insight into the Human Resource Management\u2013performance relationship. Points for practitioners The results show that investing in Human Resource Management positively influences performance outcomes. Moreover, our results show that various aspects of public per-formance require different human resources approaches. Investing in ability-enhancing human resources practices seems to be particularly relevant if one wants to enhance effectiveness. All the human resources practices, but especially ability-enhancing ones, are relevant to enhancing efficiency. However, investing in motivation-enhancing human resources practices seems to make little sense if one is seeking to enhance fairness.", "author" : [ { "dropping-particle" : "", "family" : "Vermeeren", "given" : "Brenda", "non-dropping-particle" : "", "parse-names" : false, "suffix" : "" } ], "container-title" : "International Review of Administrative Sciences", "id" : "ITEM-22", "issue" : "0", "issued" : { "date-parts" : [ [ "2015" ] ] }, "page" : "1-21", "title" : "Influencing public sector performance: Studying the impact of ability-, motivation-and opportunity-enhancing human resources practices on various performance outcomes in the public sector", "type" : "article-journal", "volume" : "0" }, "uris" : [ "http://www.mendeley.com/documents/?uuid=e94ccd21-bfcd-4def-8476-e5a8fb4192ef" ] }, { "id" : "ITEM-23",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"ITEM-23", "issue" : "2", "issued" : { "date-parts" : [ [ "2016" ] ] }, "page" : "451-466", "title" : "High-performance work systems and job satisfaction: A multilevel model", "type" : "article-journal", "volume" : "31" }, "uris" : [ "http://www.mendeley.com/documents/?uuid=510679f5-e4b3-41b7-a365-8ece414591d1" ] }, { "id" : "ITEM-24",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"ITEM-24",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"id" : "ITEM-25",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"ITEM-25",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"(Appelbaum et al. 2000; Boselie &amp; van de Wiele 2002; Gould-Williams 2003; Gould-Williams 2004; Edgar &amp; Geare 2005; Petrescu &amp; Simmons 2008; Mohr &amp; Zoghi 2008; Wu &amp; Chaturvedi 2009; Gould-Williams &amp; Mohamed 2010; Kooij et al. 2010; Boon et al. 2011; Mendelson et al. 2011; Wood &amp; de Menezes 2011; Zatzick &amp; Iverson 2011; Ang et al. 2013; Choi &amp; Lee 2013; Den Hartog et al. 2013; Andreassi et al. 2014; Mostafa &amp; Gould-Williams 2014; Shamsudin &amp; Ramalu 2014; Fabi et al. 2015; Vermeeren 2015; Garc\u00eda-Chas et al. 2016; Heffernan &amp; Dundon 2016; Ollo-L\u00f3pez et al. 2016)", "manualFormatting" : "(e.g. Appelbaum et al., 2000; Edgar &amp; Geare, 2005; Petrescu &amp; Simmons, 2008; Mohr &amp; Zoghi, 2008; Wu &amp; Chaturvedi, 2009; Gould-Williams &amp; Mohamed, 2010; Kooij et al., 2010; Boon et al., 2011; Mendelson et al., 2011; Wood &amp; de Menezes, 2011; Zatzick &amp; Iverson, 2011; Ang et al., 2013; Choi &amp; Lee, 2013; Den Hartog et al., 2013; Andreassi et al., 2014; Mostafa &amp; Gould-Williams, 2014; Shamsudin &amp; Ramalu, 2014; Fabi et al., 2015; Vermeeren, 2015; Garc\u00eda-Chas et al., 2016; Heffernan &amp; Dundon, 2016; Ollo-L\u00f3pez et al., 2016)", "plainTextFormattedCitation" : "(Appelbaum et al. 2000; Boselie &amp; van de Wiele 2002; Gould-Williams 2003; Gould-Williams 2004; Edgar &amp; Geare 2005; Petrescu &amp; Simmons 2008; Mohr &amp; Zoghi 2008; Wu &amp; Chaturvedi 2009; Gould-Williams &amp; Mohamed 2010; Kooij et al. 2010; Boon et al. 2011; Mendelson et al. 2011; Wood &amp; de Menezes 2011; Zatzick &amp; Iverson 2011; Ang et al. 2013; Choi &amp; Lee 2013; Den Hartog et al. 2013; Andreassi et al. 2014; Mostafa &amp; Gould-Williams 2014; Shamsudin &amp; Ramalu 2014; Fabi et al. 2015; Vermeeren 2015; Garc\u00eda-Chas et al. 2016; Heffernan &amp; Dundon 2016; Ollo-L\u00f3pez et al. 2016)", "previouslyFormattedCitation" : "(Appelbaum et al. 2000; Boselie &amp; van de Wiele 2002; Gould-Williams 2003; Gould-Williams 2004; Edgar &amp; Geare 2005; Petrescu &amp; Simmons 2008; Mohr &amp; Zoghi 2008; Wu &amp; Chaturvedi 2009; Gould-Williams &amp; Mohamed 2010; Kooij et al. 2010; Boon et al. 2011; Mendelson et al. 2011; Wood &amp; de Menezes 2011; Zatzick &amp; Iverson 2011; Ang et al. 2013; Choi &amp; Lee 2013; Den Hartog et al. 2013; Andreassi et al. 2014; Mostafa &amp; Gould-Williams 2014; Shamsudin &amp; Ramalu 2014; Fabi et al. 2015; Vermeeren 2015; Garc\u00eda-Chas et al. 2016; Heffernan &amp; Dundon 2016; Ollo-L\u00f3pez et al. 2016)" }, "properties" : { "noteIndex" : 0 }, "schema" : "https://github.com/citation-style-language/schema/raw/master/csl-citation.json" }</w:instrText>
      </w:r>
      <w:r w:rsidRPr="00452E2E">
        <w:rPr>
          <w:szCs w:val="24"/>
        </w:rPr>
        <w:fldChar w:fldCharType="separate"/>
      </w:r>
      <w:r w:rsidRPr="00452E2E">
        <w:rPr>
          <w:noProof/>
          <w:szCs w:val="24"/>
        </w:rPr>
        <w:t xml:space="preserve">(e.g. Appelbaum </w:t>
      </w:r>
      <w:r w:rsidRPr="00452E2E">
        <w:rPr>
          <w:i/>
          <w:noProof/>
          <w:szCs w:val="24"/>
        </w:rPr>
        <w:t>et al</w:t>
      </w:r>
      <w:r w:rsidRPr="00452E2E">
        <w:rPr>
          <w:noProof/>
          <w:szCs w:val="24"/>
        </w:rPr>
        <w:t xml:space="preserve">., 2000; Edgar &amp; Geare, 2005; Petrescu &amp; Simmons, 2008; Mohr &amp; Zoghi, 2008; Wu &amp; Chaturvedi, 2009; Gould-Williams &amp; Mohamed, 2010; Kooij </w:t>
      </w:r>
      <w:r w:rsidRPr="00452E2E">
        <w:rPr>
          <w:i/>
          <w:noProof/>
          <w:szCs w:val="24"/>
        </w:rPr>
        <w:t>et al</w:t>
      </w:r>
      <w:r w:rsidRPr="00452E2E">
        <w:rPr>
          <w:noProof/>
          <w:szCs w:val="24"/>
        </w:rPr>
        <w:t xml:space="preserve">., 2010; Boon </w:t>
      </w:r>
      <w:r w:rsidRPr="00452E2E">
        <w:rPr>
          <w:i/>
          <w:noProof/>
          <w:szCs w:val="24"/>
        </w:rPr>
        <w:t>et al</w:t>
      </w:r>
      <w:r w:rsidRPr="00452E2E">
        <w:rPr>
          <w:noProof/>
          <w:szCs w:val="24"/>
        </w:rPr>
        <w:t xml:space="preserve">., 2011; Mendelson </w:t>
      </w:r>
      <w:r w:rsidRPr="00452E2E">
        <w:rPr>
          <w:i/>
          <w:noProof/>
          <w:szCs w:val="24"/>
        </w:rPr>
        <w:t>et al</w:t>
      </w:r>
      <w:r w:rsidRPr="00452E2E">
        <w:rPr>
          <w:noProof/>
          <w:szCs w:val="24"/>
        </w:rPr>
        <w:t xml:space="preserve">., 2011; Wood &amp; de Menezes, 2011; Zatzick &amp; Iverson, 2011; Ang </w:t>
      </w:r>
      <w:r w:rsidRPr="00452E2E">
        <w:rPr>
          <w:i/>
          <w:noProof/>
          <w:szCs w:val="24"/>
        </w:rPr>
        <w:t>et al</w:t>
      </w:r>
      <w:r w:rsidRPr="00452E2E">
        <w:rPr>
          <w:noProof/>
          <w:szCs w:val="24"/>
        </w:rPr>
        <w:t xml:space="preserve">., 2013; Choi &amp; Lee, 2013; Den Hartog </w:t>
      </w:r>
      <w:r w:rsidRPr="00452E2E">
        <w:rPr>
          <w:i/>
          <w:noProof/>
          <w:szCs w:val="24"/>
        </w:rPr>
        <w:t>et al</w:t>
      </w:r>
      <w:r w:rsidRPr="00452E2E">
        <w:rPr>
          <w:noProof/>
          <w:szCs w:val="24"/>
        </w:rPr>
        <w:t xml:space="preserve">., 2013; Andreassi </w:t>
      </w:r>
      <w:r w:rsidRPr="00452E2E">
        <w:rPr>
          <w:i/>
          <w:noProof/>
          <w:szCs w:val="24"/>
        </w:rPr>
        <w:t>et al</w:t>
      </w:r>
      <w:r w:rsidRPr="00452E2E">
        <w:rPr>
          <w:noProof/>
          <w:szCs w:val="24"/>
        </w:rPr>
        <w:t xml:space="preserve">., 2014; Mostafa &amp; Gould-Williams, 2014; Shamsudin &amp; Ramalu, 2014; Fabi </w:t>
      </w:r>
      <w:r w:rsidRPr="00452E2E">
        <w:rPr>
          <w:i/>
          <w:noProof/>
          <w:szCs w:val="24"/>
        </w:rPr>
        <w:t>et al</w:t>
      </w:r>
      <w:r w:rsidRPr="00452E2E">
        <w:rPr>
          <w:noProof/>
          <w:szCs w:val="24"/>
        </w:rPr>
        <w:t xml:space="preserve">., 2015; Vermeeren, 2015; García-Chas </w:t>
      </w:r>
      <w:r w:rsidRPr="00452E2E">
        <w:rPr>
          <w:i/>
          <w:noProof/>
          <w:szCs w:val="24"/>
        </w:rPr>
        <w:t>et al</w:t>
      </w:r>
      <w:r w:rsidRPr="00452E2E">
        <w:rPr>
          <w:noProof/>
          <w:szCs w:val="24"/>
        </w:rPr>
        <w:t xml:space="preserve">., 2016; Heffernan &amp; Dundon, 2016; Ollo-López </w:t>
      </w:r>
      <w:r w:rsidRPr="00452E2E">
        <w:rPr>
          <w:i/>
          <w:noProof/>
          <w:szCs w:val="24"/>
        </w:rPr>
        <w:t>et al</w:t>
      </w:r>
      <w:r w:rsidRPr="00452E2E">
        <w:rPr>
          <w:noProof/>
          <w:szCs w:val="24"/>
        </w:rPr>
        <w:t>., 2016)</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Whilst some researchers have examined the relationship between systematic bundles of HR practices and job satisfaction </w:t>
      </w:r>
      <w:r w:rsidRPr="00452E2E">
        <w:rPr>
          <w:szCs w:val="24"/>
        </w:rPr>
        <w:fldChar w:fldCharType="begin" w:fldLock="1"/>
      </w:r>
      <w:r w:rsidRPr="00452E2E">
        <w:rPr>
          <w:szCs w:val="24"/>
        </w:rPr>
        <w:instrText>ADDIN CSL_CITATION { "citationItems" : [ { "id" : "ITEM-1", "itemData" : { "abstract" : "There is a growing interest in theory and in practice with regard to the relationship between human resource management [HRM] and total quality management [TQM] as well as the relationship between these two perspectives and business performances. Empirical research suggests significant effects of HRM/TQM on the performances of an organisation. The majority of research in this area is focused on the effects of HRM/TQM at the organisational level. Research on the perceptions of individual employees might obtain new insights for further discussion on the effectiveness of HRM/TQM in an organisation. The authors have the opportunity to analyse a relatively large database with recent data of individual employee perceptions from a knowledge-intensive organisation in The Netherlands. This analysis gives new insight in relation to concepts like 'co-operation', 'information', 'leadership', 'salary', 'work conditions', and 'goal setting' in relation to employee satisfaction and the intention to leave the organisation.", "author" : [ { "dropping-particle" : "", "family" : "Boselie", "given" : "Paul", "non-dropping-particle" : "", "parse-names" : false, "suffix" : "" }, { "dropping-particle" : "", "family" : "Wiele", "given" : "Ton", "non-dropping-particle" : "van de", "parse-names" : false, "suffix" : "" } ], "container-title" : "Managing Service Quality: An International Journal", "id" : "ITEM-1", "issue" : "3", "issued" : { "date-parts" : [ [ "2002" ] ] }, "page" : "165-172", "title" : "Employee perceptions of HRM and TQM, and the effects on satisfaction and intention to leave", "type" : "article-journal", "volume" : "12" }, "uris" : [ "http://www.mendeley.com/documents/?uuid=ab366c04-da60-44e0-a0c4-47e9686ca1ca" ] }, { "id" : "ITEM-2", "itemData" : { "DOI" : "10.1080/09585190210158501", "ISBN" : "0958519021", "ISSN" : "0958-5192", "PMID" : "9173613", "abstract" : "This paper assesses the impact of bundles of HR practices on workplace trust, job satisfaction, commitment, effort and perceived organizational performance. A theoretical model is developed and tested using data collected through a postal survey of UK local government employees. The results support the hypothesis that HR practices are powerful predictors of trust and organizational performance. These findings demonstrate the need for public organizations to re-evaluate their current battery of HR practices in an attempt to improve overall performance.", "author" : [ { "dropping-particle" : "", "family" : "Gould-Williams", "given" : "Julian", "non-dropping-particle" : "", "parse-names" : false, "suffix" : "" } ], "container-title" : "The International Journal of Human Resource Management", "id" : "ITEM-2", "issue" : "1", "issued" : { "date-parts" : [ [ "2003" ] ] }, "page" : "28-54", "title" : "The importance of HR practices and workplace trust in achieving superior performance: A study of public-sector organizations", "type" : "article-journal", "volume" : "14" }, "uris" : [ "http://www.mendeley.com/documents/?uuid=fb0949b0-c830-4532-bfa9-55739950a3b5" ] }, { "id" : "ITEM-3",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"ITEM-3", "issue" : "5", "issued" : { "date-parts" : [ [ "2005" ] ] }, "page" : "534-549", "title" : "HRM practice and employee attitudes: Different measures \u2013 different results", "type" : "article-journal", "volume" : "34" }, "uris" : [ "http://www.mendeley.com/documents/?uuid=9d6909f5-8480-4f8c-af13-1d14286dcfa0" ] }, { "id" : "ITEM-4", "itemData" : { "author" : [ { "dropping-particle" : "", "family" : "Mohr", "given" : "R D", "non-dropping-particle" : "", "parse-names" : false, "suffix" : "" }, { "dropping-particle" : "", "family" : "Zoghi", "given" : "C", "non-dropping-particle" : "", "parse-names" : false, "suffix" : "" } ], "container-title" : "Industrial and Labour Relations Review", "id" : "ITEM-4", "issue" : "3", "issued" : { "date-parts" : [ [ "2008" ] ] }, "page" : "275-296", "title" : "High involvement management work design and job satisfaction", "type" : "article-journal", "volume" : "61" }, "uris" : [ "http://www.mendeley.com/documents/?uuid=8c2fd714-930f-4506-aa24-fb2808f6327d" ] }, { "id" : "ITEM-5",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"ITEM-5",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"ITEM-6", "itemData" : { "DOI" : "10.1080/09585191003658821", "ISBN" : "0958-5192", "ISSN" : "0958-5192", "abstract" : "This paper presents the findings of a cross-cultural comparison of the effects of \u2018best practice\u2019 HRM using employees from a matched sample of local government service departments in England and Malaysia (England n = 569, Malaysian n = 453). The paper tests the universal \u2018best practice\u2019 thesis, and also assesses the perceived level of up-take of HR practices in the two samples. The research also considers the effects of the psychological climate and employees' perceptions of trust on five work-related outcomes, namely job satisfaction, motivation, organizational citizenship behaviour, stress and quit intentions. The findings reveal that the Malaysian workers perceived the up-take of HR practices to be higher in comparison to their counterparts in England. A less consistent pattern emerged with regards to perceptions of climate. OLS regression revealed that consistent with the universal thesis, a bundle of HR practices significantly predicted employee outcomes in the hypothesized directions in both samples. Therefore, these findings provide strong support for the universal thesis.", "author" : [ { "dropping-particle" : "", "family" : "Gould-Williams", "given" : "Julian Seymour", "non-dropping-particle" : "", "parse-names" : false, "suffix" : "" }, { "dropping-particle" : "", "family" : "Mohamed", "given" : "R. B.", "non-dropping-particle" : "", "parse-names" : false, "suffix" : "" } ], "container-title" : "International Journal of Human Resource Management", "id" : "ITEM-6", "issue" : "5", "issued" : { "date-parts" : [ [ "2010" ] ] }, "page" : "653-675", "title" : "A comparative study of the effects of 'best practice' HRM on worker outcomes in Malaysia and England local government", "type" : "article-journal", "volume" : "21" }, "uris" : [ "http://www.mendeley.com/documents/?uuid=98a188d6-200c-4802-9dc6-91c1531372f0" ] }, { "id" : "ITEM-7",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"ITEM-7",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"id" : "ITEM-8",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"ITEM-8",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"ITEM-9", "itemData" : { "DOI" : "10.1080/09585192.2011.561016", "ISSN" : "0958-5192", "abstract" : "The current study examines how high-involvement work systems (HIWS) influence employee responses to involvement initiatives. While existing research has linked HIWS to individual attitudes, we predict that an organization\u2019s HIWS moderate the relationship between employee involvement and job satisfaction and absenteeism. Using multilevel data (8454 employees from 1429 workplaces), we found that employee involvement and HIWS are positively related to employee job satisfaction. Additionally, the results support a cross-level interaction: at high levels of HIWS, employee involvement is negatively related to absenteeism, whereas at low levels of HIWS, the negative relationship is weaker. The implications of the findings are discussed.", "author" : [ { "dropping-particle" : "", "family" : "Zatzick", "given" : "Christopher D.", "non-dropping-particle" : "", "parse-names" : false, "suffix" : "" }, { "dropping-particle" : "", "family" : "Iverson", "given" : "Roderick D.", "non-dropping-particle" : "", "parse-names" : false, "suffix" : "" } ], "container-title" : "The International Journal of Human Resource Management", "id" : "ITEM-9", "issue" : "17", "issued" : { "date-parts" : [ [ "2011" ] ] }, "page" : "3462-3476", "title" : "Putting employee involvement in context: A cross-level model examining job satisfaction and absenteeism in high-involvement work systems", "type" : "article-journal", "volume" : "22" }, "uris" : [ "http://www.mendeley.com/documents/?uuid=946cff3e-0b7a-42c8-b450-9727b6de32ea" ] }, { "id" : "ITEM-10",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"ITEM-10",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"ITEM-11",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"ITEM-11", "issue" : "5", "issued" : { "date-parts" : [ [ "2013" ] ] }, "page" : "573-594", "title" : "Effects of employees' perceptions on the relationship between HR practices and firm performance for Korean firms", "type" : "article-journal", "volume" : "42" }, "uris" : [ "http://www.mendeley.com/documents/?uuid=ffb61f90-b58e-4457-9560-eaad5c903c53" ] }, { "id" : "ITEM-12", "itemData" : { "author" : [ { "dropping-particle" : "", "family" : "Hartog", "given" : "D. N.", "non-dropping-particle" : "Den", "parse-names" : false, "suffix" : "" }, { "dropping-particle" : "", "family" : "Boon", "given" : "C.", "non-dropping-particle" : "", "parse-names" : false, "suffix" : "" }, { "dropping-particle" : "", "family" : "Verburg", "given" : "R. M.", "non-dropping-particle" : "", "parse-names" : false, "suffix" : "" }, { "dropping-particle" : "", "family" : "Croon", "given" : "M. A.", "non-dropping-particle" : "", "parse-names" : false, "suffix" : "" } ], "container-title" : "Journal of Management", "id" : "ITEM-12", "issue" : "6", "issued" : { "date-parts" : [ [ "2013" ] ] }, "page" : "1637-1665", "title" : "HRM, communication, satisfaction, and perceived performance: A cross-level test", "type" : "article-journal", "volume" : "39" }, "uris" : [ "http://www.mendeley.com/documents/?uuid=aaf5ee5f-23ca-4c61-ab59-e1572ec0401b" ] }, { "id" : "ITEM-13", "itemData" : { "DOI" : "10.1037/a0033925", "ISBN" : "1939-1854(Electronic);0021-9010(Print)", "ISSN" : "1939-1854", "PMID" : "23915431", "abstract" : "Given the limited understanding of temporal issues in extant theorizing about the link between human resource management (HRM) and performance, in this study we aim to shed light on how, when, and why HR interventions affect organizational performance. On the basis of longitudinal, multi-informant and multisource data from public hospital services in England, we provide new insights into the complex interplay between employees' perceptions of HR systems, job satisfaction, and performance outcomes over time. The dynamic panel data analyses provide support for changes in employees' experience of an HR system being related to subsequent changes in customer satisfaction, as mediated by changes in job satisfaction, albeit these effects decrease over time. Moreover, our longitudinal analyses highlight the importance of feedback effects in the HRM-performance chain, which otherwise appears to evolve in a cyclical manner.", "author" : [ { "dropping-particle" : "", "family" : "Piening", "given" : "Erk P", "non-dropping-particle" : "", "parse-names" : false, "suffix" : "" }, { "dropping-particle" : "", "family" : "Baluch", "given" : "Alina M", "non-dropping-particle" : "", "parse-names" : false, "suffix" : "" }, { "dropping-particle" : "", "family" : "Salge", "given" : "Torsten Oliver", "non-dropping-particle" : "", "parse-names" : false, "suffix" : "" } ], "container-title" : "Journal of Applied Psychology", "id" : "ITEM-13", "issue" : "6", "issued" : { "date-parts" : [ [ "2013" ] ] }, "page" : "926-47", "title" : "The relationship between employees' perceptions of human resource systems and organizational performance: Examining mediating mechanisms and temporal dynamics", "type" : "article-journal", "volume" : "98" }, "uris" : [ "http://www.mendeley.com/documents/?uuid=0a42ce09-305a-4d4f-a3be-971a3a45e158" ] }, { "id" : "ITEM-14", "itemData" : { "DOI" : "10.1080/09585192.2013.826917", "ISBN" : "0958-5192", "ISSN" : "0958-5192", "abstract" : "Previous studies suggest that high performance HR practices (HPHRP) are positively related to employee outcomes. However, the mechanisms through which this relationship occurs require further research. This paper examines the effect of one such mechanism, person\u2013organization (P-O) fit, on the relationship between HPHRP, job satisfaction and organizational citizenship behaviours (OCBs). Using a sample of 671 professionals in the Egyptian health and higher education sectors, a partial mediation model is outlined and tested using structural equation modelling. The study results show that HPHRP had a positive relationship with P-O fit, job satisfaction and OCBs. Further, P-O fit had a positive relationship with job satisfaction and OCBs, and partially mediated the relationship between HPHRP, job satisfaction and OCBs. Thus, the adoption of HPHRP not only leads to desirable employee outcomes, but it is also associated with better fit between employees and organizations. As such, managers should endeavour to us...", "author" : [ { "dropping-particle" : "", "family" : "Mostafa", "given" : "Ahmed Mohammed Sayed", "non-dropping-particle" : "", "parse-names" : false, "suffix" : "" }, { "dropping-particle" : "", "family" : "Gould-Williams", "given" : "Julian Seymour", "non-dropping-particle" : "", "parse-names" : false, "suffix" : "" } ], "container-title" : "The International Journal of Human Resource Management", "id" : "ITEM-14", "issue" : "2", "issued" : { "date-parts" : [ [ "2014" ] ] }, "page" : "276-292", "title" : "Testing the mediation effect of person\u2013organization fit on the relationship between high performance HR practices and employee outcomes in the Egyptian public sector", "type" : "article-journal", "volume" : "25" }, "uris" : [ "http://www.mendeley.com/documents/?uuid=ea373fe4-93d9-4b1f-b927-bbb16638f226" ] }, { "id" : "ITEM-15",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"ITEM-15", "issue" : "2", "issued" : { "date-parts" : [ [ "2016" ] ] }, "page" : "451-466", "title" : "High-performance work systems and job satisfaction: A multilevel model", "type" : "article-journal", "volume" : "31" }, "uris" : [ "http://www.mendeley.com/documents/?uuid=510679f5-e4b3-41b7-a365-8ece414591d1" ] }, { "id" : "ITEM-16",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"ITEM-16",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"id" : "ITEM-17",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"ITEM-17",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"(Boselie &amp; van de Wiele 2002; Gould-Williams 2003; Edgar &amp; Geare 2005; Mohr &amp; Zoghi 2008; Wu &amp; Chaturvedi 2009; Gould-Williams &amp; Mohamed 2010; Boon et al. 2011; Mendelson et al. 2011; Zatzick &amp; Iverson 2011; Ang et al. 2013; Choi &amp; Lee 2013; Den Hartog et al. 2013; Piening et al. 2013; Mostafa &amp; Gould-Williams 2014; Garc\u00eda-Chas et al. 2016; Heffernan &amp; Dundon 2016; Ollo-L\u00f3pez et al. 2016)", "manualFormatting" : "(Boselie &amp; van de Wiele, 2002; Gould-Williams, 2003; Edgar &amp; Geare, 2005; Mohr &amp; Zoghi, 2008; Wu &amp; Chaturvedi, 2009; Gould-Williams &amp; Mohamed, 2010; Boon et al., 2011; Mendelson et al., 2011; Zatzick &amp; Iverson, 2011; Ang et al., 2013; Choi &amp; Lee, 2013; Den Hartog et al., 2013; Piening et al., 2013; Mostafa &amp; Gould-Williams, 2014; Garc\u00eda-Chas et al., 2016; Heffernan &amp; Dundon, 2016; Ollo-L\u00f3pez et al., 2016)", "plainTextFormattedCitation" : "(Boselie &amp; van de Wiele 2002; Gould-Williams 2003; Edgar &amp; Geare 2005; Mohr &amp; Zoghi 2008; Wu &amp; Chaturvedi 2009; Gould-Williams &amp; Mohamed 2010; Boon et al. 2011; Mendelson et al. 2011; Zatzick &amp; Iverson 2011; Ang et al. 2013; Choi &amp; Lee 2013; Den Hartog et al. 2013; Piening et al. 2013; Mostafa &amp; Gould-Williams 2014; Garc\u00eda-Chas et al. 2016; Heffernan &amp; Dundon 2016; Ollo-L\u00f3pez et al. 2016)", "previouslyFormattedCitation" : "(Boselie &amp; van de Wiele 2002; Gould-Williams 2003; Edgar &amp; Geare 2005; Mohr &amp; Zoghi 2008; Wu &amp; Chaturvedi 2009; Gould-Williams &amp; Mohamed 2010; Boon et al. 2011; Mendelson et al. 2011; Zatzick &amp; Iverson 2011; Ang et al. 2013; Choi &amp; Lee 2013; Den Hartog et al. 2013; Piening et al. 2013; Mostafa &amp; Gould-Williams 2014; Garc\u00eda-Chas et al. 2016; Heffernan &amp; Dundon 2016; Ollo-L\u00f3pez et al. 2016)" }, "properties" : { "noteIndex" : 0 }, "schema" : "https://github.com/citation-style-language/schema/raw/master/csl-citation.json" }</w:instrText>
      </w:r>
      <w:r w:rsidRPr="00452E2E">
        <w:rPr>
          <w:szCs w:val="24"/>
        </w:rPr>
        <w:fldChar w:fldCharType="separate"/>
      </w:r>
      <w:r w:rsidRPr="00452E2E">
        <w:rPr>
          <w:noProof/>
          <w:szCs w:val="24"/>
        </w:rPr>
        <w:t xml:space="preserve">(Boselie &amp; van de Wiele, 2002; Mohr </w:t>
      </w:r>
      <w:r w:rsidRPr="00452E2E">
        <w:rPr>
          <w:noProof/>
          <w:szCs w:val="24"/>
        </w:rPr>
        <w:lastRenderedPageBreak/>
        <w:t xml:space="preserve">&amp; Zoghi, 2008; Wu &amp; Chaturvedi, 2009; Gould-Williams &amp; Mohamed, 2010; Boon </w:t>
      </w:r>
      <w:r w:rsidRPr="00452E2E">
        <w:rPr>
          <w:i/>
          <w:noProof/>
          <w:szCs w:val="24"/>
        </w:rPr>
        <w:t>et al</w:t>
      </w:r>
      <w:r w:rsidRPr="00452E2E">
        <w:rPr>
          <w:noProof/>
          <w:szCs w:val="24"/>
        </w:rPr>
        <w:t xml:space="preserve">., 2011; Zatzick &amp; Iverson, 2011; Choi &amp; Lee, 2013; Piening </w:t>
      </w:r>
      <w:r w:rsidRPr="00452E2E">
        <w:rPr>
          <w:i/>
          <w:noProof/>
          <w:szCs w:val="24"/>
        </w:rPr>
        <w:t>et al</w:t>
      </w:r>
      <w:r w:rsidRPr="00452E2E">
        <w:rPr>
          <w:noProof/>
          <w:szCs w:val="24"/>
        </w:rPr>
        <w:t xml:space="preserve">., 2013; García-Chas </w:t>
      </w:r>
      <w:r w:rsidRPr="00452E2E">
        <w:rPr>
          <w:i/>
          <w:noProof/>
          <w:szCs w:val="24"/>
        </w:rPr>
        <w:t>et al</w:t>
      </w:r>
      <w:r w:rsidRPr="00452E2E">
        <w:rPr>
          <w:noProof/>
          <w:szCs w:val="24"/>
        </w:rPr>
        <w:t xml:space="preserve">., 2016; Heffernan &amp; Dundon, 2016; Ollo-López </w:t>
      </w:r>
      <w:r w:rsidRPr="00452E2E">
        <w:rPr>
          <w:i/>
          <w:noProof/>
          <w:szCs w:val="24"/>
        </w:rPr>
        <w:t>et al</w:t>
      </w:r>
      <w:r w:rsidRPr="00452E2E">
        <w:rPr>
          <w:noProof/>
          <w:szCs w:val="24"/>
        </w:rPr>
        <w:t>., 2016)</w:t>
      </w:r>
      <w:r w:rsidRPr="00452E2E">
        <w:rPr>
          <w:szCs w:val="24"/>
        </w:rPr>
        <w:fldChar w:fldCharType="end"/>
      </w:r>
      <w:r w:rsidRPr="00452E2E">
        <w:rPr>
          <w:szCs w:val="24"/>
        </w:rPr>
        <w:t xml:space="preserve">, others have tested this relationship using a subsystem of HR bundles </w:t>
      </w:r>
      <w:r w:rsidRPr="00452E2E">
        <w:rPr>
          <w:szCs w:val="24"/>
        </w:rPr>
        <w:fldChar w:fldCharType="begin" w:fldLock="1"/>
      </w:r>
      <w:r w:rsidRPr="00452E2E">
        <w:rPr>
          <w:szCs w:val="24"/>
        </w:rPr>
        <w:instrText>ADDIN CSL_CITATION { "citationItems" : [ { "id" : "ITEM-1", "itemData" : { "DOI" : "10.1002/job", "ISBN" : "0143-7739", "ISSN" : "12045357", "PMID" : "21451395", "author" : [ { "dropping-particle" : "", "family" : "Kooij", "given" : "Dorien", "non-dropping-particle" : "", "parse-names" : false, "suffix" : "" }, { "dropping-particle" : "", "family" : "Jansen", "given" : "Paul G W", "non-dropping-particle" : "", "parse-names" : false, "suffix" : "" }, { "dropping-particle" : "", "family" : "Dikkers", "given" : "Josje S E", "non-dropping-particle" : "", "parse-names" : false, "suffix" : "" }, { "dropping-particle" : "", "family" : "Lange", "given" : "A.H.", "non-dropping-particle" : "De", "parse-names" : false, "suffix" : "" } ], "container-title" : "Journal of Organizational Behavior", "id" : "ITEM-1", "issued" : { "date-parts" : [ [ "2010" ] ] }, "page" : "1111-1136", "title" : "The influence of age on associations between HR practices and both affective commitment and job satisfaction: A meta-analysis", "type" : "article-journal", "volume" : "31" }, "uris" : [ "http://www.mendeley.com/documents/?uuid=9656bbe6-a94f-4f61-90d3-f187e33ddc6d" ] }, { "id" : "ITEM-2",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"ITEM-2", "issue" : "7", "issued" : { "date-parts" : [ [ "2011" ] ] }, "page" : "1586-1610", "title" : "High involvement management, high-performance work systems and well-being", "type" : "article-journal", "volume" : "22" }, "uris" : [ "http://www.mendeley.com/documents/?uuid=f03e0834-790d-47b4-8abc-ab22f06c3537" ] }, { "id" : "ITEM-3",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"ITEM-3",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"mendeley" : { "formattedCitation" : "(Kooij et al. 2010; Wood &amp; de Menezes 2011; Fabi et al. 2015)", "manualFormatting" : "(Kooij et al., 2010; Wood &amp; de Menezes, 2011; Fabi et al. ,2015)", "plainTextFormattedCitation" : "(Kooij et al. 2010; Wood &amp; de Menezes 2011; Fabi et al. 2015)", "previouslyFormattedCitation" : "(Kooij et al. 2010; Wood &amp; de Menezes 2011; Fabi et al. 2015)" }, "properties" : { "noteIndex" : 0 }, "schema" : "https://github.com/citation-style-language/schema/raw/master/csl-citation.json" }</w:instrText>
      </w:r>
      <w:r w:rsidRPr="00452E2E">
        <w:rPr>
          <w:szCs w:val="24"/>
        </w:rPr>
        <w:fldChar w:fldCharType="separate"/>
      </w:r>
      <w:r w:rsidRPr="00452E2E">
        <w:rPr>
          <w:noProof/>
          <w:szCs w:val="24"/>
        </w:rPr>
        <w:t xml:space="preserve">(Kooij </w:t>
      </w:r>
      <w:r w:rsidRPr="00452E2E">
        <w:rPr>
          <w:i/>
          <w:noProof/>
          <w:szCs w:val="24"/>
        </w:rPr>
        <w:t>et al</w:t>
      </w:r>
      <w:r w:rsidRPr="00452E2E">
        <w:rPr>
          <w:noProof/>
          <w:szCs w:val="24"/>
        </w:rPr>
        <w:t xml:space="preserve">., 2010; Fabi </w:t>
      </w:r>
      <w:r w:rsidRPr="00452E2E">
        <w:rPr>
          <w:i/>
          <w:noProof/>
          <w:szCs w:val="24"/>
        </w:rPr>
        <w:t>et al</w:t>
      </w:r>
      <w:r w:rsidR="00692117" w:rsidRPr="00452E2E">
        <w:rPr>
          <w:noProof/>
          <w:szCs w:val="24"/>
        </w:rPr>
        <w:t>.</w:t>
      </w:r>
      <w:r w:rsidRPr="00452E2E">
        <w:rPr>
          <w:noProof/>
          <w:szCs w:val="24"/>
        </w:rPr>
        <w:t>,</w:t>
      </w:r>
      <w:r w:rsidR="00692117" w:rsidRPr="00452E2E">
        <w:rPr>
          <w:noProof/>
          <w:szCs w:val="24"/>
        </w:rPr>
        <w:t xml:space="preserve"> </w:t>
      </w:r>
      <w:r w:rsidRPr="00452E2E">
        <w:rPr>
          <w:noProof/>
          <w:szCs w:val="24"/>
        </w:rPr>
        <w:t>2015)</w:t>
      </w:r>
      <w:r w:rsidRPr="00452E2E">
        <w:rPr>
          <w:szCs w:val="24"/>
        </w:rPr>
        <w:fldChar w:fldCharType="end"/>
      </w:r>
      <w:r w:rsidR="00950DAA" w:rsidRPr="00452E2E">
        <w:rPr>
          <w:szCs w:val="24"/>
        </w:rPr>
        <w:t>. Yet</w:t>
      </w:r>
      <w:r w:rsidRPr="00452E2E">
        <w:rPr>
          <w:szCs w:val="24"/>
        </w:rPr>
        <w:t xml:space="preserve"> others have examined the relationship between a group of HR practices on job satisfaction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"abstract" : "Although there is a growing body of evidence demonstrating positive effects of \u2018high commitment\u2019 HRM practices on organizational performance, there is less evidence evaluating their effects on individual workers, especially within the public sector. Therefore the implications of applying \u2018high commitment\u2019 practices in the public sector needs to be considered. This paper seeks to address this gap by reporting the results of a staff survey and follow-up interviews conducted on a cross-section of local government employees. The results showed that eight of the ten \u2018high commitment\u2019 practices had significant effects on worker attitudes. The results are discussed in light of HRM theory together with the implications for public sector managers.", "author" : [ { "dropping-particle" : "", "family" : "Gould-Williams", "given" : "Julian", "non-dropping-particle" : "", "parse-names" : false, "suffix" : "" } ], "container-title" : "Public Administration", "id" : "ITEM-2", "issue" : "1", "issued" : { "date-parts" : [ [ "2004" ] ] }, "page" : "63-81", "title" : "The effects of 'high commitment' HRM practices on employee attitude: The views of public sector workers", "type" : "article-journal", "volume" : "82" }, "uris" : [ "http://www.mendeley.com/documents/?uuid=1ea3bc7e-762b-4578-9d64-abbee580b748" ] }, { "id" : "ITEM-3", "itemData" : { "DOI" : "10.1108/01437720810908947", "ISBN" : "0885862031047", "ISSN" : "0143-7720", "abstract" : "Purpose \u2013 The purpose of this paper is to investigate the relationship between human resource management (HRM) practices and workers\u2019 overall job satisfaction and their satisfaction with pay. Design/methodology/approach \u2013 The paper uses British data from two different cross-sectional datasets. It estimates probit models with overall job satisfaction and satisfaction with pay as subjective dependent variables. Findings \u2013 After controlling for personal, job and firm characteristics, it is found that several HRM practices raise workers\u2019 overall job satisfaction and their satisfaction with pay. However, these effects are only significant for non-union members. Satisfaction with pay is higher where performance-related pay and seniority-based reward systems are in place.Apay structure that is perceived to be unequal is associated with a substantial reduction in both non-union members\u2019 overall job satisfaction and their satisfaction with pay. Although HRM practices can raise workers\u2019 job satisfaction, if workplace pay inequality widens as a consequence then non-union members may experience reduced job satisfaction. Research limitations/implications \u2013 The data sets used in the analysis are cross-sectional, presenting a snapshot of impacts of HRM practices on job satisfaction at a particular point in time. Dynamic effects are therefore not captured. Originality/value \u2013 The paper adds to the empirical literature on effects of HRM practices, focussing on impacts on both overall job satisfaction and satisfaction with pay. A novel feature of the paper", "author" : [ { "dropping-particle" : "", "family" : "Petrescu", "given" : "Alina I", "non-dropping-particle" : "", "parse-names" : false, "suffix" : "" }, { "dropping-particle" : "", "family" : "Simmons", "given" : "Rob", "non-dropping-particle" : "", "parse-names" : false, "suffix" : "" } ], "container-title" : "International Journal of Manpower", "id" : "ITEM-3", "issue" : "7", "issued" : { "date-parts" : [ [ "2008" ] ] }, "page" : "651-667", "title" : "Human resource management practices and workers' job satisfaction", "type" : "article-journal", "volume" : "29" }, "uris" : [ "http://www.mendeley.com/documents/?uuid=0ac18e29-ec0e-406d-bdbb-2f6efb19c5ed" ] }, { "id" : "ITEM-4", "itemData" : { "abstract" : "Purpose: The purpose of this paper is to determine the effect of high-performance human resource practices on job satisfaction across four cultural regions\u2014Asia, Europe, North America, and Latin America. High-performance human resource practices were used to predict job satisfaction for each region and then compared to determine significant differences. Hofstede\u2019s cultural dimensions were employed as a basis for structuring hypothesized differences across cultural regions. Design/methodology/approach: Data were collected from a proprietary industry survey on employee work attitudes. The sample consisted of over 70,000 employees from four large multinational organizations with at least four offices in each of the four regions. Data were analyzed using regression analysis and comparison testing across models. Findings: There are significant relationships between job characteristics and job satisfaction across all regions of the world, with a sense of achievement universally the most important driver. Although job characteristics impact job satisfaction across all regions, there are significant differences in the relative importance of job characteristics on job satisfaction, consistent with Hofstede\u2019s cultural dimensions. Practical implications: The findings have implications for tailoring human resource management practices across locations within multinationals. Originality/value: This research is believed to be the first cross-cultural study of human resource practices affecting job satisfaction using multiple organizations and industries. (PsycINFO Database Record (c) 2014 APA, all rights reserved). (journal abstract)", "author" : [ { "dropping-particle" : "", "family" : "Andreassi", "given" : "Jeanine Karin", "non-dropping-particle" : "", "parse-names" : false, "suffix" : "" }, { "dropping-particle" : "", "family" : "Lawter", "given" : "Leanna", "non-dropping-particle" : "", "parse-names" : false, "suffix" : "" }, { "dropping-particle" : "", "family" : "Brockerhoff", "given" : "Martin", "non-dropping-particle" : "", "parse-names" : false, "suffix" : "" }, { "dropping-particle" : "", "family" : "Rutigliano", "given" : "Peter J.", "non-dropping-particle" : "", "parse-names" : false, "suffix" : "" } ], "container-title" : "Cross Cultural Management: An International Journal", "id" : "ITEM-4", "issue" : "1", "issued" : { "date-parts" : [ [ "2014" ] ] }, "page" : "55-77", "title" : "Cultural impact of human resource practices on job satisfaction: A global study across 48 countries", "type" : "article-journal", "volume" : "21" }, "uris" : [ "http://www.mendeley.com/documents/?uuid=f8edccd1-c3c7-4528-a229-6329cd6d7ef7" ] }, { "id" : "ITEM-5", "itemData" : { "DOI" : "10.1017/jmo.2014.50", "ISSN" : "1833-3672", "author" : [ { "dropping-particle" : "", "family" : "Shamsudin", "given" : "Faridahwati Mohd", "non-dropping-particle" : "", "parse-names" : false, "suffix" : "" }, { "dropping-particle" : "", "family" : "Ramalu", "given" : "Subramaniam Sri", "non-dropping-particle" : "", "parse-names" : false, "suffix" : "" } ], "container-title" : "Journal of Management &amp; Organization", "id" : "ITEM-5", "issue" : "5", "issued" : { "date-parts" : [ [ "2014" ] ] }, "page" : "691-709", "title" : "The influence of HR practices and job satisfaction on interpersonal deviance in the workplace", "type" : "article-journal", "volume" : "20" }, "uris" : [ "http://www.mendeley.com/documents/?uuid=7c1f42f7-1669-4642-8cb6-babbe5136e21" ] } ], "mendeley" : { "formattedCitation" : "(Appelbaum et al. 2000; Gould-Williams 2004; Petrescu &amp; Simmons 2008; Andreassi et al. 2014; Shamsudin &amp; Ramalu 2014)", "manualFormatting" : "(e.g Andreassi et al., 2014; Shamsudin &amp; Ramalu, 2014)", "plainTextFormattedCitation" : "(Appelbaum et al. 2000; Gould-Williams 2004; Petrescu &amp; Simmons 2008; Andreassi et al. 2014; Shamsudin &amp; Ramalu 2014)", "previouslyFormattedCitation" : "(Appelbaum et al. 2000; Gould-Williams 2004; Petrescu &amp; Simmons 2008; Andreassi et al. 2014; Shamsudin &amp; Ramalu 2014)" }, "properties" : { "noteIndex" : 0 }, "schema" : "https://github.com/citation-style-language/schema/raw/master/csl-citation.json" }</w:instrText>
      </w:r>
      <w:r w:rsidRPr="00452E2E">
        <w:rPr>
          <w:szCs w:val="24"/>
        </w:rPr>
        <w:fldChar w:fldCharType="separate"/>
      </w:r>
      <w:r w:rsidRPr="00452E2E">
        <w:rPr>
          <w:noProof/>
          <w:szCs w:val="24"/>
        </w:rPr>
        <w:t xml:space="preserve">(e.g Andreassi </w:t>
      </w:r>
      <w:r w:rsidRPr="00452E2E">
        <w:rPr>
          <w:i/>
          <w:noProof/>
          <w:szCs w:val="24"/>
        </w:rPr>
        <w:t>et al</w:t>
      </w:r>
      <w:r w:rsidRPr="00452E2E">
        <w:rPr>
          <w:noProof/>
          <w:szCs w:val="24"/>
        </w:rPr>
        <w:t>., 2014; Shamsudin &amp; Ramalu, 2014)</w:t>
      </w:r>
      <w:r w:rsidRPr="00452E2E">
        <w:rPr>
          <w:szCs w:val="24"/>
        </w:rPr>
        <w:fldChar w:fldCharType="end"/>
      </w:r>
      <w:r w:rsidR="00950DAA" w:rsidRPr="00452E2E">
        <w:rPr>
          <w:szCs w:val="24"/>
        </w:rPr>
        <w:t>.</w:t>
      </w:r>
      <w:r w:rsidRPr="00452E2E">
        <w:rPr>
          <w:szCs w:val="24"/>
        </w:rPr>
        <w:t xml:space="preserve"> </w:t>
      </w:r>
      <w:r w:rsidR="00950DAA" w:rsidRPr="00452E2E">
        <w:rPr>
          <w:szCs w:val="24"/>
        </w:rPr>
        <w:t>T</w:t>
      </w:r>
      <w:r w:rsidRPr="00452E2E">
        <w:rPr>
          <w:szCs w:val="24"/>
        </w:rPr>
        <w:t>he evidence from these studies indicate a positive relationship between HR practices and job satisfaction.</w:t>
      </w:r>
    </w:p>
    <w:p w:rsidR="00D03A8E" w:rsidRPr="00452E2E" w:rsidRDefault="00D03A8E" w:rsidP="00D03A8E">
      <w:pPr>
        <w:spacing w:line="360" w:lineRule="auto"/>
        <w:jc w:val="both"/>
        <w:rPr>
          <w:szCs w:val="24"/>
        </w:rPr>
      </w:pPr>
      <w:r w:rsidRPr="00452E2E">
        <w:rPr>
          <w:szCs w:val="24"/>
        </w:rPr>
        <w:t xml:space="preserve">In a study of the effect of employees’ perception of HRM and TQM in Netherlands, </w:t>
      </w:r>
      <w:r w:rsidRPr="00452E2E">
        <w:rPr>
          <w:szCs w:val="24"/>
        </w:rPr>
        <w:fldChar w:fldCharType="begin" w:fldLock="1"/>
      </w:r>
      <w:r w:rsidRPr="00452E2E">
        <w:rPr>
          <w:szCs w:val="24"/>
        </w:rPr>
        <w:instrText>ADDIN CSL_CITATION { "citationItems" : [ { "id" : "ITEM-1", "itemData" : { "abstract" : "There is a growing interest in theory and in practice with regard to the relationship between human resource management [HRM] and total quality management [TQM] as well as the relationship between these two perspectives and business performances. Empirical research suggests significant effects of HRM/TQM on the performances of an organisation. The majority of research in this area is focused on the effects of HRM/TQM at the organisational level. Research on the perceptions of individual employees might obtain new insights for further discussion on the effectiveness of HRM/TQM in an organisation. The authors have the opportunity to analyse a relatively large database with recent data of individual employee perceptions from a knowledge-intensive organisation in The Netherlands. This analysis gives new insight in relation to concepts like 'co-operation', 'information', 'leadership', 'salary', 'work conditions', and 'goal setting' in relation to employee satisfaction and the intention to leave the organisation.", "author" : [ { "dropping-particle" : "", "family" : "Boselie", "given" : "Paul", "non-dropping-particle" : "", "parse-names" : false, "suffix" : "" }, { "dropping-particle" : "", "family" : "Wiele", "given" : "Ton", "non-dropping-particle" : "van de", "parse-names" : false, "suffix" : "" } ], "container-title" : "Managing Service Quality: An International Journal", "id" : "ITEM-1", "issue" : "3", "issued" : { "date-parts" : [ [ "2002" ] ] }, "page" : "165-172", "title" : "Employee perceptions of HRM and TQM, and the effects on satisfaction and intention to leave", "type" : "article-journal", "volume" : "12" }, "uris" : [ "http://www.mendeley.com/documents/?uuid=ab366c04-da60-44e0-a0c4-47e9686ca1ca" ] } ], "mendeley" : { "formattedCitation" : "(Boselie &amp; van de Wiele 2002)", "manualFormatting" : "Boselie and  van de Wiele (2002)", "plainTextFormattedCitation" : "(Boselie &amp; van de Wiele 2002)", "previouslyFormattedCitation" : "(Boselie &amp; van de Wiele 2002)" }, "properties" : { "noteIndex" : 0 }, "schema" : "https://github.com/citation-style-language/schema/raw/master/csl-citation.json" }</w:instrText>
      </w:r>
      <w:r w:rsidRPr="00452E2E">
        <w:rPr>
          <w:szCs w:val="24"/>
        </w:rPr>
        <w:fldChar w:fldCharType="separate"/>
      </w:r>
      <w:r w:rsidRPr="00452E2E">
        <w:rPr>
          <w:noProof/>
          <w:szCs w:val="24"/>
        </w:rPr>
        <w:t xml:space="preserve">Boselie </w:t>
      </w:r>
      <w:r w:rsidR="009C0701" w:rsidRPr="00452E2E">
        <w:rPr>
          <w:noProof/>
          <w:szCs w:val="24"/>
        </w:rPr>
        <w:t>&amp;</w:t>
      </w:r>
      <w:r w:rsidRPr="00452E2E">
        <w:rPr>
          <w:noProof/>
          <w:szCs w:val="24"/>
        </w:rPr>
        <w:t xml:space="preserve">  van de Wiele (2002)</w:t>
      </w:r>
      <w:r w:rsidRPr="00452E2E">
        <w:rPr>
          <w:szCs w:val="24"/>
        </w:rPr>
        <w:fldChar w:fldCharType="end"/>
      </w:r>
      <w:r w:rsidRPr="00452E2E">
        <w:rPr>
          <w:szCs w:val="24"/>
        </w:rPr>
        <w:t xml:space="preserve"> found a positive relationship between employees’ perception of HRM and job satisfaction. Similarly, Edgar </w:t>
      </w:r>
      <w:r w:rsidR="004B7E4F" w:rsidRPr="00452E2E">
        <w:rPr>
          <w:szCs w:val="24"/>
        </w:rPr>
        <w:t>&amp;</w:t>
      </w:r>
      <w:r w:rsidRPr="00452E2E">
        <w:rPr>
          <w:szCs w:val="24"/>
        </w:rPr>
        <w:t xml:space="preserve"> Geare (2005) reported positive effects of HR practices on job satisfaction. The authors measured HR practices using additive measures of </w:t>
      </w:r>
      <w:r w:rsidR="00A2271B" w:rsidRPr="00452E2E">
        <w:rPr>
          <w:szCs w:val="24"/>
        </w:rPr>
        <w:t xml:space="preserve">a </w:t>
      </w:r>
      <w:r w:rsidRPr="00452E2E">
        <w:rPr>
          <w:szCs w:val="24"/>
        </w:rPr>
        <w:t xml:space="preserve">number of HRM practices, employer and employee perceptions of strength of HRM practice. Pointedly, the results of the study showed that only employees’ perception of the strength of HRM practice was positively related to job satisfaction. This indicates the need to include employees’ perceptions in HRM models. </w:t>
      </w:r>
    </w:p>
    <w:p w:rsidR="00D03A8E" w:rsidRPr="00452E2E" w:rsidRDefault="00D03A8E" w:rsidP="00D03A8E">
      <w:pPr>
        <w:spacing w:line="360" w:lineRule="auto"/>
        <w:jc w:val="both"/>
        <w:rPr>
          <w:szCs w:val="24"/>
        </w:rPr>
      </w:pPr>
      <w:r w:rsidRPr="00452E2E">
        <w:rPr>
          <w:szCs w:val="24"/>
        </w:rPr>
        <w:t xml:space="preserve">Mohr &amp; Zoghi (2008) examined the effect of high-involvement work practices on job satisfaction. Using data from </w:t>
      </w:r>
      <w:r w:rsidR="003F081E" w:rsidRPr="00452E2E">
        <w:rPr>
          <w:szCs w:val="24"/>
        </w:rPr>
        <w:t xml:space="preserve">the </w:t>
      </w:r>
      <w:r w:rsidRPr="00452E2E">
        <w:rPr>
          <w:szCs w:val="24"/>
        </w:rPr>
        <w:t xml:space="preserve">Canadian Workplace and Employee Survey, the study found </w:t>
      </w:r>
      <w:r w:rsidR="00EF1F3C" w:rsidRPr="00452E2E">
        <w:rPr>
          <w:szCs w:val="24"/>
        </w:rPr>
        <w:t xml:space="preserve">a </w:t>
      </w:r>
      <w:r w:rsidRPr="00452E2E">
        <w:rPr>
          <w:szCs w:val="24"/>
        </w:rPr>
        <w:t xml:space="preserve">positive relationship between high-involvement work practices and job satisfaction. </w:t>
      </w:r>
      <w:r w:rsidRPr="00452E2E">
        <w:rPr>
          <w:szCs w:val="24"/>
        </w:rPr>
        <w:fldChar w:fldCharType="begin" w:fldLock="1"/>
      </w:r>
      <w:r w:rsidRPr="00452E2E">
        <w:rPr>
          <w:szCs w:val="24"/>
        </w:rPr>
        <w:instrText>ADDIN CSL_CITATION { "citationItems" : [ { "id" : "ITEM-1", "itemData" : { "DOI" : "10.1177/1038411107086542.The", "ISBN" : "1038411107086", "ISSN" : "10384111", "abstract" : "High-involvement work processes are at the heart of the current interest in high-performance work systems. A study of 775 New Zealand employees shows that greater experience of high-involvement processes is associated with higher job satisfaction. To a lesser extent, there are also better outcomes in terms of job-induced stress, fatigue and work-life imbalance. However, in situations where pressures to work longer hours are higher, where employees feel overloaded and where managers place stronger demands on personal time, employees are likely to experience greater dissatisfaction with their jobs, higher stress and fatigue, and greater work-life imbalance. Increasing the availability of work-life balance policies for employees was not found to ameliorate these relationships. The study implies that organizations that can foster smarter working without undue pressures to work harder are likely to enhance employee well-being. \u00a9 2008 Australian Human Resources Institute.", "author" : [ { "dropping-particle" : "", "family" : "Macky", "given" : "K", "non-dropping-particle" : "", "parse-names" : false, "suffix" : "" }, { "dropping-particle" : "", "family" : "Boxall", "given" : "Peter", "non-dropping-particle" : "", "parse-names" : false, "suffix" : "" } ], "container-title" : "Asia Pacific Journal of Human Resources", "id" : "ITEM-1", "issue" : "1", "issued" : { "date-parts" : [ [ "2008" ] ] }, "page" : "38-55", "title" : "High-involvement work processes, work intensification and employee well-being: A study of New Zealand worker experiences", "type" : "article-journal", "volume" : "46" }, "uris" : [ "http://www.mendeley.com/documents/?uuid=fd5a5126-3377-42e9-9c2d-c6afbc9db3c4" ] } ], "mendeley" : { "formattedCitation" : "(Macky &amp; Boxall 2008)", "manualFormatting" : "Macky and Boxall (2008)", "plainTextFormattedCitation" : "(Macky &amp; Boxall 2008)", "previouslyFormattedCitation" : "(Macky &amp; Boxall 2008)" }, "properties" : { "noteIndex" : 0 }, "schema" : "https://github.com/citation-style-language/schema/raw/master/csl-citation.json" }</w:instrText>
      </w:r>
      <w:r w:rsidRPr="00452E2E">
        <w:rPr>
          <w:szCs w:val="24"/>
        </w:rPr>
        <w:fldChar w:fldCharType="separate"/>
      </w:r>
      <w:r w:rsidRPr="00452E2E">
        <w:rPr>
          <w:noProof/>
          <w:szCs w:val="24"/>
        </w:rPr>
        <w:t xml:space="preserve">Macky </w:t>
      </w:r>
      <w:r w:rsidR="008E31E6" w:rsidRPr="00452E2E">
        <w:rPr>
          <w:noProof/>
          <w:szCs w:val="24"/>
        </w:rPr>
        <w:t>&amp;</w:t>
      </w:r>
      <w:r w:rsidRPr="00452E2E">
        <w:rPr>
          <w:noProof/>
          <w:szCs w:val="24"/>
        </w:rPr>
        <w:t xml:space="preserve"> Boxall (2008)</w:t>
      </w:r>
      <w:r w:rsidRPr="00452E2E">
        <w:rPr>
          <w:szCs w:val="24"/>
        </w:rPr>
        <w:fldChar w:fldCharType="end"/>
      </w:r>
      <w:r w:rsidRPr="00452E2E">
        <w:rPr>
          <w:szCs w:val="24"/>
        </w:rPr>
        <w:t xml:space="preserve"> found positive effects of high-involvement work systems (HIWS)</w:t>
      </w:r>
      <w:r w:rsidR="00A75EA0" w:rsidRPr="00BE5AF1">
        <w:rPr>
          <w:rStyle w:val="FootnoteReference"/>
        </w:rPr>
        <w:footnoteReference w:id="3"/>
      </w:r>
      <w:r w:rsidRPr="00452E2E">
        <w:rPr>
          <w:szCs w:val="24"/>
        </w:rPr>
        <w:t xml:space="preserve"> on job satisfaction. Although HIWS had negative effects on work-life imbalance, fatigue, and stress, the relationship was weak. Similar findings were reported in a later study by the authors </w:t>
      </w:r>
      <w:r w:rsidRPr="00452E2E">
        <w:rPr>
          <w:szCs w:val="24"/>
        </w:rPr>
        <w:fldChar w:fldCharType="begin" w:fldLock="1"/>
      </w:r>
      <w:r w:rsidRPr="00452E2E">
        <w:rPr>
          <w:szCs w:val="24"/>
        </w:rPr>
        <w:instrText>ADDIN CSL_CITATION { "citationItems" : [ { "id" : "ITEM-1", "itemData" : { "abstract" : "Using a national population survey, this article examines how high-involvement work processes affect employee well-being. The analysis shows that greater experiences of autonomy and participation in decision-making have positive or neutral effects. Higher involvement is a key factor predicting higher job satisfaction and better work\u2013life balance while it has no relationship to stress or fatigue. In contrast, higher levels of work intensity increase fatigue and stress and undermine work\u2013life balance. If the quality of working life is a key objective in a reform based on greater employee involvement, close attention needs to be paid to the balance between processes that release human potential and those that increase the intensity of work. Keywords", "author" : [ { "dropping-particle" : "", "family" : "Boxall", "given" : "Peter", "non-dropping-particle" : "", "parse-names" : false, "suffix" : "" }, { "dropping-particle" : "", "family" : "Macky", "given" : "Keith", "non-dropping-particle" : "", "parse-names" : false, "suffix" : "" } ], "container-title" : "Work, Employment &amp; Society", "id" : "ITEM-1", "issue" : "6", "issued" : { "date-parts" : [ [ "2014" ] ] }, "page" : "963-984", "title" : "High-involvement work process, work intensification and employee well-being", "type" : "article-journal", "volume" : "28" }, "uris" : [ "http://www.mendeley.com/documents/?uuid=676e6816-0c74-4d96-b5f0-7e364ff2d3fc" ] } ], "mendeley" : { "formattedCitation" : "(Boxall &amp; Macky 2014)", "manualFormatting" : "(Boxall &amp; Macky, 2014)", "plainTextFormattedCitation" : "(Boxall &amp; Macky 2014)", "previouslyFormattedCitation" : "(Boxall &amp; Macky 2014)" }, "properties" : { "noteIndex" : 0 }, "schema" : "https://github.com/citation-style-language/schema/raw/master/csl-citation.json" }</w:instrText>
      </w:r>
      <w:r w:rsidRPr="00452E2E">
        <w:rPr>
          <w:szCs w:val="24"/>
        </w:rPr>
        <w:fldChar w:fldCharType="separate"/>
      </w:r>
      <w:r w:rsidRPr="00452E2E">
        <w:rPr>
          <w:noProof/>
          <w:szCs w:val="24"/>
        </w:rPr>
        <w:t>(Boxall &amp; Macky, 2014)</w:t>
      </w:r>
      <w:r w:rsidRPr="00452E2E">
        <w:rPr>
          <w:szCs w:val="24"/>
        </w:rPr>
        <w:fldChar w:fldCharType="end"/>
      </w:r>
      <w:r w:rsidRPr="00452E2E">
        <w:rPr>
          <w:szCs w:val="24"/>
        </w:rPr>
        <w:t xml:space="preserve">. Also, </w:t>
      </w:r>
      <w:r w:rsidRPr="00452E2E">
        <w:rPr>
          <w:szCs w:val="24"/>
        </w:rPr>
        <w:fldChar w:fldCharType="begin" w:fldLock="1"/>
      </w:r>
      <w:r w:rsidRPr="00452E2E">
        <w:rPr>
          <w:szCs w:val="24"/>
        </w:rPr>
        <w:instrText>ADDIN CSL_CITATION { "citationItems" : [ { "id" : "ITEM-1",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"ITEM-1",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"mendeley" : { "formattedCitation" : "(Mendelson et al. 2011)", "manualFormatting" : "Mendelson et al's. (2011)", "plainTextFormattedCitation" : "(Mendelson et al. 2011)", "previouslyFormattedCitation" : "(Mendelson et al. 2011)" }, "properties" : { "noteIndex" : 0 }, "schema" : "https://github.com/citation-style-language/schema/raw/master/csl-citation.json" }</w:instrText>
      </w:r>
      <w:r w:rsidRPr="00452E2E">
        <w:rPr>
          <w:szCs w:val="24"/>
        </w:rPr>
        <w:fldChar w:fldCharType="separate"/>
      </w:r>
      <w:r w:rsidRPr="00452E2E">
        <w:rPr>
          <w:noProof/>
          <w:szCs w:val="24"/>
        </w:rPr>
        <w:t xml:space="preserve">Mendelson </w:t>
      </w:r>
      <w:r w:rsidRPr="00452E2E">
        <w:rPr>
          <w:i/>
          <w:noProof/>
          <w:szCs w:val="24"/>
        </w:rPr>
        <w:t>et al's</w:t>
      </w:r>
      <w:r w:rsidRPr="00452E2E">
        <w:rPr>
          <w:noProof/>
          <w:szCs w:val="24"/>
        </w:rPr>
        <w:t>. (2011)</w:t>
      </w:r>
      <w:r w:rsidRPr="00452E2E">
        <w:rPr>
          <w:szCs w:val="24"/>
        </w:rPr>
        <w:fldChar w:fldCharType="end"/>
      </w:r>
      <w:r w:rsidRPr="00452E2E">
        <w:rPr>
          <w:szCs w:val="24"/>
        </w:rPr>
        <w:t xml:space="preserve"> research on 317 employees in five organizations in Canada reported positive effects of </w:t>
      </w:r>
      <w:r w:rsidR="001F79F4" w:rsidRPr="00452E2E">
        <w:rPr>
          <w:szCs w:val="24"/>
        </w:rPr>
        <w:t>HIWS</w:t>
      </w:r>
      <w:r w:rsidRPr="00452E2E">
        <w:rPr>
          <w:szCs w:val="24"/>
        </w:rPr>
        <w:t xml:space="preserve"> on job satisfaction. </w:t>
      </w:r>
    </w:p>
    <w:p w:rsidR="00D03A8E" w:rsidRPr="00452E2E" w:rsidRDefault="00D03A8E" w:rsidP="00D03A8E">
      <w:pPr>
        <w:spacing w:line="360" w:lineRule="auto"/>
        <w:jc w:val="both"/>
        <w:rPr>
          <w:szCs w:val="24"/>
        </w:rPr>
      </w:pPr>
      <w:r w:rsidRPr="00452E2E">
        <w:rPr>
          <w:szCs w:val="24"/>
        </w:rPr>
        <w:fldChar w:fldCharType="begin" w:fldLock="1"/>
      </w:r>
      <w:r w:rsidRPr="00452E2E">
        <w:rPr>
          <w:szCs w:val="24"/>
        </w:rPr>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"mendeley" : { "formattedCitation" : "(Wu &amp; Chaturvedi 2009)", "manualFormatting" : "Wu &amp; Chaturvedi (2009)", "plainTextFormattedCitation" : "(Wu &amp; Chaturvedi 2009)", "previouslyFormattedCitation" : "(Wu &amp; Chaturvedi 2009)" }, "properties" : { "noteIndex" : 0 }, "schema" : "https://github.com/citation-style-language/schema/raw/master/csl-citation.json" }</w:instrText>
      </w:r>
      <w:r w:rsidRPr="00452E2E">
        <w:rPr>
          <w:szCs w:val="24"/>
        </w:rPr>
        <w:fldChar w:fldCharType="separate"/>
      </w:r>
      <w:r w:rsidRPr="00452E2E">
        <w:rPr>
          <w:noProof/>
          <w:szCs w:val="24"/>
        </w:rPr>
        <w:t>Wu &amp; Chaturvedi (2009)</w:t>
      </w:r>
      <w:r w:rsidRPr="00452E2E">
        <w:rPr>
          <w:szCs w:val="24"/>
        </w:rPr>
        <w:fldChar w:fldCharType="end"/>
      </w:r>
      <w:r w:rsidRPr="00452E2E">
        <w:rPr>
          <w:szCs w:val="24"/>
        </w:rPr>
        <w:t xml:space="preserve"> investigated the relationship between high performance work system (HPWS)</w:t>
      </w:r>
      <w:r w:rsidR="00A75EA0" w:rsidRPr="00BE5AF1">
        <w:rPr>
          <w:rStyle w:val="FootnoteReference"/>
        </w:rPr>
        <w:footnoteReference w:id="4"/>
      </w:r>
      <w:r w:rsidRPr="00452E2E">
        <w:rPr>
          <w:szCs w:val="24"/>
        </w:rPr>
        <w:t xml:space="preserve"> among 1,383 employees drawn from 23 firms in China, Singapore, and Taiwan. They found that HPWS increased job </w:t>
      </w:r>
      <w:r w:rsidRPr="00452E2E">
        <w:rPr>
          <w:szCs w:val="24"/>
        </w:rPr>
        <w:lastRenderedPageBreak/>
        <w:t xml:space="preserve">satisfaction levels. In addition, there was indirect effects of HPWS on job satisfaction through procedural justice. </w:t>
      </w:r>
      <w:r w:rsidRPr="00452E2E">
        <w:rPr>
          <w:szCs w:val="24"/>
        </w:rPr>
        <w:fldChar w:fldCharType="begin" w:fldLock="1"/>
      </w:r>
      <w:r w:rsidR="00162E4E" w:rsidRPr="00452E2E">
        <w:rPr>
          <w:szCs w:val="24"/>
        </w:rPr>
        <w:instrText>ADDIN CSL_CITATION { "citationItems" : [ { "id" : "ITEM-1", "itemData" : { "DOI" : "10.1080/09585191003658821", "ISBN" : "0958-5192", "ISSN" : "0958-5192", "abstract" : "This paper presents the findings of a cross-cultural comparison of the effects of \u2018best practice\u2019 HRM using employees from a matched sample of local government service departments in England and Malaysia (England n = 569, Malaysian n = 453). The paper tests the universal \u2018best practice\u2019 thesis, and also assesses the perceived level of up-take of HR practices in the two samples. The research also considers the effects of the psychological climate and employees' perceptions of trust on five work-related outcomes, namely job satisfaction, motivation, organizational citizenship behaviour, stress and quit intentions. The findings reveal that the Malaysian workers perceived the up-take of HR practices to be higher in comparison to their counterparts in England. A less consistent pattern emerged with regards to perceptions of climate. OLS regression revealed that consistent with the universal thesis, a bundle of HR practices significantly predicted employee outcomes in the hypothesized directions in both samples. Therefore, these findings provide strong support for the universal thesis.", "author" : [ { "dropping-particle" : "", "family" : "Gould-Williams", "given" : "Julian Seymour", "non-dropping-particle" : "", "parse-names" : false, "suffix" : "" }, { "dropping-particle" : "", "family" : "Mohamed", "given" : "R. B.", "non-dropping-particle" : "", "parse-names" : false, "suffix" : "" } ], "container-title" : "International Journal of Human Resource Management", "id" : "ITEM-1", "issue" : "5", "issued" : { "date-parts" : [ [ "2010" ] ] }, "page" : "653-675", "title" : "A comparative study of the effects of 'best practice' HRM on worker outcomes in Malaysia and England local government", "type" : "article-journal", "volume" : "21" }, "uris" : [ "http://www.mendeley.com/documents/?uuid=98a188d6-200c-4802-9dc6-91c1531372f0" ] } ], "mendeley" : { "formattedCitation" : "(Gould-Williams &amp; Mohamed 2010)", "manualFormatting" : "In a comparative study of 569 local government employees and 453 local government employees in England and Malaysia respectively, Gould-Williams &amp; Mohamed (2010)", "plainTextFormattedCitation" : "(Gould-Williams &amp; Mohamed 2010)", "previouslyFormattedCitation" : "(Gould-Williams &amp; Mohamed 2010)" }, "properties" : { "noteIndex" : 0 }, "schema" : "https://github.com/citation-style-language/schema/raw/master/csl-citation.json" }</w:instrText>
      </w:r>
      <w:r w:rsidRPr="00452E2E">
        <w:rPr>
          <w:szCs w:val="24"/>
        </w:rPr>
        <w:fldChar w:fldCharType="separate"/>
      </w:r>
      <w:r w:rsidRPr="00452E2E">
        <w:rPr>
          <w:noProof/>
          <w:szCs w:val="24"/>
        </w:rPr>
        <w:t xml:space="preserve">In a comparative study of 569 local government employees and 453 local government employees in England and Malaysia respectively, Gould-Williams </w:t>
      </w:r>
      <w:r w:rsidR="00162E4E" w:rsidRPr="00452E2E">
        <w:rPr>
          <w:noProof/>
          <w:szCs w:val="24"/>
        </w:rPr>
        <w:t>&amp;</w:t>
      </w:r>
      <w:r w:rsidRPr="00452E2E">
        <w:rPr>
          <w:noProof/>
          <w:szCs w:val="24"/>
        </w:rPr>
        <w:t xml:space="preserve"> Mohamed (2010)</w:t>
      </w:r>
      <w:r w:rsidRPr="00452E2E">
        <w:rPr>
          <w:szCs w:val="24"/>
        </w:rPr>
        <w:fldChar w:fldCharType="end"/>
      </w:r>
      <w:r w:rsidRPr="00452E2E">
        <w:rPr>
          <w:szCs w:val="24"/>
        </w:rPr>
        <w:t xml:space="preserve"> found that best practice HRM bundle related positively </w:t>
      </w:r>
      <w:r w:rsidR="00162E4E" w:rsidRPr="00452E2E">
        <w:rPr>
          <w:szCs w:val="24"/>
        </w:rPr>
        <w:t xml:space="preserve">to </w:t>
      </w:r>
      <w:r w:rsidRPr="00452E2E">
        <w:rPr>
          <w:szCs w:val="24"/>
        </w:rPr>
        <w:t xml:space="preserve">job satisfaction in both samples; reflecting the universal thesis of best practice HRM. </w:t>
      </w:r>
    </w:p>
    <w:p w:rsidR="00D03A8E" w:rsidRPr="00452E2E" w:rsidRDefault="00D03A8E" w:rsidP="00D03A8E">
      <w:pPr>
        <w:spacing w:line="360" w:lineRule="auto"/>
        <w:jc w:val="both"/>
        <w:rPr>
          <w:szCs w:val="24"/>
        </w:rPr>
      </w:pPr>
      <w:r w:rsidRPr="00452E2E">
        <w:rPr>
          <w:szCs w:val="24"/>
        </w:rPr>
        <w:t xml:space="preserve">A meta-analysis of 83 studies on the effects of high commitment HR practices and job satisfaction conducted by </w:t>
      </w:r>
      <w:r w:rsidRPr="00452E2E">
        <w:rPr>
          <w:szCs w:val="24"/>
        </w:rPr>
        <w:fldChar w:fldCharType="begin" w:fldLock="1"/>
      </w:r>
      <w:r w:rsidRPr="00452E2E">
        <w:rPr>
          <w:szCs w:val="24"/>
        </w:rPr>
        <w:instrText>ADDIN CSL_CITATION { "citationItems" : [ { "id" : "ITEM-1", "itemData" : { "DOI" : "10.1002/job", "ISBN" : "0143-7739", "ISSN" : "12045357", "PMID" : "21451395", "author" : [ { "dropping-particle" : "", "family" : "Kooij", "given" : "Dorien", "non-dropping-particle" : "", "parse-names" : false, "suffix" : "" }, { "dropping-particle" : "", "family" : "Jansen", "given" : "Paul G W", "non-dropping-particle" : "", "parse-names" : false, "suffix" : "" }, { "dropping-particle" : "", "family" : "Dikkers", "given" : "Josje S E", "non-dropping-particle" : "", "parse-names" : false, "suffix" : "" }, { "dropping-particle" : "", "family" : "Lange", "given" : "A.H.", "non-dropping-particle" : "De", "parse-names" : false, "suffix" : "" } ], "container-title" : "Journal of Organizational Behavior", "id" : "ITEM-1", "issued" : { "date-parts" : [ [ "2010" ] ] }, "page" : "1111-1136", "title" : "The influence of age on associations between HR practices and both affective commitment and job satisfaction: A meta-analysis", "type" : "article-journal", "volume" : "31" }, "uris" : [ "http://www.mendeley.com/documents/?uuid=9656bbe6-a94f-4f61-90d3-f187e33ddc6d" ] } ], "mendeley" : { "formattedCitation" : "(Kooij et al. 2010)", "manualFormatting" : "Kooij et al. (2010)", "plainTextFormattedCitation" : "(Kooij et al. 2010)", "previouslyFormattedCitation" : "(Kooij et al. 2010)" }, "properties" : { "noteIndex" : 0 }, "schema" : "https://github.com/citation-style-language/schema/raw/master/csl-citation.json" }</w:instrText>
      </w:r>
      <w:r w:rsidRPr="00452E2E">
        <w:rPr>
          <w:szCs w:val="24"/>
        </w:rPr>
        <w:fldChar w:fldCharType="separate"/>
      </w:r>
      <w:r w:rsidRPr="00452E2E">
        <w:rPr>
          <w:noProof/>
          <w:szCs w:val="24"/>
        </w:rPr>
        <w:t xml:space="preserve">Kooij </w:t>
      </w:r>
      <w:r w:rsidRPr="00452E2E">
        <w:rPr>
          <w:i/>
          <w:noProof/>
          <w:szCs w:val="24"/>
        </w:rPr>
        <w:t>et al</w:t>
      </w:r>
      <w:r w:rsidRPr="00452E2E">
        <w:rPr>
          <w:noProof/>
          <w:szCs w:val="24"/>
        </w:rPr>
        <w:t>. (2010)</w:t>
      </w:r>
      <w:r w:rsidRPr="00452E2E">
        <w:rPr>
          <w:szCs w:val="24"/>
        </w:rPr>
        <w:fldChar w:fldCharType="end"/>
      </w:r>
      <w:r w:rsidRPr="00452E2E">
        <w:rPr>
          <w:szCs w:val="24"/>
        </w:rPr>
        <w:t xml:space="preserve"> found that both maintenance HR practices and development HR practices increased job satisfaction levels. However, as employees got older, the relationship between maintenance HR practices increased while the relationship between development HR practices decreased with age. Using longitudinal, multi-informant and multi-source data from public hospitals in England, </w:t>
      </w:r>
      <w:r w:rsidRPr="00452E2E">
        <w:rPr>
          <w:szCs w:val="24"/>
        </w:rPr>
        <w:fldChar w:fldCharType="begin" w:fldLock="1"/>
      </w:r>
      <w:r w:rsidRPr="00452E2E">
        <w:rPr>
          <w:szCs w:val="24"/>
        </w:rPr>
        <w:instrText>ADDIN CSL_CITATION { "citationItems" : [ { "id" : "ITEM-1", "itemData" : { "DOI" : "10.1037/a0033925", "ISBN" : "1939-1854(Electronic);0021-9010(Print)", "ISSN" : "1939-1854", "PMID" : "23915431", "abstract" : "Given the limited understanding of temporal issues in extant theorizing about the link between human resource management (HRM) and performance, in this study we aim to shed light on how, when, and why HR interventions affect organizational performance. On the basis of longitudinal, multi-informant and multisource data from public hospital services in England, we provide new insights into the complex interplay between employees' perceptions of HR systems, job satisfaction, and performance outcomes over time. The dynamic panel data analyses provide support for changes in employees' experience of an HR system being related to subsequent changes in customer satisfaction, as mediated by changes in job satisfaction, albeit these effects decrease over time. Moreover, our longitudinal analyses highlight the importance of feedback effects in the HRM-performance chain, which otherwise appears to evolve in a cyclical manner.", "author" : [ { "dropping-particle" : "", "family" : "Piening", "given" : "Erk P", "non-dropping-particle" : "", "parse-names" : false, "suffix" : "" }, { "dropping-particle" : "", "family" : "Baluch", "given" : "Alina M", "non-dropping-particle" : "", "parse-names" : false, "suffix" : "" }, { "dropping-particle" : "", "family" : "Salge", "given" : "Torsten Oliver", "non-dropping-particle" : "", "parse-names" : false, "suffix" : "" } ], "container-title" : "Journal of Applied Psychology", "id" : "ITEM-1", "issue" : "6", "issued" : { "date-parts" : [ [ "2013" ] ] }, "page" : "926-47", "title" : "The relationship between employees' perceptions of human resource systems and organizational performance: Examining mediating mechanisms and temporal dynamics", "type" : "article-journal", "volume" : "98" }, "uris" : [ "http://www.mendeley.com/documents/?uuid=0a42ce09-305a-4d4f-a3be-971a3a45e158" ] } ], "mendeley" : { "formattedCitation" : "(Piening et al. 2013)", "manualFormatting" : "Piening et al. (2013)", "plainTextFormattedCitation" : "(Piening et al. 2013)", "previouslyFormattedCitation" : "(Piening et al. 2013)" }, "properties" : { "noteIndex" : 0 }, "schema" : "https://github.com/citation-style-language/schema/raw/master/csl-citation.json" }</w:instrText>
      </w:r>
      <w:r w:rsidRPr="00452E2E">
        <w:rPr>
          <w:szCs w:val="24"/>
        </w:rPr>
        <w:fldChar w:fldCharType="separate"/>
      </w:r>
      <w:r w:rsidRPr="00452E2E">
        <w:rPr>
          <w:noProof/>
          <w:szCs w:val="24"/>
        </w:rPr>
        <w:t xml:space="preserve">Piening </w:t>
      </w:r>
      <w:r w:rsidRPr="00452E2E">
        <w:rPr>
          <w:i/>
          <w:noProof/>
          <w:szCs w:val="24"/>
        </w:rPr>
        <w:t>et al</w:t>
      </w:r>
      <w:r w:rsidRPr="00452E2E">
        <w:rPr>
          <w:noProof/>
          <w:szCs w:val="24"/>
        </w:rPr>
        <w:t>. (2013)</w:t>
      </w:r>
      <w:r w:rsidRPr="00452E2E">
        <w:rPr>
          <w:szCs w:val="24"/>
        </w:rPr>
        <w:fldChar w:fldCharType="end"/>
      </w:r>
      <w:r w:rsidRPr="00452E2E">
        <w:rPr>
          <w:szCs w:val="24"/>
        </w:rPr>
        <w:t xml:space="preserve"> found a positive association between perceptions of HR system and job satisfaction. However, the study found that job satisfaction levels changed as employees’ perceptions of HR system changed. Similarly, </w:t>
      </w:r>
      <w:r w:rsidRPr="00452E2E">
        <w:rPr>
          <w:szCs w:val="24"/>
        </w:rPr>
        <w:fldChar w:fldCharType="begin" w:fldLock="1"/>
      </w:r>
      <w:r w:rsidRPr="00452E2E">
        <w:rPr>
          <w:szCs w:val="24"/>
        </w:rPr>
        <w:instrText>ADDIN CSL_CITATION { "citationItems" : [ { "id" : "ITEM-1",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"ITEM-1",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"mendeley" : { "formattedCitation" : "(Ang et al. 2013)", "manualFormatting" : "Ang et al's. (2013)", "plainTextFormattedCitation" : "(Ang et al. 2013)", "previouslyFormattedCitation" : "(Ang et al. 2013)" }, "properties" : { "noteIndex" : 0 }, "schema" : "https://github.com/citation-style-language/schema/raw/master/csl-citation.json" }</w:instrText>
      </w:r>
      <w:r w:rsidRPr="00452E2E">
        <w:rPr>
          <w:szCs w:val="24"/>
        </w:rPr>
        <w:fldChar w:fldCharType="separate"/>
      </w:r>
      <w:r w:rsidRPr="00452E2E">
        <w:rPr>
          <w:noProof/>
          <w:szCs w:val="24"/>
        </w:rPr>
        <w:t xml:space="preserve">Ang </w:t>
      </w:r>
      <w:r w:rsidRPr="00452E2E">
        <w:rPr>
          <w:i/>
          <w:noProof/>
          <w:szCs w:val="24"/>
        </w:rPr>
        <w:t>et al</w:t>
      </w:r>
      <w:r w:rsidRPr="00452E2E">
        <w:rPr>
          <w:noProof/>
          <w:szCs w:val="24"/>
        </w:rPr>
        <w:t>'s. (2013)</w:t>
      </w:r>
      <w:r w:rsidRPr="00452E2E">
        <w:rPr>
          <w:szCs w:val="24"/>
        </w:rPr>
        <w:fldChar w:fldCharType="end"/>
      </w:r>
      <w:r w:rsidRPr="00452E2E">
        <w:rPr>
          <w:szCs w:val="24"/>
        </w:rPr>
        <w:t xml:space="preserve"> multi-level study of a matched sample of 193 employees and 58 managers in a regional hospital in Australia found that HPWS resulted </w:t>
      </w:r>
      <w:r w:rsidR="00905133" w:rsidRPr="00452E2E">
        <w:rPr>
          <w:szCs w:val="24"/>
        </w:rPr>
        <w:t>in</w:t>
      </w:r>
      <w:r w:rsidRPr="00452E2E">
        <w:rPr>
          <w:szCs w:val="24"/>
        </w:rPr>
        <w:t xml:space="preserve"> heightened job satisfaction when the implemented HPWS were </w:t>
      </w:r>
      <w:r w:rsidR="006426AE" w:rsidRPr="00452E2E">
        <w:rPr>
          <w:szCs w:val="24"/>
        </w:rPr>
        <w:t>accepted</w:t>
      </w:r>
      <w:r w:rsidRPr="00452E2E">
        <w:rPr>
          <w:szCs w:val="24"/>
        </w:rPr>
        <w:t xml:space="preserve"> by employees. This indicates that the relationship between HR practices and job satisfaction is contingent on the nature of HR practices, relative to employees’ needs.</w:t>
      </w:r>
    </w:p>
    <w:p w:rsidR="00D03A8E" w:rsidRPr="00452E2E" w:rsidRDefault="00D03A8E" w:rsidP="00D03A8E">
      <w:pPr>
        <w:spacing w:line="360" w:lineRule="auto"/>
        <w:jc w:val="both"/>
        <w:rPr>
          <w:szCs w:val="24"/>
        </w:rPr>
      </w:pPr>
      <w:r w:rsidRPr="00452E2E">
        <w:rPr>
          <w:szCs w:val="24"/>
        </w:rPr>
        <w:fldChar w:fldCharType="begin" w:fldLock="1"/>
      </w:r>
      <w:r w:rsidRPr="00452E2E">
        <w:rPr>
          <w:szCs w:val="24"/>
        </w:rPr>
        <w:instrText>ADDIN CSL_CITATION { "citationItems" : [ { "id" : "ITEM-1",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"ITEM-1",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"mendeley" : { "formattedCitation" : "(Boon et al. 2011)", "manualFormatting" : "Boon et al. (2011)", "plainTextFormattedCitation" : "(Boon et al. 2011)", "previouslyFormattedCitation" : "(Boon et al. 2011)" }, "properties" : { "noteIndex" : 0 }, "schema" : "https://github.com/citation-style-language/schema/raw/master/csl-citation.json" }</w:instrText>
      </w:r>
      <w:r w:rsidRPr="00452E2E">
        <w:rPr>
          <w:szCs w:val="24"/>
        </w:rPr>
        <w:fldChar w:fldCharType="separate"/>
      </w:r>
      <w:r w:rsidRPr="00452E2E">
        <w:rPr>
          <w:noProof/>
          <w:szCs w:val="24"/>
        </w:rPr>
        <w:t xml:space="preserve">Boon </w:t>
      </w:r>
      <w:r w:rsidRPr="00452E2E">
        <w:rPr>
          <w:i/>
          <w:noProof/>
          <w:szCs w:val="24"/>
        </w:rPr>
        <w:t>et al</w:t>
      </w:r>
      <w:r w:rsidRPr="00452E2E">
        <w:rPr>
          <w:noProof/>
          <w:szCs w:val="24"/>
        </w:rPr>
        <w:t>. (2011)</w:t>
      </w:r>
      <w:r w:rsidRPr="00452E2E">
        <w:rPr>
          <w:szCs w:val="24"/>
        </w:rPr>
        <w:fldChar w:fldCharType="end"/>
      </w:r>
      <w:r w:rsidRPr="00452E2E">
        <w:rPr>
          <w:szCs w:val="24"/>
        </w:rPr>
        <w:t xml:space="preserve"> found a positive relationship between HR practices and job satisfaction among Dut</w:t>
      </w:r>
      <w:r w:rsidR="005D3D56" w:rsidRPr="00452E2E">
        <w:rPr>
          <w:szCs w:val="24"/>
        </w:rPr>
        <w:t>ch employees. Further, there were</w:t>
      </w:r>
      <w:r w:rsidRPr="00452E2E">
        <w:rPr>
          <w:szCs w:val="24"/>
        </w:rPr>
        <w:t xml:space="preserve"> indirect effects of HR practices </w:t>
      </w:r>
      <w:r w:rsidR="00A4318B" w:rsidRPr="00452E2E">
        <w:rPr>
          <w:szCs w:val="24"/>
        </w:rPr>
        <w:t>on</w:t>
      </w:r>
      <w:r w:rsidRPr="00452E2E">
        <w:rPr>
          <w:szCs w:val="24"/>
        </w:rPr>
        <w:t xml:space="preserve"> job satisfaction through person-organization fit and person-job fit. </w:t>
      </w:r>
      <w:r w:rsidR="00D87711" w:rsidRPr="00452E2E">
        <w:rPr>
          <w:szCs w:val="24"/>
        </w:rPr>
        <w:t>Similarly,</w:t>
      </w:r>
      <w:r w:rsidRPr="00452E2E">
        <w:rPr>
          <w:szCs w:val="24"/>
        </w:rPr>
        <w:t xml:space="preserve"> </w:t>
      </w:r>
      <w:r w:rsidRPr="00452E2E">
        <w:rPr>
          <w:szCs w:val="24"/>
        </w:rPr>
        <w:fldChar w:fldCharType="begin" w:fldLock="1"/>
      </w:r>
      <w:r w:rsidRPr="00452E2E">
        <w:rPr>
          <w:szCs w:val="24"/>
        </w:rPr>
        <w:instrText>ADDIN CSL_CITATION { "citationItems" : [ { "id" : "ITEM-1", "itemData" : { "DOI" : "10.1080/09585192.2011.561016", "ISSN" : "0958-5192", "abstract" : "The current study examines how high-involvement work systems (HIWS) influence employee responses to involvement initiatives. While existing research has linked HIWS to individual attitudes, we predict that an organization\u2019s HIWS moderate the relationship between employee involvement and job satisfaction and absenteeism. Using multilevel data (8454 employees from 1429 workplaces), we found that employee involvement and HIWS are positively related to employee job satisfaction. Additionally, the results support a cross-level interaction: at high levels of HIWS, employee involvement is negatively related to absenteeism, whereas at low levels of HIWS, the negative relationship is weaker. The implications of the findings are discussed.", "author" : [ { "dropping-particle" : "", "family" : "Zatzick", "given" : "Christopher D.", "non-dropping-particle" : "", "parse-names" : false, "suffix" : "" }, { "dropping-particle" : "", "family" : "Iverson", "given" : "Roderick D.", "non-dropping-particle" : "", "parse-names" : false, "suffix" : "" } ], "container-title" : "The International Journal of Human Resource Management", "id" : "ITEM-1", "issue" : "17", "issued" : { "date-parts" : [ [ "2011" ] ] }, "page" : "3462-3476", "title" : "Putting employee involvement in context: A cross-level model examining job satisfaction and absenteeism in high-involvement work systems", "type" : "article-journal", "volume" : "22" }, "uris" : [ "http://www.mendeley.com/documents/?uuid=946cff3e-0b7a-42c8-b450-9727b6de32ea" ] } ], "mendeley" : { "formattedCitation" : "(Zatzick &amp; Iverson 2011)", "manualFormatting" : "Zatzick &amp; Iverson (2011)", "plainTextFormattedCitation" : "(Zatzick &amp; Iverson 2011)", "previouslyFormattedCitation" : "(Zatzick &amp; Iverson 2011)" }, "properties" : { "noteIndex" : 0 }, "schema" : "https://github.com/citation-style-language/schema/raw/master/csl-citation.json" }</w:instrText>
      </w:r>
      <w:r w:rsidRPr="00452E2E">
        <w:rPr>
          <w:szCs w:val="24"/>
        </w:rPr>
        <w:fldChar w:fldCharType="separate"/>
      </w:r>
      <w:r w:rsidRPr="00452E2E">
        <w:rPr>
          <w:noProof/>
          <w:szCs w:val="24"/>
        </w:rPr>
        <w:t>Zatzick &amp; Iverson (2011)</w:t>
      </w:r>
      <w:r w:rsidRPr="00452E2E">
        <w:rPr>
          <w:szCs w:val="24"/>
        </w:rPr>
        <w:fldChar w:fldCharType="end"/>
      </w:r>
      <w:r w:rsidRPr="00452E2E">
        <w:rPr>
          <w:szCs w:val="24"/>
        </w:rPr>
        <w:t xml:space="preserve"> found positive effects of high-involvement work system on job satisfaction. The study also found that </w:t>
      </w:r>
      <w:r w:rsidR="004C0FB5" w:rsidRPr="00452E2E">
        <w:rPr>
          <w:szCs w:val="24"/>
        </w:rPr>
        <w:t xml:space="preserve">a </w:t>
      </w:r>
      <w:r w:rsidRPr="00452E2E">
        <w:rPr>
          <w:szCs w:val="24"/>
        </w:rPr>
        <w:t xml:space="preserve">high-involvement work system moderated the relationship between employee involvement and job satisfaction whilst  </w:t>
      </w:r>
      <w:r w:rsidRPr="00452E2E">
        <w:rPr>
          <w:szCs w:val="24"/>
        </w:rPr>
        <w:fldChar w:fldCharType="begin" w:fldLock="1"/>
      </w:r>
      <w:r w:rsidRPr="00452E2E">
        <w:rPr>
          <w:szCs w:val="24"/>
        </w:rPr>
        <w:instrText>ADDIN CSL_CITATION { "citationItems" : [ { "id" : "ITEM-1", "itemData" : { "author" : [ { "dropping-particle" : "", "family" : "Hartog", "given" : "D. N.", "non-dropping-particle" : "Den", "parse-names" : false, "suffix" : "" }, { "dropping-particle" : "", "family" : "Boon", "given" : "C.", "non-dropping-particle" : "", "parse-names" : false, "suffix" : "" }, { "dropping-particle" : "", "family" : "Verburg", "given" : "R. M.", "non-dropping-particle" : "", "parse-names" : false, "suffix" : "" }, { "dropping-particle" : "", "family" : "Croon", "given" : "M. A.", "non-dropping-particle" : "", "parse-names" : false, "suffix" : "" } ], "container-title" : "Journal of Management", "id" : "ITEM-1", "issue" : "6", "issued" : { "date-parts" : [ [ "2013" ] ] }, "page" : "1637-1665", "title" : "HRM, communication, satisfaction, and perceived performance: A cross-level test", "type" : "article-journal", "volume" : "39" }, "uris" : [ "http://www.mendeley.com/documents/?uuid=aaf5ee5f-23ca-4c61-ab59-e1572ec0401b" ] } ], "mendeley" : { "formattedCitation" : "(Den Hartog et al. 2013)", "manualFormatting" : "Den Hartog et al. (2013)", "plainTextFormattedCitation" : "(Den Hartog et al. 2013)", "previouslyFormattedCitation" : "(Den Hartog et al. 2013)" }, "properties" : { "noteIndex" : 0 }, "schema" : "https://github.com/citation-style-language/schema/raw/master/csl-citation.json" }</w:instrText>
      </w:r>
      <w:r w:rsidRPr="00452E2E">
        <w:rPr>
          <w:szCs w:val="24"/>
        </w:rPr>
        <w:fldChar w:fldCharType="separate"/>
      </w:r>
      <w:r w:rsidRPr="00452E2E">
        <w:rPr>
          <w:noProof/>
          <w:szCs w:val="24"/>
        </w:rPr>
        <w:t xml:space="preserve">Den Hartog </w:t>
      </w:r>
      <w:r w:rsidRPr="00452E2E">
        <w:rPr>
          <w:i/>
          <w:noProof/>
          <w:szCs w:val="24"/>
        </w:rPr>
        <w:t>et al</w:t>
      </w:r>
      <w:r w:rsidRPr="00452E2E">
        <w:rPr>
          <w:noProof/>
          <w:szCs w:val="24"/>
        </w:rPr>
        <w:t>. (2013)</w:t>
      </w:r>
      <w:r w:rsidRPr="00452E2E">
        <w:rPr>
          <w:szCs w:val="24"/>
        </w:rPr>
        <w:fldChar w:fldCharType="end"/>
      </w:r>
      <w:r w:rsidRPr="00452E2E">
        <w:rPr>
          <w:szCs w:val="24"/>
        </w:rPr>
        <w:t xml:space="preserve"> found an indirect effect of HRM on job satisfaction through employees’ perception of HRM. </w:t>
      </w:r>
    </w:p>
    <w:p w:rsidR="00D03A8E" w:rsidRPr="00452E2E" w:rsidRDefault="00D03A8E" w:rsidP="00D03A8E">
      <w:pPr>
        <w:spacing w:line="360" w:lineRule="auto"/>
        <w:jc w:val="both"/>
        <w:rPr>
          <w:szCs w:val="24"/>
        </w:rPr>
      </w:pPr>
      <w:r w:rsidRPr="00452E2E">
        <w:rPr>
          <w:szCs w:val="24"/>
        </w:rPr>
        <w:t xml:space="preserve">A study of 245 Korean firms by </w:t>
      </w:r>
      <w:r w:rsidRPr="00452E2E">
        <w:rPr>
          <w:szCs w:val="24"/>
        </w:rPr>
        <w:fldChar w:fldCharType="begin" w:fldLock="1"/>
      </w:r>
      <w:r w:rsidRPr="00452E2E">
        <w:rPr>
          <w:szCs w:val="24"/>
        </w:rPr>
        <w:instrText>ADDIN CSL_CITATION { "citationItems" : [ { "id" : "ITEM-1",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"ITEM-1", "issue" : "5", "issued" : { "date-parts" : [ [ "2013" ] ] }, "page" : "573-594", "title" : "Effects of employees' perceptions on the relationship between HR practices and firm performance for Korean firms", "type" : "article-journal", "volume" : "42" }, "uris" : [ "http://www.mendeley.com/documents/?uuid=ffb61f90-b58e-4457-9560-eaad5c903c53" ] } ], "mendeley" : { "formattedCitation" : "(Choi &amp; Lee 2013)", "manualFormatting" : "Choi and Lee (2013)", "plainTextFormattedCitation" : "(Choi &amp; Lee 2013)", "previouslyFormattedCitation" : "(Choi &amp; Lee 2013)" }, "properties" : { "noteIndex" : 0 }, "schema" : "https://github.com/citation-style-language/schema/raw/master/csl-citation.json" }</w:instrText>
      </w:r>
      <w:r w:rsidRPr="00452E2E">
        <w:rPr>
          <w:szCs w:val="24"/>
        </w:rPr>
        <w:fldChar w:fldCharType="separate"/>
      </w:r>
      <w:r w:rsidRPr="00452E2E">
        <w:rPr>
          <w:noProof/>
          <w:szCs w:val="24"/>
        </w:rPr>
        <w:t xml:space="preserve">Choi </w:t>
      </w:r>
      <w:r w:rsidR="00831B9C" w:rsidRPr="00452E2E">
        <w:rPr>
          <w:noProof/>
          <w:szCs w:val="24"/>
        </w:rPr>
        <w:t>&amp;</w:t>
      </w:r>
      <w:r w:rsidRPr="00452E2E">
        <w:rPr>
          <w:noProof/>
          <w:szCs w:val="24"/>
        </w:rPr>
        <w:t xml:space="preserve"> Lee (2013)</w:t>
      </w:r>
      <w:r w:rsidRPr="00452E2E">
        <w:rPr>
          <w:szCs w:val="24"/>
        </w:rPr>
        <w:fldChar w:fldCharType="end"/>
      </w:r>
      <w:r w:rsidRPr="00452E2E">
        <w:rPr>
          <w:szCs w:val="24"/>
        </w:rPr>
        <w:t xml:space="preserve"> indicated a positive association between HPWS and job satisfaction. In turn, job satisfaction mediated the relationship between HPWS and firm performance. Further, </w:t>
      </w:r>
      <w:r w:rsidRPr="00452E2E">
        <w:rPr>
          <w:szCs w:val="24"/>
        </w:rPr>
        <w:fldChar w:fldCharType="begin" w:fldLock="1"/>
      </w:r>
      <w:r w:rsidRPr="00452E2E">
        <w:rPr>
          <w:szCs w:val="24"/>
        </w:rPr>
        <w:instrText>ADDIN CSL_CITATION { "citationItems" : [ { "id" : "ITEM-1",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"ITEM-1", "issue" : "2", "issued" : { "date-parts" : [ [ "2016" ] ] }, "page" : "451-466", "title" : "High-performance work systems and job satisfaction: A multilevel model", "type" : "article-journal", "volume" : "31" }, "uris" : [ "http://www.mendeley.com/documents/?uuid=510679f5-e4b3-41b7-a365-8ece414591d1" ] } ], "mendeley" : { "formattedCitation" : "(Garc\u00eda-Chas et al. 2016)", "manualFormatting" : "Garc\u00eda-Chas et al. (2016)", "plainTextFormattedCitation" : "(Garc\u00eda-Chas et al. 2016)", "previouslyFormattedCitation" : "(Garc\u00eda-Chas et al. 2016)" }, "properties" : { "noteIndex" : 0 }, "schema" : "https://github.com/citation-style-language/schema/raw/master/csl-citation.json" }</w:instrText>
      </w:r>
      <w:r w:rsidRPr="00452E2E">
        <w:rPr>
          <w:szCs w:val="24"/>
        </w:rPr>
        <w:fldChar w:fldCharType="separate"/>
      </w:r>
      <w:r w:rsidRPr="00452E2E">
        <w:rPr>
          <w:noProof/>
          <w:szCs w:val="24"/>
        </w:rPr>
        <w:t xml:space="preserve">García-Chas </w:t>
      </w:r>
      <w:r w:rsidRPr="00452E2E">
        <w:rPr>
          <w:i/>
          <w:noProof/>
          <w:szCs w:val="24"/>
        </w:rPr>
        <w:t>et al</w:t>
      </w:r>
      <w:r w:rsidRPr="00452E2E">
        <w:rPr>
          <w:noProof/>
          <w:szCs w:val="24"/>
        </w:rPr>
        <w:t xml:space="preserve">. </w:t>
      </w:r>
      <w:r w:rsidRPr="00452E2E">
        <w:rPr>
          <w:noProof/>
          <w:szCs w:val="24"/>
        </w:rPr>
        <w:lastRenderedPageBreak/>
        <w:t>(2016)</w:t>
      </w:r>
      <w:r w:rsidRPr="00452E2E">
        <w:rPr>
          <w:szCs w:val="24"/>
        </w:rPr>
        <w:fldChar w:fldCharType="end"/>
      </w:r>
      <w:r w:rsidRPr="00452E2E">
        <w:rPr>
          <w:szCs w:val="24"/>
        </w:rPr>
        <w:t xml:space="preserve"> reported a positive association between HPWS and job satisfaction in their study of 180 engineers across 25 organizations in Spain. In the same vein, </w:t>
      </w:r>
      <w:r w:rsidRPr="00452E2E">
        <w:rPr>
          <w:szCs w:val="24"/>
        </w:rPr>
        <w:fldChar w:fldCharType="begin" w:fldLock="1"/>
      </w:r>
      <w:r w:rsidRPr="00452E2E">
        <w:rPr>
          <w:szCs w:val="24"/>
        </w:rPr>
        <w:instrText>ADDIN CSL_CITATION { "citationItems" : [ { "id" : "ITEM-1",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"ITEM-1",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"(Ollo-L\u00f3pez et al. 2016)", "manualFormatting" : "Ollo-L\u00f3pez et al. (2016)", "plainTextFormattedCitation" : "(Ollo-L\u00f3pez et al. 2016)", "previouslyFormattedCitation" : "(Ollo-L\u00f3pez et al. 2016)" }, "properties" : { "noteIndex" : 0 }, "schema" : "https://github.com/citation-style-language/schema/raw/master/csl-citation.json" }</w:instrText>
      </w:r>
      <w:r w:rsidRPr="00452E2E">
        <w:rPr>
          <w:szCs w:val="24"/>
        </w:rPr>
        <w:fldChar w:fldCharType="separate"/>
      </w:r>
      <w:r w:rsidRPr="00452E2E">
        <w:rPr>
          <w:noProof/>
          <w:szCs w:val="24"/>
        </w:rPr>
        <w:t xml:space="preserve">Ollo-López </w:t>
      </w:r>
      <w:r w:rsidRPr="00452E2E">
        <w:rPr>
          <w:i/>
          <w:noProof/>
          <w:szCs w:val="24"/>
        </w:rPr>
        <w:t>et al</w:t>
      </w:r>
      <w:r w:rsidRPr="00452E2E">
        <w:rPr>
          <w:noProof/>
          <w:szCs w:val="24"/>
        </w:rPr>
        <w:t>. (2016)</w:t>
      </w:r>
      <w:r w:rsidRPr="00452E2E">
        <w:rPr>
          <w:szCs w:val="24"/>
        </w:rPr>
        <w:fldChar w:fldCharType="end"/>
      </w:r>
      <w:r w:rsidRPr="00452E2E">
        <w:rPr>
          <w:szCs w:val="24"/>
        </w:rPr>
        <w:t xml:space="preserve"> found a positive effect of high-involvement work system on job satisfaction. Using data from the Spanish Quality of Working Life Survey, the study also found that the relationship between high-involvement work systems was mediated by job interest, effort, and wages. </w:t>
      </w:r>
      <w:r w:rsidRPr="00452E2E">
        <w:rPr>
          <w:szCs w:val="24"/>
        </w:rPr>
        <w:fldChar w:fldCharType="begin" w:fldLock="1"/>
      </w:r>
      <w:r w:rsidRPr="00452E2E">
        <w:rPr>
          <w:szCs w:val="24"/>
        </w:rPr>
        <w:instrText>ADDIN CSL_CITATION { "citationItems" : [ { "id" : "ITEM-1",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"(Heffernan &amp; Dundon 2016)", "manualFormatting" : "Heffernan and Dundon (2016)", "plainTextFormattedCitation" : "(Heffernan &amp; Dundon 2016)", "previouslyFormattedCitation" :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Heffernan </w:t>
      </w:r>
      <w:r w:rsidR="000805BF" w:rsidRPr="00452E2E">
        <w:rPr>
          <w:noProof/>
          <w:szCs w:val="24"/>
        </w:rPr>
        <w:t>&amp;</w:t>
      </w:r>
      <w:r w:rsidRPr="00452E2E">
        <w:rPr>
          <w:noProof/>
          <w:szCs w:val="24"/>
        </w:rPr>
        <w:t xml:space="preserve"> Dundon (2016)</w:t>
      </w:r>
      <w:r w:rsidRPr="00452E2E">
        <w:rPr>
          <w:szCs w:val="24"/>
        </w:rPr>
        <w:fldChar w:fldCharType="end"/>
      </w:r>
      <w:r w:rsidRPr="00452E2E">
        <w:rPr>
          <w:szCs w:val="24"/>
        </w:rPr>
        <w:t xml:space="preserve"> examined the effects of HPWS on job satisfaction in Irish companies. Using cross-level analyses, the study found </w:t>
      </w:r>
      <w:r w:rsidR="00FA44FB" w:rsidRPr="00452E2E">
        <w:rPr>
          <w:szCs w:val="24"/>
        </w:rPr>
        <w:t xml:space="preserve">a </w:t>
      </w:r>
      <w:r w:rsidRPr="00452E2E">
        <w:rPr>
          <w:szCs w:val="24"/>
        </w:rPr>
        <w:t xml:space="preserve">positive association between HPWS and job satisfaction. There was also indirect effects of HPWS on job satisfaction through employee perceptions of distributive, procedural and interactive justice. </w:t>
      </w:r>
    </w:p>
    <w:p w:rsidR="00D03A8E" w:rsidRPr="00452E2E" w:rsidRDefault="00D03A8E" w:rsidP="00D03A8E">
      <w:pPr>
        <w:spacing w:line="360" w:lineRule="auto"/>
        <w:jc w:val="both"/>
        <w:rPr>
          <w:szCs w:val="24"/>
        </w:rPr>
      </w:pPr>
      <w:r w:rsidRPr="00452E2E">
        <w:rPr>
          <w:szCs w:val="24"/>
        </w:rPr>
        <w:t xml:space="preserve"> With the use of data from Britain’s Workplace Employment Relations Study, </w:t>
      </w:r>
      <w:r w:rsidRPr="00452E2E">
        <w:rPr>
          <w:szCs w:val="24"/>
        </w:rPr>
        <w:fldChar w:fldCharType="begin" w:fldLock="1"/>
      </w:r>
      <w:r w:rsidRPr="00452E2E">
        <w:rPr>
          <w:szCs w:val="24"/>
        </w:rPr>
        <w:instrText>ADDIN CSL_CITATION { "citationItems" : [ { "id" : "ITEM-1",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"ITEM-1", "issue" : "7", "issued" : { "date-parts" : [ [ "2011" ] ] }, "page" : "1586-1610", "title" : "High involvement management, high-performance work systems and well-being", "type" : "article-journal", "volume" : "22" }, "uris" : [ "http://www.mendeley.com/documents/?uuid=f03e0834-790d-47b4-8abc-ab22f06c3537" ] } ], "mendeley" : { "formattedCitation" : "(Wood &amp; de Menezes 2011)", "manualFormatting" : "Wood &amp; de Menezes (2011)", "plainTextFormattedCitation" : "(Wood &amp; de Menezes 2011)", "previouslyFormattedCitation" : "(Wood &amp; de Menezes 2011)" }, "properties" : { "noteIndex" : 0 }, "schema" : "https://github.com/citation-style-language/schema/raw/master/csl-citation.json" }</w:instrText>
      </w:r>
      <w:r w:rsidRPr="00452E2E">
        <w:rPr>
          <w:szCs w:val="24"/>
        </w:rPr>
        <w:fldChar w:fldCharType="separate"/>
      </w:r>
      <w:r w:rsidRPr="00452E2E">
        <w:rPr>
          <w:noProof/>
          <w:szCs w:val="24"/>
        </w:rPr>
        <w:t>Wood &amp; de Menezes (2011)</w:t>
      </w:r>
      <w:r w:rsidRPr="00452E2E">
        <w:rPr>
          <w:szCs w:val="24"/>
        </w:rPr>
        <w:fldChar w:fldCharType="end"/>
      </w:r>
      <w:r w:rsidRPr="00452E2E">
        <w:rPr>
          <w:szCs w:val="24"/>
        </w:rPr>
        <w:t xml:space="preserve"> examined the effects of four dimensions of HPWS (enriched jobs, high involvement management, employee voice and motivational supports) on job satisfaction. They found that only enriched jobs and employee voice were positively related to job satisfaction. </w:t>
      </w:r>
      <w:r w:rsidRPr="00452E2E">
        <w:rPr>
          <w:szCs w:val="24"/>
        </w:rPr>
        <w:fldChar w:fldCharType="begin" w:fldLock="1"/>
      </w:r>
      <w:r w:rsidRPr="00452E2E">
        <w:rPr>
          <w:szCs w:val="24"/>
        </w:rPr>
        <w:instrText>ADDIN CSL_CITATION { "citationItems" : [ { "id" : "ITEM-1", "itemData" : { "DOI" : "10.1177/0020852315591642", "ISSN" : "0020-8523", "abstract" : "Background: In response to recent calls in the literature to decompose both the human resources system and performance, this study has examined the effects of ability-, motivation-and opportunity-enhancing human resources practices on the effectiveness, efficiency and fairness of public organizations, with job satisfaction considered as a mediating variable. Aim: Insights from Human Resource Management and performance research, mostly conducted in the private sector, have been combined with public management literature in order to gain insight into the Human Resource Management\u2013performance relation-ship in the public sector. Method: Regression analysis with a bootstrapping method was used to test the mediat-ing effects. Results: The analysis showed that the three human resources components heterogeneously impact upon the three performance outcomes. Further, the results showed that ability-enhancing and opportunity-enhancing human resources practices are more strongly related to performance outcomes than motivation-enhancing human resources practices. Conclusion: Decomposing Human Resource Management and performance provides greater insight into the Human Resource Management\u2013performance relationship. Points for practitioners The results show that investing in Human Resource Management positively influences performance outcomes. Moreover, our results show that various aspects of public per-formance require different human resources approaches. Investing in ability-enhancing human resources practices seems to be particularly relevant if one wants to enhance effectiveness. All the human resources practices, but especially ability-enhancing ones, are relevant to enhancing efficiency. However, investing in motivation-enhancing human resources practices seems to make little sense if one is seeking to enhance fairness.", "author" : [ { "dropping-particle" : "", "family" : "Vermeeren", "given" : "Brenda", "non-dropping-particle" : "", "parse-names" : false, "suffix" : "" } ], "container-title" : "International Review of Administrative Sciences", "id" : "ITEM-1", "issue" : "0", "issued" : { "date-parts" : [ [ "2015" ] ] }, "page" : "1-21", "title" : "Influencing public sector performance: Studying the impact of ability-, motivation-and opportunity-enhancing human resources practices on various performance outcomes in the public sector", "type" : "article-journal", "volume" : "0" }, "uris" : [ "http://www.mendeley.com/documents/?uuid=e94ccd21-bfcd-4def-8476-e5a8fb4192ef" ] } ], "mendeley" : { "formattedCitation" : "(Vermeeren 2015)", "manualFormatting" : "Vermeeren (2015)", "plainTextFormattedCitation" : "(Vermeeren 2015)", "previouslyFormattedCitation" : "(Vermeeren 2015)" }, "properties" : { "noteIndex" : 0 }, "schema" : "https://github.com/citation-style-language/schema/raw/master/csl-citation.json" }</w:instrText>
      </w:r>
      <w:r w:rsidRPr="00452E2E">
        <w:rPr>
          <w:szCs w:val="24"/>
        </w:rPr>
        <w:fldChar w:fldCharType="separate"/>
      </w:r>
      <w:r w:rsidRPr="00452E2E">
        <w:rPr>
          <w:noProof/>
          <w:szCs w:val="24"/>
        </w:rPr>
        <w:t>Vermeeren (2015)</w:t>
      </w:r>
      <w:r w:rsidRPr="00452E2E">
        <w:rPr>
          <w:szCs w:val="24"/>
        </w:rPr>
        <w:fldChar w:fldCharType="end"/>
      </w:r>
      <w:r w:rsidRPr="00452E2E">
        <w:rPr>
          <w:szCs w:val="24"/>
        </w:rPr>
        <w:t xml:space="preserve"> examined the effects of ability-enhancing, motivation-enhancing, and opportunity-enhancing HR practices on job satisfaction in the Dutch public sector. The results of the study indicate that while all three subsystems of HR practices had positive effects on job satisfaction, ability-enhancing HR practices and opportunity-enhancing HR practices significantly influenced job satisfaction more than motivation-enhancing HR practices. </w:t>
      </w:r>
      <w:r w:rsidRPr="00452E2E">
        <w:rPr>
          <w:szCs w:val="24"/>
        </w:rPr>
        <w:fldChar w:fldCharType="begin" w:fldLock="1"/>
      </w:r>
      <w:r w:rsidRPr="00452E2E">
        <w:rPr>
          <w:szCs w:val="24"/>
        </w:rPr>
        <w:instrText>ADDIN CSL_CITATION { "citationItems" : [ { "id" : "ITEM-1",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"ITEM-1",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"mendeley" : { "formattedCitation" : "(Fabi et al. 2015)", "manualFormatting" : "Likewise, Fabi et al. (2015)", "plainTextFormattedCitation" : "(Fabi et al. 2015)", "previouslyFormattedCitation" : "(Fabi et al. 2015)" }, "properties" : { "noteIndex" : 0 }, "schema" : "https://github.com/citation-style-language/schema/raw/master/csl-citation.json" }</w:instrText>
      </w:r>
      <w:r w:rsidRPr="00452E2E">
        <w:rPr>
          <w:szCs w:val="24"/>
        </w:rPr>
        <w:fldChar w:fldCharType="separate"/>
      </w:r>
      <w:r w:rsidRPr="00452E2E">
        <w:rPr>
          <w:noProof/>
          <w:szCs w:val="24"/>
        </w:rPr>
        <w:t xml:space="preserve">Likewise, Fabi </w:t>
      </w:r>
      <w:r w:rsidRPr="00452E2E">
        <w:rPr>
          <w:i/>
          <w:noProof/>
          <w:szCs w:val="24"/>
        </w:rPr>
        <w:t>et al</w:t>
      </w:r>
      <w:r w:rsidRPr="00452E2E">
        <w:rPr>
          <w:noProof/>
          <w:szCs w:val="24"/>
        </w:rPr>
        <w:t>. (2015)</w:t>
      </w:r>
      <w:r w:rsidRPr="00452E2E">
        <w:rPr>
          <w:szCs w:val="24"/>
        </w:rPr>
        <w:fldChar w:fldCharType="end"/>
      </w:r>
      <w:r w:rsidRPr="00452E2E">
        <w:rPr>
          <w:szCs w:val="24"/>
        </w:rPr>
        <w:t xml:space="preserve"> examined the effects of ability-enhancing, motivation-enhancing, and opportunity-enhancing HR practices on job satisfaction in their study of 730 employees in eleven Canadian organizations. They found that each HR subsystem had positive effects on job satisfaction. The combined effects of these HR practices produced higher positive effects on job satisfaction, signalling the complementary nature of HR practices.  </w:t>
      </w:r>
    </w:p>
    <w:p w:rsidR="00D03A8E" w:rsidRPr="00452E2E" w:rsidRDefault="00D03A8E" w:rsidP="00D03A8E">
      <w:pPr>
        <w:spacing w:line="360" w:lineRule="auto"/>
        <w:jc w:val="both"/>
        <w:rPr>
          <w:szCs w:val="24"/>
        </w:rPr>
      </w:pPr>
      <w:r w:rsidRPr="00452E2E">
        <w:rPr>
          <w:szCs w:val="24"/>
        </w:rPr>
        <w:t xml:space="preserve">Among the studies that have examined the effects of a set of HR practices on job satisfaction, Appelbaum (2000) found that fair pay, pay for performance, formal training, family-friendly practices, promotion opportunities, and autonomy heightened job satisfaction levels of US workers. A study of UK employees by </w:t>
      </w:r>
      <w:r w:rsidRPr="00452E2E">
        <w:rPr>
          <w:szCs w:val="24"/>
        </w:rPr>
        <w:fldChar w:fldCharType="begin" w:fldLock="1"/>
      </w:r>
      <w:r w:rsidRPr="00452E2E">
        <w:rPr>
          <w:szCs w:val="24"/>
        </w:rPr>
        <w:instrText>ADDIN CSL_CITATION { "citationItems" : [ { "id" : "ITEM-1", "itemData" : { "DOI" : "10.1108/01437720810908947", "ISBN" : "0885862031047", "ISSN" : "0143-7720", "abstract" : "Purpose \u2013 The purpose of this paper is to investigate the relationship between human resource management (HRM) practices and workers\u2019 overall job satisfaction and their satisfaction with pay. Design/methodology/approach \u2013 The paper uses British data from two different cross-sectional datasets. It estimates probit models with overall job satisfaction and satisfaction with pay as subjective dependent variables. Findings \u2013 After controlling for personal, job and firm characteristics, it is found that several HRM practices raise workers\u2019 overall job satisfaction and their satisfaction with pay. However, these effects are only significant for non-union members. Satisfaction with pay is higher where performance-related pay and seniority-based reward systems are in place.Apay structure that is perceived to be unequal is associated with a substantial reduction in both non-union members\u2019 overall job satisfaction and their satisfaction with pay. Although HRM practices can raise workers\u2019 job satisfaction, if workplace pay inequality widens as a consequence then non-union members may experience reduced job satisfaction. Research limitations/implications \u2013 The data sets used in the analysis are cross-sectional, presenting a snapshot of impacts of HRM practices on job satisfaction at a particular point in time. Dynamic effects are therefore not captured. Originality/value \u2013 The paper adds to the empirical literature on effects of HRM practices, focussing on impacts on both overall job satisfaction and satisfaction with pay. A novel feature of the paper", "author" : [ { "dropping-particle" : "", "family" : "Petrescu", "given" : "Alina I", "non-dropping-particle" : "", "parse-names" : false, "suffix" : "" }, { "dropping-particle" : "", "family" : "Simmons", "given" : "Rob", "non-dropping-particle" : "", "parse-names" : false, "suffix" : "" } ], "container-title" : "International Journal of Manpower", "id" : "ITEM-1", "issue" : "7", "issued" : { "date-parts" : [ [ "2008" ] ] }, "page" : "651-667", "title" : "Human resource management practices and workers' job satisfaction", "type" : "article-journal", "volume" : "29" }, "uris" : [ "http://www.mendeley.com/documents/?uuid=0ac18e29-ec0e-406d-bdbb-2f6efb19c5ed" ] } ], "mendeley" : { "formattedCitation" : "(Petrescu &amp; Simmons 2008)", "manualFormatting" : "Petrescu and Simmons (2008)", "plainTextFormattedCitation" : "(Petrescu &amp; Simmons 2008)", "previouslyFormattedCitation" : "(Petrescu &amp; Simmons 2008)" }, "properties" : { "noteIndex" : 0 }, "schema" : "https://github.com/citation-style-language/schema/raw/master/csl-citation.json" }</w:instrText>
      </w:r>
      <w:r w:rsidRPr="00452E2E">
        <w:rPr>
          <w:szCs w:val="24"/>
        </w:rPr>
        <w:fldChar w:fldCharType="separate"/>
      </w:r>
      <w:r w:rsidRPr="00452E2E">
        <w:rPr>
          <w:noProof/>
          <w:szCs w:val="24"/>
        </w:rPr>
        <w:t xml:space="preserve">Petrescu </w:t>
      </w:r>
      <w:r w:rsidR="00BF6538" w:rsidRPr="00452E2E">
        <w:rPr>
          <w:noProof/>
          <w:szCs w:val="24"/>
        </w:rPr>
        <w:t>&amp;</w:t>
      </w:r>
      <w:r w:rsidRPr="00452E2E">
        <w:rPr>
          <w:noProof/>
          <w:szCs w:val="24"/>
        </w:rPr>
        <w:t xml:space="preserve"> Simmons (2008)</w:t>
      </w:r>
      <w:r w:rsidRPr="00452E2E">
        <w:rPr>
          <w:szCs w:val="24"/>
        </w:rPr>
        <w:fldChar w:fldCharType="end"/>
      </w:r>
      <w:r w:rsidRPr="00452E2E">
        <w:rPr>
          <w:szCs w:val="24"/>
        </w:rPr>
        <w:t xml:space="preserve"> found that training and learning, and employee involvement had positive effects on job satisfaction. </w:t>
      </w:r>
      <w:r w:rsidRPr="00452E2E">
        <w:rPr>
          <w:szCs w:val="24"/>
        </w:rPr>
        <w:fldChar w:fldCharType="begin" w:fldLock="1"/>
      </w:r>
      <w:r w:rsidRPr="00452E2E">
        <w:rPr>
          <w:szCs w:val="24"/>
        </w:rPr>
        <w:instrText>ADDIN CSL_CITATION { "citationItems" : [ { "id" : "ITEM-1", "itemData" : { "DOI" : "10.1017/jmo.2014.50", "ISSN" : "1833-3672", "author" : [ { "dropping-particle" : "", "family" : "Shamsudin", "given" : "Faridahwati Mohd", "non-dropping-particle" : "", "parse-names" : false, "suffix" : "" }, { "dropping-particle" : "", "family" : "Ramalu", "given" : "Subramaniam Sri", "non-dropping-particle" : "", "parse-names" : false, "suffix" : "" } ], "container-title" : "Journal of Management &amp; Organization", "id" : "ITEM-1", "issue" : "5", "issued" : { "date-parts" : [ [ "2014" ] ] }, "page" : "691-709", "title" : "The influence of HR practices and job satisfaction on interpersonal deviance in the workplace", "type" : "article-journal", "volume" : "20" }, "uris" : [ "http://www.mendeley.com/documents/?uuid=7c1f42f7-1669-4642-8cb6-babbe5136e21" ] } ], "mendeley" : { "formattedCitation" : "(Shamsudin &amp; Ramalu 2014)", "manualFormatting" : "Shamsudin and Ramalu (2014)", "plainTextFormattedCitation" : "(Shamsudin &amp; Ramalu 2014)", "previouslyFormattedCitation" : "(Shamsudin &amp; Ramalu 2014)" }, "properties" : { "noteIndex" : 0 }, "schema" : "https://github.com/citation-style-language/schema/raw/master/csl-citation.json" }</w:instrText>
      </w:r>
      <w:r w:rsidRPr="00452E2E">
        <w:rPr>
          <w:szCs w:val="24"/>
        </w:rPr>
        <w:fldChar w:fldCharType="separate"/>
      </w:r>
      <w:r w:rsidRPr="00452E2E">
        <w:rPr>
          <w:noProof/>
          <w:szCs w:val="24"/>
        </w:rPr>
        <w:t xml:space="preserve">Shamsudin </w:t>
      </w:r>
      <w:r w:rsidR="00DC2762" w:rsidRPr="00452E2E">
        <w:rPr>
          <w:noProof/>
          <w:szCs w:val="24"/>
        </w:rPr>
        <w:t>&amp;</w:t>
      </w:r>
      <w:r w:rsidRPr="00452E2E">
        <w:rPr>
          <w:noProof/>
          <w:szCs w:val="24"/>
        </w:rPr>
        <w:t xml:space="preserve"> Ramalu (2014)</w:t>
      </w:r>
      <w:r w:rsidRPr="00452E2E">
        <w:rPr>
          <w:szCs w:val="24"/>
        </w:rPr>
        <w:fldChar w:fldCharType="end"/>
      </w:r>
      <w:r w:rsidRPr="00452E2E">
        <w:rPr>
          <w:szCs w:val="24"/>
        </w:rPr>
        <w:t xml:space="preserve"> </w:t>
      </w:r>
      <w:r w:rsidRPr="00452E2E">
        <w:rPr>
          <w:szCs w:val="24"/>
        </w:rPr>
        <w:lastRenderedPageBreak/>
        <w:t xml:space="preserve">found that formal job description, employment security, and internal career opportunities had significant and positive effects on job satisfaction among 372 employees of manufacturing companies in Malaysia. </w:t>
      </w:r>
      <w:r w:rsidRPr="00452E2E">
        <w:rPr>
          <w:szCs w:val="24"/>
        </w:rPr>
        <w:fldChar w:fldCharType="begin" w:fldLock="1"/>
      </w:r>
      <w:r w:rsidRPr="00452E2E">
        <w:rPr>
          <w:szCs w:val="24"/>
        </w:rPr>
        <w:instrText>ADDIN CSL_CITATION { "citationItems" : [ { "id" : "ITEM-1", "itemData" : { "abstract" : "Purpose: The purpose of this paper is to determine the effect of high-performance human resource practices on job satisfaction across four cultural regions\u2014Asia, Europe, North America, and Latin America. High-performance human resource practices were used to predict job satisfaction for each region and then compared to determine significant differences. Hofstede\u2019s cultural dimensions were employed as a basis for structuring hypothesized differences across cultural regions. Design/methodology/approach: Data were collected from a proprietary industry survey on employee work attitudes. The sample consisted of over 70,000 employees from four large multinational organizations with at least four offices in each of the four regions. Data were analyzed using regression analysis and comparison testing across models. Findings: There are significant relationships between job characteristics and job satisfaction across all regions of the world, with a sense of achievement universally the most important driver. Although job characteristics impact job satisfaction across all regions, there are significant differences in the relative importance of job characteristics on job satisfaction, consistent with Hofstede\u2019s cultural dimensions. Practical implications: The findings have implications for tailoring human resource management practices across locations within multinationals. Originality/value: This research is believed to be the first cross-cultural study of human resource practices affecting job satisfaction using multiple organizations and industries. (PsycINFO Database Record (c) 2014 APA, all rights reserved). (journal abstract)", "author" : [ { "dropping-particle" : "", "family" : "Andreassi", "given" : "Jeanine Karin", "non-dropping-particle" : "", "parse-names" : false, "suffix" : "" }, { "dropping-particle" : "", "family" : "Lawter", "given" : "Leanna", "non-dropping-particle" : "", "parse-names" : false, "suffix" : "" }, { "dropping-particle" : "", "family" : "Brockerhoff", "given" : "Martin", "non-dropping-particle" : "", "parse-names" : false, "suffix" : "" }, { "dropping-particle" : "", "family" : "Rutigliano", "given" : "Peter J.", "non-dropping-particle" : "", "parse-names" : false, "suffix" : "" } ], "container-title" : "Cross Cultural Management: An International Journal", "id" : "ITEM-1", "issue" : "1", "issued" : { "date-parts" : [ [ "2014" ] ] }, "page" : "55-77", "title" : "Cultural impact of human resource practices on job satisfaction: A global study across 48 countries", "type" : "article-journal", "volume" : "21" }, "uris" : [ "http://www.mendeley.com/documents/?uuid=f8edccd1-c3c7-4528-a229-6329cd6d7ef7" ] } ], "mendeley" : { "formattedCitation" : "(Andreassi et al. 2014)", "manualFormatting" : "Andreassi et al. (2014)", "plainTextFormattedCitation" : "(Andreassi et al. 2014)", "previouslyFormattedCitation" : "(Andreassi et al. 2014)" }, "properties" : { "noteIndex" : 0 }, "schema" : "https://github.com/citation-style-language/schema/raw/master/csl-citation.json" }</w:instrText>
      </w:r>
      <w:r w:rsidRPr="00452E2E">
        <w:rPr>
          <w:szCs w:val="24"/>
        </w:rPr>
        <w:fldChar w:fldCharType="separate"/>
      </w:r>
      <w:r w:rsidRPr="00452E2E">
        <w:rPr>
          <w:noProof/>
          <w:szCs w:val="24"/>
        </w:rPr>
        <w:t xml:space="preserve">Andreassi </w:t>
      </w:r>
      <w:r w:rsidRPr="00452E2E">
        <w:rPr>
          <w:i/>
          <w:noProof/>
          <w:szCs w:val="24"/>
        </w:rPr>
        <w:t>et al</w:t>
      </w:r>
      <w:r w:rsidRPr="00452E2E">
        <w:rPr>
          <w:noProof/>
          <w:szCs w:val="24"/>
        </w:rPr>
        <w:t>. (2014)</w:t>
      </w:r>
      <w:r w:rsidRPr="00452E2E">
        <w:rPr>
          <w:szCs w:val="24"/>
        </w:rPr>
        <w:fldChar w:fldCharType="end"/>
      </w:r>
      <w:r w:rsidRPr="00452E2E">
        <w:rPr>
          <w:szCs w:val="24"/>
        </w:rPr>
        <w:t xml:space="preserve"> conducted a large study involving over 70,000 employees in three large multinational companies in forty eight countries across Asia, Europe, North America and Latin America. They found that equal opportunity, teamwork, recognition, communication, accomplishment, training and work-life balance practices were positively related to job satisfaction. However, the relationships among HR practices were moderated by cultural dimensions. </w:t>
      </w:r>
    </w:p>
    <w:p w:rsidR="00D03A8E" w:rsidRPr="00452E2E" w:rsidRDefault="00D03A8E" w:rsidP="00D03A8E">
      <w:pPr>
        <w:spacing w:line="360" w:lineRule="auto"/>
        <w:jc w:val="both"/>
        <w:rPr>
          <w:szCs w:val="24"/>
        </w:rPr>
      </w:pPr>
      <w:r w:rsidRPr="00452E2E">
        <w:rPr>
          <w:szCs w:val="24"/>
        </w:rPr>
        <w:t xml:space="preserve">Apart from the studies reported above, other researchers have examined, individually, the effects of employee benefits </w:t>
      </w:r>
      <w:r w:rsidRPr="00452E2E">
        <w:rPr>
          <w:szCs w:val="24"/>
        </w:rPr>
        <w:fldChar w:fldCharType="begin" w:fldLock="1"/>
      </w:r>
      <w:r w:rsidRPr="00452E2E">
        <w:rPr>
          <w:szCs w:val="24"/>
        </w:rPr>
        <w:instrText>ADDIN CSL_CITATION { "citationItems" : [ { "id" : "ITEM-1", "itemData" : { "author" : [ { "dropping-particle" : "", "family" : "Artz", "given" : "Benjamin", "non-dropping-particle" : "", "parse-names" : false, "suffix" : "" } ], "container-title" : "International Journal of Manpower", "id" : "ITEM-1", "issue" : "6", "issued" : { "date-parts" : [ [ "2010" ] ] }, "page" : "626-644", "title" : "Fringe benefits and job satisfaction", "type" : "article-journal", "volume" : "31" }, "uris" : [ "http://www.mendeley.com/documents/?uuid=befb7ec4-5864-4c2e-8b09-ae41a5344053" ] }, { "id" : "ITEM-2", "itemData" : { "DOI" : "10.1080/09585192.2011.560871", "ISBN" : "0958-5192", "ISSN" : "09585192", "abstract" : "The purpose of this study is twofold. The first purpose is to investigate the hypothesis as follows: the enrichment of the employee benefit management and the improvement of job attitudes mediate the relation between the adoption of family-friendly policies and the employee retention. The second purpose is to investigate the gender gap in the above-mentioned model. The facts and conclusions presented in this paper were obtained from a study of 1228 employees. Analysis of covariance structures was adopted for testing hypothesis. About the first one, significant mediator effects of the enrichment of the employee benefit management and the improvement of job satisfaction were clarified. About the second point, there was no gender gap in the above-mentioned retention process by the employee benefit management, except for the number of the employee benefit management practices and the organizational tenure. The necessity of additional research about international comparison, investigation of organization, longitudinal investigation, etc. was pointed out. [ABSTRACT FROM PUBLISHER]", "author" : [ { "dropping-particle" : "", "family" : "Yamamoto", "given" : "Hiroshi", "non-dropping-particle" : "", "parse-names" : false, "suffix" : "" } ], "container-title" : "International Journal of Human Resource Management", "id" : "ITEM-2", "issue" : "17", "issued" : { "date-parts" : [ [ "2011" ] ] }, "page" : "3550-3564", "title" : "The relationship between employee benefit management and employee retention", "type" : "article-journal", "volume" : "22" }, "uris" : [ "http://www.mendeley.com/documents/?uuid=6d4879cd-6b36-4fd8-8ad0-3c55c4021c6f" ] }, { "id" : "ITEM-3", "itemData" : { "DOI" : "10.1177/0886368712464471", "author" : [ { "dropping-particle" : "", "family" : "Giancola", "given" : "Frank L", "non-dropping-particle" : "", "parse-names" : false, "suffix" : "" } ], "container-title" : "Compensation &amp; Benefits Review", "id" : "ITEM-3", "issue" : "5", "issued" : { "date-parts" : [ [ "2012" ] ] }, "page" : "291-297", "title" : "Are employee benefit programs being given enough credit for their effect on employee attitudes ?", "type" : "article-journal", "volume" : "44" }, "uris" : [ "http://www.mendeley.com/documents/?uuid=f37a06aa-1938-4cf9-835d-185f066b7b2a" ] }, { "id" : "ITEM-4", "itemData" : { "abstract" : "In the United States the Baby Boomer generation is advancing toward retirement age and many are choosing to stay in the workforce. This study develops and analyzes a model of the impact of older-worker-friendly (OWF) policies in organizations on job satisfaction, strain-based work/family conflict, and affective organizational commitment in older workers. The data included 368 full-time employed persons age 50 years or older who participated in a telephone survey. Linear regression was used to analyze the hypothesized relationships. Results indicated that the model was supported. Older workers who were employed at organizations with more older-worker-friendly policies had higher levels of job satisfaction and lower levels of strain-based work/family conflict, which led to higher levels of affective organizational commitment.", "author" : [ { "dropping-particle" : "", "family" : "Crowne", "given" : "Kerri Anne", "non-dropping-particle" : "", "parse-names" : false, "suffix" : "" }, { "dropping-particle" : "", "family" : "Cochran", "given" : "Jeremy", "non-dropping-particle" : "", "parse-names" : false, "suffix" : "" }, { "dropping-particle" : "", "family" : "Carpenter", "given" : "Caryl E.", "non-dropping-particle" : "", "parse-names" : false, "suffix" : "" } ], "container-title" : "Organization Management Journal", "id" : "ITEM-4", "issue" : "2", "issued" : { "date-parts" : [ [ "2014" ] ] }, "page" : "62-73", "title" : "Older-worker-friendly policies and affective organizational commitment", "type" : "article-journal", "volume" : "11" }, "uris" : [ "http://www.mendeley.com/documents/?uuid=5cc7ea72-f4c5-4d19-9844-ff4114590e83" ] }, { "id" : "ITEM-5",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"ITEM-5",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"mendeley" : { "formattedCitation" : "(Artz 2010; Yamamoto 2011; Giancola 2012; Crowne et al. 2014; Ko &amp; Hur 2014)", "manualFormatting" : "(Artz, 2010; Yamamoto, 2011; Giancola, 2012; Crowne et al., 2014; Ko &amp; Hur, 2014)", "plainTextFormattedCitation" : "(Artz 2010; Yamamoto 2011; Giancola 2012; Crowne et al. 2014; Ko &amp; Hur 2014)", "previouslyFormattedCitation" : "(Artz 2010; Yamamoto 2011; Giancola 2012; Crowne et al. 2014; Ko &amp; Hur 2014)" }, "properties" : { "noteIndex" : 0 }, "schema" : "https://github.com/citation-style-language/schema/raw/master/csl-citation.json" }</w:instrText>
      </w:r>
      <w:r w:rsidRPr="00452E2E">
        <w:rPr>
          <w:szCs w:val="24"/>
        </w:rPr>
        <w:fldChar w:fldCharType="separate"/>
      </w:r>
      <w:r w:rsidRPr="00452E2E">
        <w:rPr>
          <w:noProof/>
          <w:szCs w:val="24"/>
        </w:rPr>
        <w:t xml:space="preserve">(Artz, 2010; Yamamoto, 2011; Giancola, 2012; Crowne </w:t>
      </w:r>
      <w:r w:rsidRPr="00452E2E">
        <w:rPr>
          <w:i/>
          <w:noProof/>
          <w:szCs w:val="24"/>
        </w:rPr>
        <w:t>et al</w:t>
      </w:r>
      <w:r w:rsidRPr="00452E2E">
        <w:rPr>
          <w:noProof/>
          <w:szCs w:val="24"/>
        </w:rPr>
        <w:t>., 2014; Ko &amp; Hur, 2014)</w:t>
      </w:r>
      <w:r w:rsidRPr="00452E2E">
        <w:rPr>
          <w:szCs w:val="24"/>
        </w:rPr>
        <w:fldChar w:fldCharType="end"/>
      </w:r>
      <w:r w:rsidRPr="00452E2E">
        <w:rPr>
          <w:szCs w:val="24"/>
        </w:rPr>
        <w:t xml:space="preserve">; employee participation </w:t>
      </w:r>
      <w:r w:rsidRPr="00452E2E">
        <w:rPr>
          <w:szCs w:val="24"/>
        </w:rPr>
        <w:fldChar w:fldCharType="begin" w:fldLock="1"/>
      </w:r>
      <w:r w:rsidRPr="00452E2E">
        <w:rPr>
          <w:szCs w:val="24"/>
        </w:rPr>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"id" : "ITEM-2", "itemData" : { "DOI" : "10.1080/09585192.2014.990397", "ISBN" : "0958-5192", "ISSN" : "0958-5192", "abstract" : "The participation of \u2018new generation\u2019 employees in management and their satisfaction in the workplace, respectively, remain more than ever important issues in the Chinese societal context in particular, as well as having wider implications for human resource management in general. This study accordingly explores the influence of employee participation mechanisms on the satisfaction of this new generation of employees \u2013 by carrying out empirical research in the manufacturing industry in China. The main theoretical contribution aims to show that the participation of such new generation employees in management, supervision and decision-making has a significantly positive impact on their work satisfaction. Furthermore, the employees' willingness to participate (participation intention) appears to play a moderating role between actual participation on the one hand, and satisfaction on the other. Such findings, we argue, potentially apply not only in the societal context of China but might also resonate more wi...", "author" : [ { "dropping-particle" : "", "family" : "Zhu", "given" : "Ying", "non-dropping-particle" : "", "parse-names" : false, "suffix" : "" }, { "dropping-particle" : "", "family" : "Xie", "given" : "Yuhua", "non-dropping-particle" : "", "parse-names" : false, "suffix" : "" }, { "dropping-particle" : "", "family" : "Warner", "given" : "Malcolm", "non-dropping-particle" : "", "parse-names" : false, "suffix" : "" }, { "dropping-particle" : "", "family" : "Guo", "given" : "Yongxing", "non-dropping-particle" : "", "parse-names" : false, "suffix" : "" } ], "container-title" : "The International Journal of Human Resource Management", "id" : "ITEM-2", "issue" : "19", "issued" : { "date-parts" : [ [ "2015" ] ] }, "page" : "2395-2411", "title" : "Employee participation and the influence on job satisfaction of the \u2018new generation\u2019 of Chinese employees", "type" : "article-journal", "volume" : "26" }, "uris" : [ "http://www.mendeley.com/documents/?uuid=cf70f772-fc41-4d32-9ecf-6c68c1510b25" ] } ], "mendeley" : { "formattedCitation" : "(Wright &amp; Kim 2004; Zhu et al. 2015)", "manualFormatting" : "(Wright &amp; Kim, 2004; Zhu et al., 2015)", "plainTextFormattedCitation" : "(Wright &amp; Kim 2004; Zhu et al. 2015)", "previouslyFormattedCitation" : "(Wright &amp; Kim 2004; Zhu et al. 2015)" }, "properties" : { "noteIndex" : 0 }, "schema" : "https://github.com/citation-style-language/schema/raw/master/csl-citation.json" }</w:instrText>
      </w:r>
      <w:r w:rsidRPr="00452E2E">
        <w:rPr>
          <w:szCs w:val="24"/>
        </w:rPr>
        <w:fldChar w:fldCharType="separate"/>
      </w:r>
      <w:r w:rsidRPr="00452E2E">
        <w:rPr>
          <w:noProof/>
          <w:szCs w:val="24"/>
        </w:rPr>
        <w:t xml:space="preserve">(Wright &amp; Kim, 2004; Zhu </w:t>
      </w:r>
      <w:r w:rsidRPr="00452E2E">
        <w:rPr>
          <w:i/>
          <w:noProof/>
          <w:szCs w:val="24"/>
        </w:rPr>
        <w:t>et al</w:t>
      </w:r>
      <w:r w:rsidRPr="00452E2E">
        <w:rPr>
          <w:noProof/>
          <w:szCs w:val="24"/>
        </w:rPr>
        <w:t>., 2015)</w:t>
      </w:r>
      <w:r w:rsidRPr="00452E2E">
        <w:rPr>
          <w:szCs w:val="24"/>
        </w:rPr>
        <w:fldChar w:fldCharType="end"/>
      </w:r>
      <w:r w:rsidRPr="00452E2E">
        <w:rPr>
          <w:szCs w:val="24"/>
        </w:rPr>
        <w:t xml:space="preserve">; or training </w:t>
      </w:r>
      <w:r w:rsidRPr="00452E2E">
        <w:rPr>
          <w:szCs w:val="24"/>
        </w:rPr>
        <w:fldChar w:fldCharType="begin" w:fldLock="1"/>
      </w:r>
      <w:r w:rsidRPr="00452E2E">
        <w:rPr>
          <w:szCs w:val="24"/>
        </w:rPr>
        <w:instrText>ADDIN CSL_CITATION { "citationItems" : [ { "id" : "ITEM-1", "itemData" : { "abstract" : "Although mental disorders are common among children, we know little about their long term effects on child outcomes. This paper examines U.S. and Canadian children with symptoms of Attention Deficit Hyperactivity Disorder (ADHD), depression, conduct disorders, and other behavioral problems. Our work offers a number of innovations. First we use large nationally representative samples of children from both countries. Second, we focus on \"screeners\" that were administered to all children in our sample, rather than on diagnosed cases. Third, we address omitted variables bias by estimating sibling-fixed effects models. Fourth, we examine a range of outcomes. Fifth, we ask how the effects of mental health conditions are mediated by family income and maternal education. We find that mental health conditions, and especially ADHD, have large negative effects on future test scores and schooling attainment, regardless of family income and maternal education.", "author" : [ { "dropping-particle" : "", "family" : "Chiang", "given" : "C-F", "non-dropping-particle" : "", "parse-names" : false, "suffix" : "" }, { "dropping-particle" : "", "family" : "Back", "given" : "K-J", "non-dropping-particle" : "", "parse-names" : false, "suffix" : "" }, { "dropping-particle" : "", "family" : "Canter", "given" : "D.D", "non-dropping-particle" : "", "parse-names" : false, "suffix" : "" } ], "container-title" : "Journal of Human Resources in Hospitality &amp; Tourism", "id" : "ITEM-1", "issue" : "2", "issued" : { "date-parts" : [ [ "2005" ] ] }, "page" : "99-118", "title" : "The impact of employee training on job satisfaction and intention to stay in the hotel industry", "type" : "article-journal", "volume" : "4" }, "uris" : [ "http://www.mendeley.com/documents/?uuid=5854c5d6-b2d0-48b6-8449-563b56846006" ] }, { "id" : "ITEM-2", "itemData" : { "DOI" : "10.1080/09585190701321112", "ISSN" : "09585192", "abstract" : "A number of studies in the human resources literature acknowledge the importance of workplace training for inducing organizational commitment on the part of workers. However, small sample sizes and the absence of relevant panel data have raised concerns about the general validity of results and highlighted the need for further research to explicitly include on-the-job training as an important facet of job satisfaction. A similar empirical gap exists in the economics and industrial organization literature, where, despite the importance of both on-the-job training and job satisfaction to influence labour productivity, the relationship between the two has received surprisingly little attention. The aim of this paper is to bridge this gap in our knowledge and assess the impact of further training on job satisfaction in the western regions of Germany. We use data derived from the German Socio-economic Panel, which covers the period 1984 to 2002. Concentrating on full-time employed individuals, we focus in particular on the 1989, 1993 and 2000 interview waves, which include a number of questions on work-related training and offer detailed information on the type and duration of training received, and whether employers sponsored such training. The empirical results of the study provide information about the decision to participate in further training and the latter's impact on job satisfaction. Gender inequality issues in Germany's segmented labour market are explained by reference to discrepancy theory, equity theory, social exchange theory and the perception of a breach in the psychological contract between firms and female trainees.", "author" : [ { "dropping-particle" : "", "family" : "Georgellis", "given" : "Yannis", "non-dropping-particle" : "", "parse-names" : false, "suffix" : "" }, { "dropping-particle" : "", "family" : "Lange", "given" : "Thomas", "non-dropping-particle" : "", "parse-names" : false, "suffix" : "" } ], "container-title" : "International Journal of Human Resource Management", "id" : "ITEM-2", "issue" : "6", "issued" : { "date-parts" : [ [ "2007" ] ] }, "page" : "969\u2013985", "title" : "Participation in continuous, on-the-job training and the impact on job satisfaction: Longitudinal evidence from the German labour market", "type" : "article-journal", "volume" : "18" }, "uris" : [ "http://www.mendeley.com/documents/?uuid=0b19ad8a-223d-4bfb-94f6-217a42984654" ] }, { "id" : "ITEM-3", "itemData" : { "abstract" : "There is a tremendous amount of literature that explores the relationship between employee job satisfaction and intent to stay. Similarly, recent research in te area of human resources has focused on the impact of human resources practices on various organizational outcomes. In this article, the authors explore the relationships between training and development, and employee job satisfaction, loyalty, and intent to stay in four lodging properties in the United States. Results indicate that employees who perceive they have the opportunity to develop new skills are more satisfied with their jobs, more loyal, and more likely to stay with the organization.", "author" : [ { "dropping-particle" : "", "family" : "Costen", "given" : "Wanda M.", "non-dropping-particle" : "", "parse-names" : false, "suffix" : "" }, { "dropping-particle" : "", "family" : "Salazar", "given" : "John", "non-dropping-particle" : "", "parse-names" : false, "suffix" : "" } ], "container-title" : "Journal of Human Resources in Hospitality &amp; Tourism", "id" : "ITEM-3", "issue" : "3", "issued" : { "date-parts" : [ [ "2011" ] ] }, "page" : "273-284", "title" : "The impact of training and development on employee job satisfaction, loyalty, and intent to stay in the lodging industry", "type" : "article-journal", "volume" : "10" }, "uris" : [ "http://www.mendeley.com/documents/?uuid=ed2efca9-3f7c-4fb0-a550-c3ef49a90fa1" ] }, { "id" : "ITEM-4", "itemData" : { "DOI" : "10.1080/08959420.2012.629136", "ISSN" : "0895-9420", "PMID" : "22239282", "abstract" : "If job training has positive impacts on worker satisfaction, then job training can have desirable consequences for an organization that result both directly through its effects on productivity and indirectly through its effects on job satisfaction. Furthermore, the aging of the workforce implies that older workers will become increasingly important to firms and to the economy. This study, therefore, seeks to examine the relationship between job training and job satisfaction, focusing in particular on U.S. workers born in 1964 or earlier. The results of ordered logit regression analysis indicate that availability and quality of training received directly affect job satisfaction.", "author" : [ { "dropping-particle" : "", "family" : "Leppel", "given" : "Karen", "non-dropping-particle" : "", "parse-names" : false, "suffix" : "" }, { "dropping-particle" : "", "family" : "Brucker", "given" : "Eric", "non-dropping-particle" : "", "parse-names" : false, "suffix" : "" }, { "dropping-particle" : "", "family" : "Cochran", "given" : "Jeremy", "non-dropping-particle" : "", "parse-names" : false, "suffix" : "" } ], "container-title" : "Journal of Aging &amp; Social Policy", "id" : "ITEM-4", "issue" : "1", "issued" : { "date-parts" : [ [ "2012" ] ] }, "page" : "62-76", "title" : "The importance of job training to job satisfaction of older workers", "type" : "article-journal", "volume" : "24" }, "uris" : [ "http://www.mendeley.com/documents/?uuid=9f16ddac-98cc-4c00-baf8-c5a016f14351" ] }, { "id" : "ITEM-5", "itemData" : { "author" : [ { "dropping-particle" : "", "family" : "Tabvuma", "given" : "V.", "non-dropping-particle" : "", "parse-names" : false, "suffix" : "" }, { "dropping-particle" : "", "family" : "Georgellis", "given" : "Y.", "non-dropping-particle" : "", "parse-names" : false, "suffix" : "" }, { "dropping-particle" : "", "family" : "Lange", "given" : "T.", "non-dropping-particle" : "", "parse-names" : false, "suffix" : "" } ], "container-title" : "Human Resource Management", "id" : "ITEM-5", "issue" : "2", "issued" : { "date-parts" : [ [ "2015" ] ] }, "page" : "303-321", "title" : "Orientation training and job satisfaction: A sector and gender analysis", "type" : "article-journal", "volume" : "54" }, "uris" : [ "http://www.mendeley.com/documents/?uuid=76de04c7-f445-4fb5-85bd-31dec2c13e00" ] }, { "id" : "ITEM-6", "itemData" : { "DOI" : "10.1108/ICT-04-2015-0029", "ISBN" : "0143773111112", "ISSN" : "0019-7858", "author" : [ { "dropping-particle" : "", "family" : "Huang", "given" : "Wen-Rou", "non-dropping-particle" : "", "parse-names" : false, "suffix" : "" }, { "dropping-particle" : "", "family" : "Su", "given" : "Chih-Hao", "non-dropping-particle" : "", "parse-names" : false, "suffix" : "" } ], "container-title" : "Industrial and Commercial Training", "id" : "ITEM-6", "issue" : "1", "issued" : { "date-parts" : [ [ "2016" ] ] }, "page" : "42-52", "title" : "The mediating role of job satisfaction in the relationship between job training satisfaction and turnover intentions", "type" : "article-journal", "volume" : "48" }, "uris" : [ "http://www.mendeley.com/documents/?uuid=7ef56a7b-c056-4872-b062-89a4b3807219" ] } ], "mendeley" : { "formattedCitation" : "(Chiang et al. 2005; Georgellis &amp; Lange 2007; Costen &amp; Salazar 2011; Leppel et al. 2012; Tabvuma et al. 2015; Huang &amp; Su 2016)", "manualFormatting" : "(Chiang et al., 2005; Georgellis &amp; Lange, 2007; Costen &amp; Salazar, 2011; Leppel et al., 2012; Tabvuma et al. ,2015; Huang &amp; Su, 2016)", "plainTextFormattedCitation" : "(Chiang et al. 2005; Georgellis &amp; Lange 2007; Costen &amp; Salazar 2011; Leppel et al. 2012; Tabvuma et al. 2015; Huang &amp; Su 2016)", "previouslyFormattedCitation" : "(Chiang et al. 2005; Georgellis &amp; Lange 2007; Costen &amp; Salazar 2011; Leppel et al. 2012; Tabvuma et al. 2015; Huang &amp; Su 2016)" }, "properties" : { "noteIndex" : 0 }, "schema" : "https://github.com/citation-style-language/schema/raw/master/csl-citation.json" }</w:instrText>
      </w:r>
      <w:r w:rsidRPr="00452E2E">
        <w:rPr>
          <w:szCs w:val="24"/>
        </w:rPr>
        <w:fldChar w:fldCharType="separate"/>
      </w:r>
      <w:r w:rsidRPr="00452E2E">
        <w:rPr>
          <w:noProof/>
          <w:szCs w:val="24"/>
        </w:rPr>
        <w:t xml:space="preserve">(Chiang </w:t>
      </w:r>
      <w:r w:rsidRPr="00452E2E">
        <w:rPr>
          <w:i/>
          <w:noProof/>
          <w:szCs w:val="24"/>
        </w:rPr>
        <w:t>et al</w:t>
      </w:r>
      <w:r w:rsidRPr="00452E2E">
        <w:rPr>
          <w:noProof/>
          <w:szCs w:val="24"/>
        </w:rPr>
        <w:t xml:space="preserve">., 2005; Georgellis &amp; Lange, 2007; Costen &amp; Salazar, 2011; Leppel </w:t>
      </w:r>
      <w:r w:rsidRPr="00452E2E">
        <w:rPr>
          <w:i/>
          <w:noProof/>
          <w:szCs w:val="24"/>
        </w:rPr>
        <w:t>et al</w:t>
      </w:r>
      <w:r w:rsidRPr="00452E2E">
        <w:rPr>
          <w:noProof/>
          <w:szCs w:val="24"/>
        </w:rPr>
        <w:t xml:space="preserve">., 2012; Tabvuma </w:t>
      </w:r>
      <w:r w:rsidRPr="00452E2E">
        <w:rPr>
          <w:i/>
          <w:noProof/>
          <w:szCs w:val="24"/>
        </w:rPr>
        <w:t>et al</w:t>
      </w:r>
      <w:r w:rsidRPr="00452E2E">
        <w:rPr>
          <w:noProof/>
          <w:szCs w:val="24"/>
        </w:rPr>
        <w:t>. ,2015; Huang &amp; Su, 2016)</w:t>
      </w:r>
      <w:r w:rsidRPr="00452E2E">
        <w:rPr>
          <w:szCs w:val="24"/>
        </w:rPr>
        <w:fldChar w:fldCharType="end"/>
      </w:r>
      <w:r w:rsidRPr="00452E2E">
        <w:rPr>
          <w:szCs w:val="24"/>
        </w:rPr>
        <w:t xml:space="preserve"> on job satisfaction. For example, </w:t>
      </w:r>
      <w:r w:rsidRPr="00452E2E">
        <w:rPr>
          <w:szCs w:val="24"/>
        </w:rPr>
        <w:fldChar w:fldCharType="begin" w:fldLock="1"/>
      </w:r>
      <w:r w:rsidRPr="00452E2E">
        <w:rPr>
          <w:szCs w:val="24"/>
        </w:rPr>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"mendeley" : { "formattedCitation" : "(Wright &amp; Kim 2004)", "manualFormatting" : "Wright and Kim (2004)", "plainTextFormattedCitation" : "(Wright &amp; Kim 2004)", "previouslyFormattedCitation" : "(Wright &amp; Kim 2004)" }, "properties" : { "noteIndex" : 0 }, "schema" : "https://github.com/citation-style-language/schema/raw/master/csl-citation.json" }</w:instrText>
      </w:r>
      <w:r w:rsidRPr="00452E2E">
        <w:rPr>
          <w:szCs w:val="24"/>
        </w:rPr>
        <w:fldChar w:fldCharType="separate"/>
      </w:r>
      <w:r w:rsidRPr="00452E2E">
        <w:rPr>
          <w:noProof/>
          <w:szCs w:val="24"/>
        </w:rPr>
        <w:t xml:space="preserve">Wright </w:t>
      </w:r>
      <w:r w:rsidR="00557324" w:rsidRPr="00452E2E">
        <w:rPr>
          <w:noProof/>
          <w:szCs w:val="24"/>
        </w:rPr>
        <w:t>&amp;s</w:t>
      </w:r>
      <w:r w:rsidRPr="00452E2E">
        <w:rPr>
          <w:noProof/>
          <w:szCs w:val="24"/>
        </w:rPr>
        <w:t xml:space="preserve"> Kim (2004)</w:t>
      </w:r>
      <w:r w:rsidRPr="00452E2E">
        <w:rPr>
          <w:szCs w:val="24"/>
        </w:rPr>
        <w:fldChar w:fldCharType="end"/>
      </w:r>
      <w:r w:rsidRPr="00452E2E">
        <w:rPr>
          <w:szCs w:val="24"/>
        </w:rPr>
        <w:t xml:space="preserve"> found positive effects of employee participation on job satisfaction among public sector workers</w:t>
      </w:r>
      <w:r w:rsidR="00557324" w:rsidRPr="00452E2E">
        <w:rPr>
          <w:szCs w:val="24"/>
        </w:rPr>
        <w:t xml:space="preserve"> in USA</w:t>
      </w:r>
      <w:r w:rsidRPr="00452E2E">
        <w:rPr>
          <w:szCs w:val="24"/>
        </w:rPr>
        <w:t xml:space="preserve">. The relationship between participation and job satisfaction was also mediated by job characteristics: feedback, task significance, and career development support. Likewise, </w:t>
      </w:r>
      <w:r w:rsidRPr="00452E2E">
        <w:rPr>
          <w:szCs w:val="24"/>
        </w:rPr>
        <w:fldChar w:fldCharType="begin" w:fldLock="1"/>
      </w:r>
      <w:r w:rsidRPr="00452E2E">
        <w:rPr>
          <w:szCs w:val="24"/>
        </w:rPr>
        <w:instrText>ADDIN CSL_CITATION { "citationItems" : [ { "id" : "ITEM-1", "itemData" : { "DOI" : "10.1080/09585192.2014.990397", "ISBN" : "0958-5192", "ISSN" : "0958-5192", "abstract" : "The participation of \u2018new generation\u2019 employees in management and their satisfaction in the workplace, respectively, remain more than ever important issues in the Chinese societal context in particular, as well as having wider implications for human resource management in general. This study accordingly explores the influence of employee participation mechanisms on the satisfaction of this new generation of employees \u2013 by carrying out empirical research in the manufacturing industry in China. The main theoretical contribution aims to show that the participation of such new generation employees in management, supervision and decision-making has a significantly positive impact on their work satisfaction. Furthermore, the employees' willingness to participate (participation intention) appears to play a moderating role between actual participation on the one hand, and satisfaction on the other. Such findings, we argue, potentially apply not only in the societal context of China but might also resonate more wi...", "author" : [ { "dropping-particle" : "", "family" : "Zhu", "given" : "Ying", "non-dropping-particle" : "", "parse-names" : false, "suffix" : "" }, { "dropping-particle" : "", "family" : "Xie", "given" : "Yuhua", "non-dropping-particle" : "", "parse-names" : false, "suffix" : "" }, { "dropping-particle" : "", "family" : "Warner", "given" : "Malcolm", "non-dropping-particle" : "", "parse-names" : false, "suffix" : "" }, { "dropping-particle" : "", "family" : "Guo", "given" : "Yongxing", "non-dropping-particle" : "", "parse-names" : false, "suffix" : "" } ], "container-title" : "The International Journal of Human Resource Management", "id" : "ITEM-1", "issue" : "19", "issued" : { "date-parts" : [ [ "2015" ] ] }, "page" : "2395-2411", "title" : "Employee participation and the influence on job satisfaction of the \u2018new generation\u2019 of Chinese employees", "type" : "article-journal", "volume" : "26" }, "uris" : [ "http://www.mendeley.com/documents/?uuid=cf70f772-fc41-4d32-9ecf-6c68c1510b25" ] } ], "mendeley" : { "formattedCitation" : "(Zhu et al. 2015)", "manualFormatting" : "Zhu et al. (2015)", "plainTextFormattedCitation" : "(Zhu et al. 2015)", "previouslyFormattedCitation" : "(Zhu et al. 2015)" }, "properties" : { "noteIndex" : 0 }, "schema" : "https://github.com/citation-style-language/schema/raw/master/csl-citation.json" }</w:instrText>
      </w:r>
      <w:r w:rsidRPr="00452E2E">
        <w:rPr>
          <w:szCs w:val="24"/>
        </w:rPr>
        <w:fldChar w:fldCharType="separate"/>
      </w:r>
      <w:r w:rsidRPr="00452E2E">
        <w:rPr>
          <w:noProof/>
          <w:szCs w:val="24"/>
        </w:rPr>
        <w:t xml:space="preserve">Zhu </w:t>
      </w:r>
      <w:r w:rsidRPr="00452E2E">
        <w:rPr>
          <w:i/>
          <w:noProof/>
          <w:szCs w:val="24"/>
        </w:rPr>
        <w:t>et al</w:t>
      </w:r>
      <w:r w:rsidRPr="00452E2E">
        <w:rPr>
          <w:noProof/>
          <w:szCs w:val="24"/>
        </w:rPr>
        <w:t>. (2015)</w:t>
      </w:r>
      <w:r w:rsidRPr="00452E2E">
        <w:rPr>
          <w:szCs w:val="24"/>
        </w:rPr>
        <w:fldChar w:fldCharType="end"/>
      </w:r>
      <w:r w:rsidRPr="00452E2E">
        <w:rPr>
          <w:szCs w:val="24"/>
        </w:rPr>
        <w:t xml:space="preserve"> found positive and significant effects of employee participation on job satisfaction of manufacturing workers in China. This relationship was however moderated by employees’ willingness to engage in participation.</w:t>
      </w:r>
    </w:p>
    <w:p w:rsidR="00D03A8E" w:rsidRPr="00452E2E" w:rsidRDefault="00D03A8E" w:rsidP="00D03A8E">
      <w:pPr>
        <w:spacing w:line="360" w:lineRule="auto"/>
        <w:jc w:val="both"/>
        <w:rPr>
          <w:szCs w:val="24"/>
        </w:rPr>
      </w:pPr>
      <w:r w:rsidRPr="00452E2E">
        <w:rPr>
          <w:szCs w:val="24"/>
        </w:rPr>
        <w:t>Using data from the National Longitudinal Survey of Youths in US</w:t>
      </w:r>
      <w:r w:rsidR="00557324" w:rsidRPr="00452E2E">
        <w:rPr>
          <w:szCs w:val="24"/>
        </w:rPr>
        <w:t>A</w:t>
      </w:r>
      <w:r w:rsidRPr="00452E2E">
        <w:rPr>
          <w:szCs w:val="24"/>
        </w:rPr>
        <w:t xml:space="preserve">, </w:t>
      </w:r>
      <w:r w:rsidRPr="00452E2E">
        <w:rPr>
          <w:szCs w:val="24"/>
        </w:rPr>
        <w:fldChar w:fldCharType="begin" w:fldLock="1"/>
      </w:r>
      <w:r w:rsidRPr="00452E2E">
        <w:rPr>
          <w:szCs w:val="24"/>
        </w:rPr>
        <w:instrText>ADDIN CSL_CITATION { "citationItems" : [ { "id" : "ITEM-1", "itemData" : { "author" : [ { "dropping-particle" : "", "family" : "Artz", "given" : "Benjamin", "non-dropping-particle" : "", "parse-names" : false, "suffix" : "" } ], "container-title" : "International Journal of Manpower", "id" : "ITEM-1", "issue" : "6", "issued" : { "date-parts" : [ [ "2010" ] ] }, "page" : "626-644", "title" : "Fringe benefits and job satisfaction", "type" : "article-journal", "volume" : "31" }, "uris" : [ "http://www.mendeley.com/documents/?uuid=befb7ec4-5864-4c2e-8b09-ae41a5344053" ] } ], "mendeley" : { "formattedCitation" : "(Artz 2010)", "manualFormatting" : "Artz (2010)", "plainTextFormattedCitation" : "(Artz 2010)", "previouslyFormattedCitation" : "(Artz 2010)" }, "properties" : { "noteIndex" : 0 }, "schema" : "https://github.com/citation-style-language/schema/raw/master/csl-citation.json" }</w:instrText>
      </w:r>
      <w:r w:rsidRPr="00452E2E">
        <w:rPr>
          <w:szCs w:val="24"/>
        </w:rPr>
        <w:fldChar w:fldCharType="separate"/>
      </w:r>
      <w:r w:rsidRPr="00452E2E">
        <w:rPr>
          <w:noProof/>
          <w:szCs w:val="24"/>
        </w:rPr>
        <w:t>Artz (2010)</w:t>
      </w:r>
      <w:r w:rsidRPr="00452E2E">
        <w:rPr>
          <w:szCs w:val="24"/>
        </w:rPr>
        <w:fldChar w:fldCharType="end"/>
      </w:r>
      <w:r w:rsidRPr="00452E2E">
        <w:rPr>
          <w:szCs w:val="24"/>
        </w:rPr>
        <w:t xml:space="preserve"> found that fringe benefits were a significant and positive determinant of job satisfaction. Similarly, </w:t>
      </w:r>
      <w:r w:rsidRPr="00452E2E">
        <w:rPr>
          <w:szCs w:val="24"/>
        </w:rPr>
        <w:fldChar w:fldCharType="begin" w:fldLock="1"/>
      </w:r>
      <w:r w:rsidRPr="00452E2E">
        <w:rPr>
          <w:szCs w:val="24"/>
        </w:rPr>
        <w:instrText>ADDIN CSL_CITATION { "citationItems" : [ { "id" : "ITEM-1", "itemData" : { "DOI" : "10.1177/0886368712464471", "author" : [ { "dropping-particle" : "", "family" : "Giancola", "given" : "Frank L", "non-dropping-particle" : "", "parse-names" : false, "suffix" : "" } ], "container-title" : "Compensation &amp; Benefits Review", "id" : "ITEM-1", "issue" : "5", "issued" : { "date-parts" : [ [ "2012" ] ] }, "page" : "291-297", "title" : "Are employee benefit programs being given enough credit for their effect on employee attitudes ?", "type" : "article-journal", "volume" : "44" }, "uris" : [ "http://www.mendeley.com/documents/?uuid=f37a06aa-1938-4cf9-835d-185f066b7b2a" ] } ], "mendeley" : { "formattedCitation" : "(Giancola 2012)", "manualFormatting" : "Giancola (2012)", "plainTextFormattedCitation" : "(Giancola 2012)", "previouslyFormattedCitation" : "(Giancola 2012)" }, "properties" : { "noteIndex" : 0 }, "schema" : "https://github.com/citation-style-language/schema/raw/master/csl-citation.json" }</w:instrText>
      </w:r>
      <w:r w:rsidRPr="00452E2E">
        <w:rPr>
          <w:szCs w:val="24"/>
        </w:rPr>
        <w:fldChar w:fldCharType="separate"/>
      </w:r>
      <w:r w:rsidRPr="00452E2E">
        <w:rPr>
          <w:noProof/>
          <w:szCs w:val="24"/>
        </w:rPr>
        <w:t>Giancola (2012)</w:t>
      </w:r>
      <w:r w:rsidRPr="00452E2E">
        <w:rPr>
          <w:szCs w:val="24"/>
        </w:rPr>
        <w:fldChar w:fldCharType="end"/>
      </w:r>
      <w:r w:rsidRPr="00452E2E">
        <w:rPr>
          <w:szCs w:val="24"/>
        </w:rPr>
        <w:t xml:space="preserve"> found significant positive effects of employee benefits </w:t>
      </w:r>
      <w:r w:rsidR="008250E2" w:rsidRPr="00452E2E">
        <w:rPr>
          <w:szCs w:val="24"/>
        </w:rPr>
        <w:t xml:space="preserve">on job satisfaction </w:t>
      </w:r>
      <w:r w:rsidRPr="00452E2E">
        <w:rPr>
          <w:szCs w:val="24"/>
        </w:rPr>
        <w:t>among employees in US</w:t>
      </w:r>
      <w:r w:rsidR="005830AE" w:rsidRPr="00452E2E">
        <w:rPr>
          <w:szCs w:val="24"/>
        </w:rPr>
        <w:t>A</w:t>
      </w:r>
      <w:r w:rsidRPr="00452E2E">
        <w:rPr>
          <w:szCs w:val="24"/>
        </w:rPr>
        <w:t>. Still in US</w:t>
      </w:r>
      <w:r w:rsidR="005830AE" w:rsidRPr="00452E2E">
        <w:rPr>
          <w:szCs w:val="24"/>
        </w:rPr>
        <w:t>A</w:t>
      </w:r>
      <w:r w:rsidRPr="00452E2E">
        <w:rPr>
          <w:szCs w:val="24"/>
        </w:rPr>
        <w:t xml:space="preserve">, </w:t>
      </w:r>
      <w:r w:rsidRPr="00452E2E">
        <w:rPr>
          <w:szCs w:val="24"/>
        </w:rPr>
        <w:fldChar w:fldCharType="begin" w:fldLock="1"/>
      </w:r>
      <w:r w:rsidRPr="00452E2E">
        <w:rPr>
          <w:szCs w:val="24"/>
        </w:rPr>
        <w:instrText>ADDIN CSL_CITATION { "citationItems" : [ { "id" : "ITEM-1", "itemData" : { "abstract" : "In the United States the Baby Boomer generation is advancing toward retirement age and many are choosing to stay in the workforce. This study develops and analyzes a model of the impact of older-worker-friendly (OWF) policies in organizations on job satisfaction, strain-based work/family conflict, and affective organizational commitment in older workers. The data included 368 full-time employed persons age 50 years or older who participated in a telephone survey. Linear regression was used to analyze the hypothesized relationships. Results indicated that the model was supported. Older workers who were employed at organizations with more older-worker-friendly policies had higher levels of job satisfaction and lower levels of strain-based work/family conflict, which led to higher levels of affective organizational commitment.", "author" : [ { "dropping-particle" : "", "family" : "Crowne", "given" : "Kerri Anne", "non-dropping-particle" : "", "parse-names" : false, "suffix" : "" }, { "dropping-particle" : "", "family" : "Cochran", "given" : "Jeremy", "non-dropping-particle" : "", "parse-names" : false, "suffix" : "" }, { "dropping-particle" : "", "family" : "Carpenter", "given" : "Caryl E.", "non-dropping-particle" : "", "parse-names" : false, "suffix" : "" } ], "container-title" : "Organization Management Journal", "id" : "ITEM-1", "issue" : "2", "issued" : { "date-parts" : [ [ "2014" ] ] }, "page" : "62-73", "title" : "Older-worker-friendly policies and affective organizational commitment", "type" : "article-journal", "volume" : "11" }, "uris" : [ "http://www.mendeley.com/documents/?uuid=5cc7ea72-f4c5-4d19-9844-ff4114590e83" ] } ], "mendeley" : { "formattedCitation" : "(Crowne et al. 2014)", "manualFormatting" : "Crowne et al. (2014)", "plainTextFormattedCitation" : "(Crowne et al. 2014)", "previouslyFormattedCitation" : "(Crowne et al. 2014)" }, "properties" : { "noteIndex" : 0 }, "schema" : "https://github.com/citation-style-language/schema/raw/master/csl-citation.json" }</w:instrText>
      </w:r>
      <w:r w:rsidRPr="00452E2E">
        <w:rPr>
          <w:szCs w:val="24"/>
        </w:rPr>
        <w:fldChar w:fldCharType="separate"/>
      </w:r>
      <w:r w:rsidRPr="00452E2E">
        <w:rPr>
          <w:noProof/>
          <w:szCs w:val="24"/>
        </w:rPr>
        <w:t xml:space="preserve">Crowne </w:t>
      </w:r>
      <w:r w:rsidRPr="00452E2E">
        <w:rPr>
          <w:i/>
          <w:noProof/>
          <w:szCs w:val="24"/>
        </w:rPr>
        <w:t>et al</w:t>
      </w:r>
      <w:r w:rsidRPr="00452E2E">
        <w:rPr>
          <w:noProof/>
          <w:szCs w:val="24"/>
        </w:rPr>
        <w:t>. (2014)</w:t>
      </w:r>
      <w:r w:rsidRPr="00452E2E">
        <w:rPr>
          <w:szCs w:val="24"/>
        </w:rPr>
        <w:fldChar w:fldCharType="end"/>
      </w:r>
      <w:r w:rsidRPr="00452E2E">
        <w:rPr>
          <w:szCs w:val="24"/>
        </w:rPr>
        <w:t xml:space="preserve"> found positive effects of older-worker-friendly practices on job satisfaction of older workers while </w:t>
      </w:r>
      <w:r w:rsidRPr="00452E2E">
        <w:rPr>
          <w:szCs w:val="24"/>
        </w:rPr>
        <w:fldChar w:fldCharType="begin" w:fldLock="1"/>
      </w:r>
      <w:r w:rsidRPr="00452E2E">
        <w:rPr>
          <w:szCs w:val="24"/>
        </w:rPr>
        <w:instrText>ADDIN CSL_CITATION { "citationItems" : [ { "id" : "ITEM-1",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"ITEM-1",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"mendeley" : { "formattedCitation" : "(Ko &amp; Hur 2014)", "manualFormatting" : "Ko and Hur (2014)", "plainTextFormattedCitation" : "(Ko &amp; Hur 2014)", "previouslyFormattedCitation" : "(Ko &amp; Hur 2014)" }, "properties" : { "noteIndex" : 0 }, "schema" : "https://github.com/citation-style-language/schema/raw/master/csl-citation.json" }</w:instrText>
      </w:r>
      <w:r w:rsidRPr="00452E2E">
        <w:rPr>
          <w:szCs w:val="24"/>
        </w:rPr>
        <w:fldChar w:fldCharType="separate"/>
      </w:r>
      <w:r w:rsidRPr="00452E2E">
        <w:rPr>
          <w:noProof/>
          <w:szCs w:val="24"/>
        </w:rPr>
        <w:t xml:space="preserve">Ko </w:t>
      </w:r>
      <w:r w:rsidR="004D756A" w:rsidRPr="00452E2E">
        <w:rPr>
          <w:noProof/>
          <w:szCs w:val="24"/>
        </w:rPr>
        <w:t>&amp;</w:t>
      </w:r>
      <w:r w:rsidRPr="00452E2E">
        <w:rPr>
          <w:noProof/>
          <w:szCs w:val="24"/>
        </w:rPr>
        <w:t xml:space="preserve"> Hur (2014)</w:t>
      </w:r>
      <w:r w:rsidRPr="00452E2E">
        <w:rPr>
          <w:szCs w:val="24"/>
        </w:rPr>
        <w:fldChar w:fldCharType="end"/>
      </w:r>
      <w:r w:rsidRPr="00452E2E">
        <w:rPr>
          <w:szCs w:val="24"/>
        </w:rPr>
        <w:t xml:space="preserve"> examined the effects of employee benefits a</w:t>
      </w:r>
      <w:r w:rsidR="004C715C" w:rsidRPr="00452E2E">
        <w:rPr>
          <w:szCs w:val="24"/>
        </w:rPr>
        <w:t>mong public sector workers. The</w:t>
      </w:r>
      <w:r w:rsidRPr="00452E2E">
        <w:rPr>
          <w:szCs w:val="24"/>
        </w:rPr>
        <w:t xml:space="preserve"> findings of the study indicate that both traditional and family-friendly benefits were positively and significantly related to job satisfaction. Further, the relationship between benefits and job satisfaction was moderated by procedural justice and </w:t>
      </w:r>
      <w:r w:rsidRPr="00452E2E">
        <w:rPr>
          <w:szCs w:val="24"/>
        </w:rPr>
        <w:lastRenderedPageBreak/>
        <w:t xml:space="preserve">managerial trustworthiness. </w:t>
      </w:r>
      <w:r w:rsidRPr="00452E2E">
        <w:rPr>
          <w:szCs w:val="24"/>
        </w:rPr>
        <w:fldChar w:fldCharType="begin" w:fldLock="1"/>
      </w:r>
      <w:r w:rsidRPr="00452E2E">
        <w:rPr>
          <w:szCs w:val="24"/>
        </w:rPr>
        <w:instrText>ADDIN CSL_CITATION { "citationItems" : [ { "id" : "ITEM-1", "itemData" : { "DOI" : "10.1080/09585192.2011.560871", "ISBN" : "0958-5192", "ISSN" : "09585192", "abstract" : "The purpose of this study is twofold. The first purpose is to investigate the hypothesis as follows: the enrichment of the employee benefit management and the improvement of job attitudes mediate the relation between the adoption of family-friendly policies and the employee retention. The second purpose is to investigate the gender gap in the above-mentioned model. The facts and conclusions presented in this paper were obtained from a study of 1228 employees. Analysis of covariance structures was adopted for testing hypothesis. About the first one, significant mediator effects of the enrichment of the employee benefit management and the improvement of job satisfaction were clarified. About the second point, there was no gender gap in the above-mentioned retention process by the employee benefit management, except for the number of the employee benefit management practices and the organizational tenure. The necessity of additional research about international comparison, investigation of organization, longitudinal investigation, etc. was pointed out. [ABSTRACT FROM PUBLISHER]", "author" : [ { "dropping-particle" : "", "family" : "Yamamoto", "given" : "Hiroshi", "non-dropping-particle" : "", "parse-names" : false, "suffix" : "" } ], "container-title" : "International Journal of Human Resource Management", "id" : "ITEM-1", "issue" : "17", "issued" : { "date-parts" : [ [ "2011" ] ] }, "page" : "3550-3564", "title" : "The relationship between employee benefit management and employee retention", "type" : "article-journal", "volume" : "22" }, "uris" : [ "http://www.mendeley.com/documents/?uuid=6d4879cd-6b36-4fd8-8ad0-3c55c4021c6f" ] } ], "mendeley" : { "formattedCitation" : "(Yamamoto 2011)", "manualFormatting" : "In a study of employees in Japan, Yamamoto (2011)", "plainTextFormattedCitation" : "(Yamamoto 2011)", "previouslyFormattedCitation" : "(Yamamoto 2011)" }, "properties" : { "noteIndex" : 0 }, "schema" : "https://github.com/citation-style-language/schema/raw/master/csl-citation.json" }</w:instrText>
      </w:r>
      <w:r w:rsidRPr="00452E2E">
        <w:rPr>
          <w:szCs w:val="24"/>
        </w:rPr>
        <w:fldChar w:fldCharType="separate"/>
      </w:r>
      <w:r w:rsidRPr="00452E2E">
        <w:rPr>
          <w:noProof/>
          <w:szCs w:val="24"/>
        </w:rPr>
        <w:t>In a study of employees in Japan, Yamamoto (2011)</w:t>
      </w:r>
      <w:r w:rsidRPr="00452E2E">
        <w:rPr>
          <w:szCs w:val="24"/>
        </w:rPr>
        <w:fldChar w:fldCharType="end"/>
      </w:r>
      <w:r w:rsidRPr="00452E2E">
        <w:rPr>
          <w:szCs w:val="24"/>
        </w:rPr>
        <w:t xml:space="preserve"> found significant positive effects of employee benefits on job satisfaction. In turn, job satisfaction mediated the relationship between employee retention.</w:t>
      </w:r>
    </w:p>
    <w:p w:rsidR="00D03A8E" w:rsidRPr="00452E2E" w:rsidRDefault="00D03A8E" w:rsidP="00D03A8E">
      <w:pPr>
        <w:spacing w:line="360" w:lineRule="auto"/>
        <w:jc w:val="both"/>
        <w:rPr>
          <w:szCs w:val="24"/>
        </w:rPr>
      </w:pPr>
      <w:r w:rsidRPr="00452E2E">
        <w:rPr>
          <w:szCs w:val="24"/>
        </w:rPr>
        <w:t xml:space="preserve">As for the effects of training on job satisfaction, </w:t>
      </w:r>
      <w:r w:rsidRPr="00452E2E">
        <w:rPr>
          <w:szCs w:val="24"/>
        </w:rPr>
        <w:fldChar w:fldCharType="begin" w:fldLock="1"/>
      </w:r>
      <w:r w:rsidRPr="00452E2E">
        <w:rPr>
          <w:szCs w:val="24"/>
        </w:rPr>
        <w:instrText>ADDIN CSL_CITATION { "citationItems" : [ { "id" : "ITEM-1", "itemData" : { "abstract" : "Although mental disorders are common among children, we know little about their long term effects on child outcomes. This paper examines U.S. and Canadian children with symptoms of Attention Deficit Hyperactivity Disorder (ADHD), depression, conduct disorders, and other behavioral problems. Our work offers a number of innovations. First we use large nationally representative samples of children from both countries. Second, we focus on \"screeners\" that were administered to all children in our sample, rather than on diagnosed cases. Third, we address omitted variables bias by estimating sibling-fixed effects models. Fourth, we examine a range of outcomes. Fifth, we ask how the effects of mental health conditions are mediated by family income and maternal education. We find that mental health conditions, and especially ADHD, have large negative effects on future test scores and schooling attainment, regardless of family income and maternal education.", "author" : [ { "dropping-particle" : "", "family" : "Chiang", "given" : "C-F", "non-dropping-particle" : "", "parse-names" : false, "suffix" : "" }, { "dropping-particle" : "", "family" : "Back", "given" : "K-J", "non-dropping-particle" : "", "parse-names" : false, "suffix" : "" }, { "dropping-particle" : "", "family" : "Canter", "given" : "D.D", "non-dropping-particle" : "", "parse-names" : false, "suffix" : "" } ], "container-title" : "Journal of Human Resources in Hospitality &amp; Tourism", "id" : "ITEM-1", "issue" : "2", "issued" : { "date-parts" : [ [ "2005" ] ] }, "page" : "99-118", "title" : "The impact of employee training on job satisfaction and intention to stay in the hotel industry", "type" : "article-journal", "volume" : "4" }, "uris" : [ "http://www.mendeley.com/documents/?uuid=5854c5d6-b2d0-48b6-8449-563b56846006" ] } ], "mendeley" : { "formattedCitation" : "(Chiang et al. 2005)", "manualFormatting" : "Chiang et al. (2005)", "plainTextFormattedCitation" : "(Chiang et al. 2005)", "previouslyFormattedCitation" : "(Chiang et al. 2005)" }, "properties" : { "noteIndex" : 0 }, "schema" : "https://github.com/citation-style-language/schema/raw/master/csl-citation.json" }</w:instrText>
      </w:r>
      <w:r w:rsidRPr="00452E2E">
        <w:rPr>
          <w:szCs w:val="24"/>
        </w:rPr>
        <w:fldChar w:fldCharType="separate"/>
      </w:r>
      <w:r w:rsidRPr="00452E2E">
        <w:rPr>
          <w:noProof/>
          <w:szCs w:val="24"/>
        </w:rPr>
        <w:t xml:space="preserve">Chiang </w:t>
      </w:r>
      <w:r w:rsidRPr="00452E2E">
        <w:rPr>
          <w:i/>
          <w:noProof/>
          <w:szCs w:val="24"/>
        </w:rPr>
        <w:t>et al</w:t>
      </w:r>
      <w:r w:rsidRPr="00452E2E">
        <w:rPr>
          <w:noProof/>
          <w:szCs w:val="24"/>
        </w:rPr>
        <w:t>. (2005)</w:t>
      </w:r>
      <w:r w:rsidRPr="00452E2E">
        <w:rPr>
          <w:szCs w:val="24"/>
        </w:rPr>
        <w:fldChar w:fldCharType="end"/>
      </w:r>
      <w:r w:rsidRPr="00452E2E">
        <w:rPr>
          <w:szCs w:val="24"/>
        </w:rPr>
        <w:t xml:space="preserve"> found positive effects of training on job satisfaction in their study of hotels in US</w:t>
      </w:r>
      <w:r w:rsidR="00314098" w:rsidRPr="00452E2E">
        <w:rPr>
          <w:szCs w:val="24"/>
        </w:rPr>
        <w:t>A</w:t>
      </w:r>
      <w:r w:rsidRPr="00452E2E">
        <w:rPr>
          <w:szCs w:val="24"/>
        </w:rPr>
        <w:t>. Also in the hospitality industry</w:t>
      </w:r>
      <w:r w:rsidR="00870D1F" w:rsidRPr="00452E2E">
        <w:rPr>
          <w:szCs w:val="24"/>
        </w:rPr>
        <w:t xml:space="preserve"> in USA</w:t>
      </w:r>
      <w:r w:rsidRPr="00452E2E">
        <w:rPr>
          <w:szCs w:val="24"/>
        </w:rPr>
        <w:t xml:space="preserve">, </w:t>
      </w:r>
      <w:r w:rsidRPr="00452E2E">
        <w:rPr>
          <w:szCs w:val="24"/>
        </w:rPr>
        <w:fldChar w:fldCharType="begin" w:fldLock="1"/>
      </w:r>
      <w:r w:rsidRPr="00452E2E">
        <w:rPr>
          <w:szCs w:val="24"/>
        </w:rPr>
        <w:instrText>ADDIN CSL_CITATION { "citationItems" : [ { "id" : "ITEM-1", "itemData" : { "abstract" : "There is a tremendous amount of literature that explores the relationship between employee job satisfaction and intent to stay. Similarly, recent research in te area of human resources has focused on the impact of human resources practices on various organizational outcomes. In this article, the authors explore the relationships between training and development, and employee job satisfaction, loyalty, and intent to stay in four lodging properties in the United States. Results indicate that employees who perceive they have the opportunity to develop new skills are more satisfied with their jobs, more loyal, and more likely to stay with the organization.", "author" : [ { "dropping-particle" : "", "family" : "Costen", "given" : "Wanda M.", "non-dropping-particle" : "", "parse-names" : false, "suffix" : "" }, { "dropping-particle" : "", "family" : "Salazar", "given" : "John", "non-dropping-particle" : "", "parse-names" : false, "suffix" : "" } ], "container-title" : "Journal of Human Resources in Hospitality &amp; Tourism", "id" : "ITEM-1", "issue" : "3", "issued" : { "date-parts" : [ [ "2011" ] ] }, "page" : "273-284", "title" : "The impact of training and development on employee job satisfaction, loyalty, and intent to stay in the lodging industry", "type" : "article-journal", "volume" : "10" }, "uris" : [ "http://www.mendeley.com/documents/?uuid=ed2efca9-3f7c-4fb0-a550-c3ef49a90fa1" ] } ], "mendeley" : { "formattedCitation" : "(Costen &amp; Salazar 2011)", "manualFormatting" : "Costen and Salazar (2011)", "plainTextFormattedCitation" : "(Costen &amp; Salazar 2011)", "previouslyFormattedCitation" : "(Costen &amp; Salazar 2011)" }, "properties" : { "noteIndex" : 0 }, "schema" : "https://github.com/citation-style-language/schema/raw/master/csl-citation.json" }</w:instrText>
      </w:r>
      <w:r w:rsidRPr="00452E2E">
        <w:rPr>
          <w:szCs w:val="24"/>
        </w:rPr>
        <w:fldChar w:fldCharType="separate"/>
      </w:r>
      <w:r w:rsidRPr="00452E2E">
        <w:rPr>
          <w:noProof/>
          <w:szCs w:val="24"/>
        </w:rPr>
        <w:t xml:space="preserve">Costen </w:t>
      </w:r>
      <w:r w:rsidR="00EF5AA8" w:rsidRPr="00452E2E">
        <w:rPr>
          <w:noProof/>
          <w:szCs w:val="24"/>
        </w:rPr>
        <w:t>&amp;</w:t>
      </w:r>
      <w:r w:rsidRPr="00452E2E">
        <w:rPr>
          <w:noProof/>
          <w:szCs w:val="24"/>
        </w:rPr>
        <w:t xml:space="preserve"> Salazar (2011)</w:t>
      </w:r>
      <w:r w:rsidRPr="00452E2E">
        <w:rPr>
          <w:szCs w:val="24"/>
        </w:rPr>
        <w:fldChar w:fldCharType="end"/>
      </w:r>
      <w:r w:rsidRPr="00452E2E">
        <w:rPr>
          <w:szCs w:val="24"/>
        </w:rPr>
        <w:t xml:space="preserve"> found in their study of four lodging properties that employees’ perceptions of more training opportunities heightened their job satisfaction levels. </w:t>
      </w:r>
      <w:r w:rsidRPr="00452E2E">
        <w:rPr>
          <w:szCs w:val="24"/>
        </w:rPr>
        <w:fldChar w:fldCharType="begin" w:fldLock="1"/>
      </w:r>
      <w:r w:rsidRPr="00452E2E">
        <w:rPr>
          <w:szCs w:val="24"/>
        </w:rPr>
        <w:instrText>ADDIN CSL_CITATION { "citationItems" : [ { "id" : "ITEM-1", "itemData" : { "DOI" : "10.1080/09585190701321112", "ISSN" : "09585192", "abstract" : "A number of studies in the human resources literature acknowledge the importance of workplace training for inducing organizational commitment on the part of workers. However, small sample sizes and the absence of relevant panel data have raised concerns about the general validity of results and highlighted the need for further research to explicitly include on-the-job training as an important facet of job satisfaction. A similar empirical gap exists in the economics and industrial organization literature, where, despite the importance of both on-the-job training and job satisfaction to influence labour productivity, the relationship between the two has received surprisingly little attention. The aim of this paper is to bridge this gap in our knowledge and assess the impact of further training on job satisfaction in the western regions of Germany. We use data derived from the German Socio-economic Panel, which covers the period 1984 to 2002. Concentrating on full-time employed individuals, we focus in particular on the 1989, 1993 and 2000 interview waves, which include a number of questions on work-related training and offer detailed information on the type and duration of training received, and whether employers sponsored such training. The empirical results of the study provide information about the decision to participate in further training and the latter's impact on job satisfaction. Gender inequality issues in Germany's segmented labour market are explained by reference to discrepancy theory, equity theory, social exchange theory and the perception of a breach in the psychological contract between firms and female trainees.", "author" : [ { "dropping-particle" : "", "family" : "Georgellis", "given" : "Yannis", "non-dropping-particle" : "", "parse-names" : false, "suffix" : "" }, { "dropping-particle" : "", "family" : "Lange", "given" : "Thomas", "non-dropping-particle" : "", "parse-names" : false, "suffix" : "" } ], "container-title" : "International Journal of Human Resource Management", "id" : "ITEM-1", "issue" : "6", "issued" : { "date-parts" : [ [ "2007" ] ] }, "page" : "969\u2013985", "title" : "Participation in continuous, on-the-job training and the impact on job satisfaction: Longitudinal evidence from the German labour market", "type" : "article-journal", "volume" : "18" }, "uris" : [ "http://www.mendeley.com/documents/?uuid=0b19ad8a-223d-4bfb-94f6-217a42984654" ] } ], "mendeley" : { "formattedCitation" : "(Georgellis &amp; Lange 2007)", "manualFormatting" : "Georgellis and Lange (2007)", "plainTextFormattedCitation" : "(Georgellis &amp; Lange 2007)", "previouslyFormattedCitation" : "(Georgellis &amp; Lange 2007)" }, "properties" : { "noteIndex" : 0 }, "schema" : "https://github.com/citation-style-language/schema/raw/master/csl-citation.json" }</w:instrText>
      </w:r>
      <w:r w:rsidRPr="00452E2E">
        <w:rPr>
          <w:szCs w:val="24"/>
        </w:rPr>
        <w:fldChar w:fldCharType="separate"/>
      </w:r>
      <w:r w:rsidRPr="00452E2E">
        <w:rPr>
          <w:noProof/>
          <w:szCs w:val="24"/>
        </w:rPr>
        <w:t xml:space="preserve">Georgellis </w:t>
      </w:r>
      <w:r w:rsidR="008E42B8" w:rsidRPr="00452E2E">
        <w:rPr>
          <w:noProof/>
          <w:szCs w:val="24"/>
        </w:rPr>
        <w:t>&amp;</w:t>
      </w:r>
      <w:r w:rsidRPr="00452E2E">
        <w:rPr>
          <w:noProof/>
          <w:szCs w:val="24"/>
        </w:rPr>
        <w:t xml:space="preserve"> Lange (2007)</w:t>
      </w:r>
      <w:r w:rsidRPr="00452E2E">
        <w:rPr>
          <w:szCs w:val="24"/>
        </w:rPr>
        <w:fldChar w:fldCharType="end"/>
      </w:r>
      <w:r w:rsidRPr="00452E2E">
        <w:rPr>
          <w:szCs w:val="24"/>
        </w:rPr>
        <w:t xml:space="preserve"> analysed data from the German Socio-economic Panel and found positive effects of organization-sponsored training on job satisfaction for men but not for women. Similarly, using data from the British Household Panel Survey, </w:t>
      </w:r>
      <w:r w:rsidRPr="00452E2E">
        <w:rPr>
          <w:szCs w:val="24"/>
        </w:rPr>
        <w:fldChar w:fldCharType="begin" w:fldLock="1"/>
      </w:r>
      <w:r w:rsidRPr="00452E2E">
        <w:rPr>
          <w:szCs w:val="24"/>
        </w:rPr>
        <w:instrText>ADDIN CSL_CITATION { "citationItems" : [ { "id" : "ITEM-1", "itemData" : { "author" : [ { "dropping-particle" : "", "family" : "Tabvuma", "given" : "V.", "non-dropping-particle" : "", "parse-names" : false, "suffix" : "" }, { "dropping-particle" : "", "family" : "Georgellis", "given" : "Y.", "non-dropping-particle" : "", "parse-names" : false, "suffix" : "" }, { "dropping-particle" : "", "family" : "Lange", "given" : "T.", "non-dropping-particle" : "", "parse-names" : false, "suffix" : "" } ], "container-title" : "Human Resource Management", "id" : "ITEM-1", "issue" : "2", "issued" : { "date-parts" : [ [ "2015" ] ] }, "page" : "303-321", "title" : "Orientation training and job satisfaction: A sector and gender analysis", "type" : "article-journal", "volume" : "54" }, "uris" : [ "http://www.mendeley.com/documents/?uuid=76de04c7-f445-4fb5-85bd-31dec2c13e00" ] } ], "mendeley" : { "formattedCitation" : "(Tabvuma et al. 2015)", "manualFormatting" : "Tabvuma et al. (2015)", "plainTextFormattedCitation" : "(Tabvuma et al. 2015)", "previouslyFormattedCitation" : "(Tabvuma et al. 2015)" }, "properties" : { "noteIndex" : 0 }, "schema" : "https://github.com/citation-style-language/schema/raw/master/csl-citation.json" }</w:instrText>
      </w:r>
      <w:r w:rsidRPr="00452E2E">
        <w:rPr>
          <w:szCs w:val="24"/>
        </w:rPr>
        <w:fldChar w:fldCharType="separate"/>
      </w:r>
      <w:r w:rsidRPr="00452E2E">
        <w:rPr>
          <w:noProof/>
          <w:szCs w:val="24"/>
        </w:rPr>
        <w:t xml:space="preserve">Tabvuma </w:t>
      </w:r>
      <w:r w:rsidRPr="00452E2E">
        <w:rPr>
          <w:i/>
          <w:noProof/>
          <w:szCs w:val="24"/>
        </w:rPr>
        <w:t>et al</w:t>
      </w:r>
      <w:r w:rsidRPr="00452E2E">
        <w:rPr>
          <w:noProof/>
          <w:szCs w:val="24"/>
        </w:rPr>
        <w:t>. (2015)</w:t>
      </w:r>
      <w:r w:rsidRPr="00452E2E">
        <w:rPr>
          <w:szCs w:val="24"/>
        </w:rPr>
        <w:fldChar w:fldCharType="end"/>
      </w:r>
      <w:r w:rsidRPr="00452E2E">
        <w:rPr>
          <w:szCs w:val="24"/>
        </w:rPr>
        <w:t xml:space="preserve"> reported that orientation training had significant positive effects on job satisfaction of male newcomers in both public and private sectors, but heightened job satisfaction of newcomer female employees only in the public sector. </w:t>
      </w:r>
      <w:r w:rsidRPr="00452E2E">
        <w:rPr>
          <w:szCs w:val="24"/>
        </w:rPr>
        <w:fldChar w:fldCharType="begin" w:fldLock="1"/>
      </w:r>
      <w:r w:rsidRPr="00452E2E">
        <w:rPr>
          <w:szCs w:val="24"/>
        </w:rPr>
        <w:instrText>ADDIN CSL_CITATION { "citationItems" : [ { "id" : "ITEM-1", "itemData" : { "DOI" : "10.1080/08959420.2012.629136", "ISSN" : "0895-9420", "PMID" : "22239282", "abstract" : "If job training has positive impacts on worker satisfaction, then job training can have desirable consequences for an organization that result both directly through its effects on productivity and indirectly through its effects on job satisfaction. Furthermore, the aging of the workforce implies that older workers will become increasingly important to firms and to the economy. This study, therefore, seeks to examine the relationship between job training and job satisfaction, focusing in particular on U.S. workers born in 1964 or earlier. The results of ordered logit regression analysis indicate that availability and quality of training received directly affect job satisfaction.", "author" : [ { "dropping-particle" : "", "family" : "Leppel", "given" : "Karen", "non-dropping-particle" : "", "parse-names" : false, "suffix" : "" }, { "dropping-particle" : "", "family" : "Brucker", "given" : "Eric", "non-dropping-particle" : "", "parse-names" : false, "suffix" : "" }, { "dropping-particle" : "", "family" : "Cochran", "given" : "Jeremy", "non-dropping-particle" : "", "parse-names" : false, "suffix" : "" } ], "container-title" : "Journal of Aging &amp; Social Policy", "id" : "ITEM-1", "issue" : "1", "issued" : { "date-parts" : [ [ "2012" ] ] }, "page" : "62-76", "title" : "The importance of job training to job satisfaction of older workers", "type" : "article-journal", "volume" : "24" }, "uris" : [ "http://www.mendeley.com/documents/?uuid=9f16ddac-98cc-4c00-baf8-c5a016f14351" ] } ], "mendeley" : { "formattedCitation" : "(Leppel et al. 2012)", "manualFormatting" : "Findings from Leppel et al's. (2012)", "plainTextFormattedCitation" : "(Leppel et al. 2012)", "previouslyFormattedCitation" : "(Leppel et al. 2012)" }, "properties" : { "noteIndex" : 0 }, "schema" : "https://github.com/citation-style-language/schema/raw/master/csl-citation.json" }</w:instrText>
      </w:r>
      <w:r w:rsidRPr="00452E2E">
        <w:rPr>
          <w:szCs w:val="24"/>
        </w:rPr>
        <w:fldChar w:fldCharType="separate"/>
      </w:r>
      <w:r w:rsidRPr="00452E2E">
        <w:rPr>
          <w:noProof/>
          <w:szCs w:val="24"/>
        </w:rPr>
        <w:t xml:space="preserve">Findings from Leppel </w:t>
      </w:r>
      <w:r w:rsidRPr="00452E2E">
        <w:rPr>
          <w:i/>
          <w:noProof/>
          <w:szCs w:val="24"/>
        </w:rPr>
        <w:t>et al</w:t>
      </w:r>
      <w:r w:rsidRPr="00452E2E">
        <w:rPr>
          <w:noProof/>
          <w:szCs w:val="24"/>
        </w:rPr>
        <w:t>'s. (2012)</w:t>
      </w:r>
      <w:r w:rsidRPr="00452E2E">
        <w:rPr>
          <w:szCs w:val="24"/>
        </w:rPr>
        <w:fldChar w:fldCharType="end"/>
      </w:r>
      <w:r w:rsidRPr="00452E2E">
        <w:rPr>
          <w:szCs w:val="24"/>
        </w:rPr>
        <w:t xml:space="preserve"> study indicate that perceptions of availability and quality of training increased job satisfaction levels of older workers. In their study of employees from different companies in Taiwan, </w:t>
      </w:r>
      <w:r w:rsidRPr="00452E2E">
        <w:rPr>
          <w:szCs w:val="24"/>
        </w:rPr>
        <w:fldChar w:fldCharType="begin" w:fldLock="1"/>
      </w:r>
      <w:r w:rsidRPr="00452E2E">
        <w:rPr>
          <w:szCs w:val="24"/>
        </w:rPr>
        <w:instrText>ADDIN CSL_CITATION { "citationItems" : [ { "id" : "ITEM-1", "itemData" : { "DOI" : "10.1108/ICT-04-2015-0029", "ISBN" : "0143773111112", "ISSN" : "0019-7858", "author" : [ { "dropping-particle" : "", "family" : "Huang", "given" : "Wen-Rou", "non-dropping-particle" : "", "parse-names" : false, "suffix" : "" }, { "dropping-particle" : "", "family" : "Su", "given" : "Chih-Hao", "non-dropping-particle" : "", "parse-names" : false, "suffix" : "" } ], "container-title" : "Industrial and Commercial Training", "id" : "ITEM-1", "issue" : "1", "issued" : { "date-parts" : [ [ "2016" ] ] }, "page" : "42-52", "title" : "The mediating role of job satisfaction in the relationship between job training satisfaction and turnover intentions", "type" : "article-journal", "volume" : "48" }, "uris" : [ "http://www.mendeley.com/documents/?uuid=7ef56a7b-c056-4872-b062-89a4b3807219" ] } ], "mendeley" : { "formattedCitation" : "(Huang &amp; Su 2016)", "manualFormatting" : "Huang and Su (2016)", "plainTextFormattedCitation" : "(Huang &amp; Su 2016)", "previouslyFormattedCitation" : "(Huang &amp; Su 2016)" }, "properties" : { "noteIndex" : 0 }, "schema" : "https://github.com/citation-style-language/schema/raw/master/csl-citation.json" }</w:instrText>
      </w:r>
      <w:r w:rsidRPr="00452E2E">
        <w:rPr>
          <w:szCs w:val="24"/>
        </w:rPr>
        <w:fldChar w:fldCharType="separate"/>
      </w:r>
      <w:r w:rsidRPr="00452E2E">
        <w:rPr>
          <w:noProof/>
          <w:szCs w:val="24"/>
        </w:rPr>
        <w:t>Huang and Su (2016)</w:t>
      </w:r>
      <w:r w:rsidRPr="00452E2E">
        <w:rPr>
          <w:szCs w:val="24"/>
        </w:rPr>
        <w:fldChar w:fldCharType="end"/>
      </w:r>
      <w:r w:rsidRPr="00452E2E">
        <w:rPr>
          <w:szCs w:val="24"/>
        </w:rPr>
        <w:t xml:space="preserve"> found that training satisfaction positive effects on job satisfaction. </w:t>
      </w:r>
      <w:r w:rsidR="00DD226F" w:rsidRPr="00452E2E">
        <w:rPr>
          <w:szCs w:val="24"/>
        </w:rPr>
        <w:t>The next section shall focus on studies on HR practices and organizational commitment.</w:t>
      </w:r>
    </w:p>
    <w:p w:rsidR="00D03A8E" w:rsidRPr="00452E2E" w:rsidRDefault="0050429F" w:rsidP="000200A3">
      <w:pPr>
        <w:pStyle w:val="Heading4"/>
      </w:pPr>
      <w:bookmarkStart w:id="71" w:name="_Toc473808132"/>
      <w:r w:rsidRPr="00452E2E">
        <w:t>3.4.3</w:t>
      </w:r>
      <w:r w:rsidR="00D03A8E" w:rsidRPr="00452E2E">
        <w:t xml:space="preserve"> Studies on HR Practices and Organizational Commitment</w:t>
      </w:r>
      <w:bookmarkEnd w:id="71"/>
      <w:r w:rsidR="00D03A8E" w:rsidRPr="00452E2E">
        <w:t xml:space="preserve"> </w:t>
      </w:r>
    </w:p>
    <w:p w:rsidR="00D03A8E" w:rsidRPr="00452E2E" w:rsidRDefault="00D03A8E" w:rsidP="00D03A8E">
      <w:pPr>
        <w:spacing w:line="360" w:lineRule="auto"/>
        <w:jc w:val="both"/>
        <w:rPr>
          <w:szCs w:val="24"/>
        </w:rPr>
      </w:pPr>
      <w:r w:rsidRPr="00452E2E">
        <w:rPr>
          <w:szCs w:val="24"/>
        </w:rPr>
        <w:t xml:space="preserve">Research evidence abound linking HR practices to employee commitment to the organization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"ITEM-2", "issue" : "4", "issued" : { "date-parts" : [ [ "2000" ] ] }, "page" : "319-331", "title" : "HRM practices and organizational commitment: Test of a mediation model", "type" : "article-journal", "volume" : "17" }, "uris" : [ "http://www.mendeley.com/documents/?uuid=13e21476-e84f-4966-8457-f612c8f3bd5b" ] }, { "id" : "ITEM-3", "itemData" : { "author" : [ { "dropping-particle" : "", "family" : "Whitener", "given" : "Elien M.", "non-dropping-particle" : "", "parse-names" : false, "suffix" : "" } ], "container-title" : "Journal of Management", "id" : "ITEM-3", "issued" : { "date-parts" : [ [ "2001" ] ] }, "page" : "515-535", "title" : "Do high commitment human resource practices affect employee commitment: A cross-level analysis using hierarchical linear modeling", "type" : "article-journal", "volume" : "27" }, "uris" : [ "http://www.mendeley.com/documents/?uuid=550ce3ee-ebf5-4294-afc8-c4144963a042" ] }, { "id" : "ITEM-4", "itemData" : { "abstract" : "In the contemporary business environment, human resource (HR) is an indispensable input for organizational effectiveness. Hence, an effective management of human resources has an important role to play in the performance and success of organizations. Competitive pressures have encouraged organizations to be proactive in diagnosing HR problems and to adopt more innovative HR practices since these were no longer a matter of trend, but rather of survival. The present study attempted to explore the relationship of three dimensions of innovative human resource practices (IHRPs): that is, the extent of introduction of IHRPs, their importance for organizational goal achievement and satisfaction with implementation of IHRPs, with organizational commitment (OC). Regression analyses showed that the perceived extent of introduction of innovative human resource practices by the organizations was the most significant predictor of organizational commitment.", "author" : [ { "dropping-particle" : "", "family" : "Agarwala", "given" : "Tanuja", "non-dropping-particle" : "", "parse-names" : false, "suffix" : "" } ], "container-title" : "The International Journal of Human Resource Management", "id" : "ITEM-4", "issue" : "2", "issued" : { "date-parts" : [ [ "2003" ] ] }, "page" : "175-197", "title" : "Innovative human resource practices and organizational commitment: An empirical investigation", "type" : "article-journal", "volume" : "14" }, "uris" : [ "http://www.mendeley.com/documents/?uuid=a0d7a9f5-8299-4d50-9fa6-83879f0a5fc9" ] }, { "id" : "ITEM-5", "itemData" : { "DOI" : "10.1080/09585190210158501", "ISBN" : "0958519021", "ISSN" : "0958-5192", "PMID" : "9173613", "abstract" : "This paper assesses the impact of bundles of HR practices on workplace trust, job satisfaction, commitment, effort and perceived organizational performance. A theoretical model is developed and tested using data collected through a postal survey of UK local government employees. The results support the hypothesis that HR practices are powerful predictors of trust and organizational performance. These findings demonstrate the need for public organizations to re-evaluate their current battery of HR practices in an attempt to improve overall performance.", "author" : [ { "dropping-particle" : "", "family" : "Gould-Williams", "given" : "Julian", "non-dropping-particle" : "", "parse-names" : false, "suffix" : "" } ], "container-title" : "The International Journal of Human Resource Management", "id" : "ITEM-5", "issue" : "1", "issued" : { "date-parts" : [ [ "2003" ] ] }, "page" : "28-54", "title" : "The importance of HR practices and workplace trust in achieving superior performance: A study of public-sector organizations", "type" : "article-journal", "volume" : "14" }, "uris" : [ "http://www.mendeley.com/documents/?uuid=fb0949b0-c830-4532-bfa9-55739950a3b5" ] }, { "id" : "ITEM-6", "itemData" : { "abstract" : "Although there is a growing body of evidence demonstrating positive effects of \u2018high commitment\u2019 HRM practices on organizational performance, there is less evidence evaluating their effects on individual workers, especially within the public sector. Therefore the implications of applying \u2018high commitment\u2019 practices in the public sector needs to be considered. This paper seeks to address this gap by reporting the results of a staff survey and follow-up interviews conducted on a cross-section of local government employees. The results showed that eight of the ten \u2018high commitment\u2019 practices had significant effects on worker attitudes. The results are discussed in light of HRM theory together with the implications for public sector managers.", "author" : [ { "dropping-particle" : "", "family" : "Gould-Williams", "given" : "Julian", "non-dropping-particle" : "", "parse-names" : false, "suffix" : "" } ], "container-title" : "Public Administration", "id" : "ITEM-6", "issue" : "1", "issued" : { "date-parts" : [ [ "2004" ] ] }, "page" : "63-81", "title" : "The effects of 'high commitment' HRM practices on employee attitude: The views of public sector workers", "type" : "article-journal", "volume" : "82" }, "uris" : [ "http://www.mendeley.com/documents/?uuid=1ea3bc7e-762b-4578-9d64-abbee580b748" ] }, { "id" : "ITEM-7",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"ITEM-7", "issue" : "5", "issued" : { "date-parts" : [ [ "2005" ] ] }, "page" : "534-549", "title" : "HRM practice and employee attitudes: Different measures \u2013 different results", "type" : "article-journal", "volume" : "34" }, "uris" : [ "http://www.mendeley.com/documents/?uuid=9d6909f5-8480-4f8c-af13-1d14286dcfa0" ] }, { "id" : "ITEM-8", "itemData" : { "abstract" : "Participation in three types of development activities is examined among salaried employees of a firm that significantly increased access to development after a series of layoffs in the late 1990s. Analyses of survey and archival data representing 667 employees show that on-the-job training was positively related to organisational commitment and negatively related to intention to turnover. Participation in tuition-reimbursement, which provides more general or marketable skills, was positively related to intention to turnover. However, intention to turnover was reduced after earning a degree through tuition-reimbursement if employees were subsequently promoted. Implications for an employment relationship based on 'employability' are discussed. PUBLICATION ABSTRACT", "author" : [ { "dropping-particle" : "", "family" : "Benson", "given" : "George S.", "non-dropping-particle" : "", "parse-names" : false, "suffix" : "" } ], "container-title" : "Human Resource Management Journal", "id" : "ITEM-8", "issue" : "2", "issued" : { "date-parts" : [ [ "2006" ] ] }, "page" : "173-192", "title" : "Employee development, commitment and intention to turnover: A test of 'employability' policies in action", "type" : "article-journal", "volume" : "16" }, "uris" : [ "http://www.mendeley.com/documents/?uuid=53c47e6b-4c3e-45b4-9bda-344c8ee0f673" ] }, { "id" : "ITEM-9", "itemData" : { "author" : [ { "dropping-particle" : "", "family" : "Par\u00e9", "given" : "Guy", "non-dropping-particle" : "", "parse-names" : false, "suffix" : "" }, { "dropping-particle" : "", "family" : "Tremblay", "given" : "Michel", "non-dropping-particle" : "", "parse-names" : false, "suffix" : "" } ], "container-title" : "Group &amp; Organization Management", "id" : "ITEM-9", "issue" : "3", "issued" : { "date-parts" : [ [ "2007" ] ] }, "page" : "326-357", "title" : "The influence of high-involvement human resource practices, procedural justice, organizational commitment, and citizenship behaviors on information technology professionals \u2019 turnover intentions", "type" : "article-journal", "volume" : "32" }, "uris" : [ "http://www.mendeley.com/documents/?uuid=dd7a2e92-5026-450c-83bb-2292744a7d0b" ] }, { "id" : "ITEM-10", "itemData" : { "abstract" : "Purpose - The purpose of this paper is to examine the impacts of key human resource (HR) practices on permanent employees' organizational commitment and intention to stay. These practices include facilitating of person-organization fit (P-O fit), designing effective remuneration and recognition, creating sufficiently challenging assignments, and implementing training and career development. Design/methodology/approach - The study was carried out in three phases. First, 13 experts (e.g. academics, HR managers and organizational psychologists) were interviewed using the Delphi technique. Second, in-depth interviews with 12 HR managers were conducted. Third, 457 employees from nine Australian organizations responded to a survey. Structural equation modeling was used to test the hypotheses. Findings - Organizational commitment was positively affected by P-O fit, remuneration, recognition, and an opportunity to undertake challenging employment assignments. Intention to stay was significantly related to P-O fit, remuneration, recognition, training and career development. Surprisingly, training and career development was not significantly related to organizational commitment and challenging assignment was not significantly related to intention to stay. Originality/value - This paper contributes to existing knowledge by testing HR practices in large public and private Australian organizations, which are impacted by demographic changes, increasing dependence on outsourcing, and industrial relations reforms. Thus, the results of this study will provide practitioners with better insights into some practices that could elevate organizational commitment and retention of employees. ABSTRACT FROM AUTHOR Copyright of International Journal of Manpower is the property of Emerald Group Publishing Limited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"Chew", "given" : "Janet", "non-dropping-particle" : "", "parse-names" : false, "suffix" : "" }, { "dropping-particle" : "", "family" : "Chan", "given" : "Christopher C A", "non-dropping-particle" : "", "parse-names" : false, "suffix" : "" } ], "container-title" : "International Journal of Manpower", "id" : "ITEM-10", "issue" : "6", "issued" : { "date-parts" : [ [ "2008" ] ] }, "page" : "503-522", "title" : "Human resource practices, organizational commitment and intention to stay", "type" : "article-journal", "volume" : "29" }, "uris" : [ "http://www.mendeley.com/documents/?uuid=e4299377-928f-4ad1-b27d-31dfa978daea" ] }, { "id" : "ITEM-11",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"ITEM-11",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"id" : "ITEM-12", "itemData" : { "DOI" : "10.1108/00483480810877589", "ISBN" : "0048-3486", "ISSN" : "0048-3486", "abstract" : "la referencia viene de una alerta de internet. Se trata de una investigaci\u00f3n que relaciona el HRM con el compromiso. LO HACE UTILIZANDO LA PROPUESTA DE BOWEN Y OSTROFF CON SU IDEA DE FUERZA. UNA DE LAS PRIMERAS EVIDENCIAS EN ESTE SENTIDO. INTERESANTE PARA VER C\u00d3MO LO HACEN Y PORQUE CREO QUE TENGO QU ECONTACTAR CON ESTA GENTE (O PURCELL) PARA HACER UNA ESTANCIA CON ELLOS.", "author" : [ { "dropping-particle" : "", "family" : "Sanders", "given" : "Karin", "non-dropping-particle" : "", "parse-names" : false, "suffix" : "" }, { "dropping-particle" : "", "family" : "Dorenbosch", "given" : "Luc", "non-dropping-particle" : "", "parse-names" : false, "suffix" : "" }, { "dropping-particle" : "", "family" : "Reuver", "given" : "R.D.", "non-dropping-particle" : "", "parse-names" : false, "suffix" : "" } ], "container-title" : "Personnel Review", "id" : "ITEM-12", "issue" : "4", "issued" : { "date-parts" : [ [ "2008" ] ] }, "page" : "412-425", "title" : "The impact of individual and shared employee perceptions of HRM on affective commitment: Considering climate strength", "type" : "article-journal", "volume" : "37" }, "uris" : [ "http://www.mendeley.com/documents/?uuid=c49efb63-522b-4314-adbc-b49812acde34" ] }, { "id" : "ITEM-13", "itemData" : { "author" : [ { "dropping-particle" : "", "family" : "Conway", "given" : "Edel", "non-dropping-particle" : "", "parse-names" : false, "suffix" : "" }, { "dropping-particle" : "", "family" : "Monks", "given" : "Kathy", "non-dropping-particle" : "", "parse-names" : false, "suffix" : "" } ], "container-title" : "Human resource management Journal", "id" : "ITEM-13", "issue" : "2", "issued" : { "date-parts" : [ [ "2009" ] ] }, "page" : "140-158", "title" : "Unravelling the complexities of high commitment: An employee-level analysis", "type" : "article-journal", "volume" : "19" }, "uris" : [ "http://www.mendeley.com/documents/?uuid=27e6e8b9-9ee2-45ca-90f0-2264a8bc8e92" ] }, { "id" : "ITEM-14",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"ITEM-14",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"id" : "ITEM-15",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"Herrbach", "given" : "Olivier", "non-dropping-particle" : "", "parse-names" : false, "suffix" : "" }, { "dropping-particle" : "", "family" : "Mignonac", "given" : "Karim", "non-dropping-particle" : "", "parse-names" : false, "suffix" : "" }, { "dropping-particle" : "", "family" : "Vandenbeghe", "given" : "C", "non-dropping-particle" : "", "parse-names" : false, "suffix" : "" }, { "dropping-particle" : "", "family" : "Negrini", "given" : "A", "non-dropping-particle" : "", "parse-names" : false, "suffix" : "" } ], "container-title" : "Human Resource Management", "id" : "ITEM-15", "issue" : "6", "issued" : { "date-parts" : [ [ "2009" ] ] }, "page" : "895-915", "title" : "Perceived HRM practices, organizational commitment, and voluntary early retirement among late career managers", "type" : "article-journal", "volume" : "48" }, "uris" : [ "http://www.mendeley.com/documents/?uuid=1b165dc8-8055-4a8b-bc0e-388885049c28" ] }, { "id" : "ITEM-16",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"ITEM-16",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"id" : "ITEM-17",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"ITEM-17",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"ITEM-18", "itemData" : { "abstract" : "Purpose: This paper aims to present an empirical study of the effect of high performance work practices on commitment and citizenship behaviour in the health care sector. The theory suggests that individual employees are willing \"to go the extra mile\" when they are given the opportunity to develop their abilities and to participate, and when they are motivated. Design/methodology/approach: The data were gathered in a Dutch general hospital using employee questionnaires. Medical specialists were not included in the study. Findings: The results of the study suggest that employee development (e.g. skills training, general training, and task enrichment) and employee involvement (e.g. job autonomy, participation in decision making) are important HR practices in creating a high performance work climate in a health care organisation. Research limitations/implications: The data come from one hospital and the analysis is cross-sectional. However, the importance of the study lies in its focus on the individual employee perspective rather than the organisational level analyses which currently predominate in the HRM and performance debate. Practical implications: The training and development of health care employees can increase their affective commitment. Increasing employee involvement can also help stimulate citizenship behaviour. Originality/value: The paper looks at the non-profit sector, whereas the majority of previous HR research has focused on multinational companies. \u00a9 Emerald Group Publishing Limited.", "author" : [ { "dropping-particle" : "", "family" : "Boselie", "given" : "Paul", "non-dropping-particle" : "", "parse-names" : false, "suffix" : "" } ], "container-title" : "International Journal of Manpower", "id" : "ITEM-18", "issue" : "1", "issued" : { "date-parts" : [ [ "2010" ] ] }, "page" : "42-58", "title" : "High performance work practices in the health care sector: A Dutch case study", "type" : "article-journal", "volume" : "31" }, "uris" : [ "http://www.mendeley.com/documents/?uuid=a1717bb6-a722-4213-87d0-ca5efc310966" ] }, { "id" : "ITEM-19", "itemData" : { "DOI" : "10.1080/09585192.2010.483845", "ISBN" : "0958-5192", "ISSN" : "0958-5192", "abstract" : "The purpose of this study was to investigate the impact of a bundle of eight human resource management practices on intention to leave, and to examine the mediating effect of organizational commitment on the relationship between the HRM practices and intention to leave of employees of a service organization in India. Most of the prior HRM practices-employee turnover studies have been from the HR manager's point of view. This study took a different approach and studied this relationship from an employee's point of view. Internet survey questionnaires were used to collect the data from 183 employees working in a service company in India. Multiple linear regression and hierarchical linear regression analysis were conducted to test the hypotheses. The study found not only that the HRM practices lower employee intentions to leave, but also that this relationship is partially mediated by organizational commitment. The results of the study not only supported that organizations should focus on employee perceptions of the organizations' HRM practices but also indicated that human resources should go beyond establishing policies and procedures to providing an employee-friendly work environment (Biswas and Varma 2007). \u00a9 2010 Taylor &amp; Francis.", "author" : [ { "dropping-particle" : "", "family" : "Guchait", "given" : "Priyanko", "non-dropping-particle" : "", "parse-names" : false, "suffix" : "" }, { "dropping-particle" : "", "family" : "Cho", "given" : "Seonghee", "non-dropping-particle" : "", "parse-names" : false, "suffix" : "" } ], "container-title" : "The International Journal of Human Resource Management", "id" : "ITEM-19", "issue" : "8", "issued" : { "date-parts" : [ [ "2010" ] ] }, "page" : "1228-1247", "title" : "The impact of human resource management practices on intention to leave of employees in the service industry in India: The mediating role of organizational commitment", "type" : "article-journal", "volume" : "21" }, "uris" : [ "http://www.mendeley.com/documents/?uuid=06a93245-ccf1-4ad2-84ce-ca27f6eec38c" ] }, { "id" : "ITEM-20", "itemData" : { "author" : [ { "dropping-particle" : "", "family" : "Hashim", "given" : "J", "non-dropping-particle" : "", "parse-names" : false, "suffix" : "" } ], "container-title" : "Personnel Review", "id" : "ITEM-20", "issue" : "6", "issued" : { "date-parts" : [ [ "2010" ] ] }, "page" : "785-799", "title" : "Human resource management practices on organizational commitment: The Islamic perspective", "type" : "article-journal", "volume" : "39" }, "uris" : [ "http://www.mendeley.com/documents/?uuid=a911b3d8-1971-4d3b-8a88-d4fdf0914fe3" ] }, { "id" : "ITEM-21", "itemData" : { "DOI" : "10.1002/job", "ISBN" : "0143-7739", "ISSN" : "12045357", "PMID" : "21451395", "author" : [ { "dropping-particle" : "", "family" : "Kooij", "given" : "Dorien", "non-dropping-particle" : "", "parse-names" : false, "suffix" : "" }, { "dropping-particle" : "", "family" : "Jansen", "given" : "Paul G W", "non-dropping-particle" : "", "parse-names" : false, "suffix" : "" }, { "dropping-particle" : "", "family" : "Dikkers", "given" : "Josje S E", "non-dropping-particle" : "", "parse-names" : false, "suffix" : "" }, { "dropping-particle" : "", "family" : "Lange", "given" : "A.H.", "non-dropping-particle" : "De", "parse-names" : false, "suffix" : "" } ], "container-title" : "Journal of Organizational Behavior", "id" : "ITEM-21", "issued" : { "date-parts" : [ [ "2010" ] ] }, "page" : "1111-1136", "title" : "The influence of age on associations between HR practices and both affective commitment and job satisfaction: A meta-analysis", "type" : "article-journal", "volume" : "31" }, "uris" : [ "http://www.mendeley.com/documents/?uuid=9656bbe6-a94f-4f61-90d3-f187e33ddc6d" ] }, { "id" : "ITEM-22",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"ITEM-22",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"id" : "ITEM-23",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"ITEM-23",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"id" : "ITEM-24",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"ITEM-24", "issue" : "1", "issued" : { "date-parts" : [ [ "2011" ] ] }, "page" : "5-23", "title" : "High commitment performance management: the roles of justice and trust", "type" : "article-journal", "volume" : "40" }, "uris" : [ "http://www.mendeley.com/documents/?uuid=1d416136-441a-4178-a5d0-8f497239e9e4" ] }, { "id" : "ITEM-25",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"ITEM-25",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"ITEM-26",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"ITEM-26", "issue" : "8", "issued" : { "date-parts" : [ [ "2012" ] ] }, "page" : "1209-1227", "title" : "High-involvement human resource practices, affective commitment, and organizational citizenship behaviors", "type" : "article-journal", "volume" : "32" }, "uris" : [ "http://www.mendeley.com/documents/?uuid=3233ad68-00c0-4a22-bbc0-0ed35d43dfad" ] }, { "id" : "ITEM-27",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"ITEM-27",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"ITEM-28", "itemData" : { "DOI" : "10.1080/09585192.2013.763841", "ISBN" : "0958-5192", "ISSN" : "0958-5192", "abstract" : "This study examined the mediating effects of organizational commitment (OC) and organizational engagement (OE) on the relationship between human resource (HR) practices (career management, performance appraisal, compensation, person-job fit and job control) and turnover intention. A total of 457 employees working in various sectors in a selected region in Malaysia participated in this study. It was found that all the variables used to measure HR practices have significant effects on OC and OE. However, multiple regression analyses indicated that career management and job control did not have any significant influence on turnover intention. OC and OE were discovered to give partial mediating effects on the relationship between HR practices and turnover intention. \u00a9 2013 \u00a9 2013 Taylor &amp; Francis.", "author" : [ { "dropping-particle" : "", "family" : "Juhdi", "given" : "Nurita", "non-dropping-particle" : "", "parse-names" : false, "suffix" : "" }, { "dropping-particle" : "", "family" : "Pa'wan", "given" : "Fatimah", "non-dropping-particle" : "", "parse-names" : false, "suffix" : "" }, { "dropping-particle" : "", "family" : "Hansaram", "given" : "Ram Milah Kaur", "non-dropping-particle" : "", "parse-names" : false, "suffix" : "" } ], "container-title" : "The International Journal of Human Resource Management", "id" : "ITEM-28", "issue" : "15", "issued" : { "date-parts" : [ [ "2013" ] ] }, "page" : "3002-3019", "title" : "HR practices and turnover intention: The mediating roles of organizational commitment and organizational engagement in a selected region in Malaysia", "type" : "article-journal", "volume" : "24" }, "uris" : [ "http://www.mendeley.com/documents/?uuid=9d0a4d40-82bb-4b73-9c1a-b9ab2a91c26a" ] }, { "id" : "ITEM-29",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"ITEM-29", "issue" : "2", "issued" : { "date-parts" : [ [ "2013" ] ] }, "page" : "366-391", "title" : "The impact of high performance human resource practices on employees' attitudes and behaviors", "type" : "article-journal", "volume" : "39" }, "uris" : [ "http://www.mendeley.com/documents/?uuid=1c4f9487-02d3-4d04-8246-468c19d1d9a6" ] }, { "id" : "ITEM-30", "itemData" : { "DOI" : "10.1111/1748-8583.12000", "ISBN" : "1748-8583\\n0954-5395", "ISSN" : "09545395", "abstract" : "With changing retirement ages and an aging workforce, interest is growing on the potential contribution of relevant bundles of HR practices in eliciting well-being and performance among aging workers. Drawing on theories on lifespan development and self-regulation, we distinguished two bundles of HR practices: development HR practices that help individual workers reach higher levels of functioning (e.g. training), and maintenance HR practices that help individual workers maintain their current levels of functioning in the face of new challenges (e.g. performance appraisal). Further, based on lifespan theories, we expected and found that the association between development HR practices and well-being (i.e. job satisfaction, organisational commitment and organisational fairness) weakens, and that the associations between maintenance HR practices and well-being, and between development HR practices and employee performance, strengthen with age. In addition, a third bundle of \u2018job enrichment\u2019 HR practices emerged that elicited higher job performance among aging workers.", "author" : [ { "dropping-particle" : "", "family" : "Kooij", "given" : "Dorien T A M", "non-dropping-particle" : "", "parse-names" : false, "suffix" : "" }, { "dropping-particle" : "", "family" : "Guest", "given" : "David E.", "non-dropping-particle" : "", "parse-names" : false, "suffix" : "" }, { "dropping-particle" : "", "family" : "Clinton", "given" : "Mike", "non-dropping-particle" : "", "parse-names" : false, "suffix" : "" }, { "dropping-particle" : "", "family" : "Knight", "given" : "Terry", "non-dropping-particle" : "", "parse-names" : false, "suffix" : "" }, { "dropping-particle" : "", "family" : "Jansen", "given" : "Paul G W", "non-dropping-particle" : "", "parse-names" : false, "suffix" : "" }, { "dropping-particle" : "", "family" : "Dikkers", "given" : "Josje S E", "non-dropping-particle" : "", "parse-names" : false, "suffix" : "" } ], "container-title" : "Human Resource Management Journal", "id" : "ITEM-30", "issue" : "1", "issued" : { "date-parts" : [ [ "2013" ] ] }, "page" : "18-35", "title" : "How the impact of HR practices on employee well-being and performance changes with age", "type" : "article-journal", "volume" : "23" }, "uris" : [ "http://www.mendeley.com/documents/?uuid=0f6e933c-c3a0-452d-aeda-c3544f34e4f7" ] }, { "id" : "ITEM-31", "itemData" : { "DOI" : "10.1111/j.1467-8551.2012.00814.x", "ISBN" : "10453172", "ISSN" : "10453172", "PMID" : "89517151", "abstract" : "This paper considers a large matched employee\u2013employer data set to estimate a model of organizational commitment. In particular, it focuses on the role of firm size and manage- ment formality to explain organizational commitment in British small and medium- sized enterprises(SMEs)with high and low levels of employee satisfaction. It is shown that size \u2018in itself\u2019 can explain differences in organizational commitment, and that organiza- tional commitment tends to be higher in organizations with high employee satisfaction compared with organizations of similar size with low employee satisfaction. Crucially, the results suggest that formal human resource (HR) practices can be used as important tools to increase commitment and thus, potentially, effort and performance within underper- formingSMEswith low employee satisfaction. However, formalHRpractices commonly used by large firms may be unnecessary in SMEs which benefit from high employee satisfaction and positive employment relations within a context of informality.", "author" : [ { "dropping-particle" : "", "family" : "Saridakis", "given" : "George", "non-dropping-particle" : "", "parse-names" : false, "suffix" : "" }, { "dropping-particle" : "", "family" : "Mu\u00f1oz Torres", "given" : "Rebeca", "non-dropping-particle" : "", "parse-names" : false, "suffix" : "" }, { "dropping-particle" : "", "family" : "Johnstone", "given" : "Stewart", "non-dropping-particle" : "", "parse-names" : false, "suffix" : "" } ], "container-title" : "British Journal of Management", "id" : "ITEM-31", "issue" : "3", "issued" : { "date-parts" : [ [ "2013" ] ] }, "page" : "445-458", "title" : "Do human resource practices enhance organizational commitment in SMEs with low employee satisfaction?", "type" : "article-journal", "volume" : "24" }, "uris" : [ "http://www.mendeley.com/documents/?uuid=1550afec-18b0-4627-9edb-1aa5aedd8f5c" ] }, { "id" : "ITEM-32", "itemData" : { "DOI" : "10.1080/09585192.2013.767059", "ISBN" : "0958-5192", "ISSN" : "0958-5192", "abstract" : "This paper attempts to document how employees' perceptions of organizations' human resource management (HRM) practices influence their work behavior and outcomes, including the level of turnover intentions and job quality improvement, in a Japanese organizational and management context. In particular, an examination was made to clarify the mediating role of person\u2013environment (P\u2013E) fit and multiple aspects of work commitment to reach possible explanations of the relationships between perceived HRM practices and employees' behavioral outcomes, following recent work that studied the above linkages. The results of structural equation modeling using a sample of 1052 healthcare service employees in Japan provided basic support for the idea that the effects of HRM practices and employees' behavioral outcomes are neither direct nor unconditional. Moreover, employees' evaluations of their fit and commitment to their organizations were found to be the important mediators of the relationships between perceived HRM ...", "author" : [ { "dropping-particle" : "", "family" : "Takeuchi", "given" : "Norihiko", "non-dropping-particle" : "", "parse-names" : false, "suffix" : "" }, { "dropping-particle" : "", "family" : "Takeuchi", "given" : "Tomokazu", "non-dropping-particle" : "", "parse-names" : false, "suffix" : "" } ], "container-title" : "The International Journal of Human Resource Management", "id" : "ITEM-32", "issue" : "11", "issued" : { "date-parts" : [ [ "2013" ] ] }, "page" : "2089-2106", "title" : "Committed to the organization or the job? Effects of perceived HRM practices on employees' behavioral outcomes in the Japanese healthcare industry", "type" : "article-journal", "volume" : "24" }, "uris" : [ "http://www.mendeley.com/documents/?uuid=3aec6b93-f8e0-4756-b4b0-7f216e354047" ] }, { "id" : "ITEM-33",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"ITEM-33", "issue" : "3", "issued" : { "date-parts" : [ [ "2014" ] ] }, "page" : "403-420", "title" : "How high-commitment HRM relates to engagement and commitment: The moderating role of task proficiency", "type" : "article-journal", "volume" : "53" }, "uris" : [ "http://www.mendeley.com/documents/?uuid=cb756747-5761-4893-aa48-62d0692bb7b9" ] }, { "id" : "ITEM-34",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"ITEM-34",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"ITEM-35",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"ITEM-35", "issue" : "5", "issued" : { "date-parts" : [ [ "2015" ] ] }, "page" : "747-757", "title" : "High-performance human resource practices and employee outcomes: The mediating role of public service motivation", "type" : "article-journal", "volume" : "75" }, "uris" : [ "http://www.mendeley.com/documents/?uuid=d929d627-475b-4d7b-9d57-7ed8e89a7d6c" ] }, { "id" : "ITEM-36",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"ITEM-36",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"(Appelbaum et al. 2000; Meyer &amp; Smith 2000; Whitener 2001; Agarwala 2003; Gould-Williams 2003; Gould-Williams 2004; Edgar &amp; Geare 2005; Benson 2006; Par\u00e9 &amp; Tremblay 2007; Chew &amp; Chan 2008; Kuvaas 2008; Sanders et al. 2008; Conway &amp; Monks 2009; Gong et al. 2009; Herrbach et al. 2009; Qiao et al. 2009; Wu &amp; Chaturvedi 2009; Boselie 2010; Guchait &amp; Cho 2010; Hashim 2010; Kooij et al. 2010; Boon et al. 2011; Elorza et al. 2011; Farndale et al. 2011; Mendelson et al. 2011; Yang 2012; Ang et al. 2013; Juhdi et al. 2013; Kehoe &amp; Wright 2013; Kooij et al. 2013; Saridakis et al. 2013; Takeuchi &amp; Takeuchi 2013; Boon &amp; Kalshoven 2014; Fabi et al. 2015; Mostafa &amp; Gould-Williams 2015; Heffernan &amp; Dundon 2016)", "manualFormatting" : "(e.g. Whitener, 2001; Agarwala, 2003; Edgar &amp; Geare, 2005; Benson, 2006; Par\u00e9 &amp; Tremblay, 2007; Kuvaas, 2008; Conway &amp; Monks, 2009; Gong et al., 2009; Herrbach et al., 2009; Qiao et al., 2009; Wu &amp; Chaturvedi, 2009; Boselie, 2010; Guchait &amp; Cho, 2010; Hashim, 2010; Kooij et al., 2010; Boon et al., 2011; Elorza et al., 2011; Farndale et al., 2011a; Mendelson et al., 2011; Juhdi et al., 2013; Kooij et al., 2013; Saridakis et al., 2013; Takeuchi &amp; Takeuchi, 2013; Boon &amp; Kalshoven, 2014; Fabi et al., 2015; Mostafa &amp; Gould-Williams, 2015; Heffernan &amp; Dundon, 2016)", "plainTextFormattedCitation" : "(Appelbaum et al. 2000; Meyer &amp; Smith 2000; Whitener 2001; Agarwala 2003; Gould-Williams 2003; Gould-Williams 2004; Edgar &amp; Geare 2005; Benson 2006; Par\u00e9 &amp; Tremblay 2007; Chew &amp; Chan 2008; Kuvaas 2008; Sanders et al. 2008; Conway &amp; Monks 2009; Gong et al. 2009; Herrbach et al. 2009; Qiao et al. 2009; Wu &amp; Chaturvedi 2009; Boselie 2010; Guchait &amp; Cho 2010; Hashim 2010; Kooij et al. 2010; Boon et al. 2011; Elorza et al. 2011; Farndale et al. 2011; Mendelson et al. 2011; Yang 2012; Ang et al. 2013; Juhdi et al. 2013; Kehoe &amp; Wright 2013; Kooij et al. 2013; Saridakis et al. 2013; Takeuchi &amp; Takeuchi 2013; Boon &amp; Kalshoven 2014; Fabi et al. 2015; Mostafa &amp; Gould-Williams 2015; Heffernan &amp; Dundon 2016)", "previouslyFormattedCitation" : "(Appelbaum et al. 2000; Meyer &amp; Smith 2000; Whitener 2001; Agarwala 2003; Gould-Williams 2003; Gould-Williams 2004; Edgar &amp; Geare 2005; Benson 2006; Par\u00e9 &amp; Tremblay 2007; Chew &amp; Chan 2008; Kuvaas 2008; Sanders et al. 2008; Conway &amp; Monks 2009; Gong et al. 2009; Herrbach et al. 2009; Qiao et al. 2009; Wu &amp; Chaturvedi 2009; Boselie 2010; Guchait &amp; Cho 2010; Hashim 2010; Kooij et al. 2010; Boon et al. 2011; Elorza et al. 2011; Farndale et al. 2011; Mendelson et al. 2011; Yang 2012; Ang et al. 2013; Juhdi et al. 2013; Kehoe &amp; Wright 2013; Kooij et al. 2013; Saridakis et al. 2013; Takeuchi &amp; Takeuchi 2013; Boon &amp; Kalshoven 2014; Fabi et al. 2015; Mostafa &amp; Gould-Williams 2015;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(e.g. Whitener, 2001; Agarwala, 2003; Edgar &amp; Geare, 2005; Benson, 2006; Paré &amp; Tremblay, 2007; Kuvaas, 2008; Conway &amp; Monks, 2009; Gong </w:t>
      </w:r>
      <w:r w:rsidRPr="00452E2E">
        <w:rPr>
          <w:i/>
          <w:noProof/>
          <w:szCs w:val="24"/>
        </w:rPr>
        <w:t>et al</w:t>
      </w:r>
      <w:r w:rsidRPr="00452E2E">
        <w:rPr>
          <w:noProof/>
          <w:szCs w:val="24"/>
        </w:rPr>
        <w:t xml:space="preserve">., 2009; Herrbach </w:t>
      </w:r>
      <w:r w:rsidRPr="00452E2E">
        <w:rPr>
          <w:i/>
          <w:noProof/>
          <w:szCs w:val="24"/>
        </w:rPr>
        <w:t>et al</w:t>
      </w:r>
      <w:r w:rsidRPr="00452E2E">
        <w:rPr>
          <w:noProof/>
          <w:szCs w:val="24"/>
        </w:rPr>
        <w:t xml:space="preserve">., 2009; Qiao </w:t>
      </w:r>
      <w:r w:rsidRPr="00452E2E">
        <w:rPr>
          <w:i/>
          <w:noProof/>
          <w:szCs w:val="24"/>
        </w:rPr>
        <w:t>et al</w:t>
      </w:r>
      <w:r w:rsidRPr="00452E2E">
        <w:rPr>
          <w:noProof/>
          <w:szCs w:val="24"/>
        </w:rPr>
        <w:t xml:space="preserve">., 2009; Wu &amp; Chaturvedi, 2009; Boselie, 2010; Guchait &amp; Cho, 2010; Hashim, 2010; Kooij </w:t>
      </w:r>
      <w:r w:rsidRPr="00452E2E">
        <w:rPr>
          <w:i/>
          <w:noProof/>
          <w:szCs w:val="24"/>
        </w:rPr>
        <w:t>et al</w:t>
      </w:r>
      <w:r w:rsidRPr="00452E2E">
        <w:rPr>
          <w:noProof/>
          <w:szCs w:val="24"/>
        </w:rPr>
        <w:t xml:space="preserve">., 2010; Boon </w:t>
      </w:r>
      <w:r w:rsidRPr="00452E2E">
        <w:rPr>
          <w:i/>
          <w:noProof/>
          <w:szCs w:val="24"/>
        </w:rPr>
        <w:t>et al</w:t>
      </w:r>
      <w:r w:rsidRPr="00452E2E">
        <w:rPr>
          <w:noProof/>
          <w:szCs w:val="24"/>
        </w:rPr>
        <w:t xml:space="preserve">., 2011; Elorza </w:t>
      </w:r>
      <w:r w:rsidRPr="00452E2E">
        <w:rPr>
          <w:i/>
          <w:noProof/>
          <w:szCs w:val="24"/>
        </w:rPr>
        <w:t>et al</w:t>
      </w:r>
      <w:r w:rsidRPr="00452E2E">
        <w:rPr>
          <w:noProof/>
          <w:szCs w:val="24"/>
        </w:rPr>
        <w:t xml:space="preserve">., 2011; Farndale </w:t>
      </w:r>
      <w:r w:rsidRPr="00452E2E">
        <w:rPr>
          <w:i/>
          <w:noProof/>
          <w:szCs w:val="24"/>
        </w:rPr>
        <w:t>et al</w:t>
      </w:r>
      <w:r w:rsidRPr="00452E2E">
        <w:rPr>
          <w:noProof/>
          <w:szCs w:val="24"/>
        </w:rPr>
        <w:t>., 2011</w:t>
      </w:r>
      <w:r w:rsidRPr="00452E2E">
        <w:rPr>
          <w:i/>
          <w:noProof/>
          <w:szCs w:val="24"/>
        </w:rPr>
        <w:t>a</w:t>
      </w:r>
      <w:r w:rsidRPr="00452E2E">
        <w:rPr>
          <w:noProof/>
          <w:szCs w:val="24"/>
        </w:rPr>
        <w:t xml:space="preserve">; Mendelson </w:t>
      </w:r>
      <w:r w:rsidRPr="00452E2E">
        <w:rPr>
          <w:i/>
          <w:noProof/>
          <w:szCs w:val="24"/>
        </w:rPr>
        <w:t>et al</w:t>
      </w:r>
      <w:r w:rsidRPr="00452E2E">
        <w:rPr>
          <w:noProof/>
          <w:szCs w:val="24"/>
        </w:rPr>
        <w:t xml:space="preserve">., 2011; Juhdi </w:t>
      </w:r>
      <w:r w:rsidRPr="00452E2E">
        <w:rPr>
          <w:i/>
          <w:noProof/>
          <w:szCs w:val="24"/>
        </w:rPr>
        <w:t>et al</w:t>
      </w:r>
      <w:r w:rsidRPr="00452E2E">
        <w:rPr>
          <w:noProof/>
          <w:szCs w:val="24"/>
        </w:rPr>
        <w:t xml:space="preserve">., 2013; Kooij </w:t>
      </w:r>
      <w:r w:rsidRPr="00452E2E">
        <w:rPr>
          <w:i/>
          <w:noProof/>
          <w:szCs w:val="24"/>
        </w:rPr>
        <w:t>et al</w:t>
      </w:r>
      <w:r w:rsidRPr="00452E2E">
        <w:rPr>
          <w:noProof/>
          <w:szCs w:val="24"/>
        </w:rPr>
        <w:t xml:space="preserve">., 2013; Saridakis </w:t>
      </w:r>
      <w:r w:rsidRPr="00452E2E">
        <w:rPr>
          <w:i/>
          <w:noProof/>
          <w:szCs w:val="24"/>
        </w:rPr>
        <w:t>et al</w:t>
      </w:r>
      <w:r w:rsidRPr="00452E2E">
        <w:rPr>
          <w:noProof/>
          <w:szCs w:val="24"/>
        </w:rPr>
        <w:t xml:space="preserve">., 2013; Boon &amp; Kalshoven, 2014; Fabi </w:t>
      </w:r>
      <w:r w:rsidRPr="00452E2E">
        <w:rPr>
          <w:i/>
          <w:noProof/>
          <w:szCs w:val="24"/>
        </w:rPr>
        <w:t>et al</w:t>
      </w:r>
      <w:r w:rsidRPr="00452E2E">
        <w:rPr>
          <w:noProof/>
          <w:szCs w:val="24"/>
        </w:rPr>
        <w:t>., 2015; Mostafa &amp; Gould-Williams, 2015; Heffernan &amp; Dundon, 2016)</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Whilst some researchers measure HR practices using systematic bundles of HR practices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"abstract" : "In the contemporary business environment, human resource (HR) is an indispensable input for organizational effectiveness. Hence, an effective management of human resources has an important role to play in the performance and success of organizations. Competitive pressures have encouraged organizations to be proactive in diagnosing HR problems and to adopt more innovative HR practices since these were no longer a matter of trend, but rather of survival. The present study attempted to explore the relationship of three dimensions of innovative human resource practices (IHRPs): that is, the extent of introduction of IHRPs, their importance for organizational goal achievement and satisfaction with implementation of IHRPs, with organizational commitment (OC). Regression analyses showed that the perceived extent of introduction of innovative human resource practices by the organizations was the most significant predictor of organizational commitment.", "author" : [ { "dropping-particle" : "", "family" : "Agarwala", "given" : "Tanuja", "non-dropping-particle" : "", "parse-names" : false, "suffix" : "" } ], "container-title" : "The International Journal of Human Resource Management", "id" : "ITEM-2", "issue" : "2", "issued" : { "date-parts" : [ [ "2003" ] ] }, "page" : "175-197", "title" : "Innovative human resource practices and organizational commitment: An empirical investigation", "type" : "article-journal", "volume" : "14" }, "uris" : [ "http://www.mendeley.com/documents/?uuid=a0d7a9f5-8299-4d50-9fa6-83879f0a5fc9" ] }, { "id" : "ITEM-3", "itemData" : { "DOI" : "10.1080/09585190210158501", "ISBN" : "0958519021", "ISSN" : "0958-5192", "PMID" : "9173613", "abstract" : "This paper assesses the impact of bundles of HR practices on workplace trust, job satisfaction, commitment, effort and perceived organizational performance. A theoretical model is developed and tested using data collected through a postal survey of UK local government employees. The results support the hypothesis that HR practices are powerful predictors of trust and organizational performance. These findings demonstrate the need for public organizations to re-evaluate their current battery of HR practices in an attempt to improve overall performance.", "author" : [ { "dropping-particle" : "", "family" : "Gould-Williams", "given" : "Julian", "non-dropping-particle" : "", "parse-names" : false, "suffix" : "" } ], "container-title" : "The International Journal of Human Resource Management", "id" : "ITEM-3", "issue" : "1", "issued" : { "date-parts" : [ [ "2003" ] ] }, "page" : "28-54", "title" : "The importance of HR practices and workplace trust in achieving superior performance: A study of public-sector organizations", "type" : "article-journal", "volume" : "14" }, "uris" : [ "http://www.mendeley.com/documents/?uuid=fb0949b0-c830-4532-bfa9-55739950a3b5" ] }, { "id" : "ITEM-4",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"ITEM-4", "issue" : "5", "issued" : { "date-parts" : [ [ "2005" ] ] }, "page" : "534-549", "title" : "HRM practice and employee attitudes: Different measures \u2013 different results", "type" : "article-journal", "volume" : "34" }, "uris" : [ "http://www.mendeley.com/documents/?uuid=9d6909f5-8480-4f8c-af13-1d14286dcfa0" ] }, { "id" : "ITEM-5",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"ITEM-5",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"id" : "ITEM-6", "itemData" : { "author" : [ { "dropping-particle" : "", "family" : "Conway", "given" : "Edel", "non-dropping-particle" : "", "parse-names" : false, "suffix" : "" }, { "dropping-particle" : "", "family" : "Monks", "given" : "Kathy", "non-dropping-particle" : "", "parse-names" : false, "suffix" : "" } ], "container-title" : "Human resource management Journal", "id" : "ITEM-6", "issue" : "2", "issued" : { "date-parts" : [ [ "2009" ] ] }, "page" : "140-158", "title" : "Unravelling the complexities of high commitment: An employee-level analysis", "type" : "article-journal", "volume" : "19" }, "uris" : [ "http://www.mendeley.com/documents/?uuid=27e6e8b9-9ee2-45ca-90f0-2264a8bc8e92" ] }, { "id" : "ITEM-7",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"ITEM-7",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"id" : "ITEM-8",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"ITEM-8",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"ITEM-9", "itemData" : { "DOI" : "10.1080/09585192.2010.483845", "ISBN" : "0958-5192", "ISSN" : "0958-5192", "abstract" : "The purpose of this study was to investigate the impact of a bundle of eight human resource management practices on intention to leave, and to examine the mediating effect of organizational commitment on the relationship between the HRM practices and intention to leave of employees of a service organization in India. Most of the prior HRM practices-employee turnover studies have been from the HR manager's point of view. This study took a different approach and studied this relationship from an employee's point of view. Internet survey questionnaires were used to collect the data from 183 employees working in a service company in India. Multiple linear regression and hierarchical linear regression analysis were conducted to test the hypotheses. The study found not only that the HRM practices lower employee intentions to leave, but also that this relationship is partially mediated by organizational commitment. The results of the study not only supported that organizations should focus on employee perceptions of the organizations' HRM practices but also indicated that human resources should go beyond establishing policies and procedures to providing an employee-friendly work environment (Biswas and Varma 2007). \u00a9 2010 Taylor &amp; Francis.", "author" : [ { "dropping-particle" : "", "family" : "Guchait", "given" : "Priyanko", "non-dropping-particle" : "", "parse-names" : false, "suffix" : "" }, { "dropping-particle" : "", "family" : "Cho", "given" : "Seonghee", "non-dropping-particle" : "", "parse-names" : false, "suffix" : "" } ], "container-title" : "The International Journal of Human Resource Management", "id" : "ITEM-9", "issue" : "8", "issued" : { "date-parts" : [ [ "2010" ] ] }, "page" : "1228-1247", "title" : "The impact of human resource management practices on intention to leave of employees in the service industry in India: The mediating role of organizational commitment", "type" : "article-journal", "volume" : "21" }, "uris" : [ "http://www.mendeley.com/documents/?uuid=06a93245-ccf1-4ad2-84ce-ca27f6eec38c" ] }, { "id" : "ITEM-10", "itemData" : { "author" : [ { "dropping-particle" : "", "family" : "Hashim", "given" : "J", "non-dropping-particle" : "", "parse-names" : false, "suffix" : "" } ], "container-title" : "Personnel Review", "id" : "ITEM-10", "issue" : "6", "issued" : { "date-parts" : [ [ "2010" ] ] }, "page" : "785-799", "title" : "Human resource management practices on organizational commitment: The Islamic perspective", "type" : "article-journal", "volume" : "39" }, "uris" : [ "http://www.mendeley.com/documents/?uuid=a911b3d8-1971-4d3b-8a88-d4fdf0914fe3" ] }, { "id" : "ITEM-11",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"ITEM-11",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"id" : "ITEM-12",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"ITEM-12",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"id" : "ITEM-13",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"ITEM-13", "issue" : "1", "issued" : { "date-parts" : [ [ "2011" ] ] }, "page" : "5-23", "title" : "High commitment performance management: the roles of justice and trust", "type" : "article-journal", "volume" : "40" }, "uris" : [ "http://www.mendeley.com/documents/?uuid=1d416136-441a-4178-a5d0-8f497239e9e4" ] }, { "id" : "ITEM-14",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"ITEM-14",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"ITEM-15",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"ITEM-15", "issue" : "8", "issued" : { "date-parts" : [ [ "2012" ] ] }, "page" : "1209-1227", "title" : "High-involvement human resource practices, affective commitment, and organizational citizenship behaviors", "type" : "article-journal", "volume" : "32" }, "uris" : [ "http://www.mendeley.com/documents/?uuid=3233ad68-00c0-4a22-bbc0-0ed35d43dfad" ] }, { "id" : "ITEM-16",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"ITEM-16",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"ITEM-17",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"ITEM-17", "issue" : "2", "issued" : { "date-parts" : [ [ "2013" ] ] }, "page" : "366-391", "title" : "The impact of high performance human resource practices on employees' attitudes and behaviors", "type" : "article-journal", "volume" : "39" }, "uris" : [ "http://www.mendeley.com/documents/?uuid=87fa9e55-e4a1-416e-9e06-eb7fd4bd89a6" ] }, { "id" : "ITEM-18", "itemData" : { "DOI" : "10.1111/j.1467-8551.2012.00814.x", "ISBN" : "10453172", "ISSN" : "10453172", "PMID" : "89517151", "abstract" : "This paper considers a large matched employee\u2013employer data set to estimate a model of organizational commitment. In particular, it focuses on the role of firm size and manage- ment formality to explain organizational commitment in British small and medium- sized enterprises(SMEs)with high and low levels of employee satisfaction. It is shown that size \u2018in itself\u2019 can explain differences in organizational commitment, and that organiza- tional commitment tends to be higher in organizations with high employee satisfaction compared with organizations of similar size with low employee satisfaction. Crucially, the results suggest that formal human resource (HR) practices can be used as important tools to increase commitment and thus, potentially, effort and performance within underper- formingSMEswith low employee satisfaction. However, formalHRpractices commonly used by large firms may be unnecessary in SMEs which benefit from high employee satisfaction and positive employment relations within a context of informality.", "author" : [ { "dropping-particle" : "", "family" : "Saridakis", "given" : "George", "non-dropping-particle" : "", "parse-names" : false, "suffix" : "" }, { "dropping-particle" : "", "family" : "Mu\u00f1oz Torres", "given" : "Rebeca", "non-dropping-particle" : "", "parse-names" : false, "suffix" : "" }, { "dropping-particle" : "", "family" : "Johnstone", "given" : "Stewart", "non-dropping-particle" : "", "parse-names" : false, "suffix" : "" } ], "container-title" : "British Journal of Management", "id" : "ITEM-18", "issue" : "3", "issued" : { "date-parts" : [ [ "2013" ] ] }, "page" : "445-458", "title" : "Do human resource practices enhance organizational commitment in SMEs with low employee satisfaction?", "type" : "article-journal", "volume" : "24" }, "uris" : [ "http://www.mendeley.com/documents/?uuid=1550afec-18b0-4627-9edb-1aa5aedd8f5c" ] }, { "id" : "ITEM-19", "itemData" : { "DOI" : "10.1080/09585192.2013.767059", "ISBN" : "0958-5192", "ISSN" : "0958-5192", "abstract" : "This paper attempts to document how employees' perceptions of organizations' human resource management (HRM) practices influence their work behavior and outcomes, including the level of turnover intentions and job quality improvement, in a Japanese organizational and management context. In particular, an examination was made to clarify the mediating role of person\u2013environment (P\u2013E) fit and multiple aspects of work commitment to reach possible explanations of the relationships between perceived HRM practices and employees' behavioral outcomes, following recent work that studied the above linkages. The results of structural equation modeling using a sample of 1052 healthcare service employees in Japan provided basic support for the idea that the effects of HRM practices and employees' behavioral outcomes are neither direct nor unconditional. Moreover, employees' evaluations of their fit and commitment to their organizations were found to be the important mediators of the relationships between perceived HRM ...", "author" : [ { "dropping-particle" : "", "family" : "Takeuchi", "given" : "Norihiko", "non-dropping-particle" : "", "parse-names" : false, "suffix" : "" }, { "dropping-particle" : "", "family" : "Takeuchi", "given" : "Tomokazu", "non-dropping-particle" : "", "parse-names" : false, "suffix" : "" } ], "container-title" : "The International Journal of Human Resource Management", "id" : "ITEM-19", "issue" : "11", "issued" : { "date-parts" : [ [ "2013" ] ] }, "page" : "2089-2106", "title" : "Committed to the organization or the job? Effects of perceived HRM practices on employees' behavioral outcomes in the Japanese healthcare industry", "type" : "article-journal", "volume" : "24" }, "uris" : [ "http://www.mendeley.com/documents/?uuid=3aec6b93-f8e0-4756-b4b0-7f216e354047" ] }, { "id" : "ITEM-20",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"ITEM-20", "issue" : "3", "issued" : { "date-parts" : [ [ "2014" ] ] }, "page" : "403-420", "title" : "How high-commitment HRM relates to engagement and commitment: The moderating role of task proficiency", "type" : "article-journal", "volume" : "53" }, "uris" : [ "http://www.mendeley.com/documents/?uuid=cb756747-5761-4893-aa48-62d0692bb7b9" ] }, { "id" : "ITEM-21",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"ITEM-21", "issue" : "5", "issued" : { "date-parts" : [ [ "2015" ] ] }, "page" : "747-757", "title" : "High-performance human resource practices and employee outcomes: The mediating role of public service motivation", "type" : "article-journal", "volume" : "75" }, "uris" : [ "http://www.mendeley.com/documents/?uuid=d929d627-475b-4d7b-9d57-7ed8e89a7d6c" ] }, { "id" : "ITEM-22",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"ITEM-22",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"(Meyer &amp; Smith 2000; Agarwala 2003; Gould-Williams 2003; Edgar &amp; Geare 2005; Kuvaas 2008; Conway &amp; Monks 2009; Qiao et al. 2009; Wu &amp; Chaturvedi 2009; Guchait &amp; Cho 2010; Hashim 2010; Boon et al. 2011; Elorza et al. 2011; Farndale et al. 2011; Mendelson et al. 2011; Yang 2012; Ang et al. 2013; Kehoe &amp; Wright 2013; Saridakis et al. 2013; Takeuchi &amp; Takeuchi 2013; Boon &amp; Kalshoven 2014; Mostafa &amp; Gould-Williams 2015; Heffernan &amp; Dundon 2016)", "manualFormatting" : "(Meyer &amp; Smith, 2000; Agarwala, 2003; Gould-Williams, 2003; Edgar &amp; Geare, 2005; Kuvaas, 2008; Conway &amp; Monks, 2009; Qiao et al., 2009; Wu &amp; Chaturvedi, 2009; Guchait &amp; Cho, 2010; Hashim, 2010; Elorza et al., 2011; Farndale et al., 2011a; Mendelson et al., 2011; Yang, 2012; Saridakis et al., 2013; Takeuchi &amp; Takeuchi, 2013; Boon &amp; Kalshoven, 2014; Mostafa &amp; Gould-Williams, 2015; Heffernan &amp; Dundon, 2016)", "plainTextFormattedCitation" : "(Meyer &amp; Smith 2000; Agarwala 2003; Gould-Williams 2003; Edgar &amp; Geare 2005; Kuvaas 2008; Conway &amp; Monks 2009; Qiao et al. 2009; Wu &amp; Chaturvedi 2009; Guchait &amp; Cho 2010; Hashim 2010; Boon et al. 2011; Elorza et al. 2011; Farndale et al. 2011; Mendelson et al. 2011; Yang 2012; Ang et al. 2013; Kehoe &amp; Wright 2013; Saridakis et al. 2013; Takeuchi &amp; Takeuchi 2013; Boon &amp; Kalshoven 2014; Mostafa &amp; Gould-Williams 2015; Heffernan &amp; Dundon 2016)", "previouslyFormattedCitation" : "(Meyer &amp; Smith 2000; Agarwala 2003; Gould-Williams 2003; Edgar &amp; Geare 2005; Kuvaas 2008; Conway &amp; Monks 2009; Qiao et al. 2009; Wu &amp; Chaturvedi 2009; Guchait &amp; Cho 2010; Hashim 2010; Boon et al. 2011; Elorza et al. 2011; Farndale et al. 2011; Mendelson et al. 2011; Yang 2012; Ang et al. 2013; Kehoe &amp; Wright 2013; Saridakis et al. 2013; Takeuchi &amp; Takeuchi 2013; Boon &amp; Kalshoven 2014; Mostafa &amp; Gould-Williams 2015;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(Meyer &amp; Smith, 2000; Agarwala, 2003; Gould-Williams, 2003; Edgar &amp; Geare, 2005; Kuvaas, 2008; Conway &amp; Monks, 2009; Qiao </w:t>
      </w:r>
      <w:r w:rsidRPr="00452E2E">
        <w:rPr>
          <w:i/>
          <w:noProof/>
          <w:szCs w:val="24"/>
        </w:rPr>
        <w:t>et al</w:t>
      </w:r>
      <w:r w:rsidRPr="00452E2E">
        <w:rPr>
          <w:noProof/>
          <w:szCs w:val="24"/>
        </w:rPr>
        <w:t xml:space="preserve">., 2009; Wu &amp; </w:t>
      </w:r>
      <w:r w:rsidRPr="00452E2E">
        <w:rPr>
          <w:noProof/>
          <w:szCs w:val="24"/>
        </w:rPr>
        <w:lastRenderedPageBreak/>
        <w:t xml:space="preserve">Chaturvedi, 2009; Guchait &amp; Cho, 2010; Hashim, 2010; Elorza </w:t>
      </w:r>
      <w:r w:rsidRPr="00452E2E">
        <w:rPr>
          <w:i/>
          <w:noProof/>
          <w:szCs w:val="24"/>
        </w:rPr>
        <w:t>et al</w:t>
      </w:r>
      <w:r w:rsidRPr="00452E2E">
        <w:rPr>
          <w:noProof/>
          <w:szCs w:val="24"/>
        </w:rPr>
        <w:t xml:space="preserve">., 2011; Farndale </w:t>
      </w:r>
      <w:r w:rsidRPr="00452E2E">
        <w:rPr>
          <w:i/>
          <w:noProof/>
          <w:szCs w:val="24"/>
        </w:rPr>
        <w:t>et al</w:t>
      </w:r>
      <w:r w:rsidRPr="00452E2E">
        <w:rPr>
          <w:noProof/>
          <w:szCs w:val="24"/>
        </w:rPr>
        <w:t>., 2011</w:t>
      </w:r>
      <w:r w:rsidRPr="00452E2E">
        <w:rPr>
          <w:i/>
          <w:noProof/>
          <w:szCs w:val="24"/>
        </w:rPr>
        <w:t>a</w:t>
      </w:r>
      <w:r w:rsidRPr="00452E2E">
        <w:rPr>
          <w:noProof/>
          <w:szCs w:val="24"/>
        </w:rPr>
        <w:t xml:space="preserve">; Mendelson </w:t>
      </w:r>
      <w:r w:rsidRPr="00452E2E">
        <w:rPr>
          <w:i/>
          <w:noProof/>
          <w:szCs w:val="24"/>
        </w:rPr>
        <w:t>et al</w:t>
      </w:r>
      <w:r w:rsidRPr="00452E2E">
        <w:rPr>
          <w:noProof/>
          <w:szCs w:val="24"/>
        </w:rPr>
        <w:t xml:space="preserve">., 2011; Yang, 2012; Saridakis </w:t>
      </w:r>
      <w:r w:rsidRPr="00452E2E">
        <w:rPr>
          <w:i/>
          <w:noProof/>
          <w:szCs w:val="24"/>
        </w:rPr>
        <w:t>et al</w:t>
      </w:r>
      <w:r w:rsidRPr="00452E2E">
        <w:rPr>
          <w:noProof/>
          <w:szCs w:val="24"/>
        </w:rPr>
        <w:t>., 2013; Takeuchi &amp; Takeuchi, 2013; Boon &amp; Kalshoven, 2014; Mostafa &amp; Gould-Williams, 2015; Heffernan &amp; Dundon, 2016)</w:t>
      </w:r>
      <w:r w:rsidRPr="00452E2E">
        <w:rPr>
          <w:szCs w:val="24"/>
        </w:rPr>
        <w:fldChar w:fldCharType="end"/>
      </w:r>
      <w:r w:rsidRPr="00452E2E">
        <w:rPr>
          <w:szCs w:val="24"/>
        </w:rPr>
        <w:t xml:space="preserve">, others have measured HR practices using subsystems of HR bundles </w:t>
      </w:r>
      <w:r w:rsidRPr="00452E2E">
        <w:rPr>
          <w:szCs w:val="24"/>
        </w:rPr>
        <w:fldChar w:fldCharType="begin" w:fldLock="1"/>
      </w:r>
      <w:r w:rsidRPr="00452E2E">
        <w:rPr>
          <w:szCs w:val="24"/>
        </w:rPr>
        <w:instrText xml:space="preserve">ADDIN CSL_CITATION { "citationItems" : [ { "id" : "ITEM-1",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"ITEM-1",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"id" : "ITEM-2", "itemData" : { "abstract" : "Purpose: This paper aims to present an empirical study of the effect of high performance work practices on commitment and citizenship behaviour in the health care sector. The theory suggests that individual employees are willing \"to go the extra mile\" when they are given the opportunity to develop their abilities and to participate, and when they are motivated. Design/methodology/approach: The data were gathered in a Dutch general hospital using employee questionnaires. Medical specialists were not included in the study. Findings: The results of the study suggest that employee development (e.g. skills training, general training, and task enrichment) and employee involvement (e.g. job autonomy, participation in decision making) are important HR practices in creating a high performance work climate in a health care organisation. Research limitations/implications: The data come from one hospital and the analysis is cross-sectional. However, the importance of the study lies in its focus on the individual employee perspective rather than the organisational level analyses which currently predominate in the HRM and performance debate. Practical implications: The training and development of health care employees can increase their affective commitment. Increasing employee involvement can also help stimulate citizenship behaviour. Originality/value: The paper looks at the non-profit sector, whereas the majority of previous HR research has focused on multinational companies. \u00a9 Emerald Group Publishing Limited.", "author" : [ { "dropping-particle" : "", "family" : "Boselie", "given" : "Paul", "non-dropping-particle" : "", "parse-names" : false, "suffix" : "" } ], "container-title" : "International Journal of Manpower", "id" : "ITEM-2", "issue" : "1", "issued" : { "date-parts" : [ [ "2010" ] ] }, "page" : "42-58", "title" : "High performance work practices in the health care sector: A Dutch case study", "type" : "article-journal", "volume" : "31" }, "uris" : [ "http://www.mendeley.com/documents/?uuid=a1717bb6-a722-4213-87d0-ca5efc310966" ] }, { "id" : "ITEM-3", "itemData" : { "DOI" : "10.1002/job", "ISBN" : "0143-7739", "ISSN" : "12045357", "PMID" : "21451395", "author" : [ { "dropping-particle" : "", "family" : "Kooij", "given" : "Dorien", "non-dropping-particle" : "", "parse-names" : false, "suffix" : "" }, { "dropping-particle" : "", "family" : "Jansen", "given" : "Paul G W", "non-dropping-particle" : "", "parse-names" : false, "suffix" : "" }, { "dropping-particle" : "", "family" : "Dikkers", "given" : "Josje S E", "non-dropping-particle" : "", "parse-names" : false, "suffix" : "" }, { "dropping-particle" : "", "family" : "Lange", "given" : "A.H.", "non-dropping-particle" : "De", "parse-names" : false, "suffix" : "" } ], "container-title" : "Journal of Organizational Behavior", "id" : "ITEM-3", "issued" : { "date-parts" : [ [ "2010" ] ] }, "page" : "1111-1136", "title" : "The influence of age on associations between HR practices and both affective commitment and job satisfaction: A meta-analysis", "type" : "article-journal", "volume" : "31" }, "uris" : [ "http://www.mendeley.com/documents/?uuid=9656bbe6-a94f-4f61-90d3-f187e33ddc6d" ] }, { "id" : "ITEM-4", "itemData" : { "DOI" : "10.1111/1748-8583.12000", "ISBN" : "1748-8583\\n0954-5395", "ISSN" : "09545395", "abstract" : "With changing retirement ages and an aging workforce, interest is growing on the potential contribution of relevant bundles of HR practices in eliciting well-being and performance among aging workers. Drawing on theories on lifespan development and self-regulation, we distinguished two bundles of HR practices: development HR practices that help individual workers reach higher levels of functioning (e.g. training), and maintenance HR practices that help individual workers maintain their current levels of functioning in the face of new challenges (e.g. performance appraisal). Further, based on lifespan theories, we expected and found that the association between development HR practices and well-being (i.e. job satisfaction, organisational commitment and organisational fairness) weakens, and that the associations between maintenance HR practices and well-being, and between development HR practices and employee performance, strengthen with age. In addition, a third bundle of \u2018job enrichment\u2019 HR practices emerged that elicited higher job performance among aging workers.", "author" : [ { "dropping-particle" : "", "family" : "Kooij", "given" : "Dorien T A M", "non-dropping-particle" : "", "parse-names" : false, "suffix" : "" }, { "dropping-particle" : "", "family" : "Guest", "given" : "David E.", "non-dropping-particle" : "", "parse-names" : false, "suffix" : "" }, { "dropping-particle" : "", "family" : "Clinton", "given" : "Mike", "non-dropping-particle" : "", "parse-names" : false, "suffix" : "" }, { "dropping-particle" : "", "family" : "Knight", "given" : "Terry", "non-dropping-particle" : "", "parse-names" : false, "suffix" : "" }, { "dropping-particle" : "", "family" : "Jansen", "given" : "Paul G W", "non-dropping-particle" : "", "parse-names" : false, "suffix" : "" }, { "dropping-particle" : "", "family" : "Dikkers", "given" : "Josje S E", "non-dropping-particle" : "", "parse-names" : false, "suffix" : "" } ], "container-title" : "Human Resource Management Journal", "id" : "ITEM-4", "issue" : "1", "issued" : { "date-parts" : [ [ "2013" ] ] }, "page" : "18-35", "title" : "How the impact of HR practices on employee well-being and performance changes with age", "type" : "article-journal", "volume" : "23" }, "uris" : [ "http://www.mendeley.com/documents/?uuid=0f6e933c-c3a0-452d-aeda-c3544f34e4f7" ] }, { "id" : "ITEM-5", "itemData" : { </w:instrText>
      </w:r>
      <w:r w:rsidRPr="00452E2E">
        <w:rPr>
          <w:szCs w:val="24"/>
          <w:lang w:val="nl-NL"/>
        </w:rPr>
        <w:instrText>"author"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"ITEM-5",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"mendeley" : { "formattedCitation" : "(Gong et al. 2009; Boselie 2010; Kooij et al. 2010; Kooij et al. 2013; Fabi et al. 2015)", "manualFormatting" : "(Gong et al., 2009; Boselie, 2010; Kooij et al., 2010; Kooij et al., 2013; Fabi et al., 2015)", "plainTextFormattedCitation" : "(Gong et al. 2009; Boselie 2010; Kooij et al. 2010; Kooij et al. 2013; Fabi et al. 2015)", "previouslyFormattedCitation" : "(Gong et al. 2009; Boselie 2010; Kooij et al. 2010; Kooij et al. 2013; Fabi et al. 2015)" }, "properties" : { "noteIndex" : 0 }, "schema" : "https://github.com/citation-style-language/schema/raw/master/csl-citation.json" }</w:instrText>
      </w:r>
      <w:r w:rsidRPr="00452E2E">
        <w:rPr>
          <w:szCs w:val="24"/>
        </w:rPr>
        <w:fldChar w:fldCharType="separate"/>
      </w:r>
      <w:r w:rsidRPr="00452E2E">
        <w:rPr>
          <w:noProof/>
          <w:szCs w:val="24"/>
          <w:lang w:val="nl-NL"/>
        </w:rPr>
        <w:t xml:space="preserve">(Gong </w:t>
      </w:r>
      <w:r w:rsidRPr="00452E2E">
        <w:rPr>
          <w:i/>
          <w:noProof/>
          <w:szCs w:val="24"/>
          <w:lang w:val="nl-NL"/>
        </w:rPr>
        <w:t>et al</w:t>
      </w:r>
      <w:r w:rsidRPr="00452E2E">
        <w:rPr>
          <w:noProof/>
          <w:szCs w:val="24"/>
          <w:lang w:val="nl-NL"/>
        </w:rPr>
        <w:t xml:space="preserve">., 2009; Boselie, 2010; Kooij </w:t>
      </w:r>
      <w:r w:rsidRPr="00452E2E">
        <w:rPr>
          <w:i/>
          <w:noProof/>
          <w:szCs w:val="24"/>
          <w:lang w:val="nl-NL"/>
        </w:rPr>
        <w:t>et al</w:t>
      </w:r>
      <w:r w:rsidRPr="00452E2E">
        <w:rPr>
          <w:noProof/>
          <w:szCs w:val="24"/>
          <w:lang w:val="nl-NL"/>
        </w:rPr>
        <w:t xml:space="preserve">., 2010; Kooij </w:t>
      </w:r>
      <w:r w:rsidRPr="00452E2E">
        <w:rPr>
          <w:i/>
          <w:noProof/>
          <w:szCs w:val="24"/>
          <w:lang w:val="nl-NL"/>
        </w:rPr>
        <w:t>et al</w:t>
      </w:r>
      <w:r w:rsidRPr="00452E2E">
        <w:rPr>
          <w:noProof/>
          <w:szCs w:val="24"/>
          <w:lang w:val="nl-NL"/>
        </w:rPr>
        <w:t xml:space="preserve">., 2013; Fabi </w:t>
      </w:r>
      <w:r w:rsidRPr="00452E2E">
        <w:rPr>
          <w:i/>
          <w:noProof/>
          <w:szCs w:val="24"/>
          <w:lang w:val="nl-NL"/>
        </w:rPr>
        <w:t>et al</w:t>
      </w:r>
      <w:r w:rsidRPr="00452E2E">
        <w:rPr>
          <w:noProof/>
          <w:szCs w:val="24"/>
          <w:lang w:val="nl-NL"/>
        </w:rPr>
        <w:t>., 2015)</w:t>
      </w:r>
      <w:r w:rsidRPr="00452E2E">
        <w:rPr>
          <w:szCs w:val="24"/>
        </w:rPr>
        <w:fldChar w:fldCharType="end"/>
      </w:r>
      <w:r w:rsidRPr="00452E2E">
        <w:rPr>
          <w:szCs w:val="24"/>
          <w:lang w:val="nl-NL"/>
        </w:rPr>
        <w:t xml:space="preserve">. </w:t>
      </w:r>
      <w:r w:rsidR="004D2BD6" w:rsidRPr="00452E2E">
        <w:rPr>
          <w:szCs w:val="24"/>
        </w:rPr>
        <w:t>Yet</w:t>
      </w:r>
      <w:r w:rsidRPr="00452E2E">
        <w:rPr>
          <w:szCs w:val="24"/>
        </w:rPr>
        <w:t xml:space="preserve"> others have tested the relationship between a set of HR practices and organizational commitment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"Whitener", "given" : "Elien M.", "non-dropping-particle" : "", "parse-names" : false, "suffix" : "" } ], "container-title" : "Journal of Management", "id" : "ITEM-2", "issued" : { "date-parts" : [ [ "2001" ] ] }, "page" : "515-535", "title" : "Do high commitment human resource practices affect employee commitment: A cross-level analysis using hierarchical linear modeling", "type" : "article-journal", "volume" : "27" }, "uris" : [ "http://www.mendeley.com/documents/?uuid=550ce3ee-ebf5-4294-afc8-c4144963a042" ] }, { "id" : "ITEM-3", "itemData" : { "DOI" : "10.1002/hrdq.1088", "ISBN" : "1532-1096", "ISSN" : "1044-8004", "abstract" : "Although organizational commitment has been discussed frequently in organizational psychology for almost fourdecades, few studies have involved software professionals. A study in India reveals that HRM practices such asemployee-friendly work environment, career development, developmentoriented appraisal, and comprehensivetraining show a significant positive relationship with organizational commitment. The study's results emphasizethe role of such HRD variables as inculcating and enhancing organizational commitment, and suggest that HRDpractitioners and researchers should further develop commitment-oriented organization policies.", "author" : [ { "dropping-particle" : "", "family" : "Paul", "given" : "A. K", "non-dropping-particle" : "", "parse-names" : false, "suffix" : "" }, { "dropping-particle" : "", "family" : "Anantharaman", "given" : "R N", "non-dropping-particle" : "", "parse-names" : false, "suffix" : "" } ], "container-title" : "Human Resource Development Quarterly", "id" : "ITEM-3", "issue" : "1", "issued" : { "date-parts" : [ [ "2004" ] ] }, "page" : "77-88", "title" : "Influence of HRM practices on organizational commitment: A study among software professionals in India", "type" : "article-journal", "volume" : "15" }, "uris" : [ "http://www.mendeley.com/documents/?uuid=17d52cd9-11f9-4469-a1f4-5871c9f86526" ] }, { "id" : "ITEM-4", "itemData" : { "abstract" : "Although there is a growing body of evidence demonstrating positive effects of \u2018high commitment\u2019 HRM practices on organizational performance, there is less evidence evaluating their effects on individual workers, especially within the public sector. Therefore the implications of applying \u2018high commitment\u2019 practices in the public sector needs to be considered. This paper seeks to address this gap by reporting the results of a staff survey and follow-up interviews conducted on a cross-section of local government employees. The results showed that eight of the ten \u2018high commitment\u2019 practices had significant effects on worker attitudes. The results are discussed in light of HRM theory together with the implications for public sector managers.", "author" : [ { "dropping-particle" : "", "family" : "Gould-Williams", "given" : "Julian", "non-dropping-particle" : "", "parse-names" : false, "suffix" : "" } ], "container-title" : "Public Administration", "id" : "ITEM-4", "issue" : "1", "issued" : { "date-parts" : [ [ "2004" ] ] }, "page" : "63-81", "title" : "The effects of 'high commitment' HRM practices on employee attitude: The views of public sector workers", "type" : "article-journal", "volume" : "82" }, "uris" : [ "http://www.mendeley.com/documents/?uuid=1ea3bc7e-762b-4578-9d64-abbee580b748" ] }, { "id" : "ITEM-5", "itemData" : { "abstract" : "Participation in three types of development activities is examined among salaried employees of a firm that significantly increased access to development after a series of layoffs in the late 1990s. Analyses of survey and archival data representing 667 employees show that on-the-job training was positively related to organisational commitment and negatively related to intention to turnover. Participation in tuition-reimbursement, which provides more general or marketable skills, was positively related to intention to turnover. However, intention to turnover was reduced after earning a degree through tuition-reimbursement if employees were subsequently promoted. Implications for an employment relationship based on 'employability' are discussed. PUBLICATION ABSTRACT", "author" : [ { "dropping-particle" : "", "family" : "Benson", "given" : "George S.", "non-dropping-particle" : "", "parse-names" : false, "suffix" : "" } ], "container-title" : "Human Resource Management Journal", "id" : "ITEM-5", "issue" : "2", "issued" : { "date-parts" : [ [ "2006" ] ] }, "page" : "173-192", "title" : "Employee development, commitment and intention to turnover: A test of 'employability' policies in action", "type" : "article-journal", "volume" : "16" }, "uris" : [ "http://www.mendeley.com/documents/?uuid=53c47e6b-4c3e-45b4-9bda-344c8ee0f673" ] }, { "id" : "ITEM-6", "itemData" : { "author" : [ { "dropping-particle" : "", "family" : "Par\u00e9", "given" : "Guy", "non-dropping-particle" : "", "parse-names" : false, "suffix" : "" }, { "dropping-particle" : "", "family" : "Tremblay", "given" : "Michel", "non-dropping-particle" : "", "parse-names" : false, "suffix" : "" } ], "container-title" : "Group &amp; Organization Management", "id" : "ITEM-6", "issue" : "3", "issued" : { "date-parts" : [ [ "2007" ] ] }, "page" : "326-357", "title" : "The influence of high-involvement human resource practices, procedural justice, organizational commitment, and citizenship behaviors on information technology professionals \u2019 turnover intentions", "type" : "article-journal", "volume" : "32" }, "uris" : [ "http://www.mendeley.com/documents/?uuid=dd7a2e92-5026-450c-83bb-2292744a7d0b" ] }, { "id" : "ITEM-7", "itemData" : { "abstract" : "Purpose - The purpose of this paper is to examine the impacts of key human resource (HR) practices on permanent employees' organizational commitment and intention to stay. These practices include facilitating of person-organization fit (P-O fit), designing effective remuneration and recognition, creating sufficiently challenging assignments, and implementing training and career development. Design/methodology/approach - The study was carried out in three phases. First, 13 experts (e.g. academics, HR managers and organizational psychologists) were interviewed using the Delphi technique. Second, in-depth interviews with 12 HR managers were conducted. Third, 457 employees from nine Australian organizations responded to a survey. Structural equation modeling was used to test the hypotheses. Findings - Organizational commitment was positively affected by P-O fit, remuneration, recognition, and an opportunity to undertake challenging employment assignments. Intention to stay was significantly related to P-O fit, remuneration, recognition, training and career development. Surprisingly, training and career development was not significantly related to organizational commitment and challenging assignment was not significantly related to intention to stay. Originality/value - This paper contributes to existing knowledge by testing HR practices in large public and private Australian organizations, which are impacted by demographic changes, increasing dependence on outsourcing, and industrial relations reforms. Thus, the results of this study will provide practitioners with better insights into some practices that could elevate organizational commitment and retention of employees. ABSTRACT FROM AUTHOR Copyright of International Journal of Manpower is the property of Emerald Group Publishing Limited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"Chew", "given" : "Janet", "non-dropping-particle" : "", "parse-names" : false, "suffix" : "" }, { "dropping-particle" : "", "family" : "Chan", "given" : "Christopher C A", "non-dropping-particle" : "", "parse-names" : false, "suffix" : "" } ], "container-title" : "International Journal of Manpower", "id" : "ITEM-7", "issue" : "6", "issued" : { "date-parts" : [ [ "2008" ] ] }, "page" : "503-522", "title" : "Human resource practices, organizational commitment and intention to stay", "type" : "article-journal", "volume" : "29" }, "uris" : [ "http://www.mendeley.com/documents/?uuid=e4299377-928f-4ad1-b27d-31dfa978daea" ] }, { "id" : "ITEM-8", "itemData" : { "DOI" : "10.1080/09585192.2013.763841", "ISBN" : "0958-5192", "ISSN" : "0958-5192", "abstract" : "This study examined the mediating effects of organizational commitment (OC) and organizational engagement (OE) on the relationship between human resource (HR) practices (career management, performance appraisal, compensation, person-job fit and job control) and turnover intention. A total of 457 employees working in various sectors in a selected region in Malaysia participated in this study. It was found that all the variables used to measure HR practices have significant effects on OC and OE. However, multiple regression analyses indicated that career management and job control did not have any significant influence on turnover intention. OC and OE were discovered to give partial mediating effects on the relationship between HR practices and turnover intention. \u00a9 2013 \u00a9 2013 Taylor &amp; Francis.", "author" : [ { "dropping-particle" : "", "family" : "Juhdi", "given" : "Nurita", "non-dropping-particle" : "", "parse-names" : false, "suffix" : "" }, { "dropping-particle" : "", "family" : "Pa'wan", "given" : "Fatimah", "non-dropping-particle" : "", "parse-names" : false, "suffix" : "" }, { "dropping-particle" : "", "family" : "Hansaram", "given" : "Ram Milah Kaur", "non-dropping-particle" : "", "parse-names" : false, "suffix" : "" } ], "container-title" : "The International Journal of Human Resource Management", "id" : "ITEM-8", "issue" : "15", "issued" : { "date-parts" : [ [ "2013" ] ] }, "page" : "3002-3019", "title" : "HR practices and turnover intention: The mediating roles of organizational commitment and organizational engagement in a selected region in Malaysia", "type" : "article-journal", "volume" : "24" }, "uris" : [ "http://www.mendeley.com/documents/?uuid=9d0a4d40-82bb-4b73-9c1a-b9ab2a91c26a" ] } ], "mendeley" : { "formattedCitation" : "(Appelbaum et al. 2000; Whitener 2001; Paul &amp; Anantharaman 2004; Gould-Williams 2004; Benson 2006; Par\u00e9 &amp; Tremblay 2007; Chew &amp; Chan 2008; Juhdi et al. 2013)", "manualFormatting" : "(e.g. Paul &amp; Anantharaman, 2004; Benson, 2006; Par\u00e9 &amp; Tremblay, 2007; Chew &amp; Chan, 2008; Juhdi et al., 2013)", "plainTextFormattedCitation" : "(Appelbaum et al. 2000; Whitener 2001; Paul &amp; Anantharaman 2004; Gould-Williams 2004; Benson 2006; Par\u00e9 &amp; Tremblay 2007; Chew &amp; Chan 2008; Juhdi et al. 2013)", "previouslyFormattedCitation" : "(Appelbaum et al. 2000; Whitener 2001; Paul &amp; Anantharaman 2004; Gould-Williams 2004; Benson 2006; Par\u00e9 &amp; Tremblay 2007; Chew &amp; Chan 2008; Juhdi et al. 2013)" }, "properties" : { "noteIndex" : 0 }, "schema" : "https://github.com/citation-style-language/schema/raw/master/csl-citation.json" }</w:instrText>
      </w:r>
      <w:r w:rsidRPr="00452E2E">
        <w:rPr>
          <w:szCs w:val="24"/>
        </w:rPr>
        <w:fldChar w:fldCharType="separate"/>
      </w:r>
      <w:r w:rsidRPr="00452E2E">
        <w:rPr>
          <w:noProof/>
          <w:szCs w:val="24"/>
        </w:rPr>
        <w:t xml:space="preserve">(e.g. Paul &amp; Anantharaman, 2004; Benson, 2006; Paré &amp; Tremblay, 2007; Chew &amp; Chan, 2008; Juhdi </w:t>
      </w:r>
      <w:r w:rsidRPr="00452E2E">
        <w:rPr>
          <w:i/>
          <w:noProof/>
          <w:szCs w:val="24"/>
        </w:rPr>
        <w:t>et al</w:t>
      </w:r>
      <w:r w:rsidRPr="00452E2E">
        <w:rPr>
          <w:noProof/>
          <w:szCs w:val="24"/>
        </w:rPr>
        <w:t>., 2013)</w:t>
      </w:r>
      <w:r w:rsidRPr="00452E2E">
        <w:rPr>
          <w:szCs w:val="24"/>
        </w:rPr>
        <w:fldChar w:fldCharType="end"/>
      </w:r>
      <w:r w:rsidRPr="00452E2E">
        <w:rPr>
          <w:szCs w:val="24"/>
        </w:rPr>
        <w:t xml:space="preserve">. The overwhelming evidence from these studies suggest a positive relationship between HR practices and organizational commitment. </w:t>
      </w:r>
    </w:p>
    <w:p w:rsidR="00D03A8E" w:rsidRPr="00452E2E" w:rsidRDefault="00D03A8E" w:rsidP="00D03A8E">
      <w:pPr>
        <w:spacing w:line="360" w:lineRule="auto"/>
        <w:jc w:val="both"/>
        <w:rPr>
          <w:szCs w:val="24"/>
        </w:rPr>
      </w:pPr>
      <w:r w:rsidRPr="00452E2E">
        <w:rPr>
          <w:szCs w:val="24"/>
        </w:rPr>
        <w:t xml:space="preserve">For instance, </w:t>
      </w:r>
      <w:r w:rsidRPr="00452E2E">
        <w:rPr>
          <w:szCs w:val="24"/>
        </w:rPr>
        <w:fldChar w:fldCharType="begin" w:fldLock="1"/>
      </w:r>
      <w:r w:rsidRPr="00452E2E">
        <w:rPr>
          <w:szCs w:val="24"/>
        </w:rPr>
        <w:instrText>ADDIN CSL_CITATION { "citationItems" : [ { "id" : "ITEM-1", "itemData" : { "abstract" : "In the contemporary business environment, human resource (HR) is an indispensable input for organizational effectiveness. Hence, an effective management of human resources has an important role to play in the performance and success of organizations. Competitive pressures have encouraged organizations to be proactive in diagnosing HR problems and to adopt more innovative HR practices since these were no longer a matter of trend, but rather of survival. The present study attempted to explore the relationship of three dimensions of innovative human resource practices (IHRPs): that is, the extent of introduction of IHRPs, their importance for organizational goal achievement and satisfaction with implementation of IHRPs, with organizational commitment (OC). Regression analyses showed that the perceived extent of introduction of innovative human resource practices by the organizations was the most significant predictor of organizational commitment.", "author" : [ { "dropping-particle" : "", "family" : "Agarwala", "given" : "Tanuja", "non-dropping-particle" : "", "parse-names" : false, "suffix" : "" } ], "container-title" : "The International Journal of Human Resource Management", "id" : "ITEM-1", "issue" : "2", "issued" : { "date-parts" : [ [ "2003" ] ] }, "page" : "175-197", "title" : "Innovative human resource practices and organizational commitment: An empirical investigation", "type" : "article-journal", "volume" : "14" }, "uris" : [ "http://www.mendeley.com/documents/?uuid=a0d7a9f5-8299-4d50-9fa6-83879f0a5fc9" ] } ], "mendeley" : { "formattedCitation" : "(Agarwala 2003)", "manualFormatting" : "Agarwala (2003)", "plainTextFormattedCitation" : "(Agarwala 2003)", "previouslyFormattedCitation" : "(Agarwala 2003)" }, "properties" : { "noteIndex" : 0 }, "schema" : "https://github.com/citation-style-language/schema/raw/master/csl-citation.json" }</w:instrText>
      </w:r>
      <w:r w:rsidRPr="00452E2E">
        <w:rPr>
          <w:szCs w:val="24"/>
        </w:rPr>
        <w:fldChar w:fldCharType="separate"/>
      </w:r>
      <w:r w:rsidRPr="00452E2E">
        <w:rPr>
          <w:noProof/>
          <w:szCs w:val="24"/>
        </w:rPr>
        <w:t>Agarwala (2003)</w:t>
      </w:r>
      <w:r w:rsidRPr="00452E2E">
        <w:rPr>
          <w:szCs w:val="24"/>
        </w:rPr>
        <w:fldChar w:fldCharType="end"/>
      </w:r>
      <w:r w:rsidRPr="00452E2E">
        <w:rPr>
          <w:szCs w:val="24"/>
        </w:rPr>
        <w:t xml:space="preserve"> found positive effects of innovative HR practices on organizational commitment. In a sample of employees working </w:t>
      </w:r>
      <w:r w:rsidR="00DE617F" w:rsidRPr="00452E2E">
        <w:rPr>
          <w:szCs w:val="24"/>
        </w:rPr>
        <w:t xml:space="preserve">in </w:t>
      </w:r>
      <w:r w:rsidRPr="00452E2E">
        <w:rPr>
          <w:szCs w:val="24"/>
        </w:rPr>
        <w:t xml:space="preserve">New Zealand, </w:t>
      </w:r>
      <w:r w:rsidRPr="00452E2E">
        <w:rPr>
          <w:szCs w:val="24"/>
        </w:rPr>
        <w:fldChar w:fldCharType="begin" w:fldLock="1"/>
      </w:r>
      <w:r w:rsidRPr="00452E2E">
        <w:rPr>
          <w:szCs w:val="24"/>
        </w:rPr>
        <w:instrText>ADDIN CSL_CITATION { "citationItems" : [ { "id" : "ITEM-1",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"ITEM-1", "issue" : "5", "issued" : { "date-parts" : [ [ "2005" ] ] }, "page" : "534-549", "title" : "HRM practice and employee attitudes: Different measures \u2013 different results", "type" : "article-journal", "volume" : "34" }, "uris" : [ "http://www.mendeley.com/documents/?uuid=9d6909f5-8480-4f8c-af13-1d14286dcfa0" ] } ], "mendeley" : { "formattedCitation" : "(Edgar &amp; Geare 2005)", "manualFormatting" : "Edgar &amp; Geare (2005)", "plainTextFormattedCitation" : "(Edgar &amp; Geare 2005)", "previouslyFormattedCitation" : "(Edgar &amp; Geare 2005)" }, "properties" : { "noteIndex" : 0 }, "schema" : "https://github.com/citation-style-language/schema/raw/master/csl-citation.json" }</w:instrText>
      </w:r>
      <w:r w:rsidRPr="00452E2E">
        <w:rPr>
          <w:szCs w:val="24"/>
        </w:rPr>
        <w:fldChar w:fldCharType="separate"/>
      </w:r>
      <w:r w:rsidRPr="00452E2E">
        <w:rPr>
          <w:noProof/>
          <w:szCs w:val="24"/>
        </w:rPr>
        <w:t>Edgar &amp; Geare (2005)</w:t>
      </w:r>
      <w:r w:rsidRPr="00452E2E">
        <w:rPr>
          <w:szCs w:val="24"/>
        </w:rPr>
        <w:fldChar w:fldCharType="end"/>
      </w:r>
      <w:r w:rsidRPr="00452E2E">
        <w:rPr>
          <w:szCs w:val="24"/>
        </w:rPr>
        <w:t xml:space="preserve"> found that different measures of HR practices produced different effects on organizational commitment. They measured HR practices using additive measures of number of HR practices, employer perceptions of HR practices, and employee perceptions of HR practices. The study found that it was only employee perceptions of HR practices that had a positive effect on organizational commitment.  This indicates the importance of employees’ perceptions in examining the effectiveness of HR practices since there may be a gap between intended and implemented practices. However,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and Smith (2000)", "plainTextFormattedCitation" : "(Meyer &amp; Smith 2000)", "previouslyFormattedCitation" : "(Meyer &amp; Smith 2000)" }, "properties" : { "noteIndex" : 0 }, "schema" : "https://github.com/citation-style-language/schema/raw/master/csl-citation.json" }</w:instrText>
      </w:r>
      <w:r w:rsidRPr="00452E2E">
        <w:rPr>
          <w:szCs w:val="24"/>
        </w:rPr>
        <w:fldChar w:fldCharType="separate"/>
      </w:r>
      <w:r w:rsidRPr="00452E2E">
        <w:rPr>
          <w:noProof/>
          <w:szCs w:val="24"/>
        </w:rPr>
        <w:t xml:space="preserve">Meyer </w:t>
      </w:r>
      <w:r w:rsidR="00BF4B49" w:rsidRPr="00452E2E">
        <w:rPr>
          <w:noProof/>
          <w:szCs w:val="24"/>
        </w:rPr>
        <w:t>&amp;</w:t>
      </w:r>
      <w:r w:rsidRPr="00452E2E">
        <w:rPr>
          <w:noProof/>
          <w:szCs w:val="24"/>
        </w:rPr>
        <w:t xml:space="preserve"> Smith (2000)</w:t>
      </w:r>
      <w:r w:rsidRPr="00452E2E">
        <w:rPr>
          <w:szCs w:val="24"/>
        </w:rPr>
        <w:fldChar w:fldCharType="end"/>
      </w:r>
      <w:r w:rsidRPr="00452E2E">
        <w:rPr>
          <w:szCs w:val="24"/>
        </w:rPr>
        <w:t xml:space="preserve"> in their study of 281 employees from Canadian organizations found no direct relationship between HR practices and three forms of commitment; affective, normative, and continuance commitment. Instead, they found </w:t>
      </w:r>
      <w:r w:rsidR="00C55410" w:rsidRPr="00452E2E">
        <w:rPr>
          <w:szCs w:val="24"/>
        </w:rPr>
        <w:t xml:space="preserve">that </w:t>
      </w:r>
      <w:r w:rsidRPr="00452E2E">
        <w:rPr>
          <w:szCs w:val="24"/>
        </w:rPr>
        <w:t>HR practices related positively to affective and normative commitment indirectly through procedural justice and perceived organizational support.</w:t>
      </w:r>
    </w:p>
    <w:p w:rsidR="00D03A8E" w:rsidRPr="00452E2E" w:rsidRDefault="00D03A8E" w:rsidP="00D03A8E">
      <w:pPr>
        <w:spacing w:line="360" w:lineRule="auto"/>
        <w:jc w:val="both"/>
        <w:rPr>
          <w:szCs w:val="24"/>
        </w:rPr>
      </w:pPr>
      <w:r w:rsidRPr="00452E2E">
        <w:rPr>
          <w:szCs w:val="24"/>
        </w:rPr>
        <w:fldChar w:fldCharType="begin" w:fldLock="1"/>
      </w:r>
      <w:r w:rsidRPr="00452E2E">
        <w:rPr>
          <w:szCs w:val="24"/>
        </w:rPr>
        <w:instrText>ADDIN CSL_CITATION { "citationItems" : [ { "id" : "ITEM-1",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"ITEM-1",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"mendeley" : { "formattedCitation" : "(Kuvaas 2008)", "manualFormatting" : "Kuvaas (2008)", "plainTextFormattedCitation" : "(Kuvaas 2008)", "previouslyFormattedCitation" : "(Kuvaas 2008)" }, "properties" : { "noteIndex" : 0 }, "schema" : "https://github.com/citation-style-language/schema/raw/master/csl-citation.json" }</w:instrText>
      </w:r>
      <w:r w:rsidRPr="00452E2E">
        <w:rPr>
          <w:szCs w:val="24"/>
        </w:rPr>
        <w:fldChar w:fldCharType="separate"/>
      </w:r>
      <w:r w:rsidRPr="00452E2E">
        <w:rPr>
          <w:noProof/>
          <w:szCs w:val="24"/>
        </w:rPr>
        <w:t>Kuvaas (2008)</w:t>
      </w:r>
      <w:r w:rsidRPr="00452E2E">
        <w:rPr>
          <w:szCs w:val="24"/>
        </w:rPr>
        <w:fldChar w:fldCharType="end"/>
      </w:r>
      <w:r w:rsidRPr="00452E2E">
        <w:rPr>
          <w:szCs w:val="24"/>
        </w:rPr>
        <w:t xml:space="preserve"> examined the effects of developmental HR practices on affective commitment among 539 employees of sixty-four local savings banks in Norway. The result of the study indicated a positive relationship between developmental HR practices and affective commitment. In turn, affective commitment mediated the relationship between developmental HR practices and work performance. </w:t>
      </w:r>
      <w:r w:rsidRPr="00452E2E">
        <w:rPr>
          <w:szCs w:val="24"/>
        </w:rPr>
        <w:fldChar w:fldCharType="begin" w:fldLock="1"/>
      </w:r>
      <w:r w:rsidRPr="00452E2E">
        <w:rPr>
          <w:szCs w:val="24"/>
        </w:rPr>
        <w:instrText>ADDIN CSL_CITATION { "citationItems" : [ { "id" : "ITEM-1", "itemData" : { "DOI" : "10.1108/00483480810877589", "ISBN" : "0048-3486", "ISSN" : "0048-3486", "abstract" : "la referencia viene de una alerta de internet. Se trata de una investigaci\u00f3n que relaciona el HRM con el compromiso. LO HACE UTILIZANDO LA PROPUESTA DE BOWEN Y OSTROFF CON SU IDEA DE FUERZA. UNA DE LAS PRIMERAS EVIDENCIAS EN ESTE SENTIDO. INTERESANTE PARA VER C\u00d3MO LO HACEN Y PORQUE CREO QUE TENGO QU ECONTACTAR CON ESTA GENTE (O PURCELL) PARA HACER UNA ESTANCIA CON ELLOS.", "author" : [ { "dropping-particle" : "", "family" : "Sanders", "given" : "Karin", "non-dropping-particle" : "", "parse-names" : false, "suffix" : "" }, { "dropping-particle" : "", "family" : "Dorenbosch", "given" : "Luc", "non-dropping-particle" : "", "parse-names" : false, "suffix" : "" }, { "dropping-particle" : "", "family" : "Reuver", "given" : "R.D.", "non-dropping-particle" : "", "parse-names" : false, "suffix" : "" } ], "container-title" : "Personnel Review", "id" : "ITEM-1", "issue" : "4", "issued" : { "date-parts" : [ [ "2008" ] ] }, "page" : "412-425", "title" : "The impact of individual and shared employee perceptions of HRM on affective commitment: Considering climate strength", "type" : "article-journal", "volume" : "37" }, "uris" : [ "http://www.mendeley.com/documents/?uuid=c49efb63-522b-4314-adbc-b49812acde34" ] } ], "mendeley" : { "formattedCitation" : "(Sanders et al. 2008)", "manualFormatting" : "Sanders et al. (2008)", "plainTextFormattedCitation" : "(Sanders et al. 2008)", "previouslyFormattedCitation" : "(Sanders et al. 2008)" }, "properties" : { "noteIndex" : 0 }, "schema" : "https://github.com/citation-style-language/schema/raw/master/csl-citation.json" }</w:instrText>
      </w:r>
      <w:r w:rsidRPr="00452E2E">
        <w:rPr>
          <w:szCs w:val="24"/>
        </w:rPr>
        <w:fldChar w:fldCharType="separate"/>
      </w:r>
      <w:r w:rsidRPr="00452E2E">
        <w:rPr>
          <w:noProof/>
          <w:szCs w:val="24"/>
        </w:rPr>
        <w:t xml:space="preserve">Sanders </w:t>
      </w:r>
      <w:r w:rsidRPr="00452E2E">
        <w:rPr>
          <w:i/>
          <w:noProof/>
          <w:szCs w:val="24"/>
        </w:rPr>
        <w:t>et al</w:t>
      </w:r>
      <w:r w:rsidRPr="00452E2E">
        <w:rPr>
          <w:noProof/>
          <w:szCs w:val="24"/>
        </w:rPr>
        <w:t>. (2008)</w:t>
      </w:r>
      <w:r w:rsidRPr="00452E2E">
        <w:rPr>
          <w:szCs w:val="24"/>
        </w:rPr>
        <w:fldChar w:fldCharType="end"/>
      </w:r>
      <w:r w:rsidRPr="00452E2E">
        <w:rPr>
          <w:szCs w:val="24"/>
        </w:rPr>
        <w:t xml:space="preserve"> also found a positive relationship between HRM system and </w:t>
      </w:r>
      <w:r w:rsidRPr="00452E2E">
        <w:rPr>
          <w:szCs w:val="24"/>
        </w:rPr>
        <w:lastRenderedPageBreak/>
        <w:t xml:space="preserve">affective commitment in their study of hospital employees. The study also reported that the effect of HRM system on affective commitment was moderated by climate strength. Similarly, </w:t>
      </w:r>
      <w:r w:rsidRPr="00452E2E">
        <w:rPr>
          <w:szCs w:val="24"/>
        </w:rPr>
        <w:fldChar w:fldCharType="begin" w:fldLock="1"/>
      </w:r>
      <w:r w:rsidRPr="00452E2E">
        <w:rPr>
          <w:szCs w:val="24"/>
        </w:rPr>
        <w:instrText>ADDIN CSL_CITATION { "citationItems" : [ { "id" : "ITEM-1",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"ITEM-1",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"mendeley" : { "formattedCitation" : "(Qiao et al. 2009)", "manualFormatting" : "Qiao et al. (2009)", "plainTextFormattedCitation" : "(Qiao et al. 2009)", "previouslyFormattedCitation" : "(Qiao et al. 2009)" }, "properties" : { "noteIndex" : 0 }, "schema" : "https://github.com/citation-style-language/schema/raw/master/csl-citation.json" }</w:instrText>
      </w:r>
      <w:r w:rsidRPr="00452E2E">
        <w:rPr>
          <w:szCs w:val="24"/>
        </w:rPr>
        <w:fldChar w:fldCharType="separate"/>
      </w:r>
      <w:r w:rsidRPr="00452E2E">
        <w:rPr>
          <w:noProof/>
          <w:szCs w:val="24"/>
        </w:rPr>
        <w:t xml:space="preserve">Qiao </w:t>
      </w:r>
      <w:r w:rsidRPr="00452E2E">
        <w:rPr>
          <w:i/>
          <w:noProof/>
          <w:szCs w:val="24"/>
        </w:rPr>
        <w:t>et al</w:t>
      </w:r>
      <w:r w:rsidRPr="00452E2E">
        <w:rPr>
          <w:noProof/>
          <w:szCs w:val="24"/>
        </w:rPr>
        <w:t>. (2009)</w:t>
      </w:r>
      <w:r w:rsidRPr="00452E2E">
        <w:rPr>
          <w:szCs w:val="24"/>
        </w:rPr>
        <w:fldChar w:fldCharType="end"/>
      </w:r>
      <w:r w:rsidRPr="00452E2E">
        <w:rPr>
          <w:szCs w:val="24"/>
        </w:rPr>
        <w:t xml:space="preserve"> in their study of 1,176 employees in six manufacturing companies across two cities in China found that higher perceptions of the existence of high-performance work systems (HPWS) related positively to organizational commitment. This relationship was however moderated by gender and marital status such that the relationship was higher for male and unmarried employees.</w:t>
      </w:r>
    </w:p>
    <w:p w:rsidR="00D03A8E" w:rsidRPr="00452E2E" w:rsidRDefault="00D03A8E" w:rsidP="00D03A8E">
      <w:pPr>
        <w:spacing w:line="360" w:lineRule="auto"/>
        <w:jc w:val="both"/>
        <w:rPr>
          <w:szCs w:val="24"/>
        </w:rPr>
      </w:pPr>
      <w:r w:rsidRPr="00452E2E">
        <w:rPr>
          <w:szCs w:val="24"/>
        </w:rPr>
        <w:t xml:space="preserve"> </w:t>
      </w:r>
      <w:r w:rsidRPr="00452E2E">
        <w:rPr>
          <w:szCs w:val="24"/>
        </w:rPr>
        <w:fldChar w:fldCharType="begin" w:fldLock="1"/>
      </w:r>
      <w:r w:rsidRPr="00452E2E">
        <w:rPr>
          <w:szCs w:val="24"/>
        </w:rPr>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"mendeley" : { "formattedCitation" : "(Wu &amp; Chaturvedi 2009)", "manualFormatting" : "Wu and Chaturvedi (2009)", "plainTextFormattedCitation" : "(Wu &amp; Chaturvedi 2009)", "previouslyFormattedCitation" : "(Wu &amp; Chaturvedi 2009)" }, "properties" : { "noteIndex" : 0 }, "schema" : "https://github.com/citation-style-language/schema/raw/master/csl-citation.json" }</w:instrText>
      </w:r>
      <w:r w:rsidRPr="00452E2E">
        <w:rPr>
          <w:szCs w:val="24"/>
        </w:rPr>
        <w:fldChar w:fldCharType="separate"/>
      </w:r>
      <w:r w:rsidRPr="00452E2E">
        <w:rPr>
          <w:noProof/>
          <w:szCs w:val="24"/>
        </w:rPr>
        <w:t xml:space="preserve">Wu </w:t>
      </w:r>
      <w:r w:rsidR="005F63A3" w:rsidRPr="00452E2E">
        <w:rPr>
          <w:noProof/>
          <w:szCs w:val="24"/>
        </w:rPr>
        <w:t>&amp;</w:t>
      </w:r>
      <w:r w:rsidRPr="00452E2E">
        <w:rPr>
          <w:noProof/>
          <w:szCs w:val="24"/>
        </w:rPr>
        <w:t xml:space="preserve"> Chaturvedi (2009)</w:t>
      </w:r>
      <w:r w:rsidRPr="00452E2E">
        <w:rPr>
          <w:szCs w:val="24"/>
        </w:rPr>
        <w:fldChar w:fldCharType="end"/>
      </w:r>
      <w:r w:rsidRPr="00452E2E">
        <w:rPr>
          <w:szCs w:val="24"/>
        </w:rPr>
        <w:t xml:space="preserve"> examined the effects of HPWS on affective commitment among 1,383 employees across 23 firms in China, Singapore, and Taiwan. They found a positive relationship between HPWS and affective </w:t>
      </w:r>
      <w:r w:rsidR="00C6143E" w:rsidRPr="00452E2E">
        <w:rPr>
          <w:szCs w:val="24"/>
        </w:rPr>
        <w:t xml:space="preserve">commitment </w:t>
      </w:r>
      <w:r w:rsidR="00E14747" w:rsidRPr="00452E2E">
        <w:rPr>
          <w:szCs w:val="24"/>
        </w:rPr>
        <w:t>whilst</w:t>
      </w:r>
      <w:r w:rsidRPr="00452E2E">
        <w:rPr>
          <w:szCs w:val="24"/>
        </w:rPr>
        <w:t xml:space="preserve"> procedural justice also mediated the relationship. In a study of three Irish organizations, </w:t>
      </w:r>
      <w:r w:rsidRPr="00452E2E">
        <w:rPr>
          <w:szCs w:val="24"/>
        </w:rPr>
        <w:fldChar w:fldCharType="begin" w:fldLock="1"/>
      </w:r>
      <w:r w:rsidRPr="00452E2E">
        <w:rPr>
          <w:szCs w:val="24"/>
        </w:rPr>
        <w:instrText>ADDIN CSL_CITATION { "citationItems" : [ { "id" : "ITEM-1", "itemData" : { "author" : [ { "dropping-particle" : "", "family" : "Conway", "given" : "Edel", "non-dropping-particle" : "", "parse-names" : false, "suffix" : "" }, { "dropping-particle" : "", "family" : "Monks", "given" : "Kathy", "non-dropping-particle" : "", "parse-names" : false, "suffix" : "" } ], "container-title" : "Human resource management Journal", "id" : "ITEM-1", "issue" : "2", "issued" : { "date-parts" : [ [ "2009" ] ] }, "page" : "140-158", "title" : "Unravelling the complexities of high commitment: An employee-level analysis", "type" : "article-journal", "volume" : "19" }, "uris" : [ "http://www.mendeley.com/documents/?uuid=27e6e8b9-9ee2-45ca-90f0-2264a8bc8e92" ] } ], "mendeley" : { "formattedCitation" : "(Conway &amp; Monks 2009)", "manualFormatting" : "Conway and Monks (2009)", "plainTextFormattedCitation" : "(Conway &amp; Monks 2009)", "previouslyFormattedCitation" : "(Conway &amp; Monks 2009)" }, "properties" : { "noteIndex" : 0 }, "schema" : "https://github.com/citation-style-language/schema/raw/master/csl-citation.json" }</w:instrText>
      </w:r>
      <w:r w:rsidRPr="00452E2E">
        <w:rPr>
          <w:szCs w:val="24"/>
        </w:rPr>
        <w:fldChar w:fldCharType="separate"/>
      </w:r>
      <w:r w:rsidRPr="00452E2E">
        <w:rPr>
          <w:noProof/>
          <w:szCs w:val="24"/>
        </w:rPr>
        <w:t xml:space="preserve">Conway </w:t>
      </w:r>
      <w:r w:rsidR="00B95605" w:rsidRPr="00452E2E">
        <w:rPr>
          <w:noProof/>
          <w:szCs w:val="24"/>
        </w:rPr>
        <w:t>&amp;</w:t>
      </w:r>
      <w:r w:rsidRPr="00452E2E">
        <w:rPr>
          <w:noProof/>
          <w:szCs w:val="24"/>
        </w:rPr>
        <w:t xml:space="preserve"> Monks (2009)</w:t>
      </w:r>
      <w:r w:rsidRPr="00452E2E">
        <w:rPr>
          <w:szCs w:val="24"/>
        </w:rPr>
        <w:fldChar w:fldCharType="end"/>
      </w:r>
      <w:r w:rsidRPr="00452E2E">
        <w:rPr>
          <w:szCs w:val="24"/>
        </w:rPr>
        <w:t xml:space="preserve"> found that HR practices significantly and positively influenced affective commitment across the three organizations studied. Whilst the study also found a positive effect of HR practices on continuance commitment, the latter findings were inconsistent across the three organizations. However, HR practices were not found to influence normative commitment levels across the three organizations. Similarly, </w:t>
      </w:r>
      <w:r w:rsidRPr="00452E2E">
        <w:rPr>
          <w:szCs w:val="24"/>
        </w:rPr>
        <w:fldChar w:fldCharType="begin" w:fldLock="1"/>
      </w:r>
      <w:r w:rsidRPr="00452E2E">
        <w:rPr>
          <w:szCs w:val="24"/>
        </w:rPr>
        <w:instrText>ADDIN CSL_CITATION { "citationItems" : [ { "id" : "ITEM-1",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"ITEM-1",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"mendeley" : { "formattedCitation" : "(Mendelson et al. 2011)", "manualFormatting" : "Mendelson et al's. (2011)", "plainTextFormattedCitation" : "(Mendelson et al. 2011)", "previouslyFormattedCitation" : "(Mendelson et al. 2011)" }, "properties" : { "noteIndex" : 0 }, "schema" : "https://github.com/citation-style-language/schema/raw/master/csl-citation.json" }</w:instrText>
      </w:r>
      <w:r w:rsidRPr="00452E2E">
        <w:rPr>
          <w:szCs w:val="24"/>
        </w:rPr>
        <w:fldChar w:fldCharType="separate"/>
      </w:r>
      <w:r w:rsidRPr="00452E2E">
        <w:rPr>
          <w:noProof/>
          <w:szCs w:val="24"/>
        </w:rPr>
        <w:t xml:space="preserve">Mendelson </w:t>
      </w:r>
      <w:r w:rsidRPr="00452E2E">
        <w:rPr>
          <w:i/>
          <w:noProof/>
          <w:szCs w:val="24"/>
        </w:rPr>
        <w:t>et al's</w:t>
      </w:r>
      <w:r w:rsidRPr="00452E2E">
        <w:rPr>
          <w:noProof/>
          <w:szCs w:val="24"/>
        </w:rPr>
        <w:t>. (2011)</w:t>
      </w:r>
      <w:r w:rsidRPr="00452E2E">
        <w:rPr>
          <w:szCs w:val="24"/>
        </w:rPr>
        <w:fldChar w:fldCharType="end"/>
      </w:r>
      <w:r w:rsidRPr="00452E2E">
        <w:rPr>
          <w:szCs w:val="24"/>
        </w:rPr>
        <w:t xml:space="preserve"> research on 317 employees in five organizations in Canada reported positive effects of </w:t>
      </w:r>
      <w:r w:rsidR="00111E30" w:rsidRPr="00452E2E">
        <w:rPr>
          <w:szCs w:val="24"/>
        </w:rPr>
        <w:t>HIWS</w:t>
      </w:r>
      <w:r w:rsidRPr="00452E2E">
        <w:rPr>
          <w:szCs w:val="24"/>
        </w:rPr>
        <w:t xml:space="preserve"> on affective commitment. The relationship between HIWS and continuance commitment was however negative. </w:t>
      </w:r>
    </w:p>
    <w:p w:rsidR="00D03A8E" w:rsidRPr="00452E2E" w:rsidRDefault="00D03A8E" w:rsidP="00D03A8E">
      <w:pPr>
        <w:spacing w:line="360" w:lineRule="auto"/>
        <w:jc w:val="both"/>
        <w:rPr>
          <w:szCs w:val="24"/>
        </w:rPr>
      </w:pPr>
      <w:r w:rsidRPr="00452E2E">
        <w:rPr>
          <w:szCs w:val="24"/>
        </w:rPr>
        <w:fldChar w:fldCharType="begin" w:fldLock="1"/>
      </w:r>
      <w:r w:rsidRPr="00452E2E">
        <w:rPr>
          <w:szCs w:val="24"/>
        </w:rPr>
        <w:instrText>ADDIN CSL_CITATION { "citationItems" : [ { "id" : "ITEM-1", "itemData" : { "author" : [ { "dropping-particle" : "", "family" : "Hashim", "given" : "J", "non-dropping-particle" : "", "parse-names" : false, "suffix" : "" } ], "container-title" : "Personnel Review", "id" : "ITEM-1", "issue" : "6", "issued" : { "date-parts" : [ [ "2010" ] ] }, "page" : "785-799", "title" : "Human resource management practices on organizational commitment: The Islamic perspective", "type" : "article-journal", "volume" : "39" }, "uris" : [ "http://www.mendeley.com/documents/?uuid=a911b3d8-1971-4d3b-8a88-d4fdf0914fe3" ] } ], "mendeley" : { "formattedCitation" : "(Hashim 2010)", "manualFormatting" : "In a novel attempt to link religion to HRM, Hashim (2010)", "plainTextFormattedCitation" : "(Hashim 2010)", "previouslyFormattedCitation" : "(Hashim 2010)" }, "properties" : { "noteIndex" : 0 }, "schema" : "https://github.com/citation-style-language/schema/raw/master/csl-citation.json" }</w:instrText>
      </w:r>
      <w:r w:rsidRPr="00452E2E">
        <w:rPr>
          <w:szCs w:val="24"/>
        </w:rPr>
        <w:fldChar w:fldCharType="separate"/>
      </w:r>
      <w:r w:rsidRPr="00452E2E">
        <w:rPr>
          <w:noProof/>
          <w:szCs w:val="24"/>
        </w:rPr>
        <w:t>In a novel attempt to link religion to HRM, Hashim (2010)</w:t>
      </w:r>
      <w:r w:rsidRPr="00452E2E">
        <w:rPr>
          <w:szCs w:val="24"/>
        </w:rPr>
        <w:fldChar w:fldCharType="end"/>
      </w:r>
      <w:r w:rsidRPr="00452E2E">
        <w:rPr>
          <w:szCs w:val="24"/>
        </w:rPr>
        <w:t xml:space="preserve"> found that HR practices that were consistent with Islamic doctrines accounted for forty-five percent variance in organizational commitment among Muslim employees in Islamic organizations in Malaysia. </w:t>
      </w:r>
      <w:r w:rsidRPr="00452E2E">
        <w:rPr>
          <w:szCs w:val="24"/>
        </w:rPr>
        <w:fldChar w:fldCharType="begin" w:fldLock="1"/>
      </w:r>
      <w:r w:rsidRPr="00452E2E">
        <w:rPr>
          <w:szCs w:val="24"/>
        </w:rPr>
        <w:instrText>ADDIN CSL_CITATION { "citationItems" : [ { "id" : "ITEM-1", "itemData" : { "DOI" : "10.1080/09585192.2010.483845", "ISBN" : "0958-5192", "ISSN" : "0958-5192", "abstract" : "The purpose of this study was to investigate the impact of a bundle of eight human resource management practices on intention to leave, and to examine the mediating effect of organizational commitment on the relationship between the HRM practices and intention to leave of employees of a service organization in India. Most of the prior HRM practices-employee turnover studies have been from the HR manager's point of view. This study took a different approach and studied this relationship from an employee's point of view. Internet survey questionnaires were used to collect the data from 183 employees working in a service company in India. Multiple linear regression and hierarchical linear regression analysis were conducted to test the hypotheses. The study found not only that the HRM practices lower employee intentions to leave, but also that this relationship is partially mediated by organizational commitment. The results of the study not only supported that organizations should focus on employee perceptions of the organizations' HRM practices but also indicated that human resources should go beyond establishing policies and procedures to providing an employee-friendly work environment (Biswas and Varma 2007). \u00a9 2010 Taylor &amp; Francis.", "author" : [ { "dropping-particle" : "", "family" : "Guchait", "given" : "Priyanko", "non-dropping-particle" : "", "parse-names" : false, "suffix" : "" }, { "dropping-particle" : "", "family" : "Cho", "given" : "Seonghee", "non-dropping-particle" : "", "parse-names" : false, "suffix" : "" } ], "container-title" : "The International Journal of Human Resource Management", "id" : "ITEM-1", "issue" : "8", "issued" : { "date-parts" : [ [ "2010" ] ] }, "page" : "1228-1247", "title" : "The impact of human resource management practices on intention to leave of employees in the service industry in India: The mediating role of organizational commitment", "type" : "article-journal", "volume" : "21" }, "uris" : [ "http://www.mendeley.com/documents/?uuid=06a93245-ccf1-4ad2-84ce-ca27f6eec38c" ] } ], "mendeley" : { "formattedCitation" : "(Guchait &amp; Cho 2010)", "manualFormatting" : "Guchait and Cho (2010)", "plainTextFormattedCitation" : "(Guchait &amp; Cho 2010)", "previouslyFormattedCitation" : "(Guchait &amp; Cho 2010)" }, "properties" : { "noteIndex" : 0 }, "schema" : "https://github.com/citation-style-language/schema/raw/master/csl-citation.json" }</w:instrText>
      </w:r>
      <w:r w:rsidRPr="00452E2E">
        <w:rPr>
          <w:szCs w:val="24"/>
        </w:rPr>
        <w:fldChar w:fldCharType="separate"/>
      </w:r>
      <w:r w:rsidRPr="00452E2E">
        <w:rPr>
          <w:noProof/>
          <w:szCs w:val="24"/>
        </w:rPr>
        <w:t xml:space="preserve">Guchait </w:t>
      </w:r>
      <w:r w:rsidR="0076606E" w:rsidRPr="00452E2E">
        <w:rPr>
          <w:noProof/>
          <w:szCs w:val="24"/>
        </w:rPr>
        <w:t>&amp;</w:t>
      </w:r>
      <w:r w:rsidRPr="00452E2E">
        <w:rPr>
          <w:noProof/>
          <w:szCs w:val="24"/>
        </w:rPr>
        <w:t xml:space="preserve"> Cho (2010)</w:t>
      </w:r>
      <w:r w:rsidRPr="00452E2E">
        <w:rPr>
          <w:szCs w:val="24"/>
        </w:rPr>
        <w:fldChar w:fldCharType="end"/>
      </w:r>
      <w:r w:rsidRPr="00452E2E">
        <w:rPr>
          <w:szCs w:val="24"/>
        </w:rPr>
        <w:t xml:space="preserve"> in their study of 183 employees in a service firm in India found a positive relationship between HR practices and organizational commitment. It was also found in the study that organizational commitment mediated the relationship between organizational commitment and intention to leave. In a study examining the effects of high-commitment performance management (HCPM) practices on organizational commitment in four large organizations in UK</w:t>
      </w:r>
      <w:r w:rsidR="00E63905" w:rsidRPr="00452E2E">
        <w:rPr>
          <w:szCs w:val="24"/>
        </w:rPr>
        <w:t>,</w:t>
      </w:r>
      <w:r w:rsidRPr="00452E2E">
        <w:rPr>
          <w:szCs w:val="24"/>
        </w:rPr>
        <w:t xml:space="preserve"> </w:t>
      </w:r>
      <w:r w:rsidRPr="00452E2E">
        <w:rPr>
          <w:szCs w:val="24"/>
        </w:rPr>
        <w:fldChar w:fldCharType="begin" w:fldLock="1"/>
      </w:r>
      <w:r w:rsidRPr="00452E2E">
        <w:rPr>
          <w:szCs w:val="24"/>
        </w:rPr>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"mendeley" : { "formattedCitation" : "(Farndale et al. 2011)", "manualFormatting" : "Farndale et al. (2011a)", "plainTextFormattedCitation" : "(Farndale et al. 2011)", "previouslyFormattedCitation" : "(Farndale et al. 2011)" }, "properties" : { "noteIndex" : 0 }, "schema" : "https://github.com/citation-style-language/schema/raw/master/csl-citation.json" }</w:instrText>
      </w:r>
      <w:r w:rsidRPr="00452E2E">
        <w:rPr>
          <w:szCs w:val="24"/>
        </w:rPr>
        <w:fldChar w:fldCharType="separate"/>
      </w:r>
      <w:r w:rsidRPr="00452E2E">
        <w:rPr>
          <w:noProof/>
          <w:szCs w:val="24"/>
        </w:rPr>
        <w:t xml:space="preserve">Farndale </w:t>
      </w:r>
      <w:r w:rsidRPr="00452E2E">
        <w:rPr>
          <w:i/>
          <w:noProof/>
          <w:szCs w:val="24"/>
        </w:rPr>
        <w:t>et al</w:t>
      </w:r>
      <w:r w:rsidRPr="00452E2E">
        <w:rPr>
          <w:noProof/>
          <w:szCs w:val="24"/>
        </w:rPr>
        <w:t>. (2011</w:t>
      </w:r>
      <w:r w:rsidRPr="00452E2E">
        <w:rPr>
          <w:i/>
          <w:noProof/>
          <w:szCs w:val="24"/>
        </w:rPr>
        <w:t>a</w:t>
      </w:r>
      <w:r w:rsidRPr="00452E2E">
        <w:rPr>
          <w:noProof/>
          <w:szCs w:val="24"/>
        </w:rPr>
        <w:t>)</w:t>
      </w:r>
      <w:r w:rsidRPr="00452E2E">
        <w:rPr>
          <w:szCs w:val="24"/>
        </w:rPr>
        <w:fldChar w:fldCharType="end"/>
      </w:r>
      <w:r w:rsidRPr="00452E2E">
        <w:rPr>
          <w:szCs w:val="24"/>
        </w:rPr>
        <w:t xml:space="preserve"> found a positive relationship between HCPM practices and organizational commitment. The study </w:t>
      </w:r>
      <w:r w:rsidRPr="00452E2E">
        <w:rPr>
          <w:szCs w:val="24"/>
        </w:rPr>
        <w:lastRenderedPageBreak/>
        <w:t>also found that the relationship between HCPM practices and organizational commitment was mediated by organizational justice perceptions, whilst trust in employer/senior management further moderated the relationship.</w:t>
      </w:r>
    </w:p>
    <w:p w:rsidR="00D03A8E" w:rsidRPr="00452E2E" w:rsidRDefault="00D03A8E" w:rsidP="00D03A8E">
      <w:pPr>
        <w:spacing w:line="360" w:lineRule="auto"/>
        <w:jc w:val="both"/>
        <w:rPr>
          <w:szCs w:val="24"/>
        </w:rPr>
      </w:pPr>
      <w:r w:rsidRPr="00452E2E">
        <w:rPr>
          <w:szCs w:val="24"/>
        </w:rPr>
        <w:t xml:space="preserve"> </w:t>
      </w:r>
      <w:r w:rsidRPr="00452E2E">
        <w:rPr>
          <w:szCs w:val="24"/>
        </w:rPr>
        <w:fldChar w:fldCharType="begin" w:fldLock="1"/>
      </w:r>
      <w:r w:rsidRPr="00452E2E">
        <w:rPr>
          <w:szCs w:val="24"/>
        </w:rPr>
        <w:instrText>ADDIN CSL_CITATION { "citationItems" : [ { "id" : "ITEM-1",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"ITEM-1",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"mendeley" : { "formattedCitation" : "(Elorza et al. 2011)", "manualFormatting" : "Elorza et al. (2011)", "plainTextFormattedCitation" : "(Elorza et al. 2011)", "previouslyFormattedCitation" : "(Elorza et al. 2011)" }, "properties" : { "noteIndex" : 0 }, "schema" : "https://github.com/citation-style-language/schema/raw/master/csl-citation.json" }</w:instrText>
      </w:r>
      <w:r w:rsidRPr="00452E2E">
        <w:rPr>
          <w:szCs w:val="24"/>
        </w:rPr>
        <w:fldChar w:fldCharType="separate"/>
      </w:r>
      <w:r w:rsidRPr="00452E2E">
        <w:rPr>
          <w:noProof/>
          <w:szCs w:val="24"/>
        </w:rPr>
        <w:t xml:space="preserve">Elorza </w:t>
      </w:r>
      <w:r w:rsidRPr="00452E2E">
        <w:rPr>
          <w:i/>
          <w:noProof/>
          <w:szCs w:val="24"/>
        </w:rPr>
        <w:t>et al</w:t>
      </w:r>
      <w:r w:rsidRPr="00452E2E">
        <w:rPr>
          <w:noProof/>
          <w:szCs w:val="24"/>
        </w:rPr>
        <w:t>. (2011)</w:t>
      </w:r>
      <w:r w:rsidRPr="00452E2E">
        <w:rPr>
          <w:szCs w:val="24"/>
        </w:rPr>
        <w:fldChar w:fldCharType="end"/>
      </w:r>
      <w:r w:rsidRPr="00452E2E">
        <w:rPr>
          <w:szCs w:val="24"/>
        </w:rPr>
        <w:t xml:space="preserve"> found a positive relationship between ability-enhancing, motivation-enhancing, and opportunity-enhancing (AMO) HR system and organizational commitment among employees in Spanish manufacturing companies. Likewise, </w:t>
      </w:r>
      <w:r w:rsidRPr="00452E2E">
        <w:rPr>
          <w:szCs w:val="24"/>
        </w:rPr>
        <w:fldChar w:fldCharType="begin" w:fldLock="1"/>
      </w:r>
      <w:r w:rsidRPr="00452E2E">
        <w:rPr>
          <w:szCs w:val="24"/>
        </w:rPr>
        <w:instrText>ADDIN CSL_CITATION { "citationItems" : [ { "id" : "ITEM-1",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"ITEM-1",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"mendeley" : { "formattedCitation" : "(Boon et al. 2011)", "manualFormatting" : "Boon et al. (2011)", "plainTextFormattedCitation" : "(Boon et al. 2011)", "previouslyFormattedCitation" : "(Boon et al. 2011)" }, "properties" : { "noteIndex" : 0 }, "schema" : "https://github.com/citation-style-language/schema/raw/master/csl-citation.json" }</w:instrText>
      </w:r>
      <w:r w:rsidRPr="00452E2E">
        <w:rPr>
          <w:szCs w:val="24"/>
        </w:rPr>
        <w:fldChar w:fldCharType="separate"/>
      </w:r>
      <w:r w:rsidRPr="00452E2E">
        <w:rPr>
          <w:noProof/>
          <w:szCs w:val="24"/>
        </w:rPr>
        <w:t xml:space="preserve">Boon </w:t>
      </w:r>
      <w:r w:rsidRPr="00452E2E">
        <w:rPr>
          <w:i/>
          <w:noProof/>
          <w:szCs w:val="24"/>
        </w:rPr>
        <w:t>et al</w:t>
      </w:r>
      <w:r w:rsidRPr="00452E2E">
        <w:rPr>
          <w:noProof/>
          <w:szCs w:val="24"/>
        </w:rPr>
        <w:t>. (2011)</w:t>
      </w:r>
      <w:r w:rsidRPr="00452E2E">
        <w:rPr>
          <w:szCs w:val="24"/>
        </w:rPr>
        <w:fldChar w:fldCharType="end"/>
      </w:r>
      <w:r w:rsidRPr="00452E2E">
        <w:rPr>
          <w:szCs w:val="24"/>
        </w:rPr>
        <w:t xml:space="preserve"> reported positive effects of HR practices on organizational commitment among Dutch employees. The study also indicated </w:t>
      </w:r>
      <w:r w:rsidR="00FE34F3" w:rsidRPr="00452E2E">
        <w:rPr>
          <w:szCs w:val="24"/>
        </w:rPr>
        <w:t xml:space="preserve">an indirect effect of HR practices on organizational commitment through person-organization fit and person-job fit. </w:t>
      </w:r>
      <w:r w:rsidRPr="00452E2E">
        <w:rPr>
          <w:szCs w:val="24"/>
        </w:rPr>
        <w:fldChar w:fldCharType="begin" w:fldLock="1"/>
      </w:r>
      <w:r w:rsidRPr="00452E2E">
        <w:rPr>
          <w:szCs w:val="24"/>
        </w:rPr>
        <w:instrText>ADDIN CSL_CITATION { "citationItems" : [ { "id" : "ITEM-1",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"ITEM-1", "issue" : "8", "issued" : { "date-parts" : [ [ "2012" ] ] }, "page" : "1209-1227", "title" : "High-involvement human resource practices, affective commitment, and organizational citizenship behaviors", "type" : "article-journal", "volume" : "32" }, "uris" : [ "http://www.mendeley.com/documents/?uuid=3233ad68-00c0-4a22-bbc0-0ed35d43dfad" ] } ], "mendeley" : { "formattedCitation" : "(Yang 2012)", "manualFormatting" : "Yang's (2012)", "plainTextFormattedCitation" : "(Yang 2012)", "previouslyFormattedCitation" : "(Yang 2012)" }, "properties" : { "noteIndex" : 0 }, "schema" : "https://github.com/citation-style-language/schema/raw/master/csl-citation.json" }</w:instrText>
      </w:r>
      <w:r w:rsidRPr="00452E2E">
        <w:rPr>
          <w:szCs w:val="24"/>
        </w:rPr>
        <w:fldChar w:fldCharType="separate"/>
      </w:r>
      <w:r w:rsidRPr="00452E2E">
        <w:rPr>
          <w:noProof/>
          <w:szCs w:val="24"/>
        </w:rPr>
        <w:t>Yang's (2012)</w:t>
      </w:r>
      <w:r w:rsidRPr="00452E2E">
        <w:rPr>
          <w:szCs w:val="24"/>
        </w:rPr>
        <w:fldChar w:fldCharType="end"/>
      </w:r>
      <w:r w:rsidRPr="00452E2E">
        <w:rPr>
          <w:szCs w:val="24"/>
        </w:rPr>
        <w:t xml:space="preserve"> study of 172 contact employees of Taiwanese restaurants reported positive effects of high-involvement HR practices on affective commitment. In turn, affective commitment mediated the relationship between high-involvement HR practices and organizational citizenship behaviours. </w:t>
      </w:r>
    </w:p>
    <w:p w:rsidR="00D03A8E" w:rsidRPr="00452E2E" w:rsidRDefault="00D03A8E" w:rsidP="00D03A8E">
      <w:pPr>
        <w:spacing w:line="360" w:lineRule="auto"/>
        <w:jc w:val="both"/>
        <w:rPr>
          <w:szCs w:val="24"/>
        </w:rPr>
      </w:pPr>
      <w:r w:rsidRPr="00452E2E">
        <w:rPr>
          <w:szCs w:val="24"/>
        </w:rPr>
        <w:t xml:space="preserve">In their study of fifty-six self-contained business units in a large food service organization in USA, </w:t>
      </w:r>
      <w:r w:rsidRPr="00452E2E">
        <w:rPr>
          <w:szCs w:val="24"/>
        </w:rPr>
        <w:fldChar w:fldCharType="begin" w:fldLock="1"/>
      </w:r>
      <w:r w:rsidRPr="00452E2E">
        <w:rPr>
          <w:szCs w:val="24"/>
        </w:rPr>
        <w:instrText>ADDIN CSL_CITATION { "citationItems" : [ { "id" : "ITEM-1",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"ITEM-1", "issue" : "2", "issued" : { "date-parts" : [ [ "2013" ] ] }, "page" : "366-391", "title" : "The impact of high performance human resource practices on employees' attitudes and behaviors", "type" : "article-journal", "volume" : "39" }, "uris" : [ "http://www.mendeley.com/documents/?uuid=1c4f9487-02d3-4d04-8246-468c19d1d9a6" ] } ], "mendeley" : { "formattedCitation" : "(Kehoe &amp; Wright 2013)", "manualFormatting" : "Kehoe and Wright (2013)", "plainTextFormattedCitation" : "(Kehoe &amp; Wright 2013)", "previouslyFormattedCitation" : "(Kehoe &amp; Wright 2013)" }, "properties" : { "noteIndex" : 0 }, "schema" : "https://github.com/citation-style-language/schema/raw/master/csl-citation.json" }</w:instrText>
      </w:r>
      <w:r w:rsidRPr="00452E2E">
        <w:rPr>
          <w:szCs w:val="24"/>
        </w:rPr>
        <w:fldChar w:fldCharType="separate"/>
      </w:r>
      <w:r w:rsidRPr="00452E2E">
        <w:rPr>
          <w:noProof/>
          <w:szCs w:val="24"/>
        </w:rPr>
        <w:t xml:space="preserve">Kehoe </w:t>
      </w:r>
      <w:r w:rsidR="00EB3792" w:rsidRPr="00452E2E">
        <w:rPr>
          <w:noProof/>
          <w:szCs w:val="24"/>
        </w:rPr>
        <w:t>&amp;</w:t>
      </w:r>
      <w:r w:rsidRPr="00452E2E">
        <w:rPr>
          <w:noProof/>
          <w:szCs w:val="24"/>
        </w:rPr>
        <w:t xml:space="preserve"> Wright (2013)</w:t>
      </w:r>
      <w:r w:rsidRPr="00452E2E">
        <w:rPr>
          <w:szCs w:val="24"/>
        </w:rPr>
        <w:fldChar w:fldCharType="end"/>
      </w:r>
      <w:r w:rsidRPr="00452E2E">
        <w:rPr>
          <w:szCs w:val="24"/>
        </w:rPr>
        <w:t xml:space="preserve"> found a positive relationship between high-performance HR practices and affective commitment. In turn, </w:t>
      </w:r>
      <w:r w:rsidR="0008139E" w:rsidRPr="00452E2E">
        <w:rPr>
          <w:szCs w:val="24"/>
        </w:rPr>
        <w:t xml:space="preserve">the </w:t>
      </w:r>
      <w:r w:rsidR="00FE34EE" w:rsidRPr="00452E2E">
        <w:rPr>
          <w:szCs w:val="24"/>
        </w:rPr>
        <w:t>effect</w:t>
      </w:r>
      <w:r w:rsidRPr="00452E2E">
        <w:rPr>
          <w:szCs w:val="24"/>
        </w:rPr>
        <w:t xml:space="preserve"> of high-performance HR practices on outcomes such as absenteeism, intention to quit and organizational citizenship behaviours was mediated by affective commitment. </w:t>
      </w:r>
      <w:r w:rsidRPr="00452E2E">
        <w:rPr>
          <w:szCs w:val="24"/>
        </w:rPr>
        <w:fldChar w:fldCharType="begin" w:fldLock="1"/>
      </w:r>
      <w:r w:rsidRPr="00452E2E">
        <w:rPr>
          <w:szCs w:val="24"/>
        </w:rPr>
        <w:instrText>ADDIN CSL_CITATION { "citationItems" : [ { "id" : "ITEM-1",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"ITEM-1",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"mendeley" : { "formattedCitation" : "(Ang et al. 2013)", "manualFormatting" : "Ang et al. (2013)", "plainTextFormattedCitation" : "(Ang et al. 2013)", "previouslyFormattedCitation" : "(Ang et al. 2013)" }, "properties" : { "noteIndex" : 0 }, "schema" : "https://github.com/citation-style-language/schema/raw/master/csl-citation.json" }</w:instrText>
      </w:r>
      <w:r w:rsidRPr="00452E2E">
        <w:rPr>
          <w:szCs w:val="24"/>
        </w:rPr>
        <w:fldChar w:fldCharType="separate"/>
      </w:r>
      <w:r w:rsidRPr="00452E2E">
        <w:rPr>
          <w:noProof/>
          <w:szCs w:val="24"/>
        </w:rPr>
        <w:t xml:space="preserve">Ang </w:t>
      </w:r>
      <w:r w:rsidRPr="00452E2E">
        <w:rPr>
          <w:i/>
          <w:noProof/>
          <w:szCs w:val="24"/>
        </w:rPr>
        <w:t>et al</w:t>
      </w:r>
      <w:r w:rsidRPr="00452E2E">
        <w:rPr>
          <w:noProof/>
          <w:szCs w:val="24"/>
        </w:rPr>
        <w:t>. (2013)</w:t>
      </w:r>
      <w:r w:rsidRPr="00452E2E">
        <w:rPr>
          <w:szCs w:val="24"/>
        </w:rPr>
        <w:fldChar w:fldCharType="end"/>
      </w:r>
      <w:r w:rsidRPr="00452E2E">
        <w:rPr>
          <w:szCs w:val="24"/>
        </w:rPr>
        <w:t xml:space="preserve"> also found a positive relationship between HPWS and affective commitment in their study of 193 employees in a regional hospital in Australia. </w:t>
      </w:r>
      <w:r w:rsidRPr="00452E2E">
        <w:rPr>
          <w:szCs w:val="24"/>
        </w:rPr>
        <w:fldChar w:fldCharType="begin" w:fldLock="1"/>
      </w:r>
      <w:r w:rsidRPr="00452E2E">
        <w:rPr>
          <w:szCs w:val="24"/>
        </w:rPr>
        <w:instrText>ADDIN CSL_CITATION { "citationItems" : [ { "id" : "ITEM-1", "itemData" : { "DOI" : "10.1080/09585192.2013.767059", "ISBN" : "0958-5192", "ISSN" : "0958-5192", "abstract" : "This paper attempts to document how employees' perceptions of organizations' human resource management (HRM) practices influence their work behavior and outcomes, including the level of turnover intentions and job quality improvement, in a Japanese organizational and management context. In particular, an examination was made to clarify the mediating role of person\u2013environment (P\u2013E) fit and multiple aspects of work commitment to reach possible explanations of the relationships between perceived HRM practices and employees' behavioral outcomes, following recent work that studied the above linkages. The results of structural equation modeling using a sample of 1052 healthcare service employees in Japan provided basic support for the idea that the effects of HRM practices and employees' behavioral outcomes are neither direct nor unconditional. Moreover, employees' evaluations of their fit and commitment to their organizations were found to be the important mediators of the relationships between perceived HRM ...", "author" : [ { "dropping-particle" : "", "family" : "Takeuchi", "given" : "Norihiko", "non-dropping-particle" : "", "parse-names" : false, "suffix" : "" }, { "dropping-particle" : "", "family" : "Takeuchi", "given" : "Tomokazu", "non-dropping-particle" : "", "parse-names" : false, "suffix" : "" } ], "container-title" : "The International Journal of Human Resource Management", "id" : "ITEM-1", "issue" : "11", "issued" : { "date-parts" : [ [ "2013" ] ] }, "page" : "2089-2106", "title" : "Committed to the organization or the job? Effects of perceived HRM practices on employees' behavioral outcomes in the Japanese healthcare industry", "type" : "article-journal", "volume" : "24" }, "uris" : [ "http://www.mendeley.com/documents/?uuid=3aec6b93-f8e0-4756-b4b0-7f216e354047" ] } ], "mendeley" : { "formattedCitation" : "(Takeuchi &amp; Takeuchi 2013)", "manualFormatting" : "Takeuchi and Takeuchi (2013)", "plainTextFormattedCitation" : "(Takeuchi &amp; Takeuchi 2013)", "previouslyFormattedCitation" : "(Takeuchi &amp; Takeuchi 2013)" }, "properties" : { "noteIndex" : 0 }, "schema" : "https://github.com/citation-style-language/schema/raw/master/csl-citation.json" }</w:instrText>
      </w:r>
      <w:r w:rsidRPr="00452E2E">
        <w:rPr>
          <w:szCs w:val="24"/>
        </w:rPr>
        <w:fldChar w:fldCharType="separate"/>
      </w:r>
      <w:r w:rsidRPr="00452E2E">
        <w:rPr>
          <w:noProof/>
          <w:szCs w:val="24"/>
        </w:rPr>
        <w:t xml:space="preserve">Takeuchi </w:t>
      </w:r>
      <w:r w:rsidR="003F54EC" w:rsidRPr="00452E2E">
        <w:rPr>
          <w:noProof/>
          <w:szCs w:val="24"/>
        </w:rPr>
        <w:t>&amp;</w:t>
      </w:r>
      <w:r w:rsidRPr="00452E2E">
        <w:rPr>
          <w:noProof/>
          <w:szCs w:val="24"/>
        </w:rPr>
        <w:t xml:space="preserve"> Takeuchi (2013)</w:t>
      </w:r>
      <w:r w:rsidRPr="00452E2E">
        <w:rPr>
          <w:szCs w:val="24"/>
        </w:rPr>
        <w:fldChar w:fldCharType="end"/>
      </w:r>
      <w:r w:rsidRPr="00452E2E">
        <w:rPr>
          <w:szCs w:val="24"/>
        </w:rPr>
        <w:t xml:space="preserve"> found in their Japanese study that HR practices had positive effects on both affective and continuance commitment. The study also found that person-organization fit mediated the relationship between HR practices and both forms of commitment. </w:t>
      </w:r>
    </w:p>
    <w:p w:rsidR="00D03A8E" w:rsidRPr="00452E2E" w:rsidRDefault="00D03A8E" w:rsidP="00D03A8E">
      <w:pPr>
        <w:spacing w:line="360" w:lineRule="auto"/>
        <w:jc w:val="both"/>
        <w:rPr>
          <w:szCs w:val="24"/>
        </w:rPr>
      </w:pPr>
      <w:r w:rsidRPr="00452E2E">
        <w:rPr>
          <w:szCs w:val="24"/>
        </w:rPr>
        <w:fldChar w:fldCharType="begin" w:fldLock="1"/>
      </w:r>
      <w:r w:rsidRPr="00452E2E">
        <w:rPr>
          <w:szCs w:val="24"/>
        </w:rPr>
        <w:instrText>ADDIN CSL_CITATION { "citationItems" : [ { "id" : "ITEM-1", "itemData" : { "DOI" : "10.1111/j.1467-8551.2012.00814.x", "ISBN" : "10453172", "ISSN" : "10453172", "PMID" : "89517151", "abstract" : "This paper considers a large matched employee\u2013employer data set to estimate a model of organizational commitment. In particular, it focuses on the role of firm size and manage- ment formality to explain organizational commitment in British small and medium- sized enterprises(SMEs)with high and low levels of employee satisfaction. It is shown that size \u2018in itself\u2019 can explain differences in organizational commitment, and that organiza- tional commitment tends to be higher in organizations with high employee satisfaction compared with organizations of similar size with low employee satisfaction. Crucially, the results suggest that formal human resource (HR) practices can be used as important tools to increase commitment and thus, potentially, effort and performance within underper- formingSMEswith low employee satisfaction. However, formalHRpractices commonly used by large firms may be unnecessary in SMEs which benefit from high employee satisfaction and positive employment relations within a context of informality.", "author" : [ { "dropping-particle" : "", "family" : "Saridakis", "given" : "George", "non-dropping-particle" : "", "parse-names" : false, "suffix" : "" }, { "dropping-particle" : "", "family" : "Mu\u00f1oz Torres", "given" : "Rebeca", "non-dropping-particle" : "", "parse-names" : false, "suffix" : "" }, { "dropping-particle" : "", "family" : "Johnstone", "given" : "Stewart", "non-dropping-particle" : "", "parse-names" : false, "suffix" : "" } ], "container-title" : "British Journal of Management", "id" : "ITEM-1", "issue" : "3", "issued" : { "date-parts" : [ [ "2013" ] ] }, "page" : "445-458", "title" : "Do human resource practices enhance organizational commitment in SMEs with low employee satisfaction?", "type" : "article-journal", "volume" : "24" }, "uris" : [ "http://www.mendeley.com/documents/?uuid=1550afec-18b0-4627-9edb-1aa5aedd8f5c" ] } ], "mendeley" : { "formattedCitation" : "(Saridakis et al. 2013)", "manualFormatting" : "Saridakis et al. (2013)", "plainTextFormattedCitation" : "(Saridakis et al. 2013)", "previouslyFormattedCitation" : "(Saridakis et al. 2013)" }, "properties" : { "noteIndex" : 0 }, "schema" : "https://github.com/citation-style-language/schema/raw/master/csl-citation.json" }</w:instrText>
      </w:r>
      <w:r w:rsidRPr="00452E2E">
        <w:rPr>
          <w:szCs w:val="24"/>
        </w:rPr>
        <w:fldChar w:fldCharType="separate"/>
      </w:r>
      <w:r w:rsidRPr="00452E2E">
        <w:rPr>
          <w:noProof/>
          <w:szCs w:val="24"/>
        </w:rPr>
        <w:t xml:space="preserve">Saridakis </w:t>
      </w:r>
      <w:r w:rsidRPr="00452E2E">
        <w:rPr>
          <w:i/>
          <w:noProof/>
          <w:szCs w:val="24"/>
        </w:rPr>
        <w:t>et al</w:t>
      </w:r>
      <w:r w:rsidRPr="00452E2E">
        <w:rPr>
          <w:noProof/>
          <w:szCs w:val="24"/>
        </w:rPr>
        <w:t>. (2013)</w:t>
      </w:r>
      <w:r w:rsidRPr="00452E2E">
        <w:rPr>
          <w:szCs w:val="24"/>
        </w:rPr>
        <w:fldChar w:fldCharType="end"/>
      </w:r>
      <w:r w:rsidRPr="00452E2E">
        <w:rPr>
          <w:szCs w:val="24"/>
        </w:rPr>
        <w:t xml:space="preserve"> in their study of SMEs in UK found that HR practices had positive effects on organizational commitment. Interestingly, the study also found that even in SMEs with low job satisfaction levels, organizational commitment levels were heightened through the use of HR practices. </w:t>
      </w:r>
      <w:r w:rsidRPr="00452E2E">
        <w:rPr>
          <w:szCs w:val="24"/>
        </w:rPr>
        <w:fldChar w:fldCharType="begin" w:fldLock="1"/>
      </w:r>
      <w:r w:rsidRPr="00452E2E">
        <w:rPr>
          <w:szCs w:val="24"/>
        </w:rPr>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"ITEM-1", "issue" : "3", "issued" : { "date-parts" : [ [ "2014" ] ] }, "page" : "403-420", "title" : "How high-commitment HRM relates to engagement and commitment: The moderating role of task proficiency", "type" : "article-journal", "volume" : "53" }, "uris" : [ "http://www.mendeley.com/documents/?uuid=cb756747-5761-4893-aa48-62d0692bb7b9" ] } ], "mendeley" : { "formattedCitation" : "(Boon &amp; Kalshoven 2014)", "manualFormatting" : "Boon and Kalshoven (2014)", "plainTextFormattedCitation" : "(Boon &amp; Kalshoven 2014)", "previouslyFormattedCitation" : "(Boon &amp; Kalshoven 2014)" }, "properties" : { "noteIndex" : 0 }, "schema" : "https://github.com/citation-style-language/schema/raw/master/csl-citation.json" }</w:instrText>
      </w:r>
      <w:r w:rsidRPr="00452E2E">
        <w:rPr>
          <w:szCs w:val="24"/>
        </w:rPr>
        <w:fldChar w:fldCharType="separate"/>
      </w:r>
      <w:r w:rsidRPr="00452E2E">
        <w:rPr>
          <w:noProof/>
          <w:szCs w:val="24"/>
        </w:rPr>
        <w:t xml:space="preserve">Boon </w:t>
      </w:r>
      <w:r w:rsidR="00C77107" w:rsidRPr="00452E2E">
        <w:rPr>
          <w:noProof/>
          <w:szCs w:val="24"/>
        </w:rPr>
        <w:t>&amp;</w:t>
      </w:r>
      <w:r w:rsidRPr="00452E2E">
        <w:rPr>
          <w:noProof/>
          <w:szCs w:val="24"/>
        </w:rPr>
        <w:t xml:space="preserve"> Kalshoven (2014)</w:t>
      </w:r>
      <w:r w:rsidRPr="00452E2E">
        <w:rPr>
          <w:szCs w:val="24"/>
        </w:rPr>
        <w:fldChar w:fldCharType="end"/>
      </w:r>
      <w:r w:rsidRPr="00452E2E">
        <w:rPr>
          <w:szCs w:val="24"/>
        </w:rPr>
        <w:t xml:space="preserve"> also reported positive effects of high-commitment HRM </w:t>
      </w:r>
      <w:r w:rsidR="00001AD3" w:rsidRPr="00452E2E">
        <w:rPr>
          <w:szCs w:val="24"/>
        </w:rPr>
        <w:t>on</w:t>
      </w:r>
      <w:r w:rsidRPr="00452E2E">
        <w:rPr>
          <w:szCs w:val="24"/>
        </w:rPr>
        <w:t xml:space="preserve"> organizational commitment. </w:t>
      </w:r>
      <w:r w:rsidRPr="00452E2E">
        <w:rPr>
          <w:szCs w:val="24"/>
        </w:rPr>
        <w:fldChar w:fldCharType="begin" w:fldLock="1"/>
      </w:r>
      <w:r w:rsidRPr="00452E2E">
        <w:rPr>
          <w:szCs w:val="24"/>
        </w:rPr>
        <w:instrText>ADDIN CSL_CITATION { "citationItems" : [ { "id" : "ITEM-1",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"ITEM-1", "issue" : "5", "issued" : { "date-parts" : [ [ "2015" ] ] }, "page" : "747-757", "title" : "High-performance human resource practices and employee outcomes: The mediating role of public service motivation", "type" : "article-journal", "volume" : "75" }, "uris" : [ "http://www.mendeley.com/documents/?uuid=d929d627-475b-4d7b-9d57-7ed8e89a7d6c" ] } ], "mendeley" : { "formattedCitation" : "(Mostafa &amp; Gould-Williams 2015)", "manualFormatting" : "Mostafa and Gould-Williams (2015)", "plainTextFormattedCitation" : "(Mostafa &amp; Gould-Williams 2015)", "previouslyFormattedCitation" : "(Mostafa &amp; Gould-Williams 2015)" }, "properties" : { "noteIndex" : 0 }, "schema" : "https://github.com/citation-style-language/schema/raw/master/csl-citation.json" }</w:instrText>
      </w:r>
      <w:r w:rsidRPr="00452E2E">
        <w:rPr>
          <w:szCs w:val="24"/>
        </w:rPr>
        <w:fldChar w:fldCharType="separate"/>
      </w:r>
      <w:r w:rsidRPr="00452E2E">
        <w:rPr>
          <w:noProof/>
          <w:szCs w:val="24"/>
        </w:rPr>
        <w:t xml:space="preserve">Mostafa </w:t>
      </w:r>
      <w:r w:rsidR="00195434" w:rsidRPr="00452E2E">
        <w:rPr>
          <w:noProof/>
          <w:szCs w:val="24"/>
        </w:rPr>
        <w:t>&amp;</w:t>
      </w:r>
      <w:r w:rsidRPr="00452E2E">
        <w:rPr>
          <w:noProof/>
          <w:szCs w:val="24"/>
        </w:rPr>
        <w:t xml:space="preserve"> Gould-Williams (2015)</w:t>
      </w:r>
      <w:r w:rsidRPr="00452E2E">
        <w:rPr>
          <w:szCs w:val="24"/>
        </w:rPr>
        <w:fldChar w:fldCharType="end"/>
      </w:r>
      <w:r w:rsidRPr="00452E2E">
        <w:rPr>
          <w:szCs w:val="24"/>
        </w:rPr>
        <w:t xml:space="preserve"> reported positive effects of high-performance HR practices on affective commitment among </w:t>
      </w:r>
      <w:r w:rsidRPr="00452E2E">
        <w:rPr>
          <w:szCs w:val="24"/>
        </w:rPr>
        <w:lastRenderedPageBreak/>
        <w:t xml:space="preserve">Egyptian professionals. Similarly, a positive effect of HPWS on affective </w:t>
      </w:r>
      <w:r w:rsidR="00195434" w:rsidRPr="00452E2E">
        <w:rPr>
          <w:szCs w:val="24"/>
        </w:rPr>
        <w:t xml:space="preserve">commitment </w:t>
      </w:r>
      <w:r w:rsidRPr="00452E2E">
        <w:rPr>
          <w:szCs w:val="24"/>
        </w:rPr>
        <w:t xml:space="preserve">was also reported recently by </w:t>
      </w:r>
      <w:r w:rsidRPr="00452E2E">
        <w:rPr>
          <w:szCs w:val="24"/>
        </w:rPr>
        <w:fldChar w:fldCharType="begin" w:fldLock="1"/>
      </w:r>
      <w:r w:rsidRPr="00452E2E">
        <w:rPr>
          <w:szCs w:val="24"/>
        </w:rPr>
        <w:instrText>ADDIN CSL_CITATION { "citationItems" : [ { "id" : "ITEM-1",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"(Heffernan &amp; Dundon 2016)", "manualFormatting" : "Heffernan and Dundon (2016)", "plainTextFormattedCitation" : "(Heffernan &amp; Dundon 2016)", "previouslyFormattedCitation" :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Heffernan </w:t>
      </w:r>
      <w:r w:rsidR="00195434" w:rsidRPr="00452E2E">
        <w:rPr>
          <w:noProof/>
          <w:szCs w:val="24"/>
        </w:rPr>
        <w:t>&amp;</w:t>
      </w:r>
      <w:r w:rsidRPr="00452E2E">
        <w:rPr>
          <w:noProof/>
          <w:szCs w:val="24"/>
        </w:rPr>
        <w:t xml:space="preserve"> Dundon (2016)</w:t>
      </w:r>
      <w:r w:rsidRPr="00452E2E">
        <w:rPr>
          <w:szCs w:val="24"/>
        </w:rPr>
        <w:fldChar w:fldCharType="end"/>
      </w:r>
      <w:r w:rsidRPr="00452E2E">
        <w:rPr>
          <w:szCs w:val="24"/>
        </w:rPr>
        <w:t xml:space="preserve"> in their study of 187 employees in Ireland. In addition, the study found </w:t>
      </w:r>
      <w:r w:rsidR="00FD30F1" w:rsidRPr="00452E2E">
        <w:rPr>
          <w:szCs w:val="24"/>
        </w:rPr>
        <w:t xml:space="preserve">that </w:t>
      </w:r>
      <w:r w:rsidRPr="00452E2E">
        <w:rPr>
          <w:szCs w:val="24"/>
        </w:rPr>
        <w:t>the relationship between HPWS and affective commitment was mediated by employees’ perceptions of distributive, procedural, and interactional justice.</w:t>
      </w:r>
    </w:p>
    <w:p w:rsidR="00D03A8E" w:rsidRPr="00452E2E" w:rsidRDefault="00D03A8E" w:rsidP="00D03A8E">
      <w:pPr>
        <w:spacing w:line="360" w:lineRule="auto"/>
        <w:jc w:val="both"/>
        <w:rPr>
          <w:szCs w:val="24"/>
        </w:rPr>
      </w:pPr>
      <w:r w:rsidRPr="00452E2E">
        <w:rPr>
          <w:szCs w:val="24"/>
        </w:rPr>
        <w:t xml:space="preserve">In their study of the relationship between HR subsystems and organizational commitment, </w:t>
      </w:r>
      <w:r w:rsidRPr="00452E2E">
        <w:rPr>
          <w:szCs w:val="24"/>
        </w:rPr>
        <w:fldChar w:fldCharType="begin" w:fldLock="1"/>
      </w:r>
      <w:r w:rsidRPr="00452E2E">
        <w:rPr>
          <w:szCs w:val="24"/>
        </w:rPr>
        <w:instrText>ADDIN CSL_CITATION { "citationItems" : [ { "id" : "ITEM-1",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"ITEM-1",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"mendeley" : { "formattedCitation" : "(Gong et al. 2009)", "manualFormatting" : "Gong et al. (2009)", "plainTextFormattedCitation" : "(Gong et al. 2009)", "previouslyFormattedCitation" : "(Gong et al. 2009)" }, "properties" : { "noteIndex" : 0 }, "schema" : "https://github.com/citation-style-language/schema/raw/master/csl-citation.json" }</w:instrText>
      </w:r>
      <w:r w:rsidRPr="00452E2E">
        <w:rPr>
          <w:szCs w:val="24"/>
        </w:rPr>
        <w:fldChar w:fldCharType="separate"/>
      </w:r>
      <w:r w:rsidRPr="00452E2E">
        <w:rPr>
          <w:noProof/>
          <w:szCs w:val="24"/>
        </w:rPr>
        <w:t xml:space="preserve">Gong </w:t>
      </w:r>
      <w:r w:rsidRPr="00452E2E">
        <w:rPr>
          <w:i/>
          <w:noProof/>
          <w:szCs w:val="24"/>
        </w:rPr>
        <w:t>et al</w:t>
      </w:r>
      <w:r w:rsidRPr="00452E2E">
        <w:rPr>
          <w:noProof/>
          <w:szCs w:val="24"/>
        </w:rPr>
        <w:t>. (2009)</w:t>
      </w:r>
      <w:r w:rsidRPr="00452E2E">
        <w:rPr>
          <w:szCs w:val="24"/>
        </w:rPr>
        <w:fldChar w:fldCharType="end"/>
      </w:r>
      <w:r w:rsidRPr="00452E2E">
        <w:rPr>
          <w:szCs w:val="24"/>
        </w:rPr>
        <w:t xml:space="preserve"> found that performance-oriented HR subsystem was positively related to affective commitment while maintenance-oriented HR subsystem had positive effects with continuance commitment but  not with affective commitment. </w:t>
      </w:r>
      <w:r w:rsidRPr="00452E2E">
        <w:rPr>
          <w:szCs w:val="24"/>
        </w:rPr>
        <w:fldChar w:fldCharType="begin" w:fldLock="1"/>
      </w:r>
      <w:r w:rsidRPr="00452E2E">
        <w:rPr>
          <w:szCs w:val="24"/>
        </w:rPr>
        <w:instrText>ADDIN CSL_CITATION { "citationItems" : [ { "id" : "ITEM-1", "itemData" : { "abstract" : "Purpose: This paper aims to present an empirical study of the effect of high performance work practices on commitment and citizenship behaviour in the health care sector. The theory suggests that individual employees are willing \"to go the extra mile\" when they are given the opportunity to develop their abilities and to participate, and when they are motivated. Design/methodology/approach: The data were gathered in a Dutch general hospital using employee questionnaires. Medical specialists were not included in the study. Findings: The results of the study suggest that employee development (e.g. skills training, general training, and task enrichment) and employee involvement (e.g. job autonomy, participation in decision making) are important HR practices in creating a high performance work climate in a health care organisation. Research limitations/implications: The data come from one hospital and the analysis is cross-sectional. However, the importance of the study lies in its focus on the individual employee perspective rather than the organisational level analyses which currently predominate in the HRM and performance debate. Practical implications: The training and development of health care employees can increase their affective commitment. Increasing employee involvement can also help stimulate citizenship behaviour. Originality/value: The paper looks at the non-profit sector, whereas the majority of previous HR research has focused on multinational companies. \u00a9 Emerald Group Publishing Limited.", "author" : [ { "dropping-particle" : "", "family" : "Boselie", "given" : "Paul", "non-dropping-particle" : "", "parse-names" : false, "suffix" : "" } ], "container-title" : "International Journal of Manpower", "id" : "ITEM-1", "issue" : "1", "issued" : { "date-parts" : [ [ "2010" ] ] }, "page" : "42-58", "title" : "High performance work practices in the health care sector: A Dutch case study", "type" : "article-journal", "volume" : "31" }, "uris" : [ "http://www.mendeley.com/documents/?uuid=a1717bb6-a722-4213-87d0-ca5efc310966" ] } ], "mendeley" : { "formattedCitation" : "(Boselie 2010)", "manualFormatting" : "Boselie (2010)", "plainTextFormattedCitation" : "(Boselie 2010)", "previouslyFormattedCitation" : "(Boselie 2010)" }, "properties" : { "noteIndex" : 0 }, "schema" : "https://github.com/citation-style-language/schema/raw/master/csl-citation.json" }</w:instrText>
      </w:r>
      <w:r w:rsidRPr="00452E2E">
        <w:rPr>
          <w:szCs w:val="24"/>
        </w:rPr>
        <w:fldChar w:fldCharType="separate"/>
      </w:r>
      <w:r w:rsidRPr="00452E2E">
        <w:rPr>
          <w:noProof/>
          <w:szCs w:val="24"/>
        </w:rPr>
        <w:t>Boselie (2010)</w:t>
      </w:r>
      <w:r w:rsidRPr="00452E2E">
        <w:rPr>
          <w:szCs w:val="24"/>
        </w:rPr>
        <w:fldChar w:fldCharType="end"/>
      </w:r>
      <w:r w:rsidRPr="00452E2E">
        <w:rPr>
          <w:szCs w:val="24"/>
        </w:rPr>
        <w:t xml:space="preserve"> found that ability-enhancing HPWS had positive effects on affective commitment; whilst both motivation and opportunity- enhancing HPWS did not relate to affective commitment. On the contrary, </w:t>
      </w:r>
      <w:r w:rsidRPr="00452E2E">
        <w:rPr>
          <w:szCs w:val="24"/>
        </w:rPr>
        <w:fldChar w:fldCharType="begin" w:fldLock="1"/>
      </w:r>
      <w:r w:rsidRPr="00452E2E">
        <w:rPr>
          <w:szCs w:val="24"/>
        </w:rPr>
        <w:instrText>ADDIN CSL_CITATION { "citationItems" : [ { "id" : "ITEM-1",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"ITEM-1",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"mendeley" : { "formattedCitation" : "(Fabi et al. 2015)", "manualFormatting" : "Fabi et al. (2015)", "plainTextFormattedCitation" : "(Fabi et al. 2015)", "previouslyFormattedCitation" : "(Fabi et al. 2015)" }, "properties" : { "noteIndex" : 0 }, "schema" : "https://github.com/citation-style-language/schema/raw/master/csl-citation.json" }</w:instrText>
      </w:r>
      <w:r w:rsidRPr="00452E2E">
        <w:rPr>
          <w:szCs w:val="24"/>
        </w:rPr>
        <w:fldChar w:fldCharType="separate"/>
      </w:r>
      <w:r w:rsidRPr="00452E2E">
        <w:rPr>
          <w:noProof/>
          <w:szCs w:val="24"/>
        </w:rPr>
        <w:t xml:space="preserve">Fabi </w:t>
      </w:r>
      <w:r w:rsidRPr="00452E2E">
        <w:rPr>
          <w:i/>
          <w:noProof/>
          <w:szCs w:val="24"/>
        </w:rPr>
        <w:t>et al</w:t>
      </w:r>
      <w:r w:rsidRPr="00452E2E">
        <w:rPr>
          <w:noProof/>
          <w:szCs w:val="24"/>
        </w:rPr>
        <w:t>. (2015)</w:t>
      </w:r>
      <w:r w:rsidRPr="00452E2E">
        <w:rPr>
          <w:szCs w:val="24"/>
        </w:rPr>
        <w:fldChar w:fldCharType="end"/>
      </w:r>
      <w:r w:rsidRPr="00452E2E">
        <w:rPr>
          <w:szCs w:val="24"/>
        </w:rPr>
        <w:t xml:space="preserve"> in their Canadian study of 730 employees found that each subsystem of ability, motivation, and opportunity-enhancing HR practices related positively to organizational commitment. True to the complementary nature of HR practices, the study found that the synergistic effects of the three subsystems of HR practices yielded higher positive effects on organizational commitment. </w:t>
      </w:r>
    </w:p>
    <w:p w:rsidR="00D03A8E" w:rsidRPr="00452E2E" w:rsidRDefault="00D03A8E" w:rsidP="00D03A8E">
      <w:pPr>
        <w:spacing w:line="360" w:lineRule="auto"/>
        <w:jc w:val="both"/>
        <w:rPr>
          <w:szCs w:val="24"/>
        </w:rPr>
      </w:pPr>
      <w:r w:rsidRPr="00452E2E">
        <w:rPr>
          <w:szCs w:val="24"/>
        </w:rPr>
        <w:t>In a meta-analysis of eighty-th</w:t>
      </w:r>
      <w:r w:rsidR="00D74D53" w:rsidRPr="00452E2E">
        <w:rPr>
          <w:szCs w:val="24"/>
        </w:rPr>
        <w:t>ree studies on</w:t>
      </w:r>
      <w:r w:rsidRPr="00452E2E">
        <w:rPr>
          <w:szCs w:val="24"/>
        </w:rPr>
        <w:t xml:space="preserve"> employees’ perceptions of high commitment practices and work outcomes, </w:t>
      </w:r>
      <w:r w:rsidRPr="00452E2E">
        <w:rPr>
          <w:szCs w:val="24"/>
        </w:rPr>
        <w:fldChar w:fldCharType="begin" w:fldLock="1"/>
      </w:r>
      <w:r w:rsidRPr="00452E2E">
        <w:rPr>
          <w:szCs w:val="24"/>
        </w:rPr>
        <w:instrText>ADDIN CSL_CITATION { "citationItems" : [ { "id" : "ITEM-1", "itemData" : { "DOI" : "10.1002/job", "ISBN" : "0143-7739", "ISSN" : "12045357", "PMID" : "21451395", "author" : [ { "dropping-particle" : "", "family" : "Kooij", "given" : "Dorien", "non-dropping-particle" : "", "parse-names" : false, "suffix" : "" }, { "dropping-particle" : "", "family" : "Jansen", "given" : "Paul G W", "non-dropping-particle" : "", "parse-names" : false, "suffix" : "" }, { "dropping-particle" : "", "family" : "Dikkers", "given" : "Josje S E", "non-dropping-particle" : "", "parse-names" : false, "suffix" : "" }, { "dropping-particle" : "", "family" : "Lange", "given" : "A.H.", "non-dropping-particle" : "De", "parse-names" : false, "suffix" : "" } ], "container-title" : "Journal of Organizational Behavior", "id" : "ITEM-1", "issued" : { "date-parts" : [ [ "2010" ] ] }, "page" : "1111-1136", "title" : "The influence of age on associations between HR practices and both affective commitment and job satisfaction: A meta-analysis", "type" : "article-journal", "volume" : "31" }, "uris" : [ "http://www.mendeley.com/documents/?uuid=9656bbe6-a94f-4f61-90d3-f187e33ddc6d" ] } ], "mendeley" : { "formattedCitation" : "(Kooij et al. 2010)", "manualFormatting" : "Kooij et al. (2010)", "plainTextFormattedCitation" : "(Kooij et al. 2010)", "previouslyFormattedCitation" : "(Kooij et al. 2010)" }, "properties" : { "noteIndex" : 0 }, "schema" : "https://github.com/citation-style-language/schema/raw/master/csl-citation.json" }</w:instrText>
      </w:r>
      <w:r w:rsidRPr="00452E2E">
        <w:rPr>
          <w:szCs w:val="24"/>
        </w:rPr>
        <w:fldChar w:fldCharType="separate"/>
      </w:r>
      <w:r w:rsidRPr="00452E2E">
        <w:rPr>
          <w:noProof/>
          <w:szCs w:val="24"/>
        </w:rPr>
        <w:t xml:space="preserve">Kooij </w:t>
      </w:r>
      <w:r w:rsidRPr="00452E2E">
        <w:rPr>
          <w:i/>
          <w:noProof/>
          <w:szCs w:val="24"/>
        </w:rPr>
        <w:t>et al</w:t>
      </w:r>
      <w:r w:rsidRPr="00452E2E">
        <w:rPr>
          <w:noProof/>
          <w:szCs w:val="24"/>
        </w:rPr>
        <w:t>. (2010)</w:t>
      </w:r>
      <w:r w:rsidRPr="00452E2E">
        <w:rPr>
          <w:szCs w:val="24"/>
        </w:rPr>
        <w:fldChar w:fldCharType="end"/>
      </w:r>
      <w:r w:rsidRPr="00452E2E">
        <w:rPr>
          <w:szCs w:val="24"/>
        </w:rPr>
        <w:t xml:space="preserve"> reported positive effects of maintenance and development HRM bundles on affective commitment. However, maintenance HR bundle had stronger effects on affective commitment in older age while the effects of developmental HR practices on affective commitment weakened in older age. Similar findings were reported in a separate study conducted by </w:t>
      </w:r>
      <w:r w:rsidRPr="00452E2E">
        <w:rPr>
          <w:szCs w:val="24"/>
        </w:rPr>
        <w:fldChar w:fldCharType="begin" w:fldLock="1"/>
      </w:r>
      <w:r w:rsidRPr="00452E2E">
        <w:rPr>
          <w:szCs w:val="24"/>
        </w:rPr>
        <w:instrText>ADDIN CSL_CITATION { "citationItems" : [ { "id" : "ITEM-1", "itemData" : { "DOI" : "10.1111/1748-8583.12000", "ISBN" : "1748-8583\\n0954-5395", "ISSN" : "09545395", "abstract" : "With changing retirement ages and an aging workforce, interest is growing on the potential contribution of relevant bundles of HR practices in eliciting well-being and performance among aging workers. Drawing on theories on lifespan development and self-regulation, we distinguished two bundles of HR practices: development HR practices that help individual workers reach higher levels of functioning (e.g. training), and maintenance HR practices that help individual workers maintain their current levels of functioning in the face of new challenges (e.g. performance appraisal). Further, based on lifespan theories, we expected and found that the association between development HR practices and well-being (i.e. job satisfaction, organisational commitment and organisational fairness) weakens, and that the associations between maintenance HR practices and well-being, and between development HR practices and employee performance, strengthen with age. In addition, a third bundle of \u2018job enrichment\u2019 HR practices emerged that elicited higher job performance among aging workers.", "author" : [ { "dropping-particle" : "", "family" : "Kooij", "given" : "Dorien T A M", "non-dropping-particle" : "", "parse-names" : false, "suffix" : "" }, { "dropping-particle" : "", "family" : "Guest", "given" : "David E.", "non-dropping-particle" : "", "parse-names" : false, "suffix" : "" }, { "dropping-particle" : "", "family" : "Clinton", "given" : "Mike", "non-dropping-particle" : "", "parse-names" : false, "suffix" : "" }, { "dropping-particle" : "", "family" : "Knight", "given" : "Terry", "non-dropping-particle" : "", "parse-names" : false, "suffix" : "" }, { "dropping-particle" : "", "family" : "Jansen", "given" : "Paul G W", "non-dropping-particle" : "", "parse-names" : false, "suffix" : "" }, { "dropping-particle" : "", "family" : "Dikkers", "given" : "Josje S E", "non-dropping-particle" : "", "parse-names" : false, "suffix" : "" } ], "container-title" : "Human Resource Management Journal", "id" : "ITEM-1", "issue" : "1", "issued" : { "date-parts" : [ [ "2013" ] ] }, "page" : "18-35", "title" : "How the impact of HR practices on employee well-being and performance changes with age", "type" : "article-journal", "volume" : "23" }, "uris" : [ "http://www.mendeley.com/documents/?uuid=0f6e933c-c3a0-452d-aeda-c3544f34e4f7" ] } ], "mendeley" : { "formattedCitation" : "(Kooij et al. 2013)", "manualFormatting" : "Kooij et al. (2013)", "plainTextFormattedCitation" : "(Kooij et al. 2013)", "previouslyFormattedCitation" : "(Kooij et al. 2013)" }, "properties" : { "noteIndex" : 0 }, "schema" : "https://github.com/citation-style-language/schema/raw/master/csl-citation.json" }</w:instrText>
      </w:r>
      <w:r w:rsidRPr="00452E2E">
        <w:rPr>
          <w:szCs w:val="24"/>
        </w:rPr>
        <w:fldChar w:fldCharType="separate"/>
      </w:r>
      <w:r w:rsidRPr="00452E2E">
        <w:rPr>
          <w:noProof/>
          <w:szCs w:val="24"/>
        </w:rPr>
        <w:t xml:space="preserve">Kooij </w:t>
      </w:r>
      <w:r w:rsidRPr="00452E2E">
        <w:rPr>
          <w:i/>
          <w:noProof/>
          <w:szCs w:val="24"/>
        </w:rPr>
        <w:t>et al</w:t>
      </w:r>
      <w:r w:rsidRPr="00452E2E">
        <w:rPr>
          <w:noProof/>
          <w:szCs w:val="24"/>
        </w:rPr>
        <w:t>. (2013)</w:t>
      </w:r>
      <w:r w:rsidRPr="00452E2E">
        <w:rPr>
          <w:szCs w:val="24"/>
        </w:rPr>
        <w:fldChar w:fldCharType="end"/>
      </w:r>
      <w:r w:rsidRPr="00452E2E">
        <w:rPr>
          <w:szCs w:val="24"/>
        </w:rPr>
        <w:t xml:space="preserve"> in three public hospitals in UK.</w:t>
      </w:r>
    </w:p>
    <w:p w:rsidR="00D03A8E" w:rsidRPr="00452E2E" w:rsidRDefault="00D03A8E" w:rsidP="00D03A8E">
      <w:pPr>
        <w:spacing w:line="360" w:lineRule="auto"/>
        <w:jc w:val="both"/>
        <w:rPr>
          <w:szCs w:val="24"/>
        </w:rPr>
      </w:pPr>
      <w:r w:rsidRPr="00452E2E">
        <w:rPr>
          <w:szCs w:val="24"/>
        </w:rPr>
        <w:t xml:space="preserve">Among the studies examining the effects of a set of practices on organizational commitment,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"mendeley" : { "formattedCitation" : "(Appelbaum et al. 2000)", "manualFormatting" : "Appelbaum et al. (2000)", "plainTextFormattedCitation" : "(Appelbaum et al. 2000)", "previouslyFormattedCitation" : "(Appelbaum et al. 2000)" }, "properties" : { "noteIndex" : 0 }, "schema" : "https://github.com/citation-style-language/schema/raw/master/csl-citation.json" }</w:instrText>
      </w:r>
      <w:r w:rsidRPr="00452E2E">
        <w:rPr>
          <w:szCs w:val="24"/>
        </w:rPr>
        <w:fldChar w:fldCharType="separate"/>
      </w:r>
      <w:r w:rsidRPr="00452E2E">
        <w:rPr>
          <w:noProof/>
          <w:szCs w:val="24"/>
        </w:rPr>
        <w:t xml:space="preserve">Appelbaum </w:t>
      </w:r>
      <w:r w:rsidRPr="00452E2E">
        <w:rPr>
          <w:i/>
          <w:noProof/>
          <w:szCs w:val="24"/>
        </w:rPr>
        <w:t>et al</w:t>
      </w:r>
      <w:r w:rsidRPr="00452E2E">
        <w:rPr>
          <w:noProof/>
          <w:szCs w:val="24"/>
        </w:rPr>
        <w:t>. (2000)</w:t>
      </w:r>
      <w:r w:rsidRPr="00452E2E">
        <w:rPr>
          <w:szCs w:val="24"/>
        </w:rPr>
        <w:fldChar w:fldCharType="end"/>
      </w:r>
      <w:r w:rsidRPr="00452E2E">
        <w:rPr>
          <w:szCs w:val="24"/>
        </w:rPr>
        <w:t xml:space="preserve"> in their USA study found that fair pay, pay for performance, opportunity to participate, and autonomy influenced organizational commitment positively. </w:t>
      </w:r>
      <w:r w:rsidRPr="00452E2E">
        <w:rPr>
          <w:szCs w:val="24"/>
        </w:rPr>
        <w:fldChar w:fldCharType="begin" w:fldLock="1"/>
      </w:r>
      <w:r w:rsidRPr="00452E2E">
        <w:rPr>
          <w:szCs w:val="24"/>
        </w:rPr>
        <w:instrText>ADDIN CSL_CITATION { "citationItems" : [ { "id" : "ITEM-1", "itemData" : { "author" : [ { "dropping-particle" : "", "family" : "Whitener", "given" : "Elien M.", "non-dropping-particle" : "", "parse-names" : false, "suffix" : "" } ], "container-title" : "Journal of Management", "id" : "ITEM-1", "issued" : { "date-parts" : [ [ "2001" ] ] }, "page" : "515-535", "title" : "Do high commitment human resource practices affect employee commitment: A cross-level analysis using hierarchical linear modeling", "type" : "article-journal", "volume" : "27" }, "uris" : [ "http://www.mendeley.com/documents/?uuid=550ce3ee-ebf5-4294-afc8-c4144963a042" ] } ], "mendeley" : { "formattedCitation" : "(Whitener 2001)", "manualFormatting" : "Whitener (2001)", "plainTextFormattedCitation" : "(Whitener 2001)", "previouslyFormattedCitation" : "(Whitener 2001)" }, "properties" : { "noteIndex" : 0 }, "schema" : "https://github.com/citation-style-language/schema/raw/master/csl-citation.json" }</w:instrText>
      </w:r>
      <w:r w:rsidRPr="00452E2E">
        <w:rPr>
          <w:szCs w:val="24"/>
        </w:rPr>
        <w:fldChar w:fldCharType="separate"/>
      </w:r>
      <w:r w:rsidRPr="00452E2E">
        <w:rPr>
          <w:noProof/>
          <w:szCs w:val="24"/>
        </w:rPr>
        <w:t>Whitener (2001)</w:t>
      </w:r>
      <w:r w:rsidRPr="00452E2E">
        <w:rPr>
          <w:szCs w:val="24"/>
        </w:rPr>
        <w:fldChar w:fldCharType="end"/>
      </w:r>
      <w:r w:rsidRPr="00452E2E">
        <w:rPr>
          <w:szCs w:val="24"/>
        </w:rPr>
        <w:t xml:space="preserve"> found that high-commitment </w:t>
      </w:r>
      <w:r w:rsidR="00F21480" w:rsidRPr="00452E2E">
        <w:rPr>
          <w:szCs w:val="24"/>
        </w:rPr>
        <w:t xml:space="preserve">HR practices </w:t>
      </w:r>
      <w:r w:rsidRPr="00452E2E">
        <w:rPr>
          <w:szCs w:val="24"/>
        </w:rPr>
        <w:t xml:space="preserve">such as staffing, appraisal, training, and rewards had </w:t>
      </w:r>
      <w:r w:rsidR="004A24B6" w:rsidRPr="00452E2E">
        <w:rPr>
          <w:szCs w:val="24"/>
        </w:rPr>
        <w:t xml:space="preserve">a </w:t>
      </w:r>
      <w:r w:rsidRPr="00452E2E">
        <w:rPr>
          <w:szCs w:val="24"/>
        </w:rPr>
        <w:t>positive influence on organizational commitment. HR practices such as employee-friendly work environment, career development, development-</w:t>
      </w:r>
      <w:r w:rsidRPr="00452E2E">
        <w:rPr>
          <w:szCs w:val="24"/>
        </w:rPr>
        <w:lastRenderedPageBreak/>
        <w:t xml:space="preserve">oriented appraisal, and comprehensive training were found to significantly influence organizational commitment in </w:t>
      </w:r>
      <w:r w:rsidRPr="00452E2E">
        <w:rPr>
          <w:szCs w:val="24"/>
        </w:rPr>
        <w:fldChar w:fldCharType="begin" w:fldLock="1"/>
      </w:r>
      <w:r w:rsidRPr="00452E2E">
        <w:rPr>
          <w:szCs w:val="24"/>
        </w:rPr>
        <w:instrText>ADDIN CSL_CITATION { "citationItems" : [ { "id" : "ITEM-1", "itemData" : { "DOI" : "10.1002/hrdq.1088", "ISBN" : "1532-1096", "ISSN" : "1044-8004", "abstract" : "Although organizational commitment has been discussed frequently in organizational psychology for almost fourdecades, few studies have involved software professionals. A study in India reveals that HRM practices such asemployee-friendly work environment, career development, developmentoriented appraisal, and comprehensivetraining show a significant positive relationship with organizational commitment. The study's results emphasizethe role of such HRD variables as inculcating and enhancing organizational commitment, and suggest that HRDpractitioners and researchers should further develop commitment-oriented organization policies.", "author" : [ { "dropping-particle" : "", "family" : "Paul", "given" : "A. K", "non-dropping-particle" : "", "parse-names" : false, "suffix" : "" }, { "dropping-particle" : "", "family" : "Anantharaman", "given" : "R N", "non-dropping-particle" : "", "parse-names" : false, "suffix" : "" } ], "container-title" : "Human Resource Development Quarterly", "id" : "ITEM-1", "issue" : "1", "issued" : { "date-parts" : [ [ "2004" ] ] }, "page" : "77-88", "title" : "Influence of HRM practices on organizational commitment: A study among software professionals in India", "type" : "article-journal", "volume" : "15" }, "uris" : [ "http://www.mendeley.com/documents/?uuid=17d52cd9-11f9-4469-a1f4-5871c9f86526" ] } ], "mendeley" : { "formattedCitation" : "(Paul &amp; Anantharaman 2004)", "manualFormatting" : "Paul &amp; Anantharaman's (2004)", "plainTextFormattedCitation" : "(Paul &amp; Anantharaman 2004)", "previouslyFormattedCitation" : "(Paul &amp; Anantharaman 2004)" }, "properties" : { "noteIndex" : 0 }, "schema" : "https://github.com/citation-style-language/schema/raw/master/csl-citation.json" }</w:instrText>
      </w:r>
      <w:r w:rsidRPr="00452E2E">
        <w:rPr>
          <w:szCs w:val="24"/>
        </w:rPr>
        <w:fldChar w:fldCharType="separate"/>
      </w:r>
      <w:r w:rsidRPr="00452E2E">
        <w:rPr>
          <w:noProof/>
          <w:szCs w:val="24"/>
        </w:rPr>
        <w:t>Paul &amp; Anantharaman's (2004)</w:t>
      </w:r>
      <w:r w:rsidRPr="00452E2E">
        <w:rPr>
          <w:szCs w:val="24"/>
        </w:rPr>
        <w:fldChar w:fldCharType="end"/>
      </w:r>
      <w:r w:rsidRPr="00452E2E">
        <w:rPr>
          <w:szCs w:val="24"/>
        </w:rPr>
        <w:t xml:space="preserve"> study of software professionals in India. </w:t>
      </w:r>
      <w:r w:rsidRPr="00452E2E">
        <w:rPr>
          <w:szCs w:val="24"/>
        </w:rPr>
        <w:fldChar w:fldCharType="begin" w:fldLock="1"/>
      </w:r>
      <w:r w:rsidRPr="00452E2E">
        <w:rPr>
          <w:szCs w:val="24"/>
        </w:rPr>
        <w:instrText>ADDIN CSL_CITATION { "citationItems" : [ { "id" : "ITEM-1", "itemData" : { "abstract" : "Participation in three types of development activities is examined among salaried employees of a firm that significantly increased access to development after a series of layoffs in the late 1990s. Analyses of survey and archival data representing 667 employees show that on-the-job training was positively related to organisational commitment and negatively related to intention to turnover. Participation in tuition-reimbursement, which provides more general or marketable skills, was positively related to intention to turnover. However, intention to turnover was reduced after earning a degree through tuition-reimbursement if employees were subsequently promoted. Implications for an employment relationship based on 'employability' are discussed. PUBLICATION ABSTRACT", "author" : [ { "dropping-particle" : "", "family" : "Benson", "given" : "George S.", "non-dropping-particle" : "", "parse-names" : false, "suffix" : "" } ], "container-title" : "Human Resource Management Journal", "id" : "ITEM-1", "issue" : "2", "issued" : { "date-parts" : [ [ "2006" ] ] }, "page" : "173-192", "title" : "Employee development, commitment and intention to turnover: A test of 'employability' policies in action", "type" : "article-journal", "volume" : "16" }, "uris" : [ "http://www.mendeley.com/documents/?uuid=53c47e6b-4c3e-45b4-9bda-344c8ee0f673" ] } ], "mendeley" : { "formattedCitation" : "(Benson 2006)", "manualFormatting" : "Benson (2006)", "plainTextFormattedCitation" : "(Benson 2006)", "previouslyFormattedCitation" : "(Benson 2006)" }, "properties" : { "noteIndex" : 0 }, "schema" : "https://github.com/citation-style-language/schema/raw/master/csl-citation.json" }</w:instrText>
      </w:r>
      <w:r w:rsidRPr="00452E2E">
        <w:rPr>
          <w:szCs w:val="24"/>
        </w:rPr>
        <w:fldChar w:fldCharType="separate"/>
      </w:r>
      <w:r w:rsidRPr="00452E2E">
        <w:rPr>
          <w:noProof/>
          <w:szCs w:val="24"/>
        </w:rPr>
        <w:t>Benson (2006)</w:t>
      </w:r>
      <w:r w:rsidRPr="00452E2E">
        <w:rPr>
          <w:szCs w:val="24"/>
        </w:rPr>
        <w:fldChar w:fldCharType="end"/>
      </w:r>
      <w:r w:rsidRPr="00452E2E">
        <w:rPr>
          <w:szCs w:val="24"/>
        </w:rPr>
        <w:t xml:space="preserve"> found a positive relationship between on-the-job training and</w:t>
      </w:r>
      <w:r w:rsidR="006205AB" w:rsidRPr="00452E2E">
        <w:rPr>
          <w:szCs w:val="24"/>
        </w:rPr>
        <w:t xml:space="preserve"> organizational commitment whilst</w:t>
      </w:r>
      <w:r w:rsidRPr="00452E2E">
        <w:rPr>
          <w:szCs w:val="24"/>
        </w:rPr>
        <w:t xml:space="preserve"> </w:t>
      </w:r>
      <w:r w:rsidRPr="00452E2E">
        <w:rPr>
          <w:szCs w:val="24"/>
        </w:rPr>
        <w:fldChar w:fldCharType="begin" w:fldLock="1"/>
      </w:r>
      <w:r w:rsidRPr="00452E2E">
        <w:rPr>
          <w:szCs w:val="24"/>
        </w:rPr>
        <w:instrText>ADDIN CSL_CITATION { "citationItems" : [ { "id" : "ITEM-1",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"Herrbach", "given" : "Olivier", "non-dropping-particle" : "", "parse-names" : false, "suffix" : "" }, { "dropping-particle" : "", "family" : "Mignonac", "given" : "Karim", "non-dropping-particle" : "", "parse-names" : false, "suffix" : "" }, { "dropping-particle" : "", "family" : "Vandenbeghe", "given" : "C", "non-dropping-particle" : "", "parse-names" : false, "suffix" : "" }, { "dropping-particle" : "", "family" : "Negrini", "given" : "A", "non-dropping-particle" : "", "parse-names" : false, "suffix" : "" } ], "container-title" : "Human Resource Management", "id" : "ITEM-1", "issue" : "6", "issued" : { "date-parts" : [ [ "2009" ] ] }, "page" : "895-915", "title" : "Perceived HRM practices, organizational commitment, and voluntary early retirement among late career managers", "type" : "article-journal", "volume" : "48" }, "uris" : [ "http://www.mendeley.com/documents/?uuid=1b165dc8-8055-4a8b-bc0e-388885049c28" ] } ], "mendeley" : { "formattedCitation" : "(Herrbach et al. 2009)", "manualFormatting" : "Herrbach et al. (2009)", "plainTextFormattedCitation" : "(Herrbach et al. 2009)", "previouslyFormattedCitation" : "(Herrbach et al. 2009)" }, "properties" : { "noteIndex" : 0 }, "schema" : "https://github.com/citation-style-language/schema/raw/master/csl-citation.json" }</w:instrText>
      </w:r>
      <w:r w:rsidRPr="00452E2E">
        <w:rPr>
          <w:szCs w:val="24"/>
        </w:rPr>
        <w:fldChar w:fldCharType="separate"/>
      </w:r>
      <w:r w:rsidRPr="00452E2E">
        <w:rPr>
          <w:noProof/>
          <w:szCs w:val="24"/>
        </w:rPr>
        <w:t xml:space="preserve">Herrbach </w:t>
      </w:r>
      <w:r w:rsidRPr="00452E2E">
        <w:rPr>
          <w:i/>
          <w:noProof/>
          <w:szCs w:val="24"/>
        </w:rPr>
        <w:t>et al</w:t>
      </w:r>
      <w:r w:rsidRPr="00452E2E">
        <w:rPr>
          <w:noProof/>
          <w:szCs w:val="24"/>
        </w:rPr>
        <w:t>. (2009)</w:t>
      </w:r>
      <w:r w:rsidRPr="00452E2E">
        <w:rPr>
          <w:szCs w:val="24"/>
        </w:rPr>
        <w:fldChar w:fldCharType="end"/>
      </w:r>
      <w:r w:rsidRPr="00452E2E">
        <w:rPr>
          <w:szCs w:val="24"/>
        </w:rPr>
        <w:t xml:space="preserve"> in their study of 514 French late-career managers found that provision of opportunities for training related positively to affective commitment and high-sacrifice commitment. However, the provision of opportunities for training related negatively to lack-of-alternatives commitment. </w:t>
      </w:r>
      <w:r w:rsidRPr="00452E2E">
        <w:rPr>
          <w:szCs w:val="24"/>
        </w:rPr>
        <w:fldChar w:fldCharType="begin" w:fldLock="1"/>
      </w:r>
      <w:r w:rsidRPr="00452E2E">
        <w:rPr>
          <w:szCs w:val="24"/>
        </w:rPr>
        <w:instrText>ADDIN CSL_CITATION { "citationItems" : [ { "id" : "ITEM-1", "itemData" : { "DOI" : "10.1080/09585192.2013.763841", "ISBN" : "0958-5192", "ISSN" : "0958-5192", "abstract" : "This study examined the mediating effects of organizational commitment (OC) and organizational engagement (OE) on the relationship between human resource (HR) practices (career management, performance appraisal, compensation, person-job fit and job control) and turnover intention. A total of 457 employees working in various sectors in a selected region in Malaysia participated in this study. It was found that all the variables used to measure HR practices have significant effects on OC and OE. However, multiple regression analyses indicated that career management and job control did not have any significant influence on turnover intention. OC and OE were discovered to give partial mediating effects on the relationship between HR practices and turnover intention. \u00a9 2013 \u00a9 2013 Taylor &amp; Francis.", "author" : [ { "dropping-particle" : "", "family" : "Juhdi", "given" : "Nurita", "non-dropping-particle" : "", "parse-names" : false, "suffix" : "" }, { "dropping-particle" : "", "family" : "Pa'wan", "given" : "Fatimah", "non-dropping-particle" : "", "parse-names" : false, "suffix" : "" }, { "dropping-particle" : "", "family" : "Hansaram", "given" : "Ram Milah Kaur", "non-dropping-particle" : "", "parse-names" : false, "suffix" : "" } ], "container-title" : "The International Journal of Human Resource Management", "id" : "ITEM-1", "issue" : "15", "issued" : { "date-parts" : [ [ "2013" ] ] }, "page" : "3002-3019", "title" : "HR practices and turnover intention: The mediating roles of organizational commitment and organizational engagement in a selected region in Malaysia", "type" : "article-journal", "volume" : "24" }, "uris" : [ "http://www.mendeley.com/documents/?uuid=9d0a4d40-82bb-4b73-9c1a-b9ab2a91c26a" ] } ], "mendeley" : { "formattedCitation" : "(Juhdi et al. 2013)", "manualFormatting" : "Juhdi et al. (2013)", "plainTextFormattedCitation" : "(Juhdi et al. 2013)", "previouslyFormattedCitation" : "(Juhdi et al. 2013)" }, "properties" : { "noteIndex" : 0 }, "schema" : "https://github.com/citation-style-language/schema/raw/master/csl-citation.json" }</w:instrText>
      </w:r>
      <w:r w:rsidRPr="00452E2E">
        <w:rPr>
          <w:szCs w:val="24"/>
        </w:rPr>
        <w:fldChar w:fldCharType="separate"/>
      </w:r>
      <w:r w:rsidRPr="00452E2E">
        <w:rPr>
          <w:noProof/>
          <w:szCs w:val="24"/>
        </w:rPr>
        <w:t xml:space="preserve">Juhdi </w:t>
      </w:r>
      <w:r w:rsidRPr="00452E2E">
        <w:rPr>
          <w:i/>
          <w:noProof/>
          <w:szCs w:val="24"/>
        </w:rPr>
        <w:t>et al</w:t>
      </w:r>
      <w:r w:rsidRPr="00452E2E">
        <w:rPr>
          <w:noProof/>
          <w:szCs w:val="24"/>
        </w:rPr>
        <w:t>. (2013)</w:t>
      </w:r>
      <w:r w:rsidRPr="00452E2E">
        <w:rPr>
          <w:szCs w:val="24"/>
        </w:rPr>
        <w:fldChar w:fldCharType="end"/>
      </w:r>
      <w:r w:rsidRPr="00452E2E">
        <w:rPr>
          <w:szCs w:val="24"/>
        </w:rPr>
        <w:t xml:space="preserve"> in their study of 457 employees working in different organizations in a region in Malaysia found that career management, performance appraisal, and compensation were positively related to organizational commitment. </w:t>
      </w:r>
    </w:p>
    <w:p w:rsidR="00D03A8E" w:rsidRPr="00452E2E" w:rsidRDefault="00D03A8E" w:rsidP="00D03A8E">
      <w:pPr>
        <w:spacing w:line="360" w:lineRule="auto"/>
        <w:jc w:val="both"/>
        <w:rPr>
          <w:szCs w:val="24"/>
        </w:rPr>
      </w:pPr>
      <w:r w:rsidRPr="00452E2E">
        <w:rPr>
          <w:szCs w:val="24"/>
        </w:rPr>
        <w:t xml:space="preserve">Apart from the studies reported above, other researchers have examined, individually, the effects of employee benefits </w:t>
      </w:r>
      <w:r w:rsidRPr="00452E2E">
        <w:rPr>
          <w:szCs w:val="24"/>
        </w:rPr>
        <w:fldChar w:fldCharType="begin" w:fldLock="1"/>
      </w:r>
      <w:r w:rsidRPr="00452E2E">
        <w:rPr>
          <w:szCs w:val="24"/>
        </w:rPr>
        <w:instrText>ADDIN CSL_CITATION { "citationItems" : [ { "id" : "ITEM-1",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"ITEM-1", "issue" : "1", "issued" : { "date-parts" : [ [ "2005" ] ] }, "page" : "3-29", "title" : "Benefit system effects on employees' benefit knowledge, use and organizational commitment", "type" : "article-journal", "volume" : "20" }, "uris" : [ "http://www.mendeley.com/documents/?uuid=76153374-7214-4e74-b268-ebcd9498b8b1" ] }, { "id" : "ITEM-2", "itemData" : { "abstract" : "In the United States the Baby Boomer generation is advancing toward retirement age and many are choosing to stay in the workforce. This study develops and analyzes a model of the impact of older-worker-friendly (OWF) policies in organizations on job satisfaction, strain-based work/family conflict, and affective organizational commitment in older workers. The data included 368 full-time employed persons age 50 years or older who participated in a telephone survey. Linear regression was used to analyze the hypothesized relationships. Results indicated that the model was supported. Older workers who</w:instrText>
      </w:r>
      <w:r w:rsidRPr="00452E2E">
        <w:rPr>
          <w:szCs w:val="24"/>
          <w:lang w:val="fr-FR"/>
        </w:rPr>
        <w:instrText xml:space="preserve"> were employed at organizations with more older-worker-friendly policies had higher levels of job satisfaction and lower levels of strain-based work/family conflict, which led to higher levels of affective organizational commitment.", "author" : [ { "dropping-particle" : "", "family" : "Crowne", "given" : "Kerri Anne", "non-dropping-particle" : "", "parse-names" : false, "suffix" : "" }, { "dropping-particle" : "", "family" : "Cochran", "given" : "Jeremy", "non-dropping-particle" : "", "parse-names" : false, "suffix" : "" }, { "dropping-particle" : "", "family" : "Carpenter", "given" : "Caryl E.", "non-dropping-particle" : "", "parse-names" : false, "suffix" : "" } ], "container-title" : "Organization Management Journal", "id" : "ITEM-2", "issue" : "2", "issued" : { "date-parts" : [ [ "2014" ] ] }, "page" : "62-73", "title" : "Older-worker-friendly policies and affective organizational commitment", "type" : "article-journal", "volume" : "11" }, "uris" : [ "http://www.mendeley.com/documents/?uuid=5cc7ea72-f4c5-4d19-9844-ff4114590e83" ] } ], "mendeley" : { "formattedCitation" : "(Sinclair et al. 2005; Crowne et al. 2014)", "manualFormatting" : "(e.g. Sinclair et al., 2005; Crowne et al., 2014)", "plainTextFormattedCitation" : "(Sinclair et al. 2005; Crowne et al. 2014)", "previouslyFormattedCitation" : "(Sinclair et al. 2005; Crowne et al. 2014)" }, "properties" : { "noteIndex" : 0 }, "schema" : "https://github.com/citation-style-language/schema/raw/master/csl-citation.json" }</w:instrText>
      </w:r>
      <w:r w:rsidRPr="00452E2E">
        <w:rPr>
          <w:szCs w:val="24"/>
        </w:rPr>
        <w:fldChar w:fldCharType="separate"/>
      </w:r>
      <w:r w:rsidRPr="00452E2E">
        <w:rPr>
          <w:noProof/>
          <w:szCs w:val="24"/>
          <w:lang w:val="fr-FR"/>
        </w:rPr>
        <w:t xml:space="preserve">(e.g. Sinclair </w:t>
      </w:r>
      <w:r w:rsidRPr="00452E2E">
        <w:rPr>
          <w:i/>
          <w:noProof/>
          <w:szCs w:val="24"/>
          <w:lang w:val="fr-FR"/>
        </w:rPr>
        <w:t>et al</w:t>
      </w:r>
      <w:r w:rsidRPr="00452E2E">
        <w:rPr>
          <w:noProof/>
          <w:szCs w:val="24"/>
          <w:lang w:val="fr-FR"/>
        </w:rPr>
        <w:t xml:space="preserve">., 2005; Crowne </w:t>
      </w:r>
      <w:r w:rsidRPr="00452E2E">
        <w:rPr>
          <w:i/>
          <w:noProof/>
          <w:szCs w:val="24"/>
          <w:lang w:val="fr-FR"/>
        </w:rPr>
        <w:t>et al</w:t>
      </w:r>
      <w:r w:rsidRPr="00452E2E">
        <w:rPr>
          <w:noProof/>
          <w:szCs w:val="24"/>
          <w:lang w:val="fr-FR"/>
        </w:rPr>
        <w:t>., 2014)</w:t>
      </w:r>
      <w:r w:rsidRPr="00452E2E">
        <w:rPr>
          <w:szCs w:val="24"/>
        </w:rPr>
        <w:fldChar w:fldCharType="end"/>
      </w:r>
      <w:r w:rsidRPr="00452E2E">
        <w:rPr>
          <w:szCs w:val="24"/>
          <w:lang w:val="fr-FR"/>
        </w:rPr>
        <w:t xml:space="preserve">; employee participation </w:t>
      </w:r>
      <w:r w:rsidRPr="00452E2E">
        <w:rPr>
          <w:szCs w:val="24"/>
        </w:rPr>
        <w:fldChar w:fldCharType="begin" w:fldLock="1"/>
      </w:r>
      <w:r w:rsidRPr="00452E2E">
        <w:rPr>
          <w:szCs w:val="24"/>
          <w:lang w:val="fr-FR"/>
        </w:rPr>
        <w:instrText>ADDIN CSL_CITATION { "citationItems" : [ { "id" : "ITEM-1",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w:instrText>
      </w:r>
      <w:r w:rsidRPr="00452E2E">
        <w:rPr>
          <w:szCs w:val="24"/>
        </w:rPr>
        <w:instrText>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"ITEM-1", "issue" : "4", "issued" : { "date-parts" : [ [ "2010" ] ] }, "page" : "368-392", "title" : "Participative decision making and organizational commitment", "type" : "article-journal", "volume" : "17" }, "uris" : [ "http://www.mendeley.com/documents/?uuid=0fdfa12a-cb95-4f52-9f14-24feff7c4e3b" ] }, { "id" : "ITEM-2", "itemData" : { "DOI" : "10.1080/13678868.2011.621286", "ISBN" : "1367-8868\\r1469-8374", "ISSN" : "1367-8868", "abstract" : "This paper explores the moderating role of cultural values on relationships between participation satisfaction (PS) and employees\u2019 organizational commitment (OC). A survey of 1390 employees of Bharat Sanchar Nigam Limited, a Government of India Public Sector Undertaking providing telecommunication services across India, shows that PS is directly related to OC, and is moderated by employees\u2019 cultural values at individual level. The form of moderation reveals: positive and insignificant relationship between PS and affective commitment for employees high in uncertainty avoidance; positive and significant relationship between PS and normative commitment for employees high in individualism/collectivism, low in masculinity/femininity, and low in power distance. No moderation has been found in the relationship between PS and continuance commitment. [ABSTRACT FROM AUTHOR]", "author" : [ { "dropping-particle" : "", "family" : "Singh", "given" : "R.N.", "non-dropping-particle" : "", "parse-names" : false, "suffix" : "" }, { "dropping-particle" : "", "family" : "Mohanty", "given" : "R.P.", "non-dropping-particle" : "", "parse-names" : false, "suffix" : "" } ], "container-title" : "Human Resource Development International", "id" : "ITEM-2", "issue" : "5", "issued" : { "date-parts" : [ [ "2011" ] ] }, "page" : "583-603", "title" : "Participation satisfaction and organizational commitment: Moderating role of employee's cultural values", "type" : "article-journal", "volume" : "14" }, "uris" : [ "http://www.mendeley.com/documents/?uuid=458f8c4b-7056-4521-8366-361c5f606987" ] }, { "id" : "ITEM-3", "itemData" : { "DOI" : "10.1177/0899764012451368", "ISSN" : "0899-7640", "abstract" : "This article studies the influence of the procedural justice resulting from participation in decision-making on employees' affective commitment in social enterprises. It also examines whether any potential link between participation and commitment is due to social exchange, as is the case with for-profit companies. The study is based on data from employees of French work integration social enterprises. The results confirm the positive relationship between procedural justice and affective commitment and the mediating role of perceived organizational support and leader--member exchanges. Managerial recommendations are then given to best maintain or increase employees' involvement in the decision-making processes of social enterprises.", "author" : [ { "dropping-particle" : "", "family" : "Ohana", "given" : "M.", "non-dropping-particle" : "", "parse-names" : false, "suffix" : "" }, { "dropping-particle" : "", "family" : "Meyer", "given" : "M.", "non-dropping-particle" : "", "parse-names" : false, "suffix" : "" }, { "dropping-particle" : "", "family" : "Swaton", "given" : "S.", "non-dropping-particle" : "", "parse-names" : false, "suffix" : "" } ], "container-title" : "Nonprofit and Voluntary Sector Quarterly", "id" : "ITEM-3", "issue" : "6", "issued" : { "date-parts" : [ [ "2012" ] ] }, "page" : "1092-1110", "title" : "Decision-making in social enterprises: exploring the link between employee participation and organizational commitment", "type" : "article-journal", "volume" : "42" }, "uris" : [ "http://www.mendeley.com/documents/?uuid=371b7b95-5348-4c25-89be-ba9fe30dd952" ] } ], "mendeley" : { "formattedCitation" : "(Elele &amp; Fields 2010; Singh &amp; Mohanty 2011; Ohana et al. 2012)", "manualFormatting" : "(e.g. Elele &amp; Fields, 2010; Singh &amp; Mohanty, 2011; Ohana et al., 2012)", "plainTextFormattedCitation" : "(Elele &amp; Fields 2010; Singh &amp; Mohanty 2011; Ohana et al. 2012)", "previouslyFormattedCitation" : "(Elele &amp; Fields 2010; Singh &amp; Mohanty 2011; Ohana et al. 2012)" }, "properties" : { "noteIndex" : 0 }, "schema" : "https://github.com/citation-style-language/schema/raw/master/csl-citation.json" }</w:instrText>
      </w:r>
      <w:r w:rsidRPr="00452E2E">
        <w:rPr>
          <w:szCs w:val="24"/>
        </w:rPr>
        <w:fldChar w:fldCharType="separate"/>
      </w:r>
      <w:r w:rsidRPr="00452E2E">
        <w:rPr>
          <w:noProof/>
          <w:szCs w:val="24"/>
        </w:rPr>
        <w:t xml:space="preserve">(e.g. Elele &amp; Fields, 2010; Singh &amp; Mohanty, 2011; Ohana </w:t>
      </w:r>
      <w:r w:rsidRPr="00452E2E">
        <w:rPr>
          <w:i/>
          <w:noProof/>
          <w:szCs w:val="24"/>
        </w:rPr>
        <w:t>et al</w:t>
      </w:r>
      <w:r w:rsidRPr="00452E2E">
        <w:rPr>
          <w:noProof/>
          <w:szCs w:val="24"/>
        </w:rPr>
        <w:t>., 2012)</w:t>
      </w:r>
      <w:r w:rsidRPr="00452E2E">
        <w:rPr>
          <w:szCs w:val="24"/>
        </w:rPr>
        <w:fldChar w:fldCharType="end"/>
      </w:r>
      <w:r w:rsidRPr="00452E2E">
        <w:rPr>
          <w:szCs w:val="24"/>
        </w:rPr>
        <w:t xml:space="preserve">; or training </w:t>
      </w:r>
      <w:r w:rsidRPr="00452E2E">
        <w:rPr>
          <w:szCs w:val="24"/>
        </w:rPr>
        <w:fldChar w:fldCharType="begin" w:fldLock="1"/>
      </w:r>
      <w:r w:rsidRPr="00452E2E">
        <w:rPr>
          <w:szCs w:val="24"/>
        </w:rPr>
        <w:instrText>ADDIN CSL_CITATION { "citationItems" : [ { "id" : "ITEM-1", "itemData" : { "author" : [ { "dropping-particle" : "", "family" : "Bartlett", "given" : "Kenneth R", "non-dropping-particle" : "", "parse-names" : false, "suffix" : "" } ], "container-title" : "Human Resource Development Quarterly", "id" : "ITEM-1", "issue" : "4", "issued" : { "date-parts" : [ [ "2001" ] ] }, "page" : "335-352", "title" : "The relationship between training and organizational commitment: A study in the health care field", "type" : "article-journal", "volume" : "12" }, "uris" : [ "http://www.mendeley.com/documents/?uuid=243e2de6-dca1-4cb2-86db-f7c9317845be" ] }, { "id" : "ITEM-2", "itemData" : { "abstract" : "The exploration of the relationship between organizational commitment and training is still in its early stages. Although there have been several studies reported on training and organizational commitment in Western countries, very little has been done in respect of the local professionals in Malaysia. This research investigates the association between five training variables (availability of training, support for training, motivation to learn, training environment and perceived benefits of training), and various aspects of organizational commitment (affective commitment, normative commitment, continuance commitment and overall organizational commitment). The availability of training, support for training, motivation to learn, training environment, perceived benefits of training were all significantly correlated with affective commitment, normative commitment and overall organizational commitment. The training environment and perceived benefits were also significantly correlated with continuance commitment. However the availability of training, support for training and motivation to learn were not significantly correlated with continuance commitment. This suggests that despite other forms of commitment, Malaysian workers do not feel that they need to remain in an organization that has made available the training, given support for the training and were motivated to learn. Otherwise, results suggest that on the whole, training does seem to have an influence on organizational commitment. The practical implication of this is that managers, who are so desirous of enhancing organizational commitment among their subordinates, should pay more attention to training. Annual income was found to correlate positively with affective commitment and overall commitment. Age and tenure were not significant predictors of overall organizational commitment contradicting studies in the West. This demonstrated that Malaysians might have different attitudes towards organizational commitment. The older they are and the longer they stay within an organization do not imply that they will be committed towards their organization. This phenomenon can be attributed to the uncertain business environment in Malaysia.", "author" : [ { "dropping-particle" : "", "family" : "Ahmad", "given" : "Kamarul Zaman", "non-dropping-particle" : "", "parse-names" : false, "suffix" : "" }, { "dropping-particle" : "", "family" : "Bakar", "given" : "Raida Abu", "non-dropping-particle" : "", "parse-names" : false, "suffix" : "" } ], "container-title" : "International Journal of Training and Development", "id" : "ITEM-2", "issue" : "3", "issued" : { "date-parts" : [ [ "2003" ] ] }, "page" : "166-185", "title" : "The association between training and organizational commitment among white-collar workers in Malaysia", "type" : "article-journal", "volume" : "7" }, "uris" : [ "http://www.mendeley.com/documents/?uuid=e5cf5154-3ab0-4796-ba06-0c93dc30699a" ] }, { "id" : "ITEM-3", "itemData" : { "abstract" : "This survey study examines the relationship between employee attitudes related to training and organizational commitment among a sample of nurses in New Zealand and the United States. The magnitude of recent restructuring to New Zealand's public health system allows for an examination of employee attitudes towards training and organizational commitment in comparison to nurses from similar sized hospitals in the United States. Results show that perceived access to training, supervisory support for training, motivation to learn from training and perceived benefits of training were positively related to the affective and normative components of organizational commitment. Several significant differences were found on both training and organizational commitment variables between New Zealand and the United States. The findings are discussed in terms of their theoretical and practical application to human resource development (HRD) outcomes and the management of HRD in health care settings. Reprinted by permission of Routledge, Taylor and Francis Ltd.", "author" : [ { "dropping-particle" : "", "family" : "Bartlett", "given" : "Kenneth R", "non-dropping-particle" : "", "parse-names" : false, "suffix" : "" }, { "dropping-particle" : "", "family" : "Kang", "given" : "Dae-seok", "non-dropping-particle" : "", "parse-names" : false, "suffix" : "" } ], "container-title" : "Human Resource Development International", "id" : "ITEM-3", "issue" : "4", "issued" : { "date-parts" : [ [ "2004" ] ] }, "page" : "423-440", "title" : "Training and organizational commitment among nurses following industry and organizational change in New Zealand and the United States", "type" : "article-journal", "volume" : "7" }, "uris" : [ "http://www.mendeley.com/documents/?uuid=740cb35e-041c-4685-85e7-b432fc1e8068" ] }, { "id" : "ITEM-4", "itemData" : { "DOI" : "10.1177/009102600603500205", "ISSN" : "00910260", "abstract" : "Training is a vital function for all organizations. However, determining the contribution of training is oftentimes an elusive task. This paper examines training's impact on organizationai variables that have been shown to positively impact an organization's employees. Specifically, this paper investigates the reiationship between training, job satisfaction, organizational commitment, organizational justice and turnover cognitions. Results from a sample of 218 employees from state local subdivision indicate positive relationships between training and organizationai outcomes such as job satisfaction, organizational commitment and turnover cognitions. Further, organizational justice variables were shown to mediate those relationships.", "author" : [ { "dropping-particle" : "", "family" : "Owens", "given" : "Patrick L Jr", "non-dropping-particle" : "", "parse-names" : false, "suffix" : "" } ], "container-title" : "Public Personnel Management", "id" : "ITEM-4", "issue" : "2", "issued" : { "date-parts" : [ [ "2006" ] ] }, "page" : "163-172", "title" : "One more reason not to cut your training budget: The relationship between training and organizational outcomes", "type" : "article-journal", "volume" : "35" }, "uris" : [ "http://www.mendeley.com/documents/?uuid=6e9c7210-fee1-43c3-a1f3-632480fd2839" ] }, { "id" : "ITEM-5", "itemData" : { "author" : [ { "dropping-particle" : "", "family" : "Al-Emadi", "given" : "Mohammed Asad Shareef", "non-dropping-particle" : "", "parse-names" : false, "suffix" : "" }, { "dropping-particle" : "", "family" : "Marquardt", "given" : "Michael J", "non-dropping-particle" : "", "parse-names" : false, "suffix" : "" } ], "container-title" : "International Journal of Training and Development", "id" : "ITEM-5", "issue" : "1", "issued" : { "date-parts" : [ [ "2007" ] ] }, "page" : "49-71", "title" : "Relationship between employees beliefs regarding training benefits and employees organization commitment in a petroleum company in the state of Quatar", "type" : "article-journal", "volume" : "11" }, "uris" : [ "http://www.mendeley.com/documents/?uuid=b629384c-c281-42ca-a194-0be5e8dc88d2" ] }, { "id" : "ITEM-6", "itemData" : { "author" : [ { "dropping-particle" : "", "family" : "Bulut", "given" : "Cagri", "non-dropping-particle" : "", "parse-names" : false, "suffix" : "" }, { "dropping-particle" : "", "family" : "Culha", "given" : "Osman", "non-dropping-particle" : "", "parse-names" : false, "suffix" : "" } ], "container-title" : "International Journal of Training and Development", "id" : "ITEM-6", "issue" : "4", "issued" : { "date-parts" : [ [ "2010" ] ] }, "page" : "309-322", "title" : "The effects of organizational training on organizational commitment", "type" : "article-journal", "volume" : "14" }, "uris" : [ "http://www.mendeley.com/documents/?uuid=572c0d70-ab9d-4e14-8dd5-ff726757b562" ] }, { "id" : "ITEM-7", "itemData" : { "author" : [ { "dropping-particle" : "", "family" : "Erhardt", "given" : "K", "non-dropping-particle" : "", "parse-names" : false, "suffix" : "" }, { "dropping-particle" : "", "family" : "Miller", "given" : "J.S", "non-dropping-particle" : "", "parse-names" : false, "suffix" : "" }, { "dropping-particle" : "", "family" : "Freeman", "given" : "S.J.", "non-dropping-particle" : "", "parse-names" : false, "suffix" : "" } ], "container-title" : "Human Resource Development Quarterly", "id" : "ITEM-7", "issue" : "4", "issued" : { "date-parts" : [ [ "2011" ] ] }, "page" : "335-352", "title" : "An examination of the relationship between training comprehensiveness and organizational commitment: Further exploration of training perceptions and employee attitudes", "type" : "article-journal", "volume" : "22" }, "uris" : [ "http://www.mendeley.com/documents/?uuid=1ea3734b-bf7d-4284-8dd1-b62587f678af" ] }, { "id" : "ITEM-8", "itemData" : { "abstract" : "Purpose - The purpose of this paper is to analyze the role of training to explain affective commitment and exhaustion of temporary agency workers (TAW). There is a general assumption that training relates with a social exchange relationship where employees exchange positive outcomes, not only with inducements received by training but also with the expectation of prospective inducements that will emerge from the fulfilment of promises made by the organization. Design/methodology/approach - The hypotheses were tested on a sample of 393 Portuguese blue-collar TAW using structural equation modeling. Findings - The hypotheses were supported. Training was positively related to workers' affective commitment and negatively to workers' exhaustion. Psychological contract fulfilment partially mediated these relationships. Research limitations/implications - The study is limited due to the nature of the sample (TAW in industrial sector with similar training opportunities as permanent workers) and the lack of longitudinal design. Neither does it provide implications for other types of commitment that may be relevant for TAW (continuance commitment, for example). Practical implications - An important implication of this research is that employers should not assume that training is an investment without return from TAW. Developmental opportunities, while important to all employees, were positively related to TAW' affective commitment towards the organization and negatively to TAW' exhaustion. Originality/value - The findings highlighted the importance of training in developing positive employment relationships with TAW and the role of psychological contract fulfilment as a mechanism that contributes to explain such relationship.", "author" : [ { "dropping-particle" : "", "family" : "Chambel", "given" : "Maria Jos\u00e9", "non-dropping-particle" : "", "parse-names" : false, "suffix" : "" }, { "dropping-particle" : "", "family" : "Castanheira", "given" : "Filipa", "non-dropping-particle" : "", "parse-names" : false, "suffix" : "" } ], "container-title" : "Journal of Managerial Psychology", "id" : "ITEM-8", "issue" : "2", "issued" : { "date-parts" : [ [ "2012" ] ] }, "page" : "191-209", "title" : "Training of temporary workers and the social exchange process", "type" : "article-journal", "volume" : "27" }, "uris" : [ "http://www.mendeley.com/documents/?uuid=3c97dd31-3a79-409c-9c2a-743952ec1819" ] }, { "id" : "ITEM-9", "itemData" : { "author" : [ { "dropping-particle" : "", "family" : "Bashir", "given" : "N", "non-dropping-particle" : "", "parse-names" : false, "suffix" : "" }, { "dropping-particle" : "", "family" : "Long", "given" : "S", "non-dropping-particle" : "", "parse-names" : false, "suffix" : "" } ], "container-title" : "Journal of Management Development", "id" : "ITEM-9", "issue" : "10", "issued" : { "date-parts" : [ [ "2015" ] ] }, "page" : "1227-1245", "title" : "The relationship between training and organizational commitment among academicians", "type" : "article-journal", "volume" : "34" }, "uris" : [ "http://www.mendeley.com/documents/?uuid=22d0d12e-4be1-4426-9473-5ba3ed2411eb" ] }, { "id" : "ITEM-10", "itemData" : { "author" : [ { "dropping-particle" : "", "family" : "Choi", "given" : "Myungweon", "non-dropping-particle" : "", "parse-names" : false, "suffix" : "" }, { "dropping-particle" : "", "family" : "Yoon", "given" : "Hea Jun", "non-dropping-particle" : "", "parse-names" : false, "suffix" : "" } ], "container-title" : "The International Journal of Human Resource Management", "id" : "ITEM-10", "issue" : "20", "issued" : { "date-parts" : [ [ "2015" ] ] }, "page" : "2632-2651", "title" : "Training investment and organizational outcomes: A moderated mediation model of employee outcomes and strategic orientation of the HR function", "type" : "article-journal", "volume" : "26" }, "uris" : [ "http://www.mendeley.com/documents/?uuid=608269df-8fc1-421d-8e2b-aa4f571ef7b1" ] }, { "id" : "ITEM-11", "itemData" : { "DOI" : "10.1080/13678868.2015.1118220", "ISSN" : "1367-8868", "author" : [ { "dropping-particle" : "", "family" : "Ismail", "given" : "Hussein Nabil", "non-dropping-particle" : "", "parse-names" : false, "suffix" : "" } ], "container-title" : "Human Resource Development International", "id" : "ITEM-11", "issue" : "2", "issued" : { "date-parts" : [ [ "2016" ] ] }, "page" : "152-177", "title" : "Training and organizational commitment: Exploring the moderating role of goal orientation in the Lebanese context", "type" : "article-journal", "volume" : "19" }, "uris" : [ "http://www.mendeley.com/documents/?uuid=60621f96-2599-43cc-b333-4d7d2ad5c6d6" ] } ], "mendeley" : { "formattedCitation" : "(Bartlett 2001; Ahmad &amp; Bakar 2003; Bartlett &amp; Kang 2004; Owens 2006; Al-Emadi &amp; Marquardt 2007; Bulut &amp; Culha 2010; Erhardt et al. 2011; Chambel &amp; Castanheira 2012; Bashir &amp; Long 2015; Choi &amp; Yoon 2015; Ismail 2016)", "manualFormatting" : "(e.g. Bartlett, 2001; Ahmad &amp; Bakar, 2003; Bartlett &amp; Kang, 2004; Owens, 2006; Al-Emadi &amp; Marquardt, 2007; Bulut &amp; Culha, 2010; Erhardt et al., 2011; Chambel &amp; Castanheira, 2012; Bashir &amp; Long, 2015; Choi &amp; Yoon, 2015; Ismail, 2016)", "plainTextFormattedCitation" : "(Bartlett 2001; Ahmad &amp; Bakar 2003; Bartlett &amp; Kang 2004; Owens 2006; Al-Emadi &amp; Marquardt 2007; Bulut &amp; Culha 2010; Erhardt et al. 2011; Chambel &amp; Castanheira 2012; Bashir &amp; Long 2015; Choi &amp; Yoon 2015; Ismail 2016)", "previouslyFormattedCitation" : "(Bartlett 2001; Ahmad &amp; Bakar 2003; Bartlett &amp; Kang 2004; Owens 2006; Al-Emadi &amp; Marquardt 2007; Bulut &amp; Culha 2010; Erhardt et al. 2011; Chambel &amp; Castanheira 2012; Bashir &amp; Long 2015; Choi &amp; Yoon 2015; Ismail 2016)" }, "properties" : { "noteIndex" : 0 }, "schema" : "https://github.com/citation-style-language/schema/raw/master/csl-citation.json" }</w:instrText>
      </w:r>
      <w:r w:rsidRPr="00452E2E">
        <w:rPr>
          <w:szCs w:val="24"/>
        </w:rPr>
        <w:fldChar w:fldCharType="separate"/>
      </w:r>
      <w:r w:rsidRPr="00452E2E">
        <w:rPr>
          <w:noProof/>
          <w:szCs w:val="24"/>
        </w:rPr>
        <w:t xml:space="preserve">(e.g. Bartlett, 2001; Ahmad &amp; Bakar, 2003; Bartlett &amp; Kang, 2004; Owens, 2006; Al-Emadi &amp; Marquardt, 2007; Bulut &amp; Culha, 2010; Erhardt </w:t>
      </w:r>
      <w:r w:rsidRPr="00452E2E">
        <w:rPr>
          <w:i/>
          <w:noProof/>
          <w:szCs w:val="24"/>
        </w:rPr>
        <w:t>et al</w:t>
      </w:r>
      <w:r w:rsidRPr="00452E2E">
        <w:rPr>
          <w:noProof/>
          <w:szCs w:val="24"/>
        </w:rPr>
        <w:t>., 2011; Chambel &amp; Castanheira, 2012; Bashir &amp; Long, 2015; Choi &amp; Yoon, 2015; Ismail, 2016)</w:t>
      </w:r>
      <w:r w:rsidRPr="00452E2E">
        <w:rPr>
          <w:szCs w:val="24"/>
        </w:rPr>
        <w:fldChar w:fldCharType="end"/>
      </w:r>
      <w:r w:rsidRPr="00452E2E">
        <w:rPr>
          <w:szCs w:val="24"/>
        </w:rPr>
        <w:t xml:space="preserve"> on organizational commitment. </w:t>
      </w:r>
    </w:p>
    <w:p w:rsidR="00D03A8E" w:rsidRPr="00452E2E" w:rsidRDefault="00D03A8E" w:rsidP="00D03A8E">
      <w:pPr>
        <w:spacing w:line="360" w:lineRule="auto"/>
        <w:jc w:val="both"/>
        <w:rPr>
          <w:szCs w:val="24"/>
        </w:rPr>
      </w:pPr>
      <w:r w:rsidRPr="00452E2E">
        <w:rPr>
          <w:szCs w:val="24"/>
        </w:rPr>
        <w:t xml:space="preserve">For example, </w:t>
      </w:r>
      <w:r w:rsidRPr="00452E2E">
        <w:rPr>
          <w:szCs w:val="24"/>
        </w:rPr>
        <w:fldChar w:fldCharType="begin" w:fldLock="1"/>
      </w:r>
      <w:r w:rsidRPr="00452E2E">
        <w:rPr>
          <w:szCs w:val="24"/>
        </w:rPr>
        <w:instrText>ADDIN CSL_CITATION { "citationItems" : [ { "id" : "ITEM-1",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"ITEM-1", "issue" : "1", "issued" : { "date-parts" : [ [ "2005" ] ] }, "page" : "3-29", "title" : "Benefit system effects on employees' benefit knowledge, use and organizational commitment", "type" : "article-journal", "volume" : "20" }, "uris" : [ "http://www.mendeley.com/documents/?uuid=76153374-7214-4e74-b268-ebcd9498b8b1" ] } ], "mendeley" : { "formattedCitation" : "(Sinclair et al. 2005)", "manualFormatting" : "Sinclair et al. (2005)", "plainTextFormattedCitation" : "(Sinclair et al. 2005)", "previouslyFormattedCitation" : "(Sinclair et al. 2005)" }, "properties" : { "noteIndex" : 0 }, "schema" : "https://github.com/citation-style-language/schema/raw/master/csl-citation.json" }</w:instrText>
      </w:r>
      <w:r w:rsidRPr="00452E2E">
        <w:rPr>
          <w:szCs w:val="24"/>
        </w:rPr>
        <w:fldChar w:fldCharType="separate"/>
      </w:r>
      <w:r w:rsidRPr="00452E2E">
        <w:rPr>
          <w:noProof/>
          <w:szCs w:val="24"/>
        </w:rPr>
        <w:t xml:space="preserve">Sinclair </w:t>
      </w:r>
      <w:r w:rsidRPr="00452E2E">
        <w:rPr>
          <w:i/>
          <w:noProof/>
          <w:szCs w:val="24"/>
        </w:rPr>
        <w:t>et al</w:t>
      </w:r>
      <w:r w:rsidRPr="00452E2E">
        <w:rPr>
          <w:noProof/>
          <w:szCs w:val="24"/>
        </w:rPr>
        <w:t>. (2005)</w:t>
      </w:r>
      <w:r w:rsidRPr="00452E2E">
        <w:rPr>
          <w:szCs w:val="24"/>
        </w:rPr>
        <w:fldChar w:fldCharType="end"/>
      </w:r>
      <w:r w:rsidRPr="00452E2E">
        <w:rPr>
          <w:szCs w:val="24"/>
        </w:rPr>
        <w:t xml:space="preserve"> examined the effects of dimensions of employee benefits on affective and continuance commitment components among 974 employees of a Fortune 500 company in USA. They found that benefits communication quality; benefits participation; and benefits use; and traditional benefits importance were positively related to affective commitment. However, benefits knowledge had a negative effect on affective commitment. As for continuance commitment, the study found that benefits communication quality; traditional benefits importance and use had positive effects on continuance commit</w:t>
      </w:r>
      <w:r w:rsidR="0080153F" w:rsidRPr="00452E2E">
        <w:rPr>
          <w:szCs w:val="24"/>
        </w:rPr>
        <w:t>ment whilst</w:t>
      </w:r>
      <w:r w:rsidRPr="00452E2E">
        <w:rPr>
          <w:szCs w:val="24"/>
        </w:rPr>
        <w:t xml:space="preserve"> alternative benefits use and alternative benefits importance and use had negative effects on continuance commitment. Also in USA, </w:t>
      </w:r>
      <w:r w:rsidRPr="00452E2E">
        <w:rPr>
          <w:szCs w:val="24"/>
        </w:rPr>
        <w:fldChar w:fldCharType="begin" w:fldLock="1"/>
      </w:r>
      <w:r w:rsidRPr="00452E2E">
        <w:rPr>
          <w:szCs w:val="24"/>
        </w:rPr>
        <w:instrText>ADDIN CSL_CITATION { "citationItems" : [ { "id" : "ITEM-1", "itemData" : { "abstract" : "In the United States the Baby Boomer generation is advancing toward retirement age and many are choosing to stay in the workforce. This study develops and analyzes a model of the impact of older-worker-friendly (OWF) policies in organizations on job satisfaction, strain-based work/family conflict, and affective organizational commitment in older workers. The data included 368 full-time employed persons age 50 years or older who participated in a telephone survey. Linear regression was used to analyze the hypothesized relationships. Results indicated that the model was supported. Older workers who were employed at organizations with more older-worker-friendly policies had higher levels of job satisfaction and lower levels of strain-based work/family conflict, which led to higher levels of affective organizational commitment.", "author" : [ { "dropping-particle" : "", "family" : "Crowne", "given" : "Kerri Anne", "non-dropping-particle" : "", "parse-names" : false, "suffix" : "" }, { "dropping-particle" : "", "family" : "Cochran", "given" : "Jeremy", "non-dropping-particle" : "", "parse-names" : false, "suffix" : "" }, { "dropping-particle" : "", "family" : "Carpenter", "given" : "Caryl E.", "non-dropping-particle" : "", "parse-names" : false, "suffix" : "" } ], "container-title" : "Organization Management Journal", "id" : "ITEM-1", "issue" : "2", "issued" : { "date-parts" : [ [ "2014" ] ] }, "page" : "62-73", "title" : "Older-worker-friendly policies and affective organizational commitment", "type" : "article-journal", "volume" : "11" }, "uris" : [ "http://www.mendeley.com/documents/?uuid=5cc7ea72-f4c5-4d19-9844-ff4114590e83" ] } ], "mendeley" : { "formattedCitation" : "(Crowne et al. 2014)", "manualFormatting" : "Crowne et al. (2014)", "plainTextFormattedCitation" : "(Crowne et al. 2014)", "previouslyFormattedCitation" : "(Crowne et al. 2014)" }, "properties" : { "noteIndex" : 0 }, "schema" : "https://github.com/citation-style-language/schema/raw/master/csl-citation.json" }</w:instrText>
      </w:r>
      <w:r w:rsidRPr="00452E2E">
        <w:rPr>
          <w:szCs w:val="24"/>
        </w:rPr>
        <w:fldChar w:fldCharType="separate"/>
      </w:r>
      <w:r w:rsidRPr="00452E2E">
        <w:rPr>
          <w:noProof/>
          <w:szCs w:val="24"/>
        </w:rPr>
        <w:t xml:space="preserve">Crowne </w:t>
      </w:r>
      <w:r w:rsidRPr="00452E2E">
        <w:rPr>
          <w:i/>
          <w:noProof/>
          <w:szCs w:val="24"/>
        </w:rPr>
        <w:t>et al</w:t>
      </w:r>
      <w:r w:rsidRPr="00452E2E">
        <w:rPr>
          <w:noProof/>
          <w:szCs w:val="24"/>
        </w:rPr>
        <w:t>. (2014)</w:t>
      </w:r>
      <w:r w:rsidRPr="00452E2E">
        <w:rPr>
          <w:szCs w:val="24"/>
        </w:rPr>
        <w:fldChar w:fldCharType="end"/>
      </w:r>
      <w:r w:rsidRPr="00452E2E">
        <w:rPr>
          <w:szCs w:val="24"/>
        </w:rPr>
        <w:t xml:space="preserve"> found positive effects older-worker- friendly practices on job satisfaction among older workers. The relationship between employee benefits and affective commitment was also mediated by job satisfaction. </w:t>
      </w:r>
    </w:p>
    <w:p w:rsidR="00D03A8E" w:rsidRPr="00452E2E" w:rsidRDefault="00D03A8E" w:rsidP="00D03A8E">
      <w:pPr>
        <w:spacing w:line="360" w:lineRule="auto"/>
        <w:jc w:val="both"/>
        <w:rPr>
          <w:szCs w:val="24"/>
        </w:rPr>
      </w:pPr>
      <w:r w:rsidRPr="00452E2E">
        <w:rPr>
          <w:szCs w:val="24"/>
        </w:rPr>
        <w:lastRenderedPageBreak/>
        <w:fldChar w:fldCharType="begin" w:fldLock="1"/>
      </w:r>
      <w:r w:rsidRPr="00452E2E">
        <w:rPr>
          <w:szCs w:val="24"/>
        </w:rPr>
        <w:instrText>ADDIN CSL_CITATION { "citationItems" : [ { "id" : "ITEM-1",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"ITEM-1", "issue" : "4", "issued" : { "date-parts" : [ [ "2010" ] ] }, "page" : "368-392", "title" : "Participative decision making and organizational commitment", "type" : "article-journal", "volume" : "17" }, "uris" : [ "http://www.mendeley.com/documents/?uuid=0fdfa12a-cb95-4f52-9f14-24feff7c4e3b" ] } ], "mendeley" : { "formattedCitation" : "(Elele &amp; Fields 2010)", "manualFormatting" : "Elele and Fields (2010)", "plainTextFormattedCitation" : "(Elele &amp; Fields 2010)", "previouslyFormattedCitation" : "(Elele &amp; Fields 2010)" }, "properties" : { "noteIndex" : 0 }, "schema" : "https://github.com/citation-style-language/schema/raw/master/csl-citation.json" }</w:instrText>
      </w:r>
      <w:r w:rsidRPr="00452E2E">
        <w:rPr>
          <w:szCs w:val="24"/>
        </w:rPr>
        <w:fldChar w:fldCharType="separate"/>
      </w:r>
      <w:r w:rsidRPr="00452E2E">
        <w:rPr>
          <w:noProof/>
          <w:szCs w:val="24"/>
        </w:rPr>
        <w:t xml:space="preserve">Elele </w:t>
      </w:r>
      <w:r w:rsidR="00F67B63" w:rsidRPr="00452E2E">
        <w:rPr>
          <w:noProof/>
          <w:szCs w:val="24"/>
        </w:rPr>
        <w:t>&amp;</w:t>
      </w:r>
      <w:r w:rsidRPr="00452E2E">
        <w:rPr>
          <w:noProof/>
          <w:szCs w:val="24"/>
        </w:rPr>
        <w:t xml:space="preserve"> Fields (2010)</w:t>
      </w:r>
      <w:r w:rsidRPr="00452E2E">
        <w:rPr>
          <w:szCs w:val="24"/>
        </w:rPr>
        <w:fldChar w:fldCharType="end"/>
      </w:r>
      <w:r w:rsidRPr="00452E2E">
        <w:rPr>
          <w:szCs w:val="24"/>
        </w:rPr>
        <w:t xml:space="preserve"> examined the effects of participation in decision making on organizational commitment using a sample </w:t>
      </w:r>
      <w:r w:rsidR="003E593E" w:rsidRPr="00452E2E">
        <w:rPr>
          <w:szCs w:val="24"/>
        </w:rPr>
        <w:t xml:space="preserve">of </w:t>
      </w:r>
      <w:r w:rsidRPr="00452E2E">
        <w:rPr>
          <w:szCs w:val="24"/>
        </w:rPr>
        <w:t>74 Americans and 109 Nigerians working for a</w:t>
      </w:r>
      <w:r w:rsidR="00346575" w:rsidRPr="00452E2E">
        <w:rPr>
          <w:szCs w:val="24"/>
        </w:rPr>
        <w:t xml:space="preserve"> non-governmental organization</w:t>
      </w:r>
      <w:r w:rsidRPr="00452E2E">
        <w:rPr>
          <w:szCs w:val="24"/>
        </w:rPr>
        <w:t xml:space="preserve">. Results showed that for the Nigerian sub-sample, actual participation as well as the ratio of actual versus desired participation related positively and significantly to affective commitment. However, participation was not significantly related to continuance commitment. For the American sub-sample, the ratio of actual versus desired participation related positively to affective and normative commitment components. However, actual participation did not relate to affective and normative commitment, but was negatively related to continuance commitment. </w:t>
      </w:r>
      <w:r w:rsidRPr="00452E2E">
        <w:rPr>
          <w:szCs w:val="24"/>
        </w:rPr>
        <w:fldChar w:fldCharType="begin" w:fldLock="1"/>
      </w:r>
      <w:r w:rsidRPr="00452E2E">
        <w:rPr>
          <w:szCs w:val="24"/>
        </w:rPr>
        <w:instrText>ADDIN CSL_CITATION { "citationItems" : [ { "id" : "ITEM-1", "itemData" : { "DOI" : "10.1080/13678868.2011.621286", "ISBN" : "1367-8868\\r1469-8374", "ISSN" : "1367-8868", "abstract" : "This paper explores the moderating role of cultural values on relationships between participation satisfaction (PS) and employees\u2019 organizational commitment (OC). A survey of 1390 employees of Bharat Sanchar Nigam Limited, a Government of India Public Sector Undertaking providing telecommunication services across India, shows that PS is directly related to OC, and is moderated by employees\u2019 cultural values at individual level. The form of moderation reveals: positive and insignificant relationship between PS and affective commitment for employees high in uncertainty avoidance; positive and significant relationship between PS and normative commitment for employees high in individualism/collectivism, low in masculinity/femininity, and low in power distance. No moderation has been found in the relationship between PS and continuance commitment. [ABSTRACT FROM AUTHOR]", "author" : [ { "dropping-particle" : "", "family" : "Singh", "given" : "R.N.", "non-dropping-particle" : "", "parse-names" : false, "suffix" : "" }, { "dropping-particle" : "", "family" : "Mohanty", "given" : "R.P.", "non-dropping-particle" : "", "parse-names" : false, "suffix" : "" } ], "container-title" : "Human Resource Development International", "id" : "ITEM-1", "issue" : "5", "issued" : { "date-parts" : [ [ "2011" ] ] }, "page" : "583-603", "title" : "Participation satisfaction and organizational commitment: Moderating role of employee's cultural values", "type" : "article-journal", "volume" : "14" }, "uris" : [ "http://www.mendeley.com/documents/?uuid=458f8c4b-7056-4521-8366-361c5f606987" ] } ], "mendeley" : { "formattedCitation" : "(Singh &amp; Mohanty 2011)", "manualFormatting" : "Singh and Mohanty (2011)", "plainTextFormattedCitation" : "(Singh &amp; Mohanty 2011)", "previouslyFormattedCitation" : "(Singh &amp; Mohanty 2011)" }, "properties" : { "noteIndex" : 0 }, "schema" : "https://github.com/citation-style-language/schema/raw/master/csl-citation.json" }</w:instrText>
      </w:r>
      <w:r w:rsidRPr="00452E2E">
        <w:rPr>
          <w:szCs w:val="24"/>
        </w:rPr>
        <w:fldChar w:fldCharType="separate"/>
      </w:r>
      <w:r w:rsidRPr="00452E2E">
        <w:rPr>
          <w:noProof/>
          <w:szCs w:val="24"/>
        </w:rPr>
        <w:t xml:space="preserve">Singh </w:t>
      </w:r>
      <w:r w:rsidR="00095B61" w:rsidRPr="00452E2E">
        <w:rPr>
          <w:noProof/>
          <w:szCs w:val="24"/>
        </w:rPr>
        <w:t>&amp;</w:t>
      </w:r>
      <w:r w:rsidRPr="00452E2E">
        <w:rPr>
          <w:noProof/>
          <w:szCs w:val="24"/>
        </w:rPr>
        <w:t xml:space="preserve"> Mohanty (2011)</w:t>
      </w:r>
      <w:r w:rsidRPr="00452E2E">
        <w:rPr>
          <w:szCs w:val="24"/>
        </w:rPr>
        <w:fldChar w:fldCharType="end"/>
      </w:r>
      <w:r w:rsidRPr="00452E2E">
        <w:rPr>
          <w:szCs w:val="24"/>
        </w:rPr>
        <w:t xml:space="preserve"> found that participation satisfaction was positively related to affective and continuance commitment among Indian employees. However, the relationship between participation satisfaction and normative commitment was negative; although not significant. </w:t>
      </w:r>
      <w:r w:rsidRPr="00452E2E">
        <w:rPr>
          <w:szCs w:val="24"/>
        </w:rPr>
        <w:fldChar w:fldCharType="begin" w:fldLock="1"/>
      </w:r>
      <w:r w:rsidRPr="00452E2E">
        <w:rPr>
          <w:szCs w:val="24"/>
        </w:rPr>
        <w:instrText>ADDIN CSL_CITATION { "citationItems" : [ { "id" : "ITEM-1", "itemData" : { "DOI" : "10.1177/0899764012451368", "ISSN" : "0899-7640", "abstract" : "This article studies the influence of the procedural justice resulting from participation in decision-making on employees' affective commitment in social enterprises. It also examines whether any potential link between participation and commitment is due to social exchange, as is the case with for-profit companies. The study is based on data from employees of French work integration social enterprises. The results confirm the positive relationship between procedural justice and affective commitment and the mediating role of perceived organizational support and leader--member exchanges. Managerial recommendations are then given to best maintain or increase employees' involvement in the decision-making processes of social enterprises.", "author" : [ { "dropping-particle" : "", "family" : "Ohana", "given" : "M.", "non-dropping-particle" : "", "parse-names" : false, "suffix" : "" }, { "dropping-particle" : "", "family" : "Meyer", "given" : "M.", "non-dropping-particle" : "", "parse-names" : false, "suffix" : "" }, { "dropping-particle" : "", "family" : "Swaton", "given" : "S.", "non-dropping-particle" : "", "parse-names" : false, "suffix" : "" } ], "container-title" : "Nonprofit and Voluntary Sector Quarterly", "id" : "ITEM-1", "issue" : "6", "issued" : { "date-parts" : [ [ "2012" ] ] }, "page" : "1092-1110", "title" : "Decision-making in social enterprises: exploring the link between employee participation and organizational commitment", "type" : "article-journal", "volume" : "42" }, "uris" : [ "http://www.mendeley.com/documents/?uuid=371b7b95-5348-4c25-89be-ba9fe30dd952" ] } ], "mendeley" : { "formattedCitation" : "(Ohana et al. 2012)", "manualFormatting" : "Ohana et al. (2012)", "plainTextFormattedCitation" : "(Ohana et al. 2012)", "previouslyFormattedCitation" : "(Ohana et al. 2012)" }, "properties" : { "noteIndex" : 0 }, "schema" : "https://github.com/citation-style-language/schema/raw/master/csl-citation.json" }</w:instrText>
      </w:r>
      <w:r w:rsidRPr="00452E2E">
        <w:rPr>
          <w:szCs w:val="24"/>
        </w:rPr>
        <w:fldChar w:fldCharType="separate"/>
      </w:r>
      <w:r w:rsidRPr="00452E2E">
        <w:rPr>
          <w:noProof/>
          <w:szCs w:val="24"/>
        </w:rPr>
        <w:t xml:space="preserve">Ohana </w:t>
      </w:r>
      <w:r w:rsidRPr="00452E2E">
        <w:rPr>
          <w:i/>
          <w:noProof/>
          <w:szCs w:val="24"/>
        </w:rPr>
        <w:t>et al</w:t>
      </w:r>
      <w:r w:rsidRPr="00452E2E">
        <w:rPr>
          <w:noProof/>
          <w:szCs w:val="24"/>
        </w:rPr>
        <w:t>. (2012)</w:t>
      </w:r>
      <w:r w:rsidRPr="00452E2E">
        <w:rPr>
          <w:szCs w:val="24"/>
        </w:rPr>
        <w:fldChar w:fldCharType="end"/>
      </w:r>
      <w:r w:rsidRPr="00452E2E">
        <w:rPr>
          <w:szCs w:val="24"/>
        </w:rPr>
        <w:t xml:space="preserve"> in their study of French work integration social enterprises found that participation in decision making increased affective levels of workers.</w:t>
      </w:r>
    </w:p>
    <w:p w:rsidR="004A7736" w:rsidRPr="00452E2E" w:rsidRDefault="00D03A8E" w:rsidP="00D03A8E">
      <w:pPr>
        <w:spacing w:line="360" w:lineRule="auto"/>
        <w:jc w:val="both"/>
        <w:rPr>
          <w:szCs w:val="24"/>
        </w:rPr>
      </w:pPr>
      <w:r w:rsidRPr="00452E2E">
        <w:rPr>
          <w:szCs w:val="24"/>
        </w:rPr>
        <w:t xml:space="preserve">In a study of 374 nurses, </w:t>
      </w:r>
      <w:r w:rsidRPr="00452E2E">
        <w:rPr>
          <w:szCs w:val="24"/>
        </w:rPr>
        <w:fldChar w:fldCharType="begin" w:fldLock="1"/>
      </w:r>
      <w:r w:rsidRPr="00452E2E">
        <w:rPr>
          <w:szCs w:val="24"/>
        </w:rPr>
        <w:instrText>ADDIN CSL_CITATION { "citationItems" : [ { "id" : "ITEM-1", "itemData" : { "author" : [ { "dropping-particle" : "", "family" : "Bartlett", "given" : "Kenneth R", "non-dropping-particle" : "", "parse-names" : false, "suffix" : "" } ], "container-title" : "Human Resource Development Quarterly", "id" : "ITEM-1", "issue" : "4", "issued" : { "date-parts" : [ [ "2001" ] ] }, "page" : "335-352", "title" : "The relationship between training and organizational commitment: A study in the health care field", "type" : "article-journal", "volume" : "12" }, "uris" : [ "http://www.mendeley.com/documents/?uuid=243e2de6-dca1-4cb2-86db-f7c9317845be" ] } ], "mendeley" : { "formattedCitation" : "(Bartlett 2001)", "manualFormatting" : "Bartlett (2001)", "plainTextFormattedCitation" : "(Bartlett 2001)", "previouslyFormattedCitation" : "(Bartlett 2001)" }, "properties" : { "noteIndex" : 0 }, "schema" : "https://github.com/citation-style-language/schema/raw/master/csl-citation.json" }</w:instrText>
      </w:r>
      <w:r w:rsidRPr="00452E2E">
        <w:rPr>
          <w:szCs w:val="24"/>
        </w:rPr>
        <w:fldChar w:fldCharType="separate"/>
      </w:r>
      <w:r w:rsidRPr="00452E2E">
        <w:rPr>
          <w:noProof/>
          <w:szCs w:val="24"/>
        </w:rPr>
        <w:t>Bartlett (2001)</w:t>
      </w:r>
      <w:r w:rsidRPr="00452E2E">
        <w:rPr>
          <w:szCs w:val="24"/>
        </w:rPr>
        <w:fldChar w:fldCharType="end"/>
      </w:r>
      <w:r w:rsidRPr="00452E2E">
        <w:rPr>
          <w:szCs w:val="24"/>
        </w:rPr>
        <w:t xml:space="preserve"> found positive effects of training on affective and normative commitment. </w:t>
      </w:r>
      <w:r w:rsidRPr="00452E2E">
        <w:rPr>
          <w:b/>
          <w:szCs w:val="24"/>
        </w:rPr>
        <w:fldChar w:fldCharType="begin" w:fldLock="1"/>
      </w:r>
      <w:r w:rsidRPr="00452E2E">
        <w:rPr>
          <w:b/>
          <w:szCs w:val="24"/>
        </w:rPr>
        <w:instrText>ADDIN CSL_CITATION { "citationItems" : [ { "id" : "ITEM-1", "itemData" : { "abstract" : "The exploration of the relationship between organizational commitment and training is still in its early stages. Although there have been several studies reported on training and organizational commitment in Western countries, very little has been done in respect of the local professionals in Malaysia. This research investigates the association between five training variables (availability of training, support for training, motivation to learn, training environment and perceived benefits of training), and various aspects of organizational commitment (affective commitment, normative commitment, continuance commitment and overall organizational commitment). The availability of training, support for training, motivation to learn, training environment, perceived benefits of training were all significantly correlated with affective commitment, normative commitment and overall organizational commitment. The training environment and perceived benefits were also significantly correlated with continuance commitment. However the availability of training, support for training and motivation to learn were not significantly correlated with continuance commitment. This suggests that despite other forms of commitment, Malaysian workers do not feel that they need to remain in an organization that has made available the training, given support for the training and were motivated to learn. Otherwise, results suggest that on the whole, training does seem to have an influence on organizational commitment. The practical implication of this is that managers, who are so desirous of enhancing organizational commitment among their subordinates, should pay more attention to training. Annual income was found to correlate positively with affective commitment and overall commitment. Age and tenure were not significant predictors of overall organizational commitment contradicting studies in the West. This demonstrated that Malaysians might have different attitudes towards organizational commitment. The older they are and the longer they stay within an organization do not imply that they will be committed towards their organization. This phenomenon can be attributed to the uncertain business environment in Malaysia.", "author" : [ { "dropping-particle" : "", "family" : "Ahmad", "given" : "Kamarul Zaman", "non-dropping-particle" : "", "parse-names" : false, "suffix" : "" }, { "dropping-particle" : "", "family" : "Bakar", "given" : "Raida Abu", "non-dropping-particle" : "", "parse-names" : false, "suffix" : "" } ], "container-title" : "International Journal of Training and Development", "id" : "ITEM-1", "issue" : "3", "issued" : { "date-parts" : [ [ "2003" ] ] }, "page" : "166-185", "title" : "The association between training and organizational commitment among white-collar workers in Malaysia", "type" : "article-journal", "volume" : "7" }, "uris" : [ "http://www.mendeley.com/documents/?uuid=e5cf5154-3ab0-4796-ba06-0c93dc30699a" ] } ], "mendeley" : { "formattedCitation" : "(Ahmad &amp; Bakar 2003)", "manualFormatting" : "Ahmad and Bakar (2003)", "plainTextFormattedCitation" : "(Ahmad &amp; Bakar 2003)", "previouslyFormattedCitation" : "(Ahmad &amp; Bakar 2003)" }, "properties" : { "noteIndex" : 0 }, "schema" : "https://github.com/citation-style-language/schema/raw/master/csl-citation.json" }</w:instrText>
      </w:r>
      <w:r w:rsidRPr="00452E2E">
        <w:rPr>
          <w:b/>
          <w:szCs w:val="24"/>
        </w:rPr>
        <w:fldChar w:fldCharType="separate"/>
      </w:r>
      <w:r w:rsidRPr="00452E2E">
        <w:rPr>
          <w:noProof/>
          <w:szCs w:val="24"/>
        </w:rPr>
        <w:t xml:space="preserve">Ahmad </w:t>
      </w:r>
      <w:r w:rsidR="00421D26" w:rsidRPr="00452E2E">
        <w:rPr>
          <w:noProof/>
          <w:szCs w:val="24"/>
        </w:rPr>
        <w:t>&amp;</w:t>
      </w:r>
      <w:r w:rsidRPr="00452E2E">
        <w:rPr>
          <w:noProof/>
          <w:szCs w:val="24"/>
        </w:rPr>
        <w:t xml:space="preserve"> Bakar (2003)</w:t>
      </w:r>
      <w:r w:rsidRPr="00452E2E">
        <w:rPr>
          <w:b/>
          <w:szCs w:val="24"/>
        </w:rPr>
        <w:fldChar w:fldCharType="end"/>
      </w:r>
      <w:r w:rsidRPr="00452E2E">
        <w:rPr>
          <w:b/>
          <w:szCs w:val="24"/>
        </w:rPr>
        <w:t xml:space="preserve"> </w:t>
      </w:r>
      <w:r w:rsidRPr="00452E2E">
        <w:rPr>
          <w:szCs w:val="24"/>
        </w:rPr>
        <w:t xml:space="preserve">in their study of white-collar employees found that five dimensions of training: availability of training, support for training, motivation to learn, training environment, and perceived benefits of training were significantly and positively related to affective and normative commitment. However only training environment and perceived benefits of training were positively related to continuance commitment. Similarly, </w:t>
      </w:r>
      <w:r w:rsidRPr="00452E2E">
        <w:rPr>
          <w:b/>
          <w:szCs w:val="24"/>
        </w:rPr>
        <w:fldChar w:fldCharType="begin" w:fldLock="1"/>
      </w:r>
      <w:r w:rsidRPr="00452E2E">
        <w:rPr>
          <w:b/>
          <w:szCs w:val="24"/>
        </w:rPr>
        <w:instrText>ADDIN CSL_CITATION { "citationItems" : [ { "id" : "ITEM-1", "itemData" : { "abstract" : "This survey study examines the relationship between employee attitudes related to training and organizational commitment among a sample of nurses in New Zealand and the United States. The magnitude of recent restructuring to New Zealand's public health system allows for an examination of employee attitudes towards training and organizational commitment in comparison to nurses from similar sized hospitals in the United States. Results show that perceived access to training, supervisory support for training, motivation to learn from training and perceived benefits of training were positively related to the affective and normative components of organizational commitment. Several significant differences were found on both training and organizational commitment variables between New Zealand and the United States. The findings are discussed in terms of their theoretical and practical application to human resource development (HRD) outcomes and the management of HRD in health care settings. Reprinted by permission of Routledge, Taylor and Francis Ltd.", "author" : [ { "dropping-particle" : "", "family" : "Bartlett", "given" : "Kenneth R", "non-dropping-particle" : "", "parse-names" : false, "suffix" : "" }, { "dropping-particle" : "", "family" : "Kang", "given" : "Dae-seok", "non-dropping-particle" : "", "parse-names" : false, "suffix" : "" } ], "container-title" : "Human Resource Development International", "id" : "ITEM-1", "issue" : "4", "issued" : { "date-parts" : [ [ "2004" ] ] }, "page" : "423-440", "title" : "Training and organizational commitment among nurses following industry and organizational change in New Zealand and the United States", "type" : "article-journal", "volume" : "7" }, "uris" : [ "http://www.mendeley.com/documents/?uuid=740cb35e-041c-4685-85e7-b432fc1e8068" ] } ], "mendeley" : { "formattedCitation" : "(Bartlett &amp; Kang 2004)", "manualFormatting" : "Bartlett and Kang (2004)", "plainTextFormattedCitation" : "(Bartlett &amp; Kang 2004)", "previouslyFormattedCitation" : "(Bartlett &amp; Kang 2004)" }, "properties" : { "noteIndex" : 0 }, "schema" : "https://github.com/citation-style-language/schema/raw/master/csl-citation.json" }</w:instrText>
      </w:r>
      <w:r w:rsidRPr="00452E2E">
        <w:rPr>
          <w:b/>
          <w:szCs w:val="24"/>
        </w:rPr>
        <w:fldChar w:fldCharType="separate"/>
      </w:r>
      <w:r w:rsidRPr="00452E2E">
        <w:rPr>
          <w:noProof/>
          <w:szCs w:val="24"/>
        </w:rPr>
        <w:t xml:space="preserve">Bartlett </w:t>
      </w:r>
      <w:r w:rsidR="002222F9" w:rsidRPr="00452E2E">
        <w:rPr>
          <w:noProof/>
          <w:szCs w:val="24"/>
        </w:rPr>
        <w:t>&amp;</w:t>
      </w:r>
      <w:r w:rsidRPr="00452E2E">
        <w:rPr>
          <w:noProof/>
          <w:szCs w:val="24"/>
        </w:rPr>
        <w:t xml:space="preserve"> Kang (2004)</w:t>
      </w:r>
      <w:r w:rsidRPr="00452E2E">
        <w:rPr>
          <w:b/>
          <w:szCs w:val="24"/>
        </w:rPr>
        <w:fldChar w:fldCharType="end"/>
      </w:r>
      <w:r w:rsidRPr="00452E2E">
        <w:rPr>
          <w:b/>
          <w:szCs w:val="24"/>
        </w:rPr>
        <w:t xml:space="preserve"> </w:t>
      </w:r>
      <w:r w:rsidRPr="00452E2E">
        <w:rPr>
          <w:szCs w:val="24"/>
        </w:rPr>
        <w:t>in a sample of nurses in US</w:t>
      </w:r>
      <w:r w:rsidR="00B15458" w:rsidRPr="00452E2E">
        <w:rPr>
          <w:szCs w:val="24"/>
        </w:rPr>
        <w:t>A</w:t>
      </w:r>
      <w:r w:rsidRPr="00452E2E">
        <w:rPr>
          <w:szCs w:val="24"/>
        </w:rPr>
        <w:t xml:space="preserve"> and New Zealand found that five dimensions of training: perceived access to training, supervisory support for training, motivation to learn, and perceived benefits from training were positively and significantly related to affective and normative commitment. </w:t>
      </w:r>
    </w:p>
    <w:p w:rsidR="00D03A8E" w:rsidRPr="00452E2E" w:rsidRDefault="00D03A8E" w:rsidP="00D03A8E">
      <w:pPr>
        <w:spacing w:line="360" w:lineRule="auto"/>
        <w:jc w:val="both"/>
        <w:rPr>
          <w:szCs w:val="24"/>
        </w:rPr>
      </w:pPr>
      <w:r w:rsidRPr="00452E2E">
        <w:rPr>
          <w:szCs w:val="24"/>
        </w:rPr>
        <w:t xml:space="preserve">Also, </w:t>
      </w:r>
      <w:r w:rsidRPr="00452E2E">
        <w:rPr>
          <w:b/>
          <w:szCs w:val="24"/>
        </w:rPr>
        <w:fldChar w:fldCharType="begin" w:fldLock="1"/>
      </w:r>
      <w:r w:rsidRPr="00452E2E">
        <w:rPr>
          <w:b/>
          <w:szCs w:val="24"/>
        </w:rPr>
        <w:instrText>ADDIN CSL_CITATION { "citationItems" : [ { "id" : "ITEM-1", "itemData" : { "author" : [ { "dropping-particle" : "", "family" : "Bulut", "given" : "Cagri", "non-dropping-particle" : "", "parse-names" : false, "suffix" : "" }, { "dropping-particle" : "", "family" : "Culha", "given" : "Osman", "non-dropping-particle" : "", "parse-names" : false, "suffix" : "" } ], "container-title" : "International Journal of Training and Development", "id" : "ITEM-1", "issue" : "4", "issued" : { "date-parts" : [ [ "2010" ] ] }, "page" : "309-322", "title" : "The effects of organizational training on organizational commitment", "type" : "article-journal", "volume" : "14" }, "uris" : [ "http://www.mendeley.com/documents/?uuid=572c0d70-ab9d-4e14-8dd5-ff726757b562" ] } ], "mendeley" : { "formattedCitation" : "(Bulut &amp; Culha 2010)", "manualFormatting" : "Bulut and Culha (2010)", "plainTextFormattedCitation" : "(Bulut &amp; Culha 2010)", "previouslyFormattedCitation" : "(Bulut &amp; Culha 2010)" }, "properties" : { "noteIndex" : 0 }, "schema" : "https://github.com/citation-style-language/schema/raw/master/csl-citation.json" }</w:instrText>
      </w:r>
      <w:r w:rsidRPr="00452E2E">
        <w:rPr>
          <w:b/>
          <w:szCs w:val="24"/>
        </w:rPr>
        <w:fldChar w:fldCharType="separate"/>
      </w:r>
      <w:r w:rsidRPr="00452E2E">
        <w:rPr>
          <w:noProof/>
          <w:szCs w:val="24"/>
        </w:rPr>
        <w:t xml:space="preserve">Bulut </w:t>
      </w:r>
      <w:r w:rsidR="001C0763" w:rsidRPr="00452E2E">
        <w:rPr>
          <w:noProof/>
          <w:szCs w:val="24"/>
        </w:rPr>
        <w:t>&amp;</w:t>
      </w:r>
      <w:r w:rsidRPr="00452E2E">
        <w:rPr>
          <w:noProof/>
          <w:szCs w:val="24"/>
        </w:rPr>
        <w:t xml:space="preserve"> Culha (2010)</w:t>
      </w:r>
      <w:r w:rsidRPr="00452E2E">
        <w:rPr>
          <w:b/>
          <w:szCs w:val="24"/>
        </w:rPr>
        <w:fldChar w:fldCharType="end"/>
      </w:r>
      <w:r w:rsidRPr="00452E2E">
        <w:rPr>
          <w:b/>
          <w:szCs w:val="24"/>
        </w:rPr>
        <w:t xml:space="preserve"> </w:t>
      </w:r>
      <w:r w:rsidRPr="00452E2E">
        <w:rPr>
          <w:szCs w:val="24"/>
        </w:rPr>
        <w:t xml:space="preserve">found that four dimensions of training: motivation for training, access to training, benefits from training, and support for training were positively related to organizational commitment of 298 hotel employees in Turkey. In their study of 437 Chinese employees, </w:t>
      </w:r>
      <w:r w:rsidRPr="00452E2E">
        <w:rPr>
          <w:szCs w:val="24"/>
        </w:rPr>
        <w:fldChar w:fldCharType="begin" w:fldLock="1"/>
      </w:r>
      <w:r w:rsidRPr="00452E2E">
        <w:rPr>
          <w:szCs w:val="24"/>
        </w:rPr>
        <w:instrText>ADDIN CSL_CITATION { "citationItems" : [ { "id" : "ITEM-1",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"ITEM-1",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"mendeley" : { "formattedCitation" : "(Newman et al. 2011)", "manualFormatting" : "Newman et al. (2011)", "plainTextFormattedCitation" : "(Newman et al. 2011)", "previouslyFormattedCitation" : "(Newman et al. 2011)" }, "properties" : { "noteIndex" : 0 }, "schema" : "https://github.com/citation-style-language/schema/raw/master/csl-citation.json" }</w:instrText>
      </w:r>
      <w:r w:rsidRPr="00452E2E">
        <w:rPr>
          <w:szCs w:val="24"/>
        </w:rPr>
        <w:fldChar w:fldCharType="separate"/>
      </w:r>
      <w:r w:rsidRPr="00452E2E">
        <w:rPr>
          <w:noProof/>
          <w:szCs w:val="24"/>
        </w:rPr>
        <w:t xml:space="preserve">Newman </w:t>
      </w:r>
      <w:r w:rsidRPr="00452E2E">
        <w:rPr>
          <w:i/>
          <w:noProof/>
          <w:szCs w:val="24"/>
        </w:rPr>
        <w:t>et al</w:t>
      </w:r>
      <w:r w:rsidRPr="00452E2E">
        <w:rPr>
          <w:noProof/>
          <w:szCs w:val="24"/>
        </w:rPr>
        <w:t>. (2011)</w:t>
      </w:r>
      <w:r w:rsidRPr="00452E2E">
        <w:rPr>
          <w:szCs w:val="24"/>
        </w:rPr>
        <w:fldChar w:fldCharType="end"/>
      </w:r>
      <w:r w:rsidRPr="00452E2E">
        <w:rPr>
          <w:szCs w:val="24"/>
        </w:rPr>
        <w:t xml:space="preserve"> found </w:t>
      </w:r>
      <w:r w:rsidRPr="00452E2E">
        <w:rPr>
          <w:szCs w:val="24"/>
        </w:rPr>
        <w:lastRenderedPageBreak/>
        <w:t>that perceived availability of training; motivation to learn; supervisor support for training; and co-worker support for training had positive effect</w:t>
      </w:r>
      <w:r w:rsidR="00997E97" w:rsidRPr="00452E2E">
        <w:rPr>
          <w:szCs w:val="24"/>
        </w:rPr>
        <w:t>s on affective commitment. Whilst</w:t>
      </w:r>
      <w:r w:rsidRPr="00452E2E">
        <w:rPr>
          <w:szCs w:val="24"/>
        </w:rPr>
        <w:t xml:space="preserve"> availability of training also had positive effects on continuance commitment, the relationship between supervisor support for training and continuance commitment was negative. </w:t>
      </w:r>
    </w:p>
    <w:p w:rsidR="00782238" w:rsidRPr="00452E2E" w:rsidRDefault="00D03A8E" w:rsidP="00D03A8E">
      <w:pPr>
        <w:spacing w:line="360" w:lineRule="auto"/>
        <w:jc w:val="both"/>
        <w:rPr>
          <w:szCs w:val="24"/>
        </w:rPr>
      </w:pPr>
      <w:r w:rsidRPr="00452E2E">
        <w:rPr>
          <w:szCs w:val="24"/>
        </w:rPr>
        <w:t xml:space="preserve">Relatedly, </w:t>
      </w:r>
      <w:r w:rsidRPr="00452E2E">
        <w:rPr>
          <w:szCs w:val="24"/>
        </w:rPr>
        <w:fldChar w:fldCharType="begin" w:fldLock="1"/>
      </w:r>
      <w:r w:rsidRPr="00452E2E">
        <w:rPr>
          <w:szCs w:val="24"/>
        </w:rPr>
        <w:instrText>ADDIN CSL_CITATION { "citationItems" : [ { "id" : "ITEM-1", "itemData" : { "author" : [ { "dropping-particle" : "", "family" : "Bashir", "given" : "N", "non-dropping-particle" : "", "parse-names" : false, "suffix" : "" }, { "dropping-particle" : "", "family" : "Long", "given" : "S", "non-dropping-particle" : "", "parse-names" : false, "suffix" : "" } ], "container-title" : "Journal of Management Development", "id" : "ITEM-1", "issue" : "10", "issued" : { "date-parts" : [ [ "2015" ] ] }, "page" : "1227-1245", "title" : "The relationship between training and organizational commitment among academicians", "type" : "article-journal", "volume" : "34" }, "uris" : [ "http://www.mendeley.com/documents/?uuid=22d0d12e-4be1-4426-9473-5ba3ed2411eb" ] } ], "mendeley" : { "formattedCitation" : "(Bashir &amp; Long 2015)", "manualFormatting" : "Bashir and Long (2015)", "plainTextFormattedCitation" : "(Bashir &amp; Long 2015)", "previouslyFormattedCitation" : "(Bashir &amp; Long 2015)" }, "properties" : { "noteIndex" : 0 }, "schema" : "https://github.com/citation-style-language/schema/raw/master/csl-citation.json" }</w:instrText>
      </w:r>
      <w:r w:rsidRPr="00452E2E">
        <w:rPr>
          <w:szCs w:val="24"/>
        </w:rPr>
        <w:fldChar w:fldCharType="separate"/>
      </w:r>
      <w:r w:rsidRPr="00452E2E">
        <w:rPr>
          <w:noProof/>
          <w:szCs w:val="24"/>
        </w:rPr>
        <w:t xml:space="preserve">Bashir </w:t>
      </w:r>
      <w:r w:rsidR="00C63ED6" w:rsidRPr="00452E2E">
        <w:rPr>
          <w:noProof/>
          <w:szCs w:val="24"/>
        </w:rPr>
        <w:t>&amp;</w:t>
      </w:r>
      <w:r w:rsidRPr="00452E2E">
        <w:rPr>
          <w:noProof/>
          <w:szCs w:val="24"/>
        </w:rPr>
        <w:t xml:space="preserve"> Long (2015)</w:t>
      </w:r>
      <w:r w:rsidRPr="00452E2E">
        <w:rPr>
          <w:szCs w:val="24"/>
        </w:rPr>
        <w:fldChar w:fldCharType="end"/>
      </w:r>
      <w:r w:rsidRPr="00452E2E">
        <w:rPr>
          <w:szCs w:val="24"/>
        </w:rPr>
        <w:t xml:space="preserve"> in their study of academicians in Malaysia found </w:t>
      </w:r>
      <w:r w:rsidR="00442542" w:rsidRPr="00452E2E">
        <w:rPr>
          <w:szCs w:val="24"/>
        </w:rPr>
        <w:t>that</w:t>
      </w:r>
      <w:r w:rsidRPr="00452E2E">
        <w:rPr>
          <w:szCs w:val="24"/>
        </w:rPr>
        <w:t xml:space="preserve"> five training dimensions: perceived availability of training; co-worker support for training; supervisor support for training; motivation to learn; and perceived benefits from training had positive effects on affective and normative </w:t>
      </w:r>
      <w:r w:rsidR="00A421D2" w:rsidRPr="00452E2E">
        <w:rPr>
          <w:szCs w:val="24"/>
        </w:rPr>
        <w:t>components of commitment. Whilst</w:t>
      </w:r>
      <w:r w:rsidRPr="00452E2E">
        <w:rPr>
          <w:szCs w:val="24"/>
        </w:rPr>
        <w:t xml:space="preserve"> the dimensions of training had no significant effect on continuance commitment. On the other hand, </w:t>
      </w:r>
      <w:r w:rsidRPr="00452E2E">
        <w:rPr>
          <w:szCs w:val="24"/>
        </w:rPr>
        <w:fldChar w:fldCharType="begin" w:fldLock="1"/>
      </w:r>
      <w:r w:rsidRPr="00452E2E">
        <w:rPr>
          <w:szCs w:val="24"/>
        </w:rPr>
        <w:instrText>ADDIN CSL_CITATION { "citationItems" : [ { "id" : "ITEM-1", "itemData" : { "DOI" : "10.1177/009102600603500205", "ISSN" : "00910260", "abstract" : "Training is a vital function for all organizations. However, determining the contribution of training is oftentimes an elusive task. This paper examines training's impact on organizationai variables that have been shown to positively impact an organization's employees. Specifically, this paper investigates the reiationship between training, job satisfaction, organizational commitment, organizational justice and turnover cognitions. Results from a sample of 218 employees from state local subdivision indicate positive relationships between training and organizationai outcomes such as job satisfaction, organizational commitment and turnover cognitions. Further, organizational justice variables were shown to mediate those relationships.", "author" : [ { "dropping-particle" : "", "family" : "Owens", "given" : "Patrick L Jr", "non-dropping-particle" : "", "parse-names" : false, "suffix" : "" } ], "container-title" : "Public Personnel Management", "id" : "ITEM-1", "issue" : "2", "issued" : { "date-parts" : [ [ "2006" ] ] }, "page" : "163-172", "title" : "One more reason not to cut your training budget: The relationship between training and organizational outcomes", "type" : "article-journal", "volume" : "35" }, "uris" : [ "http://www.mendeley.com/documents/?uuid=6e9c7210-fee1-43c3-a1f3-632480fd2839" ] } ], "mendeley" : { "formattedCitation" : "(Owens 2006)", "manualFormatting" : "Owens (2006)", "plainTextFormattedCitation" : "(Owens 2006)", "previouslyFormattedCitation" : "(Owens 2006)" }, "properties" : { "noteIndex" : 0 }, "schema" : "https://github.com/citation-style-language/schema/raw/master/csl-citation.json" }</w:instrText>
      </w:r>
      <w:r w:rsidRPr="00452E2E">
        <w:rPr>
          <w:szCs w:val="24"/>
        </w:rPr>
        <w:fldChar w:fldCharType="separate"/>
      </w:r>
      <w:r w:rsidRPr="00452E2E">
        <w:rPr>
          <w:noProof/>
          <w:szCs w:val="24"/>
        </w:rPr>
        <w:t>Owens (2006)</w:t>
      </w:r>
      <w:r w:rsidRPr="00452E2E">
        <w:rPr>
          <w:szCs w:val="24"/>
        </w:rPr>
        <w:fldChar w:fldCharType="end"/>
      </w:r>
      <w:r w:rsidRPr="00452E2E">
        <w:rPr>
          <w:szCs w:val="24"/>
        </w:rPr>
        <w:t xml:space="preserve"> found that training related positively to organizational commitment; the relationship was also mediated by organizational justice whilst </w:t>
      </w:r>
      <w:r w:rsidRPr="00452E2E">
        <w:rPr>
          <w:b/>
          <w:szCs w:val="24"/>
        </w:rPr>
        <w:fldChar w:fldCharType="begin" w:fldLock="1"/>
      </w:r>
      <w:r w:rsidRPr="00452E2E">
        <w:rPr>
          <w:b/>
          <w:szCs w:val="24"/>
        </w:rPr>
        <w:instrText>ADDIN CSL_CITATION { "citationItems" : [ { "id" : "ITEM-1", "itemData" : { "author" : [ { "dropping-particle" : "", "family" : "Al-Emadi", "given" : "Mohammed Asad Shareef", "non-dropping-particle" : "", "parse-names" : false, "suffix" : "" }, { "dropping-particle" : "", "family" : "Marquardt", "given" : "Michael J", "non-dropping-particle" : "", "parse-names" : false, "suffix" : "" } ], "container-title" : "International Journal of Training and Development", "id" : "ITEM-1", "issue" : "1", "issued" : { "date-parts" : [ [ "2007" ] ] }, "page" : "49-71", "title" : "Relationship between employees beliefs regarding training benefits and employees organization commitment in a petroleum company in the state of Quatar", "type" : "article-journal", "volume" : "11" }, "uris" : [ "http://www.mendeley.com/documents/?uuid=b629384c-c281-42ca-a194-0be5e8dc88d2" ] } ], "mendeley" : { "formattedCitation" : "(Al-Emadi &amp; Marquardt 2007)", "manualFormatting" : "Al-Emadi and Marquardt (2007)", "plainTextFormattedCitation" : "(Al-Emadi &amp; Marquardt 2007)", "previouslyFormattedCitation" : "(Al-Emadi &amp; Marquardt 2007)" }, "properties" : { "noteIndex" : 0 }, "schema" : "https://github.com/citation-style-language/schema/raw/master/csl-citation.json" }</w:instrText>
      </w:r>
      <w:r w:rsidRPr="00452E2E">
        <w:rPr>
          <w:b/>
          <w:szCs w:val="24"/>
        </w:rPr>
        <w:fldChar w:fldCharType="separate"/>
      </w:r>
      <w:r w:rsidRPr="00452E2E">
        <w:rPr>
          <w:noProof/>
          <w:szCs w:val="24"/>
        </w:rPr>
        <w:t xml:space="preserve">Al-Emadi </w:t>
      </w:r>
      <w:r w:rsidR="00A421D2" w:rsidRPr="00452E2E">
        <w:rPr>
          <w:noProof/>
          <w:szCs w:val="24"/>
        </w:rPr>
        <w:t>&amp;</w:t>
      </w:r>
      <w:r w:rsidRPr="00452E2E">
        <w:rPr>
          <w:noProof/>
          <w:szCs w:val="24"/>
        </w:rPr>
        <w:t xml:space="preserve"> Marquardt (2007)</w:t>
      </w:r>
      <w:r w:rsidRPr="00452E2E">
        <w:rPr>
          <w:b/>
          <w:szCs w:val="24"/>
        </w:rPr>
        <w:fldChar w:fldCharType="end"/>
      </w:r>
      <w:r w:rsidRPr="00452E2E">
        <w:rPr>
          <w:b/>
          <w:szCs w:val="24"/>
        </w:rPr>
        <w:t xml:space="preserve"> </w:t>
      </w:r>
      <w:r w:rsidRPr="00452E2E">
        <w:rPr>
          <w:szCs w:val="24"/>
        </w:rPr>
        <w:t xml:space="preserve">reported positive effects of perceived benefits of training on organizational commitment in their study of employees in Qatar. </w:t>
      </w:r>
    </w:p>
    <w:p w:rsidR="00D03A8E" w:rsidRPr="00452E2E" w:rsidRDefault="00D03A8E" w:rsidP="00D03A8E">
      <w:pPr>
        <w:spacing w:line="360" w:lineRule="auto"/>
        <w:jc w:val="both"/>
        <w:rPr>
          <w:szCs w:val="24"/>
        </w:rPr>
      </w:pPr>
      <w:r w:rsidRPr="00452E2E">
        <w:rPr>
          <w:b/>
          <w:szCs w:val="24"/>
        </w:rPr>
        <w:fldChar w:fldCharType="begin" w:fldLock="1"/>
      </w:r>
      <w:r w:rsidRPr="00452E2E">
        <w:rPr>
          <w:b/>
          <w:szCs w:val="24"/>
        </w:rPr>
        <w:instrText>ADDIN CSL_CITATION { "citationItems" : [ { "id" : "ITEM-1", "itemData" : { "ISBN" : "0143773101106", "author" : [ { "dropping-particle" : "", "family" : "Yap", "given" : "M", "non-dropping-particle" : "", "parse-names" : false, "suffix" : "" }, { "dropping-particle" : "", "family" : "Holmes", "given" : "M.R.", "non-dropping-particle" : "", "parse-names" : false, "suffix" : "" }, { "dropping-particle" : "", "family" : "Hannan", "given" : "C-A", "non-dropping-particle" : "", "parse-names" : false, "suffix" : "" }, { "dropping-particle" : "", "family" : "Cukier", "given" : "W", "non-dropping-particle" : "", "parse-names" : false, "suffix" : "" } ], "container-title" : "Journal of European Industrial Training", "id" : "ITEM-1", "issue" : "6", "issued" : { "date-parts" : [ [ "2010" ] ] }, "page" : "519-538", "title" : "The relationship between diversity training, organizational commitment, and career satisfaction", "type" : "article-journal", "volume" : "34" }, "uris" : [ "http://www.mendeley.com/documents/?uuid=b209ad6e-ce3f-4e28-9899-fad6d9dc196d" ] } ], "mendeley" : { "formattedCitation" : "(Yap et al. 2010)", "manualFormatting" : "Yap et al. (2010)", "plainTextFormattedCitation" : "(Yap et al. 2010)", "previouslyFormattedCitation" : "(Yap et al. 2010)" }, "properties" : { "noteIndex" : 0 }, "schema" : "https://github.com/citation-style-language/schema/raw/master/csl-citation.json" }</w:instrText>
      </w:r>
      <w:r w:rsidRPr="00452E2E">
        <w:rPr>
          <w:b/>
          <w:szCs w:val="24"/>
        </w:rPr>
        <w:fldChar w:fldCharType="separate"/>
      </w:r>
      <w:r w:rsidRPr="00452E2E">
        <w:rPr>
          <w:noProof/>
          <w:szCs w:val="24"/>
        </w:rPr>
        <w:t xml:space="preserve">Yap </w:t>
      </w:r>
      <w:r w:rsidRPr="00452E2E">
        <w:rPr>
          <w:i/>
          <w:noProof/>
          <w:szCs w:val="24"/>
        </w:rPr>
        <w:t>et al</w:t>
      </w:r>
      <w:r w:rsidRPr="00452E2E">
        <w:rPr>
          <w:noProof/>
          <w:szCs w:val="24"/>
        </w:rPr>
        <w:t>. (2010)</w:t>
      </w:r>
      <w:r w:rsidRPr="00452E2E">
        <w:rPr>
          <w:b/>
          <w:szCs w:val="24"/>
        </w:rPr>
        <w:fldChar w:fldCharType="end"/>
      </w:r>
      <w:r w:rsidRPr="00452E2E">
        <w:rPr>
          <w:b/>
          <w:szCs w:val="24"/>
        </w:rPr>
        <w:t xml:space="preserve"> </w:t>
      </w:r>
      <w:r w:rsidRPr="00452E2E">
        <w:rPr>
          <w:szCs w:val="24"/>
        </w:rPr>
        <w:t xml:space="preserve">examined the effect of diversity training and organizational commitment. Using data from nine large organizations in Canada, they found that employees who perceived diversity training to be effective were more committed to the organization. </w:t>
      </w:r>
      <w:r w:rsidRPr="00452E2E">
        <w:rPr>
          <w:szCs w:val="24"/>
        </w:rPr>
        <w:fldChar w:fldCharType="begin" w:fldLock="1"/>
      </w:r>
      <w:r w:rsidRPr="00452E2E">
        <w:rPr>
          <w:szCs w:val="24"/>
        </w:rPr>
        <w:instrText>ADDIN CSL_CITATION { "citationItems" : [ { "id" : "ITEM-1", "itemData" : { "author" : [ { "dropping-particle" : "", "family" : "Erhardt", "given" : "K", "non-dropping-particle" : "", "parse-names" : false, "suffix" : "" }, { "dropping-particle" : "", "family" : "Miller", "given" : "J.S", "non-dropping-particle" : "", "parse-names" : false, "suffix" : "" }, { "dropping-particle" : "", "family" : "Freeman", "given" : "S.J.", "non-dropping-particle" : "", "parse-names" : false, "suffix" : "" } ], "container-title" : "Human Resource Development Quarterly", "id" : "ITEM-1", "issue" : "4", "issued" : { "date-parts" : [ [ "2011" ] ] }, "page" : "335-352", "title" : "An examination of the relationship between training comprehensiveness and organizational commitment: Further exploration of training perceptions and employee attitudes", "type" : "article-journal", "volume" : "22" }, "uris" : [ "http://www.mendeley.com/documents/?uuid=1ea3734b-bf7d-4284-8dd1-b62587f678af" ] } ], "mendeley" : { "formattedCitation" : "(Erhardt et al. 2011)", "manualFormatting" : "Erhardt et al. (2011)", "plainTextFormattedCitation" : "(Erhardt et al. 2011)", "previouslyFormattedCitation" : "(Erhardt et al. 2011)" }, "properties" : { "noteIndex" : 0 }, "schema" : "https://github.com/citation-style-language/schema/raw/master/csl-citation.json" }</w:instrText>
      </w:r>
      <w:r w:rsidRPr="00452E2E">
        <w:rPr>
          <w:szCs w:val="24"/>
        </w:rPr>
        <w:fldChar w:fldCharType="separate"/>
      </w:r>
      <w:r w:rsidRPr="00452E2E">
        <w:rPr>
          <w:noProof/>
          <w:szCs w:val="24"/>
        </w:rPr>
        <w:t xml:space="preserve">Erhardt </w:t>
      </w:r>
      <w:r w:rsidRPr="00452E2E">
        <w:rPr>
          <w:i/>
          <w:noProof/>
          <w:szCs w:val="24"/>
        </w:rPr>
        <w:t>et al</w:t>
      </w:r>
      <w:r w:rsidRPr="00452E2E">
        <w:rPr>
          <w:noProof/>
          <w:szCs w:val="24"/>
        </w:rPr>
        <w:t>. (2011)</w:t>
      </w:r>
      <w:r w:rsidRPr="00452E2E">
        <w:rPr>
          <w:szCs w:val="24"/>
        </w:rPr>
        <w:fldChar w:fldCharType="end"/>
      </w:r>
      <w:r w:rsidRPr="00452E2E">
        <w:rPr>
          <w:szCs w:val="24"/>
        </w:rPr>
        <w:t xml:space="preserve"> also found a positive relationship between employees’ perception of training comprehensiveness and organizational commitment. In the same vein, </w:t>
      </w:r>
      <w:r w:rsidRPr="00452E2E">
        <w:rPr>
          <w:b/>
          <w:szCs w:val="24"/>
        </w:rPr>
        <w:fldChar w:fldCharType="begin" w:fldLock="1"/>
      </w:r>
      <w:r w:rsidRPr="00452E2E">
        <w:rPr>
          <w:b/>
          <w:szCs w:val="24"/>
        </w:rPr>
        <w:instrText>ADDIN CSL_CITATION { "citationItems" : [ { "id" : "ITEM-1", "itemData" : { "abstract" : "Purpose - The purpose of this paper is to analyze the role of training to explain affective commitment and exhaustion of temporary agency workers (TAW). There is a general assumption that training relates with a social exchange relationship where employees exchange positive outcomes, not only with inducements received by training but also with the expectation of prospective inducements that will emerge from the fulfilment of promises made by the organization. Design/methodology/approach - The hypotheses were tested on a sample of 393 Portuguese blue-collar TAW using structural equation modeling. Findings - The hypotheses were supported. Training was positively related to workers' affective commitment and negatively to workers' exhaustion. Psychological contract fulfilment partially mediated these relationships. Research limitations/implications - The study is limited due to the nature of the sample (TAW in industrial sector with similar training opportunities as permanent workers) and the lack of longitudinal design. Neither does it provide implications for other types of commitment that may be relevant for TAW (continuance commitment, for example). Practical implications - An important implication of this research is that employers should not assume that training is an investment without return from TAW. Developmental opportunities, while important to all employees, were positively related to TAW' affective commitment towards the organization and negatively to TAW' exhaustion. Originality/value - The findings highlighted the importance of training in developing positive employment relationships with TAW and the role of psychological contract fulfilment as a mechanism that contributes to explain such relationship.", "author" : [ { "dropping-particle" : "", "family" : "Chambel", "given" : "Maria Jos\u00e9", "non-dropping-particle" : "", "parse-names" : false, "suffix" : "" }, { "dropping-particle" : "", "family" : "Castanheira", "given" : "Filipa", "non-dropping-particle" : "", "parse-names" : false, "suffix" : "" } ], "container-title" : "Journal of Managerial Psychology", "id" : "ITEM-1", "issue" : "2", "issued" : { "date-parts" : [ [ "2012" ] ] }, "page" : "191-209", "title" : "Training of temporary workers and the social exchange process", "type" : "article-journal", "volume" : "27" }, "uris" : [ "http://www.mendeley.com/documents/?uuid=3c97dd31-3a79-409c-9c2a-743952ec1819" ] } ], "mendeley" : { "formattedCitation" : "(Chambel &amp; Castanheira 2012)", "manualFormatting" : "Chambel and Castanheira (2012)", "plainTextFormattedCitation" : "(Chambel &amp; Castanheira 2012)", "previouslyFormattedCitation" : "(Chambel &amp; Castanheira 2012)" }, "properties" : { "noteIndex" : 0 }, "schema" : "https://github.com/citation-style-language/schema/raw/master/csl-citation.json" }</w:instrText>
      </w:r>
      <w:r w:rsidRPr="00452E2E">
        <w:rPr>
          <w:b/>
          <w:szCs w:val="24"/>
        </w:rPr>
        <w:fldChar w:fldCharType="separate"/>
      </w:r>
      <w:r w:rsidRPr="00452E2E">
        <w:rPr>
          <w:noProof/>
          <w:szCs w:val="24"/>
        </w:rPr>
        <w:t xml:space="preserve">Chambel </w:t>
      </w:r>
      <w:r w:rsidR="00F20928" w:rsidRPr="00452E2E">
        <w:rPr>
          <w:noProof/>
          <w:szCs w:val="24"/>
        </w:rPr>
        <w:t>&amp;</w:t>
      </w:r>
      <w:r w:rsidRPr="00452E2E">
        <w:rPr>
          <w:noProof/>
          <w:szCs w:val="24"/>
        </w:rPr>
        <w:t xml:space="preserve"> Castanheira (2012)</w:t>
      </w:r>
      <w:r w:rsidRPr="00452E2E">
        <w:rPr>
          <w:b/>
          <w:szCs w:val="24"/>
        </w:rPr>
        <w:fldChar w:fldCharType="end"/>
      </w:r>
      <w:r w:rsidRPr="00452E2E">
        <w:rPr>
          <w:b/>
          <w:szCs w:val="24"/>
        </w:rPr>
        <w:t xml:space="preserve"> </w:t>
      </w:r>
      <w:r w:rsidRPr="00452E2E">
        <w:rPr>
          <w:szCs w:val="24"/>
        </w:rPr>
        <w:t xml:space="preserve">in their study of 393 blue-collar temporary workers in Portugal found a significant positive relationship between training and affective commitment. In addition, the relationship between training and organizational commitment was moderated by goal orientation. Meanwhile, </w:t>
      </w:r>
      <w:r w:rsidRPr="00452E2E">
        <w:rPr>
          <w:szCs w:val="24"/>
        </w:rPr>
        <w:fldChar w:fldCharType="begin" w:fldLock="1"/>
      </w:r>
      <w:r w:rsidRPr="00452E2E">
        <w:rPr>
          <w:szCs w:val="24"/>
        </w:rPr>
        <w:instrText>ADDIN CSL_CITATION { "citationItems" : [ { "id" : "ITEM-1", "itemData" : { "author" : [ { "dropping-particle" : "", "family" : "Choi", "given" : "Myungweon", "non-dropping-particle" : "", "parse-names" : false, "suffix" : "" }, { "dropping-particle" : "", "family" : "Yoon", "given" : "Hea Jun", "non-dropping-particle" : "", "parse-names" : false, "suffix" : "" } ], "container-title" : "The International Journal of Human Resource Management", "id" : "ITEM-1", "issue" : "20", "issued" : { "date-parts" : [ [ "2015" ] ] }, "page" : "2632-2651", "title" : "Training investment and organizational outcomes: A moderated mediation model of employee outcomes and strategic orientation of the HR function", "type" : "article-journal", "volume" : "26" }, "uris" : [ "http://www.mendeley.com/documents/?uuid=608269df-8fc1-421d-8e2b-aa4f571ef7b1" ] } ], "mendeley" : { "formattedCitation" : "(Choi &amp; Yoon 2015)", "manualFormatting" : "Choi and Yoon's (2015)", "plainTextFormattedCitation" : "(Choi &amp; Yoon 2015)", "previouslyFormattedCitation" : "(Choi &amp; Yoon 2015)" }, "properties" : { "noteIndex" : 0 }, "schema" : "https://github.com/citation-style-language/schema/raw/master/csl-citation.json" }</w:instrText>
      </w:r>
      <w:r w:rsidRPr="00452E2E">
        <w:rPr>
          <w:szCs w:val="24"/>
        </w:rPr>
        <w:fldChar w:fldCharType="separate"/>
      </w:r>
      <w:r w:rsidRPr="00452E2E">
        <w:rPr>
          <w:noProof/>
          <w:szCs w:val="24"/>
        </w:rPr>
        <w:t xml:space="preserve">Choi </w:t>
      </w:r>
      <w:r w:rsidR="00724D51" w:rsidRPr="00452E2E">
        <w:rPr>
          <w:noProof/>
          <w:szCs w:val="24"/>
        </w:rPr>
        <w:t>&amp;</w:t>
      </w:r>
      <w:r w:rsidRPr="00452E2E">
        <w:rPr>
          <w:noProof/>
          <w:szCs w:val="24"/>
        </w:rPr>
        <w:t xml:space="preserve"> Yoon's (2015)</w:t>
      </w:r>
      <w:r w:rsidRPr="00452E2E">
        <w:rPr>
          <w:szCs w:val="24"/>
        </w:rPr>
        <w:fldChar w:fldCharType="end"/>
      </w:r>
      <w:r w:rsidRPr="00452E2E">
        <w:rPr>
          <w:b/>
          <w:szCs w:val="24"/>
        </w:rPr>
        <w:t xml:space="preserve"> </w:t>
      </w:r>
      <w:r w:rsidRPr="00452E2E">
        <w:rPr>
          <w:szCs w:val="24"/>
        </w:rPr>
        <w:t>study</w:t>
      </w:r>
      <w:r w:rsidRPr="00452E2E">
        <w:rPr>
          <w:b/>
          <w:szCs w:val="24"/>
        </w:rPr>
        <w:t xml:space="preserve"> </w:t>
      </w:r>
      <w:r w:rsidRPr="00452E2E">
        <w:rPr>
          <w:szCs w:val="24"/>
        </w:rPr>
        <w:t>in South Korea</w:t>
      </w:r>
      <w:r w:rsidRPr="00452E2E">
        <w:rPr>
          <w:b/>
          <w:szCs w:val="24"/>
        </w:rPr>
        <w:t xml:space="preserve"> </w:t>
      </w:r>
      <w:r w:rsidRPr="00452E2E">
        <w:rPr>
          <w:szCs w:val="24"/>
        </w:rPr>
        <w:t xml:space="preserve">found positive effects of training investment and organizational commitment. In turn organizational commitment mediated the relationship between investment in training and organizational outcomes. Also, a recent study in Lebanon by </w:t>
      </w:r>
      <w:r w:rsidRPr="00452E2E">
        <w:rPr>
          <w:szCs w:val="24"/>
        </w:rPr>
        <w:fldChar w:fldCharType="begin" w:fldLock="1"/>
      </w:r>
      <w:r w:rsidRPr="00452E2E">
        <w:rPr>
          <w:szCs w:val="24"/>
        </w:rPr>
        <w:instrText>ADDIN CSL_CITATION { "citationItems" : [ { "id" : "ITEM-1", "itemData" : { "DOI" : "10.1080/13678868.2015.1118220", "ISSN" : "1367-8868", "author" : [ { "dropping-particle" : "", "family" : "Ismail", "given" : "Hussein Nabil", "non-dropping-particle" : "", "parse-names" : false, "suffix" : "" } ], "container-title" : "Human Resource Development International", "id" : "ITEM-1", "issue" : "2", "issued" : { "date-parts" : [ [ "2016" ] ] }, "page" : "152-177", "title" : "Training and organizational commitment: Exploring the moderating role of goal orientation in the Lebanese context", "type" : "article-journal", "volume" : "19" }, "uris" : [ "http://www.mendeley.com/documents/?uuid=60621f96-2599-43cc-b333-4d7d2ad5c6d6" ] } ], "mendeley" : { "formattedCitation" : "(Ismail 2016)", "manualFormatting" : "Ismail (2016)", "plainTextFormattedCitation" : "(Ismail 2016)", "previouslyFormattedCitation" : "(Ismail 2016)" }, "properties" : { "noteIndex" : 0 }, "schema" : "https://github.com/citation-style-language/schema/raw/master/csl-citation.json" }</w:instrText>
      </w:r>
      <w:r w:rsidRPr="00452E2E">
        <w:rPr>
          <w:szCs w:val="24"/>
        </w:rPr>
        <w:fldChar w:fldCharType="separate"/>
      </w:r>
      <w:r w:rsidRPr="00452E2E">
        <w:rPr>
          <w:noProof/>
          <w:szCs w:val="24"/>
        </w:rPr>
        <w:t>Ismail (2016)</w:t>
      </w:r>
      <w:r w:rsidRPr="00452E2E">
        <w:rPr>
          <w:szCs w:val="24"/>
        </w:rPr>
        <w:fldChar w:fldCharType="end"/>
      </w:r>
      <w:r w:rsidRPr="00452E2E">
        <w:rPr>
          <w:szCs w:val="24"/>
        </w:rPr>
        <w:t xml:space="preserve"> reported positive effects of training on organizational commitment.</w:t>
      </w:r>
      <w:r w:rsidR="00724D51" w:rsidRPr="00452E2E">
        <w:rPr>
          <w:szCs w:val="24"/>
        </w:rPr>
        <w:t xml:space="preserve"> The next section </w:t>
      </w:r>
      <w:r w:rsidR="007F3B15" w:rsidRPr="00452E2E">
        <w:rPr>
          <w:szCs w:val="24"/>
        </w:rPr>
        <w:t>will</w:t>
      </w:r>
      <w:r w:rsidR="00724D51" w:rsidRPr="00452E2E">
        <w:rPr>
          <w:szCs w:val="24"/>
        </w:rPr>
        <w:t xml:space="preserve"> focus on an analysis of studies on HR practices and employee attitudes described above.</w:t>
      </w:r>
    </w:p>
    <w:p w:rsidR="00D03A8E" w:rsidRPr="00452E2E" w:rsidRDefault="004D1B33" w:rsidP="00D03A8E">
      <w:pPr>
        <w:pStyle w:val="Heading4"/>
      </w:pPr>
      <w:bookmarkStart w:id="72" w:name="_Toc473808133"/>
      <w:r w:rsidRPr="00452E2E">
        <w:lastRenderedPageBreak/>
        <w:t>3.4.4</w:t>
      </w:r>
      <w:r w:rsidR="00D03A8E" w:rsidRPr="00452E2E">
        <w:t xml:space="preserve"> Analysis of </w:t>
      </w:r>
      <w:r w:rsidR="0002297D" w:rsidRPr="00452E2E">
        <w:t>Studies Linking</w:t>
      </w:r>
      <w:r w:rsidR="00D03A8E" w:rsidRPr="00452E2E">
        <w:t xml:space="preserve"> HR Practices </w:t>
      </w:r>
      <w:r w:rsidR="0002297D" w:rsidRPr="00452E2E">
        <w:t>and</w:t>
      </w:r>
      <w:r w:rsidR="00D03A8E" w:rsidRPr="00452E2E">
        <w:t xml:space="preserve"> Employee Attitudes</w:t>
      </w:r>
      <w:bookmarkEnd w:id="72"/>
      <w:r w:rsidR="00D03A8E" w:rsidRPr="00452E2E">
        <w:t xml:space="preserve"> </w:t>
      </w:r>
    </w:p>
    <w:p w:rsidR="00D03A8E" w:rsidRPr="00452E2E" w:rsidRDefault="00D03A8E" w:rsidP="00D03A8E">
      <w:pPr>
        <w:spacing w:line="360" w:lineRule="auto"/>
        <w:jc w:val="both"/>
        <w:rPr>
          <w:szCs w:val="24"/>
        </w:rPr>
      </w:pPr>
      <w:r w:rsidRPr="00452E2E">
        <w:rPr>
          <w:szCs w:val="24"/>
        </w:rPr>
        <w:t xml:space="preserve">So what have we gleaned from the studies on HR practices - employee attitudes relationship presented in the previous sections? Most of the studies measured HR practices using a systematic bundle of practices that fall under the banner of high-performance HR practices </w:t>
      </w:r>
      <w:r w:rsidRPr="00452E2E">
        <w:rPr>
          <w:szCs w:val="24"/>
        </w:rPr>
        <w:fldChar w:fldCharType="begin" w:fldLock="1"/>
      </w:r>
      <w:r w:rsidRPr="00452E2E">
        <w:rPr>
          <w:szCs w:val="24"/>
        </w:rPr>
        <w:instrText>ADDIN CSL_CITATION { "citationItems" : [ { "id" : "ITEM-1",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"ITEM-1", "issue" : "2", "issued" : { "date-parts" : [ [ "2013" ] ] }, "page" : "366-391", "title" : "The impact of high performance human resource practices on employees' attitudes and behaviors", "type" : "article-journal", "volume" : "39" }, "uris" : [ "http://www.mendeley.com/documents/?uuid=87fa9e55-e4a1-416e-9e06-eb7fd4bd89a6" ] }, { "id" : "ITEM-2",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"ITEM-2", "issue" : "5", "issued" : { "date-parts" : [ [ "2015" ] ] }, "page" : "747-757", "title" : "High-performance human resource practices and employee outcomes: The mediating role of public service motivation", "type" : "article-journal", "volume" : "75" }, "uris" : [ "http://www.mendeley.com/documents/?uuid=d929d627-475b-4d7b-9d57-7ed8e89a7d6c" ] } ], "mendeley" : { "formattedCitation" : "(Kehoe &amp; Wright 2013; Mostafa &amp; Gould-Williams 2015)", "manualFormatting" : "(e.g. Kehoe &amp; Wright, 2013; Mostafa &amp; Gould-Williams, 2015)", "plainTextFormattedCitation" : "(Kehoe &amp; Wright 2013; Mostafa &amp; Gould-Williams 2015)", "previouslyFormattedCitation" : "(Kehoe &amp; Wright 2013; Mostafa &amp; Gould-Williams 2015)" }, "properties" : { "noteIndex" : 0 }, "schema" : "https://github.com/citation-style-language/schema/raw/master/csl-citation.json" }</w:instrText>
      </w:r>
      <w:r w:rsidRPr="00452E2E">
        <w:rPr>
          <w:szCs w:val="24"/>
        </w:rPr>
        <w:fldChar w:fldCharType="separate"/>
      </w:r>
      <w:r w:rsidRPr="00452E2E">
        <w:rPr>
          <w:noProof/>
          <w:szCs w:val="24"/>
        </w:rPr>
        <w:t>(e.g. Kehoe &amp; Wright, 2013; Mostafa &amp; Gould-Williams, 2015)</w:t>
      </w:r>
      <w:r w:rsidRPr="00452E2E">
        <w:rPr>
          <w:szCs w:val="24"/>
        </w:rPr>
        <w:fldChar w:fldCharType="end"/>
      </w:r>
      <w:r w:rsidRPr="00452E2E">
        <w:rPr>
          <w:szCs w:val="24"/>
        </w:rPr>
        <w:t xml:space="preserve">; high-performance work systems </w:t>
      </w:r>
      <w:r w:rsidRPr="00452E2E">
        <w:rPr>
          <w:szCs w:val="24"/>
        </w:rPr>
        <w:fldChar w:fldCharType="begin" w:fldLock="1"/>
      </w:r>
      <w:r w:rsidRPr="00452E2E">
        <w:rPr>
          <w:szCs w:val="24"/>
        </w:rPr>
        <w:instrText>ADDIN CSL_CITATION { "citationItems" : [ { "id" : "ITEM-1",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"ITEM-1",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"id" : "ITEM-2",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"ITEM-2",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"ITEM-3",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"ITEM-3",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"mendeley" : { "formattedCitation" : "(Qiao et al. 2009; Wu &amp; Chaturvedi 2009; Ang et al. 2013)", "manualFormatting" : "(e.g. Qiao et al., 2009; Wu &amp; Chaturvedi, 2009; Ang et al., 2013)", "plainTextFormattedCitation" : "(Qiao et al. 2009; Wu &amp; Chaturvedi 2009; Ang et al. 2013)", "previouslyFormattedCitation" : "(Qiao et al. 2009; Wu &amp; Chaturvedi 2009; Ang et al. 2013)" }, "properties" : { "noteIndex" : 0 }, "schema" : "https://github.com/citation-style-language/schema/raw/master/csl-citation.json" }</w:instrText>
      </w:r>
      <w:r w:rsidRPr="00452E2E">
        <w:rPr>
          <w:szCs w:val="24"/>
        </w:rPr>
        <w:fldChar w:fldCharType="separate"/>
      </w:r>
      <w:r w:rsidRPr="00452E2E">
        <w:rPr>
          <w:noProof/>
          <w:szCs w:val="24"/>
        </w:rPr>
        <w:t xml:space="preserve">(e.g. Qiao </w:t>
      </w:r>
      <w:r w:rsidRPr="00452E2E">
        <w:rPr>
          <w:i/>
          <w:noProof/>
          <w:szCs w:val="24"/>
        </w:rPr>
        <w:t>et al</w:t>
      </w:r>
      <w:r w:rsidR="00AB42C7" w:rsidRPr="00452E2E">
        <w:rPr>
          <w:noProof/>
          <w:szCs w:val="24"/>
        </w:rPr>
        <w:t>., 2009; Wu &amp; Chaturvedi, 2009</w:t>
      </w:r>
      <w:r w:rsidRPr="00452E2E">
        <w:rPr>
          <w:noProof/>
          <w:szCs w:val="24"/>
        </w:rPr>
        <w:t>)</w:t>
      </w:r>
      <w:r w:rsidRPr="00452E2E">
        <w:rPr>
          <w:szCs w:val="24"/>
        </w:rPr>
        <w:fldChar w:fldCharType="end"/>
      </w:r>
      <w:r w:rsidRPr="00452E2E">
        <w:rPr>
          <w:szCs w:val="24"/>
        </w:rPr>
        <w:t xml:space="preserve">; high-commitment HR practices </w:t>
      </w:r>
      <w:r w:rsidRPr="00452E2E">
        <w:rPr>
          <w:szCs w:val="24"/>
        </w:rPr>
        <w:fldChar w:fldCharType="begin" w:fldLock="1"/>
      </w:r>
      <w:r w:rsidRPr="00452E2E">
        <w:rPr>
          <w:szCs w:val="24"/>
        </w:rPr>
        <w:instrText>ADDIN CSL_CITATION { "citationItems" : [ { "id" : "ITEM-1", "itemData" : { "abstract" : "Although there is a growing body of evidence demonstrating positive effects of \u2018high commitment\u2019 HRM practices on organizational performance, there is less evidence evaluating their effects on individual workers, especially within the public sector. Therefore the implications of applying \u2018high commitment\u2019 practices in the public sector needs to be considered. This paper seeks to address this gap by reporting the results of a staff survey and follow-up interviews conducted on a cross-section of local government employees. The results showed that eight of the ten \u2018high commitment\u2019 practices had significant effects on worker attitudes. The results are discussed in light of HRM theory together with the implications for public sector managers.", "author" : [ { "dropping-particle" : "", "family" : "Gould-Williams", "given" : "Julian", "non-dropping-particle" : "", "parse-names" : false, "suffix" : "" } ], "container-title" : "Public Administration", "id" : "ITEM-1", "issue" : "1", "issued" : { "date-parts" : [ [ "2004" ] ] }, "page" : "63-81", "title" : "The effects of 'high commitment' HRM practices on employee attitude: The views of public sector workers", "type" : "article-journal", "volume" : "82" }, "uris" : [ "http://www.mendeley.com/documents/?uuid=1ea3bc7e-762b-4578-9d64-abbee580b748" ] }, { "id" : "ITEM-2", "itemData" : { "author" : [ { "dropping-particle" : "", "family" : "Conway", "given" : "Edel", "non-dropping-particle" : "", "parse-names" : false, "suffix" : "" }, { "dropping-particle" : "", "family" : "Monks", "given" : "Kathy", "non-dropping-particle" : "", "parse-names" : false, "suffix" : "" } ], "container-title" : "Human resource management Journal", "id" : "ITEM-2", "issue" : "2", "issued" : { "date-parts" : [ [ "2009" ] ] }, "page" : "140-158", "title" : "Unravelling the complexities of high commitment: An employee-level analysis", "type" : "article-journal", "volume" : "19" }, "uris" : [ "http://www.mendeley.com/documents/?uuid=27e6e8b9-9ee2-45ca-90f0-2264a8bc8e92" ] }, { "id" : "ITEM-3",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"ITEM-3", "issue" : "3", "issued" : { "date-parts" : [ [ "2014" ] ] }, "page" : "403-420", "title" : "How high-commitment HRM relates to engagement and commitment: The moderating role of task proficiency", "type" : "article-journal", "volume" : "53" }, "uris" : [ "http://www.mendeley.com/documents/?uuid=cb756747-5761-4893-aa48-62d0692bb7b9" ] } ], "mendeley" : { "formattedCitation" : "(Gould-Williams 2004; Conway &amp; Monks 2009; Boon &amp; Kalshoven 2014)", "manualFormatting" : "(e.g. Gould-Williams, 2004; Conway &amp; Monks, 2009; Boon &amp; Kalshoven, 2014)", "plainTextFormattedCitation" : "(Gould-Williams 2004; Conway &amp; Monks 2009; Boon &amp; Kalshoven 2014)", "previouslyFormattedCitation" : "(Gould-Williams 2004; Conway &amp; Monks 2009; Boon &amp; Kalshoven 2014)" }, "properties" : { "noteIndex" : 0 }, "schema" : "https://github.com/citation-style-language/schema/raw/master/csl-citation.json" }</w:instrText>
      </w:r>
      <w:r w:rsidRPr="00452E2E">
        <w:rPr>
          <w:szCs w:val="24"/>
        </w:rPr>
        <w:fldChar w:fldCharType="separate"/>
      </w:r>
      <w:r w:rsidRPr="00452E2E">
        <w:rPr>
          <w:noProof/>
          <w:szCs w:val="24"/>
        </w:rPr>
        <w:t>(e.g. Conway &amp; Monks, 2009; Boon &amp; Kalshoven, 2014)</w:t>
      </w:r>
      <w:r w:rsidRPr="00452E2E">
        <w:rPr>
          <w:szCs w:val="24"/>
        </w:rPr>
        <w:fldChar w:fldCharType="end"/>
      </w:r>
      <w:r w:rsidRPr="00452E2E">
        <w:rPr>
          <w:szCs w:val="24"/>
        </w:rPr>
        <w:t xml:space="preserve">; high-involvement work systems </w:t>
      </w:r>
      <w:r w:rsidRPr="00452E2E">
        <w:rPr>
          <w:szCs w:val="24"/>
        </w:rPr>
        <w:fldChar w:fldCharType="begin" w:fldLock="1"/>
      </w:r>
      <w:r w:rsidRPr="00452E2E">
        <w:rPr>
          <w:szCs w:val="24"/>
        </w:rPr>
        <w:instrText>ADDIN CSL_CITATION { "citationItems" : [ { "id" : "ITEM-1", "itemData" : { "DOI" : "10.1080/09585192.2011.561016", "ISSN" : "0958-5192", "abstract" : "The current study examines how high-involvement work systems (HIWS) influence employee responses to involvement initiatives. While existing research has linked HIWS to individual attitudes, we predict that an organization\u2019s HIWS moderate the relationship between employee involvement and job satisfaction and absenteeism. Using multilevel data (8454 employees from 1429 workplaces), we found that employee involvement and HIWS are positively related to employee job satisfaction. Additionally, the results support a cross-level interaction: at high levels of HIWS, employee involvement is negatively related to absenteeism, whereas at low levels of HIWS, the negative relationship is weaker. The implications of the findings are discussed.", "author" : [ { "dropping-particle" : "", "family" : "Zatzick", "given" : "Christopher D.", "non-dropping-particle" : "", "parse-names" : false, "suffix" : "" }, { "dropping-particle" : "", "family" : "Iverson", "given" : "Roderick D.", "non-dropping-particle" : "", "parse-names" : false, "suffix" : "" } ], "container-title" : "The International Journal of Human Resource Management", "id" : "ITEM-1", "issue" : "17", "issued" : { "date-parts" : [ [ "2011" ] ] }, "page" : "3462-3476", "title" : "Putting employee involvement in context: A cross-level model examining job satisfaction and absenteeism in high-involvement work systems", "type" : "article-journal", "volume" : "22" }, "uris" : [ "http://www.mendeley.com/documents/?uuid=946cff3e-0b7a-42c8-b450-9727b6de32ea" ] }, { "id" : "ITEM-2",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"ITEM-2",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"(Zatzick &amp; Iverson 2011; Ollo-L\u00f3pez et al. 2016)", "manualFormatting" : "(e.g. Zatzick &amp; Iverson, 2011; Ollo-L\u00f3pez et al., 2016)", "plainTextFormattedCitation" : "(Zatzick &amp; Iverson 2011; Ollo-L\u00f3pez et al. 2016)", "previouslyFormattedCitation" : "(Zatzick &amp; Iverson 2011; Ollo-L\u00f3pez et al. 2016)" }, "properties" : { "noteIndex" : 0 }, "schema" : "https://github.com/citation-style-language/schema/raw/master/csl-citation.json" }</w:instrText>
      </w:r>
      <w:r w:rsidRPr="00452E2E">
        <w:rPr>
          <w:szCs w:val="24"/>
        </w:rPr>
        <w:fldChar w:fldCharType="separate"/>
      </w:r>
      <w:r w:rsidRPr="00452E2E">
        <w:rPr>
          <w:noProof/>
          <w:szCs w:val="24"/>
        </w:rPr>
        <w:t xml:space="preserve">(e.g. Zatzick &amp; Iverson, 2011; Ollo-López </w:t>
      </w:r>
      <w:r w:rsidRPr="00452E2E">
        <w:rPr>
          <w:i/>
          <w:noProof/>
          <w:szCs w:val="24"/>
        </w:rPr>
        <w:t>et al</w:t>
      </w:r>
      <w:r w:rsidRPr="00452E2E">
        <w:rPr>
          <w:noProof/>
          <w:szCs w:val="24"/>
        </w:rPr>
        <w:t>., 2016)</w:t>
      </w:r>
      <w:r w:rsidRPr="00452E2E">
        <w:rPr>
          <w:szCs w:val="24"/>
        </w:rPr>
        <w:fldChar w:fldCharType="end"/>
      </w:r>
      <w:r w:rsidRPr="00452E2E">
        <w:rPr>
          <w:szCs w:val="24"/>
        </w:rPr>
        <w:t xml:space="preserve">; high involvement HR practices </w:t>
      </w:r>
      <w:r w:rsidRPr="00452E2E">
        <w:rPr>
          <w:szCs w:val="24"/>
        </w:rPr>
        <w:fldChar w:fldCharType="begin" w:fldLock="1"/>
      </w:r>
      <w:r w:rsidRPr="00452E2E">
        <w:rPr>
          <w:szCs w:val="24"/>
        </w:rPr>
        <w:instrText>ADDIN CSL_CITATION { "citationItems" : [ { "id" : "ITEM-1", "itemData" : { "author" : [ { "dropping-particle" : "", "family" : "Par\u00e9", "given" : "Guy", "non-dropping-particle" : "", "parse-names" : false, "suffix" : "" }, { "dropping-particle" : "", "family" : "Tremblay", "given" : "Michel", "non-dropping-particle" : "", "parse-names" : false, "suffix" : "" } ], "container-title" : "Group &amp; Organization Management", "id" : "ITEM-1", "issue" : "3", "issued" : { "date-parts" : [ [ "2007" ] ] }, "page" : "326-357", "title" : "The influence of high-involvement human resource practices, procedural justice, organizational commitment, and citizenship behaviors on information technology professionals \u2019 turnover intentions", "type" : "article-journal", "volume" : "32" }, "uris" : [ "http://www.mendeley.com/documents/?uuid=dd7a2e92-5026-450c-83bb-2292744a7d0b" ] }, { "id" : "ITEM-2",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"ITEM-2", "issue" : "8", "issued" : { "date-parts" : [ [ "2012" ] ] }, "page" : "1209-1227", "title" : "High-involvement human resource practices, affective commitment, and organizational citizenship behaviors", "type" : "article-journal", "volume" : "32" }, "uris" : [ "http://www.mendeley.com/documents/?uuid=3233ad68-00c0-4a22-bbc0-0ed35d43dfad" ] } ], "mendeley" : { "formattedCitation" : "(Par\u00e9 &amp; Tremblay 2007; Yang 2012)", "manualFormatting" : "(e.g. Par\u00e9 &amp; Tremblay, 2007; Yang, 2012)", "plainTextFormattedCitation" : "(Par\u00e9 &amp; Tremblay 2007; Yang 2012)", "previouslyFormattedCitation" : "(Par\u00e9 &amp; Tremblay 2007; Yang 2012)" }, "properties" : { "noteIndex" : 0 }, "schema" : "https://github.com/citation-style-language/schema/raw/master/csl-citation.json" }</w:instrText>
      </w:r>
      <w:r w:rsidRPr="00452E2E">
        <w:rPr>
          <w:szCs w:val="24"/>
        </w:rPr>
        <w:fldChar w:fldCharType="separate"/>
      </w:r>
      <w:r w:rsidRPr="00452E2E">
        <w:rPr>
          <w:noProof/>
          <w:szCs w:val="24"/>
        </w:rPr>
        <w:t>(e.g. Paré &amp; Tremblay, 2007; Yang, 2012)</w:t>
      </w:r>
      <w:r w:rsidRPr="00452E2E">
        <w:rPr>
          <w:szCs w:val="24"/>
        </w:rPr>
        <w:fldChar w:fldCharType="end"/>
      </w:r>
      <w:r w:rsidRPr="00452E2E">
        <w:rPr>
          <w:szCs w:val="24"/>
        </w:rPr>
        <w:t xml:space="preserve">; high involvement work processes </w:t>
      </w:r>
      <w:r w:rsidRPr="00452E2E">
        <w:rPr>
          <w:szCs w:val="24"/>
        </w:rPr>
        <w:fldChar w:fldCharType="begin" w:fldLock="1"/>
      </w:r>
      <w:r w:rsidRPr="00452E2E">
        <w:rPr>
          <w:szCs w:val="24"/>
        </w:rPr>
        <w:instrText>ADDIN CSL_CITATION { "citationItems" : [ { "id" : "ITEM-1", "itemData" : { "DOI" : "10.1177/1038411107086542.The", "ISBN" : "1038411107086", "ISSN" : "10384111", "abstract" : "High-involvement work processes are at the heart of the current interest in high-performance work systems. A study of 775 New Zealand employees shows that greater experience of high-involvement processes is associated with higher job satisfaction. To a lesser extent, there are also better outcomes in terms of job-induced stress, fatigue and work-life imbalance. However, in situations where pressures to work longer hours are higher, where employees feel overloaded and where managers place stronger demands on personal time, employees are likely to experience greater dissatisfaction with their jobs, higher stress and fatigue, and greater work-life imbalance. Increasing the availability of work-life balance policies for employees was not found to ameliorate these relationships. The study implies that organizations that can foster smarter working without undue pressures to work harder are likely to enhance employee well-being. \u00a9 2008 Australian Human Resources Institute.", "author" : [ { "dropping-particle" : "", "family" : "Macky", "given" : "K", "non-dropping-particle" : "", "parse-names" : false, "suffix" : "" }, { "dropping-particle" : "", "family" : "Boxall", "given" : "Peter", "non-dropping-particle" : "", "parse-names" : false, "suffix" : "" } ], "container-title" : "Asia Pacific Journal of Human Resources", "id" : "ITEM-1", "issue" : "1", "issued" : { "date-parts" : [ [ "2008" ] ] }, "page" : "38-55", "title" : "High-involvement work processes, work intensification and employee well-being: A study of New Zealand worker experiences", "type" : "article-journal", "volume" : "46" }, "uris" : [ "http://www.mendeley.com/documents/?uuid=fd5a5126-3377-42e9-9c2d-c6afbc9db3c4" ] }, { "id" : "ITEM-2", "itemData" : { "abstract" : "Using a national population survey, this article examines how high-involvement work processes affect employee well-being. The analysis shows that greater experiences of autonomy and participation in decision-making have positive or neutral effects. Higher involvement is a key factor predicting higher job satisfaction and better work\u2013life balance while it has no relationship to stress or fatigue. In contrast, higher levels of work intensity increase fatigue and stress and undermine work\u2013life balance. If the quality of working life is a key objective in a reform based on greater employee involvement, close attention needs to be paid to the balance between processes that release human potential and those that increase the intensity of work. Keywords", "author" : [ { "dropping-particle" : "", "family" : "Boxall", "given" : "Peter", "non-dropping-particle" : "", "parse-names" : false, "suffix" : "" }, { "dropping-particle" : "", "family" : "Macky", "given" : "Keith", "non-dropping-particle" : "", "parse-names" : false, "suffix" : "" } ], "container-title" : "Work, Employment &amp; Society", "id" : "ITEM-2", "issue" : "6", "issued" : { "date-parts" : [ [ "2014" ] ] }, "page" : "963-984", "title" : "High-involvement work process, work intensification and employee well-being", "type" : "article-journal", "volume" : "28" }, "uris" : [ "http://www.mendeley.com/documents/?uuid=676e6816-0c74-4d96-b5f0-7e364ff2d3fc" ] } ], "mendeley" : { "formattedCitation" : "(Macky &amp; Boxall 2008; Boxall &amp; Macky 2014)", "manualFormatting" : "(e.g. Macky &amp; Boxall, 2008; Boxall &amp; Macky, 2014)", "plainTextFormattedCitation" : "(Macky &amp; Boxall 2008; Boxall &amp; Macky 2014)", "previouslyFormattedCitation" : "(Macky &amp; Boxall 2008; Boxall &amp; Macky 2014)" }, "properties" : { "noteIndex" : 0 }, "schema" : "https://github.com/citation-style-language/schema/raw/master/csl-citation.json" }</w:instrText>
      </w:r>
      <w:r w:rsidRPr="00452E2E">
        <w:rPr>
          <w:szCs w:val="24"/>
        </w:rPr>
        <w:fldChar w:fldCharType="separate"/>
      </w:r>
      <w:r w:rsidRPr="00452E2E">
        <w:rPr>
          <w:noProof/>
          <w:szCs w:val="24"/>
        </w:rPr>
        <w:t>(e.g. Macky &amp; Boxall, 2008; Boxall &amp; Macky, 2014)</w:t>
      </w:r>
      <w:r w:rsidRPr="00452E2E">
        <w:rPr>
          <w:szCs w:val="24"/>
        </w:rPr>
        <w:fldChar w:fldCharType="end"/>
      </w:r>
      <w:r w:rsidRPr="00452E2E">
        <w:rPr>
          <w:szCs w:val="24"/>
        </w:rPr>
        <w:t xml:space="preserve">; or high commitment performance management </w:t>
      </w:r>
      <w:r w:rsidRPr="00452E2E">
        <w:rPr>
          <w:szCs w:val="24"/>
        </w:rPr>
        <w:fldChar w:fldCharType="begin" w:fldLock="1"/>
      </w:r>
      <w:r w:rsidRPr="00452E2E">
        <w:rPr>
          <w:szCs w:val="24"/>
        </w:rPr>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"mendeley" : { "formattedCitation" : "(Farndale et al. 2011)", "manualFormatting" : "(Farndale et al., 2011a)", "plainTextFormattedCitation" : "(Farndale et al. 2011)", "previouslyFormattedCitation" : "(Farndale et al. 2011)" }, "properties" : { "noteIndex" : 0 }, "schema" : "https://github.com/citation-style-language/schema/raw/master/csl-citation.json" }</w:instrText>
      </w:r>
      <w:r w:rsidRPr="00452E2E">
        <w:rPr>
          <w:szCs w:val="24"/>
        </w:rPr>
        <w:fldChar w:fldCharType="separate"/>
      </w:r>
      <w:r w:rsidRPr="00452E2E">
        <w:rPr>
          <w:noProof/>
          <w:szCs w:val="24"/>
        </w:rPr>
        <w:t xml:space="preserve">(Farndale </w:t>
      </w:r>
      <w:r w:rsidRPr="00452E2E">
        <w:rPr>
          <w:i/>
          <w:noProof/>
          <w:szCs w:val="24"/>
        </w:rPr>
        <w:t>et al</w:t>
      </w:r>
      <w:r w:rsidRPr="00452E2E">
        <w:rPr>
          <w:noProof/>
          <w:szCs w:val="24"/>
        </w:rPr>
        <w:t>., 2011</w:t>
      </w:r>
      <w:r w:rsidRPr="00452E2E">
        <w:rPr>
          <w:i/>
          <w:noProof/>
          <w:szCs w:val="24"/>
        </w:rPr>
        <w:t>a</w:t>
      </w:r>
      <w:r w:rsidRPr="00452E2E">
        <w:rPr>
          <w:noProof/>
          <w:szCs w:val="24"/>
        </w:rPr>
        <w:t>)</w:t>
      </w:r>
      <w:r w:rsidRPr="00452E2E">
        <w:rPr>
          <w:szCs w:val="24"/>
        </w:rPr>
        <w:fldChar w:fldCharType="end"/>
      </w:r>
      <w:r w:rsidRPr="00452E2E">
        <w:rPr>
          <w:szCs w:val="24"/>
        </w:rPr>
        <w:t xml:space="preserve">.  However there is no unanimity on what should constitute a systematic bundle of HR practices. Although there are others that have examined the effects of individual HR practices on job satisfaction and organizational commitment </w:t>
      </w:r>
      <w:r w:rsidRPr="00452E2E">
        <w:rPr>
          <w:szCs w:val="24"/>
        </w:rPr>
        <w:fldChar w:fldCharType="begin" w:fldLock="1"/>
      </w:r>
      <w:r w:rsidRPr="00452E2E">
        <w:rPr>
          <w:szCs w:val="24"/>
        </w:rPr>
        <w:instrText>ADDIN CSL_CITATION { "citationItems" : [ { "id" : "ITEM-1", "itemData" : { "author" : [ { "dropping-particle" : "", "family" : "Bulut", "given" : "Cagri", "non-dropping-particle" : "", "parse-names" : false, "suffix" : "" }, { "dropping-particle" : "", "family" : "Culha", "given" : "Osman", "non-dropping-particle" : "", "parse-names" : false, "suffix" : "" } ], "container-title" : "International Journal of Training and Development", "id" : "ITEM-1", "issue" : "4", "issued" : { "date-parts" : [ [ "2010" ] ] }, "page" : "309-322", "title" : "The effects of organizational training on organizational commitment", "type" : "article-journal", "volume" : "14" }, "uris" : [ "http://www.mendeley.com/documents/?uuid=572c0d70-ab9d-4e14-8dd5-ff726757b562" ] }, { "id" : "ITEM-2",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"ITEM-2", "issue" : "4", "issued" : { "date-parts" : [ [ "2010" ] ] }, "page" : "368-392", "title" : "Participative decision making and organizational commitment", "type" : "article-journal", "volume" : "17" }, "uris" : [ "http://www.mendeley.com/documents/?uuid=0fdfa12a-cb95-4f52-9f14-24feff7c4e3b" ] }, { "id" : "ITEM-3", "itemData" : { "author" : [ { "dropping-particle" : "", "family" : "Bashir", "given" : "N", "non-dropping-particle" : "", "parse-names" : false, "suffix" : "" }, { "dropping-particle" : "", "family" : "Long", "given" : "S", "non-dropping-particle" : "", "parse-names" : false, "suffix" : "" } ], "container-title" : "Journal of Management Development", "id" : "ITEM-3", "issue" : "10", "issued" : { "date-parts" : [ [ "2015" ] ] }, "page" : "1227-1245", "title" : "The relationship between training and organizational commitment among academicians", "type" : "article-journal", "volume" : "34" }, "uris" : [ "http://www.mendeley.com/documents/?uuid=22d0d12e-4be1-4426-9473-5ba3ed2411eb" ] }, { "id" : "ITEM-4", "itemData" : { "abstract" : "In the United States the Baby Boomer generation is advancing toward retirement age and many are choosing to stay in the workforce. This study develops and analyzes a model of the impact of older-worker-friendly (OWF) policies in organizations on job satisfaction, strain-based work/family conflict, and affective organizational commitment in older workers. The data included 368 full-time employed persons age 50 years or older who participated in a telephone survey. Linear regression was used to analyze the hypothesized relationships. Results indicated that the model was supported. Older workers who were employed at organizations with more older-worker-friendly policies had higher levels of job satisfaction and lower levels of strain-based work/family conflict, which led to higher levels of affective organizational commitment.", "author" : [ { "dropping-particle" : "", "family" : "Crowne", "given" : "Kerri Anne", "non-dropping-particle" : "", "parse-names" : false, "suffix" : "" }, { "dropping-particle" : "", "family" : "Cochran", "given" : "Jeremy", "non-dropping-particle" : "", "parse-names" : false, "suffix" : "" }, { "dropping-particle" : "", "family" : "Carpenter", "given" : "Caryl E.", "non-dropping-particle" : "", "parse-names" : false, "suffix" : "" } ], "container-title" : "Organization Management Journal", "id" : "ITEM-4", "issue" : "2", "issued" : { "date-parts" : [ [ "2014" ] ] }, "page" : "62-73", "title" : "Older-worker-friendly policies and affective organizational commitment", "type" : "article-journal", "volume" : "11" }, "uris" : [ "http://www.mendeley.com/documents/?uuid=5cc7ea72-f4c5-4d19-9844-ff4114590e83" ] } ], "mendeley" : { "formattedCitation" : "(Bulut &amp; Culha 2010; Elele &amp; Fields 2010; Bashir &amp; Long 2015; Crowne et al. 2014)", "manualFormatting" : "(e.g. Bulut &amp; Culha, 2010; Elele &amp; Fields, 2010; Bashir &amp; Long, 2015; Crowne et al., 2014)", "plainTextFormattedCitation" : "(Bulut &amp; Culha 2010; Elele &amp; Fields 2010; Bashir &amp; Long 2015; Crowne et al. 2014)", "previouslyFormattedCitation" : "(Bulut &amp; Culha 2010; Elele &amp; Fields 2010; Bashir &amp; Long 2015; Crowne et al. 2014)" }, "properties" : { "noteIndex" : 0 }, "schema" : "https://github.com/citation-style-language/schema/raw/master/csl-citation.json" }</w:instrText>
      </w:r>
      <w:r w:rsidRPr="00452E2E">
        <w:rPr>
          <w:szCs w:val="24"/>
        </w:rPr>
        <w:fldChar w:fldCharType="separate"/>
      </w:r>
      <w:r w:rsidRPr="00452E2E">
        <w:rPr>
          <w:noProof/>
          <w:szCs w:val="24"/>
        </w:rPr>
        <w:t xml:space="preserve">(e.g. Bulut &amp; Culha, 2010; Elele &amp; Fields, 2010; Bashir &amp; Long, 2015; Crowne </w:t>
      </w:r>
      <w:r w:rsidRPr="00452E2E">
        <w:rPr>
          <w:i/>
          <w:noProof/>
          <w:szCs w:val="24"/>
        </w:rPr>
        <w:t>et al</w:t>
      </w:r>
      <w:r w:rsidRPr="00452E2E">
        <w:rPr>
          <w:noProof/>
          <w:szCs w:val="24"/>
        </w:rPr>
        <w:t>., 2014)</w:t>
      </w:r>
      <w:r w:rsidRPr="00452E2E">
        <w:rPr>
          <w:szCs w:val="24"/>
        </w:rPr>
        <w:fldChar w:fldCharType="end"/>
      </w:r>
      <w:r w:rsidRPr="00452E2E">
        <w:rPr>
          <w:szCs w:val="24"/>
        </w:rPr>
        <w:t xml:space="preserve">. Whilst most of the studies were conducted at the individual level, there has also been some interest in cross-level analyses </w:t>
      </w:r>
      <w:r w:rsidRPr="00452E2E">
        <w:rPr>
          <w:szCs w:val="24"/>
        </w:rPr>
        <w:fldChar w:fldCharType="begin" w:fldLock="1"/>
      </w:r>
      <w:r w:rsidRPr="00452E2E">
        <w:rPr>
          <w:szCs w:val="24"/>
        </w:rPr>
        <w:instrText>ADDIN CSL_CITATION { "citationItems" : [ { "id" : "ITEM-1", "itemData" : { "DOI" : "10.1080/09585192.2011.561016", "ISSN" : "0958-5192", "abstract" : "The current study examines how high-involvement work systems (HIWS) influence employee responses to involvement initiatives. While existing research has linked HIWS to individual attitudes, we predict that an organization\u2019s HIWS moderate the relationship between employee involvement and job satisfaction and absenteeism. Using multilevel data (8454 employees from 1429 workplaces), we found that employee involvement and HIWS are positively related to employee job satisfaction. Additionally, the results support a cross-level interaction: at high levels of HIWS, employee involvement is negatively related to absenteeism, whereas at low levels of HIWS, the negative relationship is weaker. The implications of the findings are discussed.", "author" : [ { "dropping-particle" : "", "family" : "Zatzick", "given" : "Christopher D.", "non-dropping-particle" : "", "parse-names" : false, "suffix" : "" }, { "dropping-particle" : "", "family" : "Iverson", "given" : "Roderick D.", "non-dropping-particle" : "", "parse-names" : false, "suffix" : "" } ], "container-title" : "The International Journal of Human Resource Management", "id" : "ITEM-1", "issue" : "17", "issued" : { "date-parts" : [ [ "2011" ] ] }, "page" : "3462-3476", "title" : "Putting employee involvement in context: A cross-level model examining job satisfaction and absenteeism in high-involvement work systems", "type" : "article-journal", "volume" : "22" }, "uris" : [ "http://www.mendeley.com/documents/?uuid=946cff3e-0b7a-42c8-b450-9727b6de32ea" ] }, { "id" : "ITEM-2", "itemData" : { "abstract" : "Using a multi-level analysis of a sample of 193 employees matched to 58 managers in a regional Australian hospital, this paper examines the effects of management and employee perceptions of high-performance work systems (HPWS) on HR outcomes. These relationships are examined across four distinct occupational groups. The findings suggest that only when management\u2019s implementation of HPWS is similar to employees\u2019 espoused HR practices that HPWS are translated into greater engagement, job satisfaction, affective commitment and less intention to leave. The results have implications for the management of employees in the healthcare sector and the implementation of HPWS for different occupations within an organisation.", "author" : [ { "dropping-particle" : "", "family" : "Ang", "given" : "Siah H", "non-dropping-particle" : "", "parse-names" : false, "suffix" : "" }, { "dropping-particle" : "", "family" : "Bartram", "given" : "Timothy", "non-dropping-particle" : "", "parse-names" : false, "suffix" : "" }, { "dropping-particle" : "", "family" : "McNeil", "given" : "Nicola", "non-dropping-particle" : "", "parse-names" : false, "suffix" : "" }, { "dropping-particle" : "", "family" : "Leggat", "given" : "Sandra G", "non-dropping-particle" : "", "parse-names" : false, "suffix" : "" }, { "dropping-particle" : "", "family" : "Stanton", "given" : "Pauline", "non-dropping-particle" : "", "parse-names" : false, "suffix" : "" } ], "container-title" : "The International Journal of Human Resource Management", "id" : "ITEM-2", "issue" : "16", "issued" : { "date-parts" : [ [ "2013" ] ] }, "page" : "3086-3114", "title" : "The effects of high-performance work systems on hospital employees' work attitudes and intention to leave: A multi-level and occupational group analysis", "type" : "article-journal", "volume" : "24" }, "uris" : [ "http://www.mendeley.com/documents/?uuid=fcaa895f-19d8-48fc-802c-a313f4f9dd24" ] }, { "id" : "ITEM-3",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"ITEM-3",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"(Zatzick &amp; Iverson 2011; Ang et al. 2013; Heffernan &amp; Dundon 2016)", "manualFormatting" : "(e.g. Zatzick &amp; Iverson, 2011; Ang et al., 2013; Heffernan &amp; Dundon, 2016)", "plainTextFormattedCitation" : "(Zatzick &amp; Iverson 2011; Ang et al. 2013; Heffernan &amp; Dundon 2016)", "previouslyFormattedCitation" : "(Zatzick &amp; Iverson 2011; Ang et al. 2013;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(e.g. Zatzick &amp; Iverson, 2011; Ang </w:t>
      </w:r>
      <w:r w:rsidRPr="00452E2E">
        <w:rPr>
          <w:i/>
          <w:noProof/>
          <w:szCs w:val="24"/>
        </w:rPr>
        <w:t>et al</w:t>
      </w:r>
      <w:r w:rsidRPr="00452E2E">
        <w:rPr>
          <w:noProof/>
          <w:szCs w:val="24"/>
        </w:rPr>
        <w:t>., 2013; Heffernan &amp; Dundon, 2016)</w:t>
      </w:r>
      <w:r w:rsidRPr="00452E2E">
        <w:rPr>
          <w:szCs w:val="24"/>
        </w:rPr>
        <w:fldChar w:fldCharType="end"/>
      </w:r>
      <w:r w:rsidRPr="00452E2E">
        <w:rPr>
          <w:szCs w:val="24"/>
        </w:rPr>
        <w:t>.</w:t>
      </w:r>
    </w:p>
    <w:p w:rsidR="00D03A8E" w:rsidRPr="00452E2E" w:rsidRDefault="00D03A8E" w:rsidP="00D03A8E">
      <w:pPr>
        <w:spacing w:line="360" w:lineRule="auto"/>
        <w:jc w:val="both"/>
        <w:rPr>
          <w:szCs w:val="24"/>
        </w:rPr>
      </w:pPr>
      <w:r w:rsidRPr="00452E2E">
        <w:rPr>
          <w:szCs w:val="24"/>
        </w:rPr>
        <w:t xml:space="preserve">In terms of research setting, most studies were conducted in Western contexts such as UK </w:t>
      </w:r>
      <w:r w:rsidRPr="00452E2E">
        <w:rPr>
          <w:szCs w:val="24"/>
        </w:rPr>
        <w:fldChar w:fldCharType="begin" w:fldLock="1"/>
      </w:r>
      <w:r w:rsidRPr="00452E2E">
        <w:rPr>
          <w:szCs w:val="24"/>
        </w:rPr>
        <w:instrText>ADDIN CSL_CITATION { "citationItems" : [ { "id" : "ITEM-1", "itemData" : { "abstract" : "Although there is a growing body of evidence demonstrating positive effects of \u2018high commitment\u2019 HRM practices on organizational performance, there is less evidence evaluating their effects on individual workers, especially within the public sector. Therefore the implications of applying \u2018high commitment\u2019 practices in the public sector needs to be considered. This paper seeks to address this gap by reporting the results of a staff survey and follow-up interviews conducted on a cross-section of local government employees. The results showed that eight of the ten \u2018high commitment\u2019 practices had significant effects on worker attitudes. The results are discussed in light of HRM theory together with the implications for public sector managers.", "author" : [ { "dropping-particle" : "", "family" : "Gould-Williams", "given" : "Julian", "non-dropping-particle" : "", "parse-names" : false, "suffix" : "" } ], "container-title" : "Public Administration", "id" : "ITEM-1", "issue" : "1", "issued" : { "date-parts" : [ [ "2004" ] ] }, "page" : "63-81", "title" : "The effects of 'high commitment' HRM practices on employee attitude: The views of public sector workers", "type" : "article-journal", "volume" : "82" }, "uris" : [ "http://www.mendeley.com/documents/?uuid=1ea3bc7e-762b-4578-9d64-abbee580b748" ] }, { "id" : "ITEM-2",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"ITEM-2", "issue" : "1", "issued" : { "date-parts" : [ [ "2011" ] ] }, "page" : "5-23", "title" : "High commitment performance management: the roles of justice and trust", "type" : "article-journal", "volume" : "40" }, "uris" : [ "http://www.mendeley.com/documents/?uuid=1d416136-441a-4178-a5d0-8f497239e9e4" ] }, { "id" : "ITEM-3", "itemData" : { "DOI" : "10.1111/1748-8583.12000", "ISBN" : "1748-8583\\n0954-5395", "ISSN" : "09545395", "abstract" : "With changing retirement ages and an aging workforce, interest is growing on the potential contribution of relevant bundles of HR practices in eliciting well-being and performance among aging workers. Drawing on theories on lifespan development and self-regulation, we distinguished two bundles of HR practices: development HR practices that help individual workers reach higher levels of functioning (e.g. training), and maintenance HR practices that help individual workers maintain their current levels of functioning in the face of new challenges (e.g. performance appraisal). Further, based on lifespan theories, we expected and found that the association between development HR practices and well-being (i.e. job satisfaction, organisational commitment and organisational fairness) weakens, and that the associations between maintenance HR practices and well-being, and between development HR practices and employee performance, strengthen with age. In addition, a third bundle of \u2018job enrichment\u2019 HR practices emerged that elicited higher job performance among aging workers.", "author" : [ { "dropping-particle" : "", "family" : "Kooij", "given" : "Dorien T A M", "non-dropping-particle" : "", "parse-names" : false, "suffix" : "" }, { "dropping-particle" : "", "family" : "Guest", "given" : "David E.", "non-dropping-particle" : "", "parse-names" : false, "suffix" : "" }, { "dropping-particle" : "", "family" : "Clinton", "given" : "Mike", "non-dropping-particle" : "", "parse-names" : false, "suffix" : "" }, { "dropping-particle" : "", "family" : "Knight", "given" : "Terry", "non-dropping-particle" : "", "parse-names" : false, "suffix" : "" }, { "dropping-particle" : "", "family" : "Jansen", "given" : "Paul G W", "non-dropping-particle" : "", "parse-names" : false, "suffix" : "" }, { "dropping-particle" : "", "family" : "Dikkers", "given" : "Josje S E", "non-dropping-particle" : "", "parse-names" : false, "suffix" : "" } ], "container-title" : "Human Resource Management Journal", "id" : "ITEM-3", "issue" : "1", "issued" : { "date-parts" : [ [ "2013" ] ] }, "page" : "18-35", "title" : "How the impact of HR practices on employee well-being and performance changes with age", "type" : "article-journal", "volume" : "23" }, "uris" : [ "http://www.mendeley.com/documents/?uuid=0f6e933c-c3a0-452d-aeda-c3544f34e4f7" ] }, { "id" : "ITEM-4", "itemData" : { "DOI" : "10.1111/j.1467-8551.2012.00814.x", "ISBN" : "10453172", "ISSN" : "10453172", "PMID" : "89517151", "abstract" : "This paper considers a large matched employee\u2013employer data set to estimate a model of organizational commitment. In particular, it focuses on the role of firm size and manage- ment formality to explain organizational commitment in British small and medium- sized enterprises(SMEs)with high and low levels of employee satisfaction. It is shown that size \u2018in itself\u2019 can explain differences in organizational commitment, and that organiza- tional commitment tends to be higher in organizations with high employee satisfaction compared with organizations of similar size with low employee satisfaction. Crucially, the results suggest that formal human resource (HR) practices can be used as important tools to increase commitment and thus, potentially, effort and performance within underper- formingSMEswith low employee satisfaction. However, formalHRpractices commonly used by large firms may be unnecessary in SMEs which benefit from high employee satisfaction and positive employment relations within a</w:instrText>
      </w:r>
      <w:r w:rsidRPr="00452E2E">
        <w:rPr>
          <w:szCs w:val="24"/>
          <w:lang w:val="fr-FR"/>
        </w:rPr>
        <w:instrText xml:space="preserve"> context of informality.", "author" : [ { "dropping-particle" : "", "family" : "Saridakis", "given" : "George", "non-dropping-particle" : "", "parse-names" : false, "suffix" : "" }, { "dropping-particle" : "", "family" : "Mu\u00f1oz Torres", "given" : "Rebeca", "non-dropping-particle" : "", "parse-names" : false, "suffix" : "" }, { "dropping-particle" : "", "family" : "Johnstone", "given" : "Stewart", "non-dropping-particle" : "", "parse-names" : false, "suffix" : "" } ], "container-title" : "British Journal of Management", "id" : "ITEM-4", "issue" : "3", "issued" : { "date-parts" : [ [ "2013" ] ] }, "page" : "445-458", "title" : "Do human resource practices enhance organizational commitment in SMEs with low employee satisfaction?", "type" : "article-journal", "volume" : "24" }, "uris" : [ "http://www.mendeley.com/documents/?uuid=1550afec-18b0-4627-9edb-1aa5aedd8f5c" ] } ], "mendeley" : { "formattedCitation" : "(Gould-Williams 2004; Farndale et al. 2011; Kooij et al. 2013; Saridakis et al. 2013)", "manualFormatting" : "(Gould-Williams, 2004; Farndale et al., 2011; Kooij et al., 2013; Saridakis et al., 2013)", "plainTextFormattedCitation" : "(Gould-Williams 2004; Farndale et al. 2011; Kooij et al. 2013; Saridakis et al. 2013)", "previouslyFormattedCitation" : "(Gould-Williams 2004; Farndale et al. 2011; Kooij et al. 2013; Saridakis et al. 2013)" }, "properties" : { "noteIndex" : 0 }, "schema" : "https://github.com/citation-style-language/schema/raw/master/csl-citation.json" }</w:instrText>
      </w:r>
      <w:r w:rsidRPr="00452E2E">
        <w:rPr>
          <w:szCs w:val="24"/>
        </w:rPr>
        <w:fldChar w:fldCharType="separate"/>
      </w:r>
      <w:r w:rsidRPr="00452E2E">
        <w:rPr>
          <w:noProof/>
          <w:szCs w:val="24"/>
          <w:lang w:val="fr-FR"/>
        </w:rPr>
        <w:t xml:space="preserve">(Gould-Williams, 2004; Farndale </w:t>
      </w:r>
      <w:r w:rsidRPr="00452E2E">
        <w:rPr>
          <w:i/>
          <w:noProof/>
          <w:szCs w:val="24"/>
          <w:lang w:val="fr-FR"/>
        </w:rPr>
        <w:t>et al</w:t>
      </w:r>
      <w:r w:rsidRPr="00452E2E">
        <w:rPr>
          <w:noProof/>
          <w:szCs w:val="24"/>
          <w:lang w:val="fr-FR"/>
        </w:rPr>
        <w:t>., 2011</w:t>
      </w:r>
      <w:r w:rsidRPr="00452E2E">
        <w:rPr>
          <w:i/>
          <w:noProof/>
          <w:szCs w:val="24"/>
          <w:lang w:val="fr-FR"/>
        </w:rPr>
        <w:t>a</w:t>
      </w:r>
      <w:r w:rsidRPr="00452E2E">
        <w:rPr>
          <w:noProof/>
          <w:szCs w:val="24"/>
          <w:lang w:val="fr-FR"/>
        </w:rPr>
        <w:t xml:space="preserve">; Kooij </w:t>
      </w:r>
      <w:r w:rsidRPr="00452E2E">
        <w:rPr>
          <w:i/>
          <w:noProof/>
          <w:szCs w:val="24"/>
          <w:lang w:val="fr-FR"/>
        </w:rPr>
        <w:t>et al</w:t>
      </w:r>
      <w:r w:rsidRPr="00452E2E">
        <w:rPr>
          <w:noProof/>
          <w:szCs w:val="24"/>
          <w:lang w:val="fr-FR"/>
        </w:rPr>
        <w:t xml:space="preserve">., 2013; Saridakis </w:t>
      </w:r>
      <w:r w:rsidRPr="00452E2E">
        <w:rPr>
          <w:i/>
          <w:noProof/>
          <w:szCs w:val="24"/>
          <w:lang w:val="fr-FR"/>
        </w:rPr>
        <w:t>et al</w:t>
      </w:r>
      <w:r w:rsidRPr="00452E2E">
        <w:rPr>
          <w:noProof/>
          <w:szCs w:val="24"/>
          <w:lang w:val="fr-FR"/>
        </w:rPr>
        <w:t>., 2013)</w:t>
      </w:r>
      <w:r w:rsidRPr="00452E2E">
        <w:rPr>
          <w:szCs w:val="24"/>
        </w:rPr>
        <w:fldChar w:fldCharType="end"/>
      </w:r>
      <w:r w:rsidRPr="00452E2E">
        <w:rPr>
          <w:szCs w:val="24"/>
          <w:lang w:val="fr-FR"/>
        </w:rPr>
        <w:t xml:space="preserve">, USA </w:t>
      </w:r>
      <w:r w:rsidRPr="00452E2E">
        <w:rPr>
          <w:szCs w:val="24"/>
        </w:rPr>
        <w:fldChar w:fldCharType="begin" w:fldLock="1"/>
      </w:r>
      <w:r w:rsidRPr="00452E2E">
        <w:rPr>
          <w:szCs w:val="24"/>
          <w:lang w:val="fr-FR"/>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w:instrText>
      </w:r>
      <w:r w:rsidRPr="00452E2E">
        <w:rPr>
          <w:szCs w:val="24"/>
        </w:rPr>
        <w:instrText>ames" : false, "suffix" : "" } ], "container-title" : "Journal of Business and Psychology", "id" : "ITEM-2", "issue" : "1", "issued" : { "date-parts" : [ [ "2005" ] ] }, "page" : "3-29", "title" : "Benefit system effects on employees' benefit knowledge, use and organizational commitment", "type" : "article-journal", "volume" : "20" }, "uris" : [ "http://www.mendeley.com/documents/?uuid=76153374-7214-4e74-b268-ebcd9498b8b1" ] }, { "id" : "ITEM-3", "itemData" : { "author" : [ { "dropping-particle" : "", "family" : "Artz", "given" : "Benjamin", "non-dropping-particle" : "", "parse-names" : false, "suffix" : "" } ], "container-title" : "International Journal of Manpower", "id" : "ITEM-3", "issue" : "6", "issued" : { "date-parts" : [ [ "2010" ] ] }, "page" : "626-644", "title" : "Fringe benefits and job satisfaction", "type" : "article-journal", "volume" : "31" }, "uris" : [ "http://www.mendeley.com/documents/?uuid=befb7ec4-5864-4c2e-8b09-ae41a5344053" ] }, { "id" : "ITEM-4", "itemData" : { "abstract" : "In the United States the Baby Boomer generation is advancing toward retirement age and many are choosing to stay in the workforce. This study develops and analyzes a model of the impact of older-worker-friendly (OWF) policies in organizations on job satisfaction, strain-based work/family conflict, and affective organizational commitment in older workers. The data included 368 full-time employed persons age 50 years or older who participated in a telephone survey. Linear regression was used to analyze the hypothesized relationships. Results indicated that the model was supported. Older workers who were employed at organizations with more older-worker-friendly policies had higher levels of job satisfaction and lower levels of strain-</w:instrText>
      </w:r>
      <w:r w:rsidRPr="00452E2E">
        <w:rPr>
          <w:szCs w:val="24"/>
          <w:lang w:val="fr-FR"/>
        </w:rPr>
        <w:instrText>based work/family conflict, which led to higher levels of affective organizational commitment.", "author" : [ { "dropping-particle" : "", "family" : "Crowne", "given" : "Kerri Anne", "non-dropping-particle" : "", "parse-names" : false, "suffix" : "" }, { "dropping-particle" : "", "family" : "Cochran", "given" : "Jeremy", "non-dropping-particle" : "", "parse-names" : false, "suffix" : "" }, { "dropping-particle" : "", "family" : "Carpenter", "given" : "Caryl E.", "non-dropping-particle" : "", "parse-names" : false, "suffix" : "" } ], "container-title" : "Organization Management Journal", "id" : "ITEM-4", "issue" : "2", "issued" : { "date-parts" : [ [ "2014" ] ] }, "page" : "62-73", "title" : "Older-worker-friendly policies and affective organizational commitment", "type" : "article-journal", "volume" : "11" }, "uris" : [ "http://www.mendeley.com/documents/?uuid=5cc7ea72-f4c5-4d19-9844-ff4114590e83" ] } ], "mendeley" : { "formattedCitation" : "(Appelbaum et al. 2000; Sinclair et al. 2005; Artz 2010; Crowne et al. 2014)", "manualFormatting" : "(e.g. Appelbaum et al., 2000; Sinclair et al., 2005; Artz, 2010; Crowne et al., 2014)", "plainTextFormattedCitation" : "(Appelbaum et al. 2000; Sinclair et al. 2005; Artz 2010; Crowne et al. 2014)", "previouslyFormattedCitation" : "(Appelbaum et al. 2000; Sinclair et al. 2005; Artz 2010; Crowne et al. 2014)" }, "properties" : { "noteIndex" : 0 }, "schema" : "https://github.com/citation-style-language/schema/raw/master/csl-citation.json" }</w:instrText>
      </w:r>
      <w:r w:rsidRPr="00452E2E">
        <w:rPr>
          <w:szCs w:val="24"/>
        </w:rPr>
        <w:fldChar w:fldCharType="separate"/>
      </w:r>
      <w:r w:rsidRPr="00452E2E">
        <w:rPr>
          <w:noProof/>
          <w:szCs w:val="24"/>
          <w:lang w:val="fr-FR"/>
        </w:rPr>
        <w:t xml:space="preserve">(e.g. Appelbaum </w:t>
      </w:r>
      <w:r w:rsidRPr="00452E2E">
        <w:rPr>
          <w:i/>
          <w:noProof/>
          <w:szCs w:val="24"/>
          <w:lang w:val="fr-FR"/>
        </w:rPr>
        <w:t>et al</w:t>
      </w:r>
      <w:r w:rsidRPr="00452E2E">
        <w:rPr>
          <w:noProof/>
          <w:szCs w:val="24"/>
          <w:lang w:val="fr-FR"/>
        </w:rPr>
        <w:t xml:space="preserve">., 2000; Sinclair </w:t>
      </w:r>
      <w:r w:rsidRPr="00452E2E">
        <w:rPr>
          <w:i/>
          <w:noProof/>
          <w:szCs w:val="24"/>
          <w:lang w:val="fr-FR"/>
        </w:rPr>
        <w:t>et al</w:t>
      </w:r>
      <w:r w:rsidRPr="00452E2E">
        <w:rPr>
          <w:noProof/>
          <w:szCs w:val="24"/>
          <w:lang w:val="fr-FR"/>
        </w:rPr>
        <w:t xml:space="preserve">., 2005; Artz, 2010; Crowne </w:t>
      </w:r>
      <w:r w:rsidRPr="00452E2E">
        <w:rPr>
          <w:i/>
          <w:noProof/>
          <w:szCs w:val="24"/>
          <w:lang w:val="fr-FR"/>
        </w:rPr>
        <w:t>et al</w:t>
      </w:r>
      <w:r w:rsidRPr="00452E2E">
        <w:rPr>
          <w:noProof/>
          <w:szCs w:val="24"/>
          <w:lang w:val="fr-FR"/>
        </w:rPr>
        <w:t>., 2014)</w:t>
      </w:r>
      <w:r w:rsidRPr="00452E2E">
        <w:rPr>
          <w:szCs w:val="24"/>
        </w:rPr>
        <w:fldChar w:fldCharType="end"/>
      </w:r>
      <w:r w:rsidRPr="00452E2E">
        <w:rPr>
          <w:szCs w:val="24"/>
          <w:lang w:val="fr-FR"/>
        </w:rPr>
        <w:t xml:space="preserve">; Canada </w:t>
      </w:r>
      <w:r w:rsidRPr="00452E2E">
        <w:rPr>
          <w:szCs w:val="24"/>
        </w:rPr>
        <w:fldChar w:fldCharType="begin" w:fldLock="1"/>
      </w:r>
      <w:r w:rsidRPr="00452E2E">
        <w:rPr>
          <w:szCs w:val="24"/>
          <w:lang w:val="fr-FR"/>
        </w:rPr>
        <w:instrText>ADDIN CSL_CITATION { "citationItems" : [ { "id" : "ITEM-1", "itemData" : { "author" : [ { "dropping-particle" : "", "family" : "Mohr", "given" : "R D", "non-dropping-particle" : "", "parse-names" : false, "suffix" : "" }, { "dropping-particle" : "", "family" : "Zoghi", "given" : "C", "non-dropping-particle" : "", "parse-names" : false, "suffix" : "" } ], "container-title" : "Industrial and Labour Relations Review", "id" : "ITEM-1", "issue" : "3", "issued" : { "date-parts" : [ [ "2008" ] ] }, "page" : "275-296", "title" : "High involvement management work design and job satisfaction", "type" : "article-journal", "volume" : "61" }, "uris" : [ "http://www.mendeley.com/documents/?uuid=8c2fd714-930f-4506-aa24-fb2808f6327d" ] }, { "id" : "ITEM-2", "itemData" : { "ISBN" : "0143773101106", "author" : [ { "dropping-particle" : "", "family" : "Yap", "given" : "M", "non-dropping-particle" : "", "parse-names" : false, "suffix" : "" }, { "dropping-particle" : "", "family" : "Holmes", "given" : "M.R.", "non-dropping-particle" : "", "parse-names" : false, "suffix" : "" }, { "dropping-particle" : "", "family" : "Hannan", "given" : "C-A", "non-dropping-particle" : "", "parse-names" : false, "suffix" : "" }, { "dropping-particle" : "", "family" : "Cukier", "given" : "W", "non-dropping-particle" : "", "parse-names" : false, "suffix" : "" } ], "container-title" : "Journal of European Industrial Traini</w:instrText>
      </w:r>
      <w:r w:rsidRPr="00452E2E">
        <w:rPr>
          <w:szCs w:val="24"/>
        </w:rPr>
        <w:instrText>ng", "id" : "ITEM-2", "issue" : "6", "issued" : { "date-parts" : [ [ "2010" ] ] }, "page" : "519-538", "title" : "The relationship between diversity training, organizational commitment, and career satisfaction", "type" : "article-journal", "volume" : "34" }, "uris" : [ "http://www.mendeley.com/documents/?uuid=b209ad6e-ce3f-4e28-9899-fad6d9dc196d" ] }, { "id" : "ITEM-3",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"ITEM-3",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"ITEM-4",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"ITEM-4",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"mendeley" : { "formattedCitation" : "(Mohr &amp; Zoghi 2008; Yap et al. 2010; Mendelson et al. 2011; Fabi et al. 2015)", "manualFormatting" : "(e.g. Mohr &amp; Zoghi, 2008; Yap et al., 2010; Mendelson et al., 2011; Fabi et al., 2015)", "plainTextFormattedCitation" : "(Mohr &amp; Zoghi 2008; Yap et al. 2010; Mendelson et al. 2011; Fabi et al. 2015)", "previouslyFormattedCitation" : "(Mohr &amp; Zoghi 2008; Yap et al. 2010; Mendelson et al. 2011; Fabi et al. 2015)" }, "properties" : { "noteIndex" : 0 }, "schema" : "https://github.com/citation-style-language/schema/raw/master/csl-citation.json" }</w:instrText>
      </w:r>
      <w:r w:rsidRPr="00452E2E">
        <w:rPr>
          <w:szCs w:val="24"/>
        </w:rPr>
        <w:fldChar w:fldCharType="separate"/>
      </w:r>
      <w:r w:rsidRPr="00452E2E">
        <w:rPr>
          <w:noProof/>
          <w:szCs w:val="24"/>
        </w:rPr>
        <w:t xml:space="preserve">(e.g. Mohr &amp; Zoghi, 2008; Yap </w:t>
      </w:r>
      <w:r w:rsidRPr="00452E2E">
        <w:rPr>
          <w:i/>
          <w:noProof/>
          <w:szCs w:val="24"/>
        </w:rPr>
        <w:t>et al</w:t>
      </w:r>
      <w:r w:rsidRPr="00452E2E">
        <w:rPr>
          <w:noProof/>
          <w:szCs w:val="24"/>
        </w:rPr>
        <w:t xml:space="preserve">., 2010; Fabi </w:t>
      </w:r>
      <w:r w:rsidRPr="00452E2E">
        <w:rPr>
          <w:i/>
          <w:noProof/>
          <w:szCs w:val="24"/>
        </w:rPr>
        <w:t>et al</w:t>
      </w:r>
      <w:r w:rsidRPr="00452E2E">
        <w:rPr>
          <w:noProof/>
          <w:szCs w:val="24"/>
        </w:rPr>
        <w:t>., 2015)</w:t>
      </w:r>
      <w:r w:rsidRPr="00452E2E">
        <w:rPr>
          <w:szCs w:val="24"/>
        </w:rPr>
        <w:fldChar w:fldCharType="end"/>
      </w:r>
      <w:r w:rsidRPr="00452E2E">
        <w:rPr>
          <w:szCs w:val="24"/>
        </w:rPr>
        <w:t xml:space="preserve">; New Zealand </w:t>
      </w:r>
      <w:r w:rsidRPr="00452E2E">
        <w:rPr>
          <w:szCs w:val="24"/>
        </w:rPr>
        <w:fldChar w:fldCharType="begin" w:fldLock="1"/>
      </w:r>
      <w:r w:rsidRPr="00452E2E">
        <w:rPr>
          <w:szCs w:val="24"/>
        </w:rPr>
        <w:instrText>ADDIN CSL_CITATION { "citationItems" : [ { "id" : "ITEM-1",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"ITEM-1", "issue" : "5", "issued" : { "date-parts" : [ [ "2005" ] ] }, "page" : "534-549", "title" : "HRM practice and employee attitudes: Different measures \u2013 different results", "type" : "article-journal", "volume" : "34" }, "uris" : [ "http://www.mendeley.com/documents/?uuid=9d6909f5-8480-4f8c-af13-1d14286dcfa0" ] }, { "id" : "ITEM-2", "itemData" : { "abstract" : "Using a national population survey, this article examines how high-involvement work processes affect employee well-being. The analysis shows that greater experiences of autonomy and participation in decision-making have positive or neutral effects. Higher involvement is a key factor predicting higher job satisfaction and better work\u2013life balance while it has no relationship to stress or fatigue. In contrast, higher levels of work intensity increase fatigue and stress and undermine work\u2013life balance. If the quality of working life is a key objective in a reform based on greater employee involvement, close attention needs to be paid to the balance between processes that release human potential and those that increase the intensity of work. Keywords", "author" : [ { "dropping-particle" : "", "family" : "Boxall", "given" : "Peter", "non-dropping-particle" : "", "parse-names" : false, "suffix" : "" }, { "dropping-particle" : "", "family" : "Macky", "given" : "Keith", "non-dropping-particle" : "", "parse-names" : false, "suffix" : "" } ], "container-title" : "Work, Employment &amp; Society", "id" : "ITEM-2", "issue" : "6", "issued" : { "date-parts" : [ [ "2014" ] ] }, "page" : "963-984", "title" : "High-involvement work process, work intensification and employee well-being", "type" : "article-journal", "volume" : "28" }, "uris" : [ "http://www.mendeley.com/documents/?uuid=676e6816-0c74-4d96-b5f0-7e364ff2d3fc" ] } ], "mendeley" : { "formattedCitation" : "(Edgar &amp; Geare 2005; Boxall &amp; Macky 2014)", "manualFormatting" : "(e.g. Edgar &amp; Geare, 2005; Boxall &amp; Macky, 2014)", "plainTextFormattedCitation" : "(Edgar &amp; Geare 2005; Boxall &amp; Macky 2014)", "previouslyFormattedCitation" : "(Edgar &amp; Geare 2005; Boxall &amp; Macky 2014)" }, "properties" : { "noteIndex" : 0 }, "schema" : "https://github.com/citation-style-language/schema/raw/master/csl-citation.json" }</w:instrText>
      </w:r>
      <w:r w:rsidRPr="00452E2E">
        <w:rPr>
          <w:szCs w:val="24"/>
        </w:rPr>
        <w:fldChar w:fldCharType="separate"/>
      </w:r>
      <w:r w:rsidRPr="00452E2E">
        <w:rPr>
          <w:noProof/>
          <w:szCs w:val="24"/>
        </w:rPr>
        <w:t>(e.g. Edgar &amp; Geare, 2005; Boxall &amp; Macky, 2014)</w:t>
      </w:r>
      <w:r w:rsidRPr="00452E2E">
        <w:rPr>
          <w:szCs w:val="24"/>
        </w:rPr>
        <w:fldChar w:fldCharType="end"/>
      </w:r>
      <w:r w:rsidRPr="00452E2E">
        <w:rPr>
          <w:szCs w:val="24"/>
        </w:rPr>
        <w:t xml:space="preserve">, Netherlands </w:t>
      </w:r>
      <w:r w:rsidRPr="00452E2E">
        <w:rPr>
          <w:szCs w:val="24"/>
        </w:rPr>
        <w:fldChar w:fldCharType="begin" w:fldLock="1"/>
      </w:r>
      <w:r w:rsidRPr="00452E2E">
        <w:rPr>
          <w:szCs w:val="24"/>
        </w:rPr>
        <w:instrText>ADDIN CSL_CITATION { "citationItems" : [ { "id" : "ITEM-1", "itemData" : { "abstract" : "Purpose: This paper aims to present an empirical study of the effect of high performance work practices on commitment and citizenship behaviour in the health care sector. The theory suggests that individual employees are willing \"to go the extra mile\" when they are given the opportunity to develop their abilities and to participate, and when they are motivated. Design/methodology/approach: The data were gathered in a Dutch general hospital using employee questionnaires. Medical specialists were not included in the study. Findings: The results of the study suggest that employee development (e.g. skills training, general training, and task enrichment) and employee involvement (e.g. job autonomy, participation in decision making) are important HR practices in creating a high performance work climate in a health care organisation. Research limitations/implications: The data come from one hospital and the analysis is cross-sectional. However, the importance of the study lies in its focus on the individual employee perspective rather than the organisational level analyses which currently predominate in the HRM and performance debate. Practical implications: The training and development of health care employees can increase their affective commitment. Increasing employee involvement can also help stimulate citizenship behaviour. Originality/value: The paper looks at the non-profit sector, whereas the majority of previous HR research has focused on multinational companies. \u00a9 Emerald Group Publishing Limited.", "author" : [ { "dropping-particle" : "", "family" : "Boselie", "given" : "Paul", "non-dropping-particle" : "", "parse-names" : false, "suffix" : "" } ], "container-title" : "International Journal of Manpower", "id" : "ITEM-1", "issue" : "1", "issued" : { "date-parts" : [ [ "2010" ] ] }, "page" : "42-58", "title" : "High performance work practices in the health care sector: A Dutch case study", "type" : "article-journal", "volume" : "31" }, "uris" : [ "http://www.mendeley.com/documents/?uuid=a1717bb6-a722-4213-87d0-ca5efc310966" ] }, { "id" : "ITEM-2",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"ITEM-2",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"id" : "ITEM-3", "itemData" : { "author" : [ { "dropping-particle" : "", "family" : "Hartog", "given" : "D. N.", "non-dropping-particle" : "Den", "parse-names" : false, "suffix" : "" }, { "dropping-particle" : "", "family" : "Boon", "given" : "C.", "non-dropping-particle" : "", "parse-names" : false, "suffix" : "" }, { "dropping-particle" : "", "family" : "Verburg", "given" : "R. M.", "non-dropping-particle" : "", "parse-names" : false, "suffix" : "" }, { "dropping-particle" : "", "family" : "Croon", "given" : "M. A.", "non-dropping-particle" : "", "parse-names" : false, "suffix" : "" } ], "container-title" : "Journal of Management", "id" : "ITEM-3", "issue" : "6", "issued" : { "date-parts" : [ [ "2013" ] ] }, "page" : "1637-1665", "title" : "HRM, communication, satisfaction, and perceived performance: A cross-level test", "type" : "article-journal", "volume" : "39" }, "uris" : [ "http://www.mendeley.com/documents/?uuid=aaf5ee5f-23ca-4c61-ab59-e1572ec0401b" ] } ], "mendeley" : { "formattedCitation" : "(Boselie 2010; Boon et al. 2011; Den Hartog et al. 2013)", "manualFormatting" : "(e.g. Boselie, 2010; Boon et al., 2011; Den Hartog et al., 2013)", "plainTextFormattedCitation" : "(Boselie 2010; Boon et al. 2011; Den Hartog et al. 2013)", "previouslyFormattedCitation" : "(Boselie 2010; Boon et al. 2011; Den Hartog et al. 2013)" }, "properties" : { "noteIndex" : 0 }, "schema" : "https://github.com/citation-style-language/schema/raw/master/csl-citation.json" }</w:instrText>
      </w:r>
      <w:r w:rsidRPr="00452E2E">
        <w:rPr>
          <w:szCs w:val="24"/>
        </w:rPr>
        <w:fldChar w:fldCharType="separate"/>
      </w:r>
      <w:r w:rsidRPr="00452E2E">
        <w:rPr>
          <w:noProof/>
          <w:szCs w:val="24"/>
        </w:rPr>
        <w:t xml:space="preserve">(e.g. Boselie, 2010; Den Hartog </w:t>
      </w:r>
      <w:r w:rsidRPr="00452E2E">
        <w:rPr>
          <w:i/>
          <w:noProof/>
          <w:szCs w:val="24"/>
        </w:rPr>
        <w:t>et al</w:t>
      </w:r>
      <w:r w:rsidRPr="00452E2E">
        <w:rPr>
          <w:noProof/>
          <w:szCs w:val="24"/>
        </w:rPr>
        <w:t>., 2013)</w:t>
      </w:r>
      <w:r w:rsidRPr="00452E2E">
        <w:rPr>
          <w:szCs w:val="24"/>
        </w:rPr>
        <w:fldChar w:fldCharType="end"/>
      </w:r>
      <w:r w:rsidRPr="00452E2E">
        <w:rPr>
          <w:szCs w:val="24"/>
        </w:rPr>
        <w:t xml:space="preserve">, France </w:t>
      </w:r>
      <w:r w:rsidRPr="00452E2E">
        <w:rPr>
          <w:szCs w:val="24"/>
        </w:rPr>
        <w:fldChar w:fldCharType="begin" w:fldLock="1"/>
      </w:r>
      <w:r w:rsidRPr="00452E2E">
        <w:rPr>
          <w:szCs w:val="24"/>
        </w:rPr>
        <w:instrText>ADDIN CSL_CITATION { "citationItems" : [ { "id" : "ITEM-1",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"Herrbach", "given" : "Olivier", "non-dropping-particle" : "", "parse-names" : false, "suffix" : "" }, { "dropping-particle" : "", "family" : "Mignonac", "given" : "Karim", "non-dropping-particle" : "", "parse-names" : false, "suffix" : "" }, { "dropping-particle" : "", "family" : "Vandenbeghe", "given" : "C", "non-dropping-particle" : "", "parse-names" : false, "suffix" : "" }, { "dropping-particle" : "", "family" : "Negrini", "given" : "A", "non-dropping-particle" : "", "parse-names" : false, "suffix" : "" } ], "container-title" : "Human Resource Management", "id" : "ITEM-1", "issue" : "6", "issued" : { "date-parts" : [ [ "2009" ] ] }, "page" : "895-915", "title" : "Perceived HRM practices, organizational commitment, and voluntary early retirement among late career managers", "type" : "article-journal", "volume" : "48" }, "uris" : [ "http://www.mendeley.com/documents/?uuid=1b165dc8-8055-4a8b-bc0e-388885049c28" ] }, { "id" : "ITEM-2", "itemData" : { "DOI" : "10.1177/0899764012451368", "ISSN" : "0899-7640", "abstract" : "This article studies the influence of the procedural justice resulting from participation in decision-making on employees' affective commitment in social enterprises. It also examines whether any potential link between participation and commitment is due to social exchange, as is the case with for-profit companies. The study is based on data from employees of French work integration social enterprises. The results confirm the positive relationship between procedural justice and affective commitment and the mediating role of perceived organizational support and leader--member exchanges. Managerial recommendations are then given to best maintain or increase employees' involvement in the decision-making processes of social enterprises.", "author" : [ { "dropping-particle" : "", "family" : "Ohana", "given" : "M.", "non-dropping-particle" : "", "parse-names" : false, "suffix" : "" }, { "dropping-particle" : "", "family" : "Meyer", "given" : "M.", "non-dropping-particle" : "", "parse-names" : false, "suffix" : "" }, { "dropping-particle" : "", "family" : "Swaton", "given" : "S.", "non-dropping-particle" : "", "parse-names" : false, "suffix" : "" } ], "container-title" : "Nonprofit and Voluntary Sector Quarterly", "id" : "ITEM-2", "issue" : "6", "issued" : { "date-parts" : [ [ "2012" ] ] }, "page" : "1092-1110", "title" : "Decision-making in social enterprises: exploring the link between employee participation and organizational commitment", "type" : "article-journal", "volume" : "42" }, "uris" : [ "http://www.mendeley.com/documents/?uuid=371b7b95-5348-4c25-89be-ba9fe30dd952" ] } ], "mendeley" : { "formattedCitation" : "(Herrbach et al. 2009; Ohana et al. 2012)", "manualFormatting" : "(e.g. Herrbach et al., 2009; Ohana et al., 2012)", "plainTextFormattedCitation" : "(Herrbach et al. 2009; Ohana et al. 2012)", "previouslyFormattedCitation" : "(Herrbach et al. 2009; Ohana et al. 2012)" }, "properties" : { "noteIndex" : 0 }, "schema" : "https://github.com/citation-style-language/schema/raw/master/csl-citation.json" }</w:instrText>
      </w:r>
      <w:r w:rsidRPr="00452E2E">
        <w:rPr>
          <w:szCs w:val="24"/>
        </w:rPr>
        <w:fldChar w:fldCharType="separate"/>
      </w:r>
      <w:r w:rsidRPr="00452E2E">
        <w:rPr>
          <w:noProof/>
          <w:szCs w:val="24"/>
        </w:rPr>
        <w:t xml:space="preserve">(e.g. Herrbach </w:t>
      </w:r>
      <w:r w:rsidRPr="00452E2E">
        <w:rPr>
          <w:i/>
          <w:noProof/>
          <w:szCs w:val="24"/>
        </w:rPr>
        <w:t>et al</w:t>
      </w:r>
      <w:r w:rsidRPr="00452E2E">
        <w:rPr>
          <w:noProof/>
          <w:szCs w:val="24"/>
        </w:rPr>
        <w:t xml:space="preserve">., 2009; Ohana </w:t>
      </w:r>
      <w:r w:rsidRPr="00452E2E">
        <w:rPr>
          <w:i/>
          <w:noProof/>
          <w:szCs w:val="24"/>
        </w:rPr>
        <w:t>et al</w:t>
      </w:r>
      <w:r w:rsidRPr="00452E2E">
        <w:rPr>
          <w:noProof/>
          <w:szCs w:val="24"/>
        </w:rPr>
        <w:t>., 2012)</w:t>
      </w:r>
      <w:r w:rsidRPr="00452E2E">
        <w:rPr>
          <w:szCs w:val="24"/>
        </w:rPr>
        <w:fldChar w:fldCharType="end"/>
      </w:r>
      <w:r w:rsidRPr="00452E2E">
        <w:rPr>
          <w:szCs w:val="24"/>
        </w:rPr>
        <w:t xml:space="preserve">, Ireland </w:t>
      </w:r>
      <w:r w:rsidRPr="00452E2E">
        <w:rPr>
          <w:szCs w:val="24"/>
        </w:rPr>
        <w:fldChar w:fldCharType="begin" w:fldLock="1"/>
      </w:r>
      <w:r w:rsidRPr="00452E2E">
        <w:rPr>
          <w:szCs w:val="24"/>
        </w:rPr>
        <w:instrText>ADDIN CSL_CITATION { "citationItems" : [ { "id" : "ITEM-1", "itemData" : { "author" : [ { "dropping-particle" : "", "family" : "Conway", "given" : "Edel", "non-dropping-particle" : "", "parse-names" : false, "suffix" : "" }, { "dropping-particle" : "", "family" : "Monks", "given" : "Kathy", "non-dropping-particle" : "", "parse-names" : false, "suffix" : "" } ], "container-title" : "Human resource management Journal", "id" : "ITEM-1", "issue" : "2", "issued" : { "date-parts" : [ [ "2009" ] ] }, "page" : "140-158", "title" : "Unravelling the complexities of high commitment: An employee-level analysis", "type" : "article-journal", "volume" : "19" }, "uris" : [ "http://www.mendeley.com/documents/?uuid=27e6e8b9-9ee2-45ca-90f0-2264a8bc8e92" ] }, { "id" : "ITEM-2",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"ITEM-2",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"(Conway &amp; Monks 2009; Heffernan &amp; Dundon 2016)", "manualFormatting" : "(e.g. Conway &amp; Monks, 2009; Heffernan &amp; Dundon, 2016)", "plainTextFormattedCitation" : "(Conway &amp; Monks 2009; Heffernan &amp; Dundon 2016)", "previouslyFormattedCitation" : "(Conway &amp; Monks 2009; Heffernan &amp; Dundon 2016)" }, "properties" : { "noteIndex" : 0 }, "schema" : "https://github.com/citation-style-language/schema/raw/master/csl-citation.json" }</w:instrText>
      </w:r>
      <w:r w:rsidRPr="00452E2E">
        <w:rPr>
          <w:szCs w:val="24"/>
        </w:rPr>
        <w:fldChar w:fldCharType="separate"/>
      </w:r>
      <w:r w:rsidRPr="00452E2E">
        <w:rPr>
          <w:noProof/>
          <w:szCs w:val="24"/>
        </w:rPr>
        <w:t>(e.g. Conway &amp; Monks, 2009; Heffernan &amp; Dundon, 2016)</w:t>
      </w:r>
      <w:r w:rsidRPr="00452E2E">
        <w:rPr>
          <w:szCs w:val="24"/>
        </w:rPr>
        <w:fldChar w:fldCharType="end"/>
      </w:r>
      <w:r w:rsidRPr="00452E2E">
        <w:rPr>
          <w:szCs w:val="24"/>
        </w:rPr>
        <w:t xml:space="preserve">, Portugal </w:t>
      </w:r>
      <w:r w:rsidRPr="00452E2E">
        <w:rPr>
          <w:szCs w:val="24"/>
        </w:rPr>
        <w:fldChar w:fldCharType="begin" w:fldLock="1"/>
      </w:r>
      <w:r w:rsidRPr="00452E2E">
        <w:rPr>
          <w:szCs w:val="24"/>
        </w:rPr>
        <w:instrText>ADDIN CSL_CITATION { "citationItems" : [ { "id" : "ITEM-1", "itemData" : { "abstract" : "Purpose - The purpose of this paper is to analyze the role of training to explain affective commitment and exhaustion of temporary agency workers (TAW). There is a general assumption that training relates with a social exchange relationship where employees exchange positive outcomes, not only with inducements received by training but also with the expectation of prospective inducements that will emerge from the fulfilment of promises made by the organization. Design/methodology/approach - The hypotheses were tested on a sample of 393 Portuguese blue-collar TAW using structural equation modeling. Findings - The hypotheses were supported. Training was positively related to workers' affective commitment and negatively to workers' exhaustion. Psychological contract fulfilment partially mediated these relationships. Research limitations/implications - The study is limited due to the nature of the sample (TAW in industrial sector with similar training opportunities as permanent workers) and the lack of longitudinal design. Neither does it provide implications for other types of commitment that may be relevant for TAW (continuance commitment, for example). Practical implications - An important implication of this research is that employers should not assume that training is an investment without return from TAW. Developmental opportunities, while important to all employees, were positively related to TAW' affective commitment towards the organization and negatively to TAW' exhaustion. Originality/value - The findings highlighted the importance of training in developing positive employment relationships with TAW and the role of psychological contract fulfilment as a mechanism that contributes to explain such relationship.", "author" : [ { "dropping-particle" : "", "family" : "Chambel", "given" : "Maria Jos\u00e9", "non-dropping-particle" : "", "parse-names" : false, "suffix" : "" }, { "dropping-particle" : "", "family" : "Castanheira", "given" : "Filipa", "non-dropping-particle" : "", "parse-names" : false, "suffix" : "" } ], "container-title" : "Journal of Managerial Psychology", "id" : "ITEM-1", "issue" : "2", "issued" : { "date-parts" : [ [ "2012" ] ] }, "page" : "191-209", "title" : "Training of temporary workers and the social exchange process", "type" : "article-journal", "volume" : "27" }, "uris" : [ "http://www.mendeley.com/documents/?uuid=3c97dd31-3a79-409c-9c2a-743952ec1819" ] } ], "mendeley" : { "formattedCitation" : "(Chambel &amp; Castanheira 2012)", "manualFormatting" : "(e.g. Chambel &amp; Castanheira, 2012)", "plainTextFormattedCitation" : "(Chambel &amp; Castanheira 2012)", "previouslyFormattedCitation" : "(Chambel &amp; Castanheira 2012)" }, "properties" : { "noteIndex" : 0 }, "schema" : "https://github.com/citation-style-language/schema/raw/master/csl-citation.json" }</w:instrText>
      </w:r>
      <w:r w:rsidRPr="00452E2E">
        <w:rPr>
          <w:szCs w:val="24"/>
        </w:rPr>
        <w:fldChar w:fldCharType="separate"/>
      </w:r>
      <w:r w:rsidRPr="00452E2E">
        <w:rPr>
          <w:noProof/>
          <w:szCs w:val="24"/>
        </w:rPr>
        <w:t>(e.g. Chambel &amp; Castanheira, 2012)</w:t>
      </w:r>
      <w:r w:rsidRPr="00452E2E">
        <w:rPr>
          <w:szCs w:val="24"/>
        </w:rPr>
        <w:fldChar w:fldCharType="end"/>
      </w:r>
      <w:r w:rsidRPr="00452E2E">
        <w:rPr>
          <w:szCs w:val="24"/>
        </w:rPr>
        <w:t xml:space="preserve">, Spain </w:t>
      </w:r>
      <w:r w:rsidRPr="00452E2E">
        <w:rPr>
          <w:szCs w:val="24"/>
        </w:rPr>
        <w:fldChar w:fldCharType="begin" w:fldLock="1"/>
      </w:r>
      <w:r w:rsidRPr="00452E2E">
        <w:rPr>
          <w:szCs w:val="24"/>
        </w:rPr>
        <w:instrText>ADDIN CSL_CITATION { "citationItems" : [ { "id" : "ITEM-1",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"ITEM-1", "issue" : "2", "issued" : { "date-parts" : [ [ "2016" ] ] }, "page" : "451-466", "title" : "High-performance work systems and job satisfaction: A multilevel model", "type" : "article-journal", "volume" : "31" }, "uris" : [ "http://www.mendeley.com/documents/?uuid=510679f5-e4b3-41b7-a365-8ece414591d1" ] }, { "id" : "ITEM-2",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"ITEM-2",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"(Garc\u00eda-Chas et al. 2016; Ollo-L\u00f3pez et al. 2016)", "manualFormatting" : "(e.g. Garc\u00eda-Chas et al., 2016; Ollo-L\u00f3pez et al., 2016)", "plainTextFormattedCitation" : "(Garc\u00eda-Chas et al. 2016; Ollo-L\u00f3pez et al. 2016)", "previouslyFormattedCitation" : "(Garc\u00eda-Chas et al. 2016; Ollo-L\u00f3pez et al. 2016)" }, "properties" : { "noteIndex" : 0 }, "schema" : "https://github.com/citation-style-language/schema/raw/master/csl-citation.json" }</w:instrText>
      </w:r>
      <w:r w:rsidRPr="00452E2E">
        <w:rPr>
          <w:szCs w:val="24"/>
        </w:rPr>
        <w:fldChar w:fldCharType="separate"/>
      </w:r>
      <w:r w:rsidRPr="00452E2E">
        <w:rPr>
          <w:noProof/>
          <w:szCs w:val="24"/>
        </w:rPr>
        <w:t xml:space="preserve">(e.g. García-Chas </w:t>
      </w:r>
      <w:r w:rsidRPr="00452E2E">
        <w:rPr>
          <w:i/>
          <w:noProof/>
          <w:szCs w:val="24"/>
        </w:rPr>
        <w:t>et al</w:t>
      </w:r>
      <w:r w:rsidRPr="00452E2E">
        <w:rPr>
          <w:noProof/>
          <w:szCs w:val="24"/>
        </w:rPr>
        <w:t xml:space="preserve">., 2016; Ollo-López </w:t>
      </w:r>
      <w:r w:rsidRPr="00452E2E">
        <w:rPr>
          <w:i/>
          <w:noProof/>
          <w:szCs w:val="24"/>
        </w:rPr>
        <w:t>et al</w:t>
      </w:r>
      <w:r w:rsidRPr="00452E2E">
        <w:rPr>
          <w:noProof/>
          <w:szCs w:val="24"/>
        </w:rPr>
        <w:t>., 2016)</w:t>
      </w:r>
      <w:r w:rsidRPr="00452E2E">
        <w:rPr>
          <w:szCs w:val="24"/>
        </w:rPr>
        <w:fldChar w:fldCharType="end"/>
      </w:r>
      <w:r w:rsidRPr="00452E2E">
        <w:rPr>
          <w:szCs w:val="24"/>
        </w:rPr>
        <w:t>, whilst some were conducted in Asian co</w:t>
      </w:r>
      <w:r w:rsidR="00D900EB" w:rsidRPr="00452E2E">
        <w:rPr>
          <w:szCs w:val="24"/>
        </w:rPr>
        <w:t>ntexts</w:t>
      </w:r>
      <w:r w:rsidRPr="00452E2E">
        <w:rPr>
          <w:szCs w:val="24"/>
        </w:rPr>
        <w:t xml:space="preserve">: China </w:t>
      </w:r>
      <w:r w:rsidRPr="00452E2E">
        <w:rPr>
          <w:szCs w:val="24"/>
        </w:rPr>
        <w:fldChar w:fldCharType="begin" w:fldLock="1"/>
      </w:r>
      <w:r w:rsidRPr="00452E2E">
        <w:rPr>
          <w:szCs w:val="24"/>
        </w:rPr>
        <w:instrText xml:space="preserve">ADDIN CSL_CITATION { "citationItems" : [ { "id" : "ITEM-1",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"ITEM-1",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"id" : "ITEM-2",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"ITEM-2",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"id" : "ITEM-3", "itemData" : { "DOI" : "10.1080/09585192.2014.990397", "ISBN" : "0958-5192", "ISSN" : "0958-5192", "abstract" : "The participation of \u2018new generation\u2019 employees in management and their satisfaction in the workplace, respectively, remain more than ever important issues in the Chinese societal context in particular, as well as having wider implications for human resource management in general. This study accordingly explores the influence of employee participation mechanisms on the satisfaction of this new generation of employees \u2013 by carrying out empirical research in the manufacturing industry in China. The main theoretical contribution aims to show that the participation of such new generation employees in management, supervision and decision-making has a significantly positive impact on their work satisfaction. Furthermore, the employees' willingness to participate (participation intention) appears to play a moderating role between actual participation on the one hand, and satisfaction on the other. Such findings, we argue, potentially apply not only in the societal context of China but might also resonate more wi...", "author" : </w:instrText>
      </w:r>
      <w:r w:rsidRPr="00452E2E">
        <w:rPr>
          <w:szCs w:val="24"/>
          <w:lang w:val="fr-FR"/>
        </w:rPr>
        <w:instrText>[ { "dropping-particle" : "", "family" : "Zhu", "given" : "Ying", "non-dropping-particle" : "", "parse-names" : false, "suffix" : "" }, { "dropping-particle" : "", "family" : "Xie", "given" : "Yuhua", "non-dropping-particle" : "", "parse-names" : false, "suffix" : "" }, { "dropping-particle" : "", "family" : "Warner", "given" : "Malcolm", "non-dropping-particle" : "", "parse-names" : false, "suffix" : "" }, { "dropping-particle" : "", "family" : "Guo", "given" : "Yongxing", "non-dropping-particle" : "", "parse-names" : false, "suffix" : "" } ], "container-title" : "The International Journal of Human Resource Management", "id" : "ITEM-3", "issue" : "19", "issued" : { "date-parts" : [ [ "2015" ] ] }, "page" : "2395-2411", "title" : "Employee participation and the influence on job satisfaction of the \u2018new generation\u2019 of Chinese employees", "type" : "article-journal", "volume" : "26" }, "uris" : [ "http://www.mendeley.com/documents/?uuid=cf70f772-fc41-4d32-9ecf-6c68c1510b25" ] } ], "mendeley" : { "formattedCitation" : "(Qiao et al. 2009; Newman et al. 2011; Zhu et al. 2015)", "manualFormatting" : "(e.g. Qiao et al., 2009; Newman et al., 2011; Zhu et al., 2015)", "plainTextFormattedCitation" : "(Qiao et al. 2009; Newman et al. 2011; Zhu et al. 2015)", "previouslyFormattedCitation" : "(Qiao et al. 2009; Newman et al. 2011; Zhu et al. 2015)" }, "properties" : { "noteIndex" : 0 }, "schema" : "https://github.com/citation-style-language/schema/raw/master/csl-citation.json" }</w:instrText>
      </w:r>
      <w:r w:rsidRPr="00452E2E">
        <w:rPr>
          <w:szCs w:val="24"/>
        </w:rPr>
        <w:fldChar w:fldCharType="separate"/>
      </w:r>
      <w:r w:rsidRPr="00452E2E">
        <w:rPr>
          <w:noProof/>
          <w:szCs w:val="24"/>
          <w:lang w:val="fr-FR"/>
        </w:rPr>
        <w:t xml:space="preserve">(e.g. Qiao </w:t>
      </w:r>
      <w:r w:rsidRPr="00452E2E">
        <w:rPr>
          <w:i/>
          <w:noProof/>
          <w:szCs w:val="24"/>
          <w:lang w:val="fr-FR"/>
        </w:rPr>
        <w:t>et al</w:t>
      </w:r>
      <w:r w:rsidRPr="00452E2E">
        <w:rPr>
          <w:noProof/>
          <w:szCs w:val="24"/>
          <w:lang w:val="fr-FR"/>
        </w:rPr>
        <w:t xml:space="preserve">., 2009; Newman </w:t>
      </w:r>
      <w:r w:rsidRPr="00452E2E">
        <w:rPr>
          <w:i/>
          <w:noProof/>
          <w:szCs w:val="24"/>
          <w:lang w:val="fr-FR"/>
        </w:rPr>
        <w:t>et al</w:t>
      </w:r>
      <w:r w:rsidRPr="00452E2E">
        <w:rPr>
          <w:noProof/>
          <w:szCs w:val="24"/>
          <w:lang w:val="fr-FR"/>
        </w:rPr>
        <w:t xml:space="preserve">., 2011; Zhu </w:t>
      </w:r>
      <w:r w:rsidRPr="00452E2E">
        <w:rPr>
          <w:i/>
          <w:noProof/>
          <w:szCs w:val="24"/>
          <w:lang w:val="fr-FR"/>
        </w:rPr>
        <w:t>et al</w:t>
      </w:r>
      <w:r w:rsidRPr="00452E2E">
        <w:rPr>
          <w:noProof/>
          <w:szCs w:val="24"/>
          <w:lang w:val="fr-FR"/>
        </w:rPr>
        <w:t>., 2015)</w:t>
      </w:r>
      <w:r w:rsidRPr="00452E2E">
        <w:rPr>
          <w:szCs w:val="24"/>
        </w:rPr>
        <w:fldChar w:fldCharType="end"/>
      </w:r>
      <w:r w:rsidRPr="00452E2E">
        <w:rPr>
          <w:szCs w:val="24"/>
          <w:lang w:val="fr-FR"/>
        </w:rPr>
        <w:t xml:space="preserve">; India </w:t>
      </w:r>
      <w:r w:rsidRPr="00452E2E">
        <w:rPr>
          <w:szCs w:val="24"/>
        </w:rPr>
        <w:fldChar w:fldCharType="begin" w:fldLock="1"/>
      </w:r>
      <w:r w:rsidRPr="00452E2E">
        <w:rPr>
          <w:szCs w:val="24"/>
          <w:lang w:val="fr-FR"/>
        </w:rPr>
        <w:instrText>ADDIN CSL_CITATION { "citationItems" : [ { "id" : "ITEM-1", "itemData" : { "DOI" : "10.1080/09585192.2010.483845", "ISBN" : "0958-5192", "ISSN" : "0958-5192", "abstract" : "The purpose of this study was to investigate the impact of a bundle of eight human resource management practices on intention to leave, and to examine the mediating effect of organizational commitment on the relationship between the HRM practices and intention to leave of employees of a service organization in India. Most of the prior HRM practices-employee turnover studies have been from the HR manager's point of view. This study took a different approach and studied this relationship from an employee's point of view. Internet survey questionnaires were used to collect the data from 183 employees working in a service company in India. Multiple linear regression and hierarchical linear regression analysis were conducted to test the hypotheses. The study found not only that the HRM practices lower employee intentions to leave, but also that this relationship is partially mediated by organizational commitment. The results of the study not only supported that organizations should focus on employee perceptions of the organizations' HRM practices but also indicated that human resources should go beyond establishing policies and procedures to providing an employee-friendly work environment (Biswas and Varma 2007). \u00a9 2010 Taylor &amp; Franc</w:instrText>
      </w:r>
      <w:r w:rsidRPr="00452E2E">
        <w:rPr>
          <w:szCs w:val="24"/>
        </w:rPr>
        <w:instrText>is.", "author" : [ { "dropping-particle" : "", "family" : "Guchait", "given" : "Priyanko", "non-dropping-particle" : "", "parse-names" : false, "suffix" : "" }, { "dropping-particle" : "", "family" : "Cho", "given" : "Seonghee", "non-dropping-particle" : "", "parse-names" : false, "suffix" : "" } ], "container-title" : "The International Journal of Human Resource Management", "id" : "ITEM-1", "issue" : "8", "issued" : { "date-parts" : [ [ "2010" ] ] }, "page" : "1228-1247", "title" : "The impact of human resource management practices on intention to leave of employees in the service industry in India: The mediating role of organizational commitment", "type" : "article-journal", "volume" : "21" }, "uris" : [ "http://www.mendeley.com/documents/?uuid=06a93245-ccf1-4ad2-84ce-ca27f6eec38c" ] }, { "id" : "ITEM-2", "itemData" : { "DOI" : "10.1080/13678868.2011.621286", "ISBN" : "1367-8868\\r1469-8374", "ISSN" : "1367-8868", "abstract" : "This paper explores the moderating role of cultural values on relationships between participation satisfaction (PS) and employees\u2019 organizational commitment (OC). A survey of 1390 employees of Bharat Sanchar Nigam Limited, a Government of India Public Sector Undertaking providing telecommunication services across India, shows that PS is directly related to OC, and is moderated by employees\u2019 cultural values at individual level. The form of moderation reveals: positive and insignificant relationship between PS and affective commitment for employees high in uncertainty avoidance; positive and significant relationship between PS and normative commitment for employees high in individualism/collectivism, low in masculinity/femininity, and low in power distance. No moderation has been found in the relationship between PS and continuance commitment. [ABSTRACT FROM AUTHOR]", "author" : [ { "dropping-particle" : "", "family" : "Singh", "given" : "R.N.", "non-dropping-particle" : "", "parse-names" : false, "suffix" : "" }, { "dropping-particle" : "", "family" : "Mohanty", "given" : "R.P.", "non-dropping-particle" : "", "parse-names" : false, "suffix" : "" } ], "container-title" : "Human Resource Development International", "id" : "ITEM-2", "issue" : "5", "issued" : { "date-parts" : [ [ "2011" ] ] }, "page" : "583-603", "title" : "Participation satisfaction and organizational commitment: Moderating role of employee's cultural values", "type" : "article-journal", "volume" : "14" }, "uris" : [ "http://www.mendeley.com/documents/?uuid=458f8c4b-7056-4521-8366-361c5f606987" ] } ], "mendeley" : { "formattedCitation" : "(Guchait &amp; Cho 2010; Singh &amp; Mohanty 2011)", "manualFormatting" : "(e.g. Guchait &amp; Cho, 2010; Singh &amp; Mohanty, 2011)", "plainTextFormattedCitation" : "(Guchait &amp; Cho 2010; Singh &amp; Mohanty 2011)", "previouslyFormattedCitation" : "(Guchait &amp; Cho 2010; Singh &amp; Mohanty 2011)" }, "properties" : { "noteIndex" : 0 }, "schema" : "https://github.com/citation-style-language/schema/raw/master/csl-citation.json" }</w:instrText>
      </w:r>
      <w:r w:rsidRPr="00452E2E">
        <w:rPr>
          <w:szCs w:val="24"/>
        </w:rPr>
        <w:fldChar w:fldCharType="separate"/>
      </w:r>
      <w:r w:rsidRPr="00452E2E">
        <w:rPr>
          <w:noProof/>
          <w:szCs w:val="24"/>
        </w:rPr>
        <w:t>(e.g. Guchait &amp; Cho, 2010; Singh &amp; Mohanty, 2011)</w:t>
      </w:r>
      <w:r w:rsidRPr="00452E2E">
        <w:rPr>
          <w:szCs w:val="24"/>
        </w:rPr>
        <w:fldChar w:fldCharType="end"/>
      </w:r>
      <w:r w:rsidRPr="00452E2E">
        <w:rPr>
          <w:szCs w:val="24"/>
        </w:rPr>
        <w:t xml:space="preserve">; South Korea </w:t>
      </w:r>
      <w:r w:rsidRPr="00452E2E">
        <w:rPr>
          <w:szCs w:val="24"/>
        </w:rPr>
        <w:fldChar w:fldCharType="begin" w:fldLock="1"/>
      </w:r>
      <w:r w:rsidRPr="00452E2E">
        <w:rPr>
          <w:szCs w:val="24"/>
        </w:rPr>
        <w:instrText>ADDIN CSL_CITATION { "citationItems" : [ { "id" : "ITEM-1",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"ITEM-1", "issue" : "5", "issued" : { "date-parts" : [ [ "2013" ] ] }, "page" : "573-594", "title" : "Effects of employees' perceptions on the relationship between HR practices and firm performance for Korean firms", "type" : "article-journal", "volume" : "42" }, "uris" : [ "http://www.mendeley.com/documents/?uuid=ffb61f90-b58e-4457-9560-eaad5c903c53" ] }, { "id" : "ITEM-2", "itemData" : { "author" : [ { "dropping-particle" : "", "family" : "Choi", "given" : "Myungweon", "non-dropping-particle" : "", "parse-names" : false, "suffix" : "" }, { "dropping-particle" : "", "family" : "Yoon", "given" : "Hea Jun", "non-dropping-particle" : "", "parse-names" : false, "suffix" : "" } ], "container-title" : "The International Journal of Human Resource Management", "id" : "ITEM-2", "issue" : "20", "issued" : { "date-parts" : [ [ "2015" ] ] }, "page" : "2632-2651", "title" : "Training investment and organizational outcomes: A moderated mediation model of employee outcomes and strategic orientation of the HR function", "type" : "article-journal", "volume" : "26" }, "uris" : [ "http://www.mendeley.com/documents/?uuid=608269df-8fc1-421d-8e2b-aa4f571ef7b1" ] } ], "mendeley" : { "formattedCitation" : "(Choi &amp; Lee 2013; Choi &amp; Yoon 2015)", "manualFormatting" : "(e.g. Choi &amp; Lee, 2013; Choi &amp; Yoon, 2015)", "plainTextFormattedCitation" : "(Choi &amp; Lee 2013; Choi &amp; Yoon 2015)", "previouslyFormattedCitation" : "(Choi &amp; Lee 2013; Choi &amp; Yoon 2015)" }, "properties" : { "noteIndex" : 0 }, "schema" : "https://github.com/citation-style-language/schema/raw/master/csl-citation.json" }</w:instrText>
      </w:r>
      <w:r w:rsidRPr="00452E2E">
        <w:rPr>
          <w:szCs w:val="24"/>
        </w:rPr>
        <w:fldChar w:fldCharType="separate"/>
      </w:r>
      <w:r w:rsidRPr="00452E2E">
        <w:rPr>
          <w:noProof/>
          <w:szCs w:val="24"/>
        </w:rPr>
        <w:t>(e.g. Choi &amp; Lee, 2013; Choi &amp; Yoon, 2015)</w:t>
      </w:r>
      <w:r w:rsidRPr="00452E2E">
        <w:rPr>
          <w:szCs w:val="24"/>
        </w:rPr>
        <w:fldChar w:fldCharType="end"/>
      </w:r>
      <w:r w:rsidRPr="00452E2E">
        <w:rPr>
          <w:szCs w:val="24"/>
        </w:rPr>
        <w:t xml:space="preserve">; Lebanon </w:t>
      </w:r>
      <w:r w:rsidRPr="00452E2E">
        <w:rPr>
          <w:szCs w:val="24"/>
        </w:rPr>
        <w:fldChar w:fldCharType="begin" w:fldLock="1"/>
      </w:r>
      <w:r w:rsidRPr="00452E2E">
        <w:rPr>
          <w:szCs w:val="24"/>
        </w:rPr>
        <w:instrText>ADDIN CSL_CITATION { "citationItems" : [ { "id" : "ITEM-1", "itemData" : { "DOI" : "10.1080/13678868.2015.1118220", "ISSN" : "1367-8868", "author" : [ { "dropping-particle" : "", "family" : "Ismail", "given" : "Hussein Nabil", "non-dropping-particle" : "", "parse-names" : false, "suffix" : "" } ], "container-title" : "Human Resource Development International", "id" : "ITEM-1", "issue" : "2", "issued" : { "date-parts" : [ [ "2016" ] ] }, "page" : "152-177", "title" : "Training and organizational commitment: Exploring the moderating role of goal orientation in the Lebanese context", "type" : "article-journal", "volume" : "19" }, "uris" : [ "http://www.mendeley.com/documents/?uuid=60621f96-2599-43cc-b333-4d7d2ad5c6d6" ] } ], "mendeley" : { "formattedCitation" : "(Ismail 2016)", "manualFormatting" : "(Ismail, 2016)", "plainTextFormattedCitation" : "(Ismail 2016)", "previouslyFormattedCitation" : "(Ismail 2016)" }, "properties" : { "noteIndex" : 0 }, "schema" : "https://github.com/citation-style-language/schema/raw/master/csl-citation.json" }</w:instrText>
      </w:r>
      <w:r w:rsidRPr="00452E2E">
        <w:rPr>
          <w:szCs w:val="24"/>
        </w:rPr>
        <w:fldChar w:fldCharType="separate"/>
      </w:r>
      <w:r w:rsidRPr="00452E2E">
        <w:rPr>
          <w:noProof/>
          <w:szCs w:val="24"/>
        </w:rPr>
        <w:t>(Ismail, 2016)</w:t>
      </w:r>
      <w:r w:rsidRPr="00452E2E">
        <w:rPr>
          <w:szCs w:val="24"/>
        </w:rPr>
        <w:fldChar w:fldCharType="end"/>
      </w:r>
      <w:r w:rsidRPr="00452E2E">
        <w:rPr>
          <w:szCs w:val="24"/>
        </w:rPr>
        <w:t xml:space="preserve">; Qatar </w:t>
      </w:r>
      <w:r w:rsidRPr="00452E2E">
        <w:rPr>
          <w:szCs w:val="24"/>
        </w:rPr>
        <w:fldChar w:fldCharType="begin" w:fldLock="1"/>
      </w:r>
      <w:r w:rsidRPr="00452E2E">
        <w:rPr>
          <w:szCs w:val="24"/>
        </w:rPr>
        <w:instrText>ADDIN CSL_CITATION { "citationItems" : [ { "id" : "ITEM-1", "itemData" : { "author" : [ { "dropping-particle" : "", "family" : "Al-Emadi", "given" : "Mohammed Asad Shareef", "non-dropping-particle" : "", "parse-names" : false, "suffix" : "" }, { "dropping-particle" : "", "family" : "Marquardt", "given" : "Michael J", "non-dropping-particle" : "", "parse-names" : false, "suffix" : "" } ], "container-title" : "International Journal of Training and Development", "id" : "ITEM-1", "issue" : "1", "issued" : { "date-parts" : [ [ "2007" ] ] }, "page" : "49-71", "title" : "Relationship between employees beliefs regarding training benefits and employees organization commitment in a petroleum company in the state of Quatar", "type" : "article-journal", "volume" : "11" }, "uris" : [ "http://www.mendeley.com/documents/?uuid=b629384c-c281-42ca-a194-0be5e8dc88d2" ] } ], "mendeley" : { "formattedCitation" : "(Al-Emadi &amp; Marquardt 2007)", "manualFormatting" : "(Al-Emadi &amp; Marquardt, 2007)", "plainTextFormattedCitation" : "(Al-Emadi &amp; Marquardt 2007)", "previouslyFormattedCitation" : "(Al-Emadi &amp; Marquardt 2007)" }, "properties" : { "noteIndex" : 0 }, "schema" : "https://github.com/citation-style-language/schema/raw/master/csl-citation.json" }</w:instrText>
      </w:r>
      <w:r w:rsidRPr="00452E2E">
        <w:rPr>
          <w:szCs w:val="24"/>
        </w:rPr>
        <w:fldChar w:fldCharType="separate"/>
      </w:r>
      <w:r w:rsidRPr="00452E2E">
        <w:rPr>
          <w:noProof/>
          <w:szCs w:val="24"/>
        </w:rPr>
        <w:t>(Al-Emadi &amp; Marquardt, 2007)</w:t>
      </w:r>
      <w:r w:rsidRPr="00452E2E">
        <w:rPr>
          <w:szCs w:val="24"/>
        </w:rPr>
        <w:fldChar w:fldCharType="end"/>
      </w:r>
      <w:r w:rsidRPr="00452E2E">
        <w:rPr>
          <w:szCs w:val="24"/>
        </w:rPr>
        <w:t xml:space="preserve">; Singapore </w:t>
      </w:r>
      <w:r w:rsidRPr="00452E2E">
        <w:rPr>
          <w:szCs w:val="24"/>
        </w:rPr>
        <w:fldChar w:fldCharType="begin" w:fldLock="1"/>
      </w:r>
      <w:r w:rsidRPr="00452E2E">
        <w:rPr>
          <w:szCs w:val="24"/>
        </w:rPr>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"mendeley" : { "formattedCitation" : "(Wu &amp; Chaturvedi 2009)", "manualFormatting" : "(Wu &amp; Chaturvedi, 2009)", "plainTextFormattedCitation" : "(Wu &amp; Chaturvedi 2009)", "previouslyFormattedCitation" : "(Wu &amp; Chaturvedi 2009)" }, "properties" : { "noteIndex" : 0 }, "schema" : "https://github.com/citation-style-language/schema/raw/master/csl-citation.json" }</w:instrText>
      </w:r>
      <w:r w:rsidRPr="00452E2E">
        <w:rPr>
          <w:szCs w:val="24"/>
        </w:rPr>
        <w:fldChar w:fldCharType="separate"/>
      </w:r>
      <w:r w:rsidRPr="00452E2E">
        <w:rPr>
          <w:noProof/>
          <w:szCs w:val="24"/>
        </w:rPr>
        <w:t>(Wu &amp; Chaturvedi, 2009)</w:t>
      </w:r>
      <w:r w:rsidRPr="00452E2E">
        <w:rPr>
          <w:szCs w:val="24"/>
        </w:rPr>
        <w:fldChar w:fldCharType="end"/>
      </w:r>
      <w:r w:rsidRPr="00452E2E">
        <w:rPr>
          <w:szCs w:val="24"/>
        </w:rPr>
        <w:t xml:space="preserve">. Very few were conducted in African contexts: Egypt </w:t>
      </w:r>
      <w:r w:rsidRPr="00452E2E">
        <w:rPr>
          <w:szCs w:val="24"/>
        </w:rPr>
        <w:fldChar w:fldCharType="begin" w:fldLock="1"/>
      </w:r>
      <w:r w:rsidRPr="00452E2E">
        <w:rPr>
          <w:szCs w:val="24"/>
        </w:rPr>
        <w:instrText>ADDIN CSL_CITATION { "citationItems" : [ { "id" : "ITEM-1",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"ITEM-1", "issue" : "5", "issued" : { "date-parts" : [ [ "2015" ] ] }, "page" : "747-757", "title" : "High-performance human resource practices and employee outcomes: The mediating role of public service motivation", "type" : "article-journal", "volume" : "75" }, "uris" : [ "http://www.mendeley.com/documents/?uuid=d929d627-475b-4d7b-9d57-7ed8e89a7d6c" ] } ], "mendeley" : { "formattedCitation" : "(Mostafa &amp; Gould-Williams 2015)", "manualFormatting" : "(Mostafa &amp; Gould-Williams, 2015)", "plainTextFormattedCitation" : "(Mostafa &amp; Gould-Williams 2015)", "previouslyFormattedCitation" : "(Mostafa &amp; Gould-Williams 2015)" }, "properties" : { "noteIndex" : 0 }, "schema" : "https://github.com/citation-style-language/schema/raw/master/csl-citation.json" }</w:instrText>
      </w:r>
      <w:r w:rsidRPr="00452E2E">
        <w:rPr>
          <w:szCs w:val="24"/>
        </w:rPr>
        <w:fldChar w:fldCharType="separate"/>
      </w:r>
      <w:r w:rsidRPr="00452E2E">
        <w:rPr>
          <w:noProof/>
          <w:szCs w:val="24"/>
        </w:rPr>
        <w:t>(Mostafa &amp; Gould-Williams, 2015)</w:t>
      </w:r>
      <w:r w:rsidRPr="00452E2E">
        <w:rPr>
          <w:szCs w:val="24"/>
        </w:rPr>
        <w:fldChar w:fldCharType="end"/>
      </w:r>
      <w:r w:rsidRPr="00452E2E">
        <w:rPr>
          <w:szCs w:val="24"/>
        </w:rPr>
        <w:t xml:space="preserve">, and Nigeria </w:t>
      </w:r>
      <w:r w:rsidRPr="00452E2E">
        <w:rPr>
          <w:szCs w:val="24"/>
        </w:rPr>
        <w:fldChar w:fldCharType="begin" w:fldLock="1"/>
      </w:r>
      <w:r w:rsidRPr="00452E2E">
        <w:rPr>
          <w:szCs w:val="24"/>
        </w:rPr>
        <w:instrText>ADDIN CSL_CITATION { "citationItems" : [ { "id" : "ITEM-1",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"ITEM-1", "issue" : "4", "issued" : { "date-parts" : [ [ "2010" ] ] }, "page" : "368-392", "title" : "Participative decision making and organizational commitment", "type" : "article-journal", "volume" : "17" }, "uris" : [ "http://www.mendeley.com/documents/?uuid=0fdfa12a-cb95-4f52-9f14-24feff7c4e3b" ] } ], "mendeley" : { "formattedCitation" : "(Elele &amp; Fields 2010)", "manualFormatting" : "(Elele &amp; Fields, 2010)", "plainTextFormattedCitation" : "(Elele &amp; Fields 2010)", "previouslyFormattedCitation" : "(Elele &amp; Fields 2010)" }, "properties" : { "noteIndex" : 0 }, "schema" : "https://github.com/citation-style-language/schema/raw/master/csl-citation.json" }</w:instrText>
      </w:r>
      <w:r w:rsidRPr="00452E2E">
        <w:rPr>
          <w:szCs w:val="24"/>
        </w:rPr>
        <w:fldChar w:fldCharType="separate"/>
      </w:r>
      <w:r w:rsidRPr="00452E2E">
        <w:rPr>
          <w:noProof/>
          <w:szCs w:val="24"/>
        </w:rPr>
        <w:t>(Elele &amp; Fields, 2010)</w:t>
      </w:r>
      <w:r w:rsidRPr="00452E2E">
        <w:rPr>
          <w:szCs w:val="24"/>
        </w:rPr>
        <w:fldChar w:fldCharType="end"/>
      </w:r>
      <w:r w:rsidRPr="00452E2E">
        <w:rPr>
          <w:szCs w:val="24"/>
        </w:rPr>
        <w:t xml:space="preserve">. Nonetheless, the studies in Egypt and Nigeria were conducted in </w:t>
      </w:r>
      <w:r w:rsidRPr="00452E2E">
        <w:rPr>
          <w:szCs w:val="24"/>
        </w:rPr>
        <w:lastRenderedPageBreak/>
        <w:t xml:space="preserve">the public sector and </w:t>
      </w:r>
      <w:r w:rsidR="00294258" w:rsidRPr="00452E2E">
        <w:rPr>
          <w:szCs w:val="24"/>
        </w:rPr>
        <w:t>non-governmental organization</w:t>
      </w:r>
      <w:r w:rsidRPr="00452E2E">
        <w:rPr>
          <w:szCs w:val="24"/>
        </w:rPr>
        <w:t xml:space="preserve"> respectively, whereas the present study is conducted in both public and private sectors, thereby bridging the research gap. </w:t>
      </w:r>
    </w:p>
    <w:p w:rsidR="00D03A8E" w:rsidRPr="00452E2E" w:rsidRDefault="00D03A8E" w:rsidP="00D03A8E">
      <w:pPr>
        <w:spacing w:line="360" w:lineRule="auto"/>
        <w:jc w:val="both"/>
        <w:rPr>
          <w:szCs w:val="24"/>
        </w:rPr>
      </w:pPr>
      <w:r w:rsidRPr="00452E2E">
        <w:rPr>
          <w:szCs w:val="24"/>
        </w:rPr>
        <w:t xml:space="preserve">As with sector, most of the studies were conducted in private organizations </w:t>
      </w:r>
      <w:r w:rsidRPr="00452E2E">
        <w:rPr>
          <w:szCs w:val="24"/>
        </w:rPr>
        <w:fldChar w:fldCharType="begin" w:fldLock="1"/>
      </w:r>
      <w:r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"ITEM-2", "issue" : "1", "issued" : { "date-parts" : [ [ "2005" ] ] }, "page" : "3-29", "title" : "Benefit system effects on employees' benefit knowledge, use and organizational commitment", "type" : "article-journal", "volume" : "20" }, "uris" : [ "http://www.mendeley.com/documents/?uuid=76153374-7214-4e74-b268-ebcd9498b8b1" ] }, { "id" : "ITEM-3",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"ITEM-3",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"id" : "ITEM-4",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"ITEM-4",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"ITEM-5",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"ITEM-5",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"id" : "ITEM-6",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"ITEM-6", "issue" : "5", "issued" : { "date-parts" : [ [ "2013" ] ] }, "page" : "573-594", "title" : "Effects of employees' perceptions on the relationship between HR practices and firm performance for Korean firms", "type" : "article-journal", "volume" : "42" }, "uris" : [ "http://www.mendeley.com/documents/?uuid=ffb61f90-b58e-4457-9560-eaad5c903c53" ] }, { "id" : "ITEM-7",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"ITEM-7", "issue" : "2", "issued" : { "date-parts" : [ [ "2013" ] ] }, "page" : "366-391", "title" : "The impact of high performance human resource practices on employees' attitudes and behaviors", "type" : "article-journal", "volume" : "39" }, "uris" : [ "http://www.mendeley.com/documents/?uuid=87fa9e55-e4a1-416e-9e06-eb7fd4bd89a6" ] }, { "id" : "ITEM-8", "itemData" : { "DOI" : "10.1017/jmo.2014.50", "ISSN" : "1833-3672", "author" : [ { "dropping-particle" : "", "family" : "Shamsudin", "given" : "Faridahwati Mohd", "non-dropping-particle" : "", "parse-names" : false, "suffix" : "" }, { "dropping-particle" : "", "family" : "Ramalu", "given" : "Subramaniam Sri", "non-dropping-particle" : "", "parse-names" : false, "suffix" : "" } ], "container-title" : "Journal of Management &amp; Organization", "id" : "ITEM-8", "issue" : "5", "issued" : { "date-parts" : [ [ "2014" ] ] }, "page" : "691-709", "title" : "The influence of HR practices and job satisfaction on interpersonal deviance in the workplace", "type" : "article-journal", "volume" : "20" }, "uris" : [ "http://www.mendeley.com/documents/?uuid=7c1f42f7-1669-4642-8cb6-babbe5136e21" ] }, { "id" : "ITEM-9",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"ITEM-9", "issue" : "2", "issued" : { "date-parts" : [ [ "2016" ] ] }, "page" : "451-466", "title" : "High-performance work systems and job satisfaction: A multilevel model", "type" : "article-journal", "volume" : "31" }, "uris" : [ "http://www.mendeley.com/documents/?uuid=510679f5-e4b3-41b7-a365-8ece414591d1" ] }, { "id" : "ITEM-10",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"ITEM-10",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"(Appelbaum et al. 2000; Sinclair et al. 2005; Qiao et al. 2009; Wu &amp; Chaturvedi 2009; Elorza et al. 2011; Choi &amp; Lee 2013; Kehoe &amp; Wright 2013; Shamsudin &amp; Ramalu 2014; Garc\u00eda-Chas et al. 2016; Heffernan &amp; Dundon 2016)", "manualFormatting" : "(e.g. Appelbaum et al., 2000; Sinclair et al., 2005; Qiao et al., 2009; Wu &amp; Chaturvedi, 2009; Elorza et al., 2011; Choi &amp; Lee, 2013; Kehoe &amp; Wright, 2013; Shamsudin &amp; Ramalu, 2014; Garc\u00eda-Chas et al., 2016; Heffernan &amp; Dundon, 2016)", "plainTextFormattedCitation" : "(Appelbaum et al. 2000; Sinclair et al. 2005; Qiao et al. 2009; Wu &amp; Chaturvedi 2009; Elorza et al. 2011; Choi &amp; Lee 2013; Kehoe &amp; Wright 2013; Shamsudin &amp; Ramalu 2014; Garc\u00eda-Chas et al. 2016; Heffernan &amp; Dundon 2016)", "previouslyFormattedCitation" : "(Appelbaum et al. 2000; Sinclair et al. 2005; Qiao et al. 2009; Wu &amp; Chaturvedi 2009; Elorza et al. 2011; Choi &amp; Lee 2013; Kehoe &amp; Wright 2013; Shamsudin &amp; Ramalu 2014; Garc\u00eda-Chas et al. 2016;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(e.g. Appelbaum </w:t>
      </w:r>
      <w:r w:rsidRPr="00452E2E">
        <w:rPr>
          <w:i/>
          <w:noProof/>
          <w:szCs w:val="24"/>
        </w:rPr>
        <w:t>et al</w:t>
      </w:r>
      <w:r w:rsidRPr="00452E2E">
        <w:rPr>
          <w:noProof/>
          <w:szCs w:val="24"/>
        </w:rPr>
        <w:t xml:space="preserve">., 2000; Sinclair </w:t>
      </w:r>
      <w:r w:rsidRPr="00452E2E">
        <w:rPr>
          <w:i/>
          <w:noProof/>
          <w:szCs w:val="24"/>
        </w:rPr>
        <w:t>et al</w:t>
      </w:r>
      <w:r w:rsidRPr="00452E2E">
        <w:rPr>
          <w:noProof/>
          <w:szCs w:val="24"/>
        </w:rPr>
        <w:t xml:space="preserve">., 2005; Qiao </w:t>
      </w:r>
      <w:r w:rsidRPr="00452E2E">
        <w:rPr>
          <w:i/>
          <w:noProof/>
          <w:szCs w:val="24"/>
        </w:rPr>
        <w:t>et al</w:t>
      </w:r>
      <w:r w:rsidRPr="00452E2E">
        <w:rPr>
          <w:noProof/>
          <w:szCs w:val="24"/>
        </w:rPr>
        <w:t xml:space="preserve">., 2009; Wu &amp; Chaturvedi, 2009; Elorza </w:t>
      </w:r>
      <w:r w:rsidRPr="00452E2E">
        <w:rPr>
          <w:i/>
          <w:noProof/>
          <w:szCs w:val="24"/>
        </w:rPr>
        <w:t>et al</w:t>
      </w:r>
      <w:r w:rsidRPr="00452E2E">
        <w:rPr>
          <w:noProof/>
          <w:szCs w:val="24"/>
        </w:rPr>
        <w:t xml:space="preserve">., 2011; Choi &amp; Lee, 2013; Kehoe &amp; Wright, 2013; Shamsudin &amp; Ramalu, 2014; García-Chas </w:t>
      </w:r>
      <w:r w:rsidRPr="00452E2E">
        <w:rPr>
          <w:i/>
          <w:noProof/>
          <w:szCs w:val="24"/>
        </w:rPr>
        <w:t>et al</w:t>
      </w:r>
      <w:r w:rsidRPr="00452E2E">
        <w:rPr>
          <w:noProof/>
          <w:szCs w:val="24"/>
        </w:rPr>
        <w:t>., 2016; Heffernan &amp; Dundon, 2016)</w:t>
      </w:r>
      <w:r w:rsidRPr="00452E2E">
        <w:rPr>
          <w:szCs w:val="24"/>
        </w:rPr>
        <w:fldChar w:fldCharType="end"/>
      </w:r>
      <w:r w:rsidR="002B1EF9" w:rsidRPr="00452E2E">
        <w:rPr>
          <w:szCs w:val="24"/>
        </w:rPr>
        <w:t xml:space="preserve"> whilst</w:t>
      </w:r>
      <w:r w:rsidRPr="00452E2E">
        <w:rPr>
          <w:szCs w:val="24"/>
        </w:rPr>
        <w:t xml:space="preserve"> some were conducted in the public sector </w:t>
      </w:r>
      <w:r w:rsidRPr="00452E2E">
        <w:rPr>
          <w:szCs w:val="24"/>
        </w:rPr>
        <w:fldChar w:fldCharType="begin" w:fldLock="1"/>
      </w:r>
      <w:r w:rsidRPr="00452E2E">
        <w:rPr>
          <w:szCs w:val="24"/>
        </w:rPr>
        <w:instrText>ADDIN CSL_CITATION { "citationItems" : [ { "id" : "ITEM-1", "itemData" : { "DOI" : "10.1080/09585191003658821", "ISBN" : "0958-5192", "ISSN" : "0958-5192", "abstract" : "This paper presents the findings of a cross-cultural comparison of the effects of \u2018best practice\u2019 HRM using employees from a matched sample of local government service departments in England and Malaysia (England n = 569, Malaysian n = 453). The paper tests the universal \u2018best practice\u2019 thesis, and also assesses the perceived level of up-take of HR practices in the two samples. The research also considers the effects of the psychological climate and employees' perceptions of trust on five work-related outcomes, namely job satisfaction, motivation, organizational citizenship behaviour, stress and quit intentions. The findings reveal that the Malaysian workers perceived the up-take of HR practices to be higher in comparison to their counterparts in England. A less consistent pattern emerged with regards to perceptions of climate. OLS regression revealed that consistent with the universal thesis, a bundle of HR practices significantly predicted employee outcomes in the hypothesized directions in both samples. Therefore, these findings provide strong support for the universal thesis.", "author" : [ { "dropping-particle" : "", "family" : "Gould-Williams", "given" : "Julian Seymour", "non-dropping-particle" : "", "parse-names" : false, "suffix" : "" }, { "dropping-particle" : "", "family" : "Mohamed", "given" : "R. B.", "non-dropping-particle" : "", "parse-names" : false, "suffix" : "" } ], "container-title" : "International Journal of Human Resource Management", "id" : "ITEM-1", "issue" : "5", "issued" : { "date-parts" : [ [ "2010" ] ] }, "page" : "653-675", "title" : "A comparative study of the effects of 'best practice' HRM on worker outcomes in Malaysia and England local government", "type" : "article-journal", "volume" : "21" }, "uris" : [ "http://www.mendeley.com/documents/?uuid=98a188d6-200c-4802-9dc6-91c1531372f0" ] }, { "id" : "ITEM-2", "itemData" : { "DOI" : "10.1037/a0033925", "ISBN" : "1939-1854(Electronic);0021-9010(Print)", "ISSN" : "1939-1854", "PMID" : "23915431", "abstract" : "Given the limited understanding of temporal issues in extant theorizing about the link between human resource management (HRM) and performance, in this study we aim to shed light on how, when, and why HR interventions affect organizational performance. On the basis of longitudinal, multi-informant and multisource data from public hospital services in England, we provide new insights into the complex interplay between employees' perceptions of HR systems, job satisfaction, and performance outcomes over time. The dynamic panel data analyses provide support for changes in employees' experience of an HR system being related to subsequent changes in customer satisfaction, as mediated by changes in job satisfaction, albeit these effects decrease over time. Moreover, our longitudinal analyses highlight the importance of feedback effects in the HRM-performance chain, which otherwise appears to evolve in a cyclical manner.", "author" : [ { "dropping-particle" : "", "family" : "Piening", "given" : "Erk P", "non-dropping-particle" : "", "parse-names" : false, "suffix" : "" }, { "dropping-particle" : "", "family" : "Baluch", "given" : "Alina M", "non-dropping-particle" : "", "parse-names" : false, "suffix" : "" }, { "dropping-particle" : "", "family" : "Salge", "given" : "Torsten Oliver", "non-dropping-particle" : "", "parse-names" : false, "suffix" : "" } ], "container-title" : "Journal of Applied Psychology", "id" : "ITEM-2", "issue" : "6", "issued" : { "date-parts" : [ [ "2013" ] ] }, "page" : "926-47", "title" : "The relationship between employees' perceptions of human resource systems and organizational performance: Examining mediating mechanisms and temporal dynamics", "type" : "article-journal", "volume" : "98" }, "uris" : [ "http://www.mendeley.com/documents/?uuid=0a42ce09-305a-4d4f-a3be-971a3a45e158" ] }, { "id" : "ITEM-3",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"ITEM-3",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"ITEM-4",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"ITEM-4", "issue" : "5", "issued" : { "date-parts" : [ [ "2015" ] ] }, "page" : "747-757", "title" : "High-performance human resource practices and employee outcomes: The mediating role of public service motivation", "type" : "article-journal", "volume" : "75" }, "uris" : [ "http://www.mendeley.com/documents/?uuid=d929d627-475b-4d7b-9d57-7ed8e89a7d6c" ] }, { "id" : "ITEM-5", "itemData" : { "DOI" : "10.1177/0020852315591642", "ISSN" : "0020-8523", "abstract" : "Background: In response to recent calls in the literature to decompose both the human resources system and performance, this study has examined the effects of ability-, motivation-and opportunity-enhancing human resources practices on the effectiveness, efficiency and fairness of public organizations, with job satisfaction considered as a mediating variable. Aim: Insights from Human Resource Management and performance research, mostly conducted in the private sector, have been combined with public management literature in order to gain insight into the Human Resource Management\u2013performance relation-ship in the public sector. Method: Regression analysis with a bootstrapping method was used to test the mediat-ing effects. Results: The analysis showed that the three human resources components heterogeneously impact upon the three performance outcomes. Further, the results showed that ability-enhancing and opportunity-enhancing human resources practices are more strongly related to performance outcomes than motivation-enhancing human resources practices. Conclusion: Decomposing Human Resource Management and performance provides greater insight into the Human Resource Management\u2013performance relationship. Points for practitioners The results show that investing in Human Resource Management positively influences performance outcomes. Moreover, our results show that various aspects of public per-formance require different human resources approaches. Investing in ability-enhancing human resources practices seems to be particularly relevant if one wants to enhance effectiveness. All the human resources practices, but especially ability-enhancing ones, are relevant to enhancing efficiency. However, investing in motivation-enhancing human resources practices seems to make little sense if one is seeking to enhance fairness.", "author" : [ { "dropping-particle" : "", "family" : "Vermeeren", "given" : "Brenda", "non-dropping-particle" : "", "parse-names" : false, "suffix" : "" } ], "container-title" : "International Review of Administrative Sciences", "id" : "ITEM-5", "issue" : "0", "issued" : { "date-parts" : [ [ "2015" ] ] }, "page" : "1-21", "title" : "Influencing public sector performance: Studying the impact of ability-, motivation-and opportunity-enhancing human resources practices on various performance outcomes in the public sector", "type" : "article-journal", "volume" : "0" }, "uris" : [ "http://www.mendeley.com/documents/?uuid=e94ccd21-bfcd-4def-8476-e5a8fb4192ef" ] } ], "mendeley" : { "formattedCitation" : "(Gould-Williams &amp; Mohamed 2010; Piening et al. 2013; Ko &amp; Hur 2014; Mostafa &amp; Gould-Williams 2015; Vermeeren 2015)", "manualFormatting" : "(e.g. Gould-Williams &amp; Mohamed, 2010; Piening et al., 2013; Ko &amp; Hur, 2014; Mostafa &amp; Gould-Williams, 2015; Vermeeren, 2015)", "plainTextFormattedCitation" : "(Gould-Williams &amp; Mohamed 2010; Piening et al. 2013; Ko &amp; Hur 2014; Mostafa &amp; Gould-Williams 2015; Vermeeren 2015)", "previouslyFormattedCitation" : "(Gould-Williams &amp; Mohamed 2010; Piening et al. 2013; Ko &amp; Hur 2014; Mostafa &amp; Gould-Williams 2015; Vermeeren 2015)" }, "properties" : { "noteIndex" : 0 }, "schema" : "https://github.com/citation-style-language/schema/raw/master/csl-citation.json" }</w:instrText>
      </w:r>
      <w:r w:rsidRPr="00452E2E">
        <w:rPr>
          <w:szCs w:val="24"/>
        </w:rPr>
        <w:fldChar w:fldCharType="separate"/>
      </w:r>
      <w:r w:rsidRPr="00452E2E">
        <w:rPr>
          <w:noProof/>
          <w:szCs w:val="24"/>
        </w:rPr>
        <w:t xml:space="preserve">(e.g. Piening </w:t>
      </w:r>
      <w:r w:rsidRPr="00452E2E">
        <w:rPr>
          <w:i/>
          <w:noProof/>
          <w:szCs w:val="24"/>
        </w:rPr>
        <w:t>et al</w:t>
      </w:r>
      <w:r w:rsidRPr="00452E2E">
        <w:rPr>
          <w:noProof/>
          <w:szCs w:val="24"/>
        </w:rPr>
        <w:t>., 2013; Ko &amp; Hur, 2014; Mostafa &amp; Gould-Williams, 2015; Vermeeren, 2015)</w:t>
      </w:r>
      <w:r w:rsidRPr="00452E2E">
        <w:rPr>
          <w:szCs w:val="24"/>
        </w:rPr>
        <w:fldChar w:fldCharType="end"/>
      </w:r>
      <w:r w:rsidRPr="00452E2E">
        <w:rPr>
          <w:szCs w:val="24"/>
        </w:rPr>
        <w:t xml:space="preserve">. Out of the three studies that collected data from both public and private sector </w:t>
      </w:r>
      <w:r w:rsidRPr="00452E2E">
        <w:rPr>
          <w:szCs w:val="24"/>
        </w:rPr>
        <w:fldChar w:fldCharType="begin" w:fldLock="1"/>
      </w:r>
      <w:r w:rsidRPr="00452E2E">
        <w:rPr>
          <w:szCs w:val="24"/>
        </w:rPr>
        <w:instrText>ADDIN CSL_CITATION { "citationItems" : [ { "id" : "ITEM-1",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"ITEM-1", "issue" : "5", "issued" : { "date-parts" : [ [ "2005" ] ] }, "page" : "534-549", "title" : "HRM practice and employee attitudes: Different measures \u2013 different results", "type" : "article-journal", "volume" : "34" }, "uris" : [ "http://www.mendeley.com/documents/?uuid=9d6909f5-8480-4f8c-af13-1d14286dcfa0" ] }, { "id" : "ITEM-2",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"ITEM-2",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"ITEM-3", "itemData" : { "author" : [ { "dropping-particle" : "", "family" : "Tabvuma", "given" : "V.", "non-dropping-particle" : "", "parse-names" : false, "suffix" : "" }, { "dropping-particle" : "", "family" : "Georgellis", "given" : "Y.", "non-dropping-particle" : "", "parse-names" : false, "suffix" : "" }, { "dropping-particle" : "", "family" : "Lange", "given" : "T.", "non-dropping-particle" : "", "parse-names" : false, "suffix" : "" } ], "container-title" : "Human Resource Management", "id" : "ITEM-3", "issue" : "2", "issued" : { "date-parts" : [ [ "2015" ] ] }, "page" : "303-321", "title" : "Orientation training and job satisfaction: A sector and gender analysis", "type" : "article-journal", "volume" : "54" }, "uris" : [ "http://www.mendeley.com/documents/?uuid=76de04c7-f445-4fb5-85bd-31dec2c13e00" ] } ], "mendeley" : { "formattedCitation" : "(Edgar &amp; Geare 2005; Mendelson et al. 2011; Tabvuma et al. 2015)", "manualFormatting" : "(Edgar &amp; Geare, 2005; Mendelson et al., 2011; Tabvuma et al., 2015)", "plainTextFormattedCitation" : "(Edgar &amp; Geare 2005; Mendelson et al. 2011; Tabvuma et al. 2015)", "previouslyFormattedCitation" : "(Edgar &amp; Geare 2005; Mendelson et al. 2011; Tabvuma et al. 2015)" }, "properties" : { "noteIndex" : 0 }, "schema" : "https://github.com/citation-style-language/schema/raw/master/csl-citation.json" }</w:instrText>
      </w:r>
      <w:r w:rsidRPr="00452E2E">
        <w:rPr>
          <w:szCs w:val="24"/>
        </w:rPr>
        <w:fldChar w:fldCharType="separate"/>
      </w:r>
      <w:r w:rsidRPr="00452E2E">
        <w:rPr>
          <w:noProof/>
          <w:szCs w:val="24"/>
        </w:rPr>
        <w:t xml:space="preserve">(Edgar &amp; Geare, 2005; Mendelson </w:t>
      </w:r>
      <w:r w:rsidRPr="00452E2E">
        <w:rPr>
          <w:i/>
          <w:noProof/>
          <w:szCs w:val="24"/>
        </w:rPr>
        <w:t>et al</w:t>
      </w:r>
      <w:r w:rsidRPr="00452E2E">
        <w:rPr>
          <w:noProof/>
          <w:szCs w:val="24"/>
        </w:rPr>
        <w:t xml:space="preserve">., 2011; Tabvuma </w:t>
      </w:r>
      <w:r w:rsidRPr="00452E2E">
        <w:rPr>
          <w:i/>
          <w:noProof/>
          <w:szCs w:val="24"/>
        </w:rPr>
        <w:t>et al</w:t>
      </w:r>
      <w:r w:rsidRPr="00452E2E">
        <w:rPr>
          <w:noProof/>
          <w:szCs w:val="24"/>
        </w:rPr>
        <w:t>., 2015)</w:t>
      </w:r>
      <w:r w:rsidRPr="00452E2E">
        <w:rPr>
          <w:szCs w:val="24"/>
        </w:rPr>
        <w:fldChar w:fldCharType="end"/>
      </w:r>
      <w:r w:rsidRPr="00452E2E">
        <w:rPr>
          <w:szCs w:val="24"/>
        </w:rPr>
        <w:t xml:space="preserve">, only </w:t>
      </w:r>
      <w:r w:rsidRPr="00452E2E">
        <w:rPr>
          <w:szCs w:val="24"/>
        </w:rPr>
        <w:fldChar w:fldCharType="begin" w:fldLock="1"/>
      </w:r>
      <w:r w:rsidRPr="00452E2E">
        <w:rPr>
          <w:szCs w:val="24"/>
        </w:rPr>
        <w:instrText>ADDIN CSL_CITATION { "citationItems" : [ { "id" : "ITEM-1", "itemData" : { "author" : [ { "dropping-particle" : "", "family" : "Tabvuma", "given" : "V.", "non-dropping-particle" : "", "parse-names" : false, "suffix" : "" }, { "dropping-particle" : "", "family" : "Georgellis", "given" : "Y.", "non-dropping-particle" : "", "parse-names" : false, "suffix" : "" }, { "dropping-particle" : "", "family" : "Lange", "given" : "T.", "non-dropping-particle" : "", "parse-names" : false, "suffix" : "" } ], "container-title" : "Human Resource Management", "id" : "ITEM-1", "issue" : "2", "issued" : { "date-parts" : [ [ "2015" ] ] }, "page" : "303-321", "title" : "Orientation training and job satisfaction: A sector and gender analysis", "type" : "article-journal", "volume" : "54" }, "uris" : [ "http://www.mendeley.com/documents/?uuid=76de04c7-f445-4fb5-85bd-31dec2c13e00" ] } ], "mendeley" : { "formattedCitation" : "(Tabvuma et al. 2015)", "manualFormatting" : "Tabvuma et al. (2015)", "plainTextFormattedCitation" : "(Tabvuma et al. 2015)", "previouslyFormattedCitation" : "(Tabvuma et al. 2015)" }, "properties" : { "noteIndex" : 0 }, "schema" : "https://github.com/citation-style-language/schema/raw/master/csl-citation.json" }</w:instrText>
      </w:r>
      <w:r w:rsidRPr="00452E2E">
        <w:rPr>
          <w:szCs w:val="24"/>
        </w:rPr>
        <w:fldChar w:fldCharType="separate"/>
      </w:r>
      <w:r w:rsidRPr="00452E2E">
        <w:rPr>
          <w:noProof/>
          <w:szCs w:val="24"/>
        </w:rPr>
        <w:t xml:space="preserve">Tabvuma </w:t>
      </w:r>
      <w:r w:rsidRPr="00452E2E">
        <w:rPr>
          <w:i/>
          <w:noProof/>
          <w:szCs w:val="24"/>
        </w:rPr>
        <w:t>et al</w:t>
      </w:r>
      <w:r w:rsidRPr="00452E2E">
        <w:rPr>
          <w:noProof/>
          <w:szCs w:val="24"/>
        </w:rPr>
        <w:t>. (2015)</w:t>
      </w:r>
      <w:r w:rsidRPr="00452E2E">
        <w:rPr>
          <w:szCs w:val="24"/>
        </w:rPr>
        <w:fldChar w:fldCharType="end"/>
      </w:r>
      <w:r w:rsidRPr="00452E2E">
        <w:rPr>
          <w:szCs w:val="24"/>
        </w:rPr>
        <w:t xml:space="preserve"> were interested in comparing public and private sectors. Even at that, </w:t>
      </w:r>
      <w:r w:rsidRPr="00452E2E">
        <w:rPr>
          <w:szCs w:val="24"/>
        </w:rPr>
        <w:fldChar w:fldCharType="begin" w:fldLock="1"/>
      </w:r>
      <w:r w:rsidRPr="00452E2E">
        <w:rPr>
          <w:szCs w:val="24"/>
        </w:rPr>
        <w:instrText>ADDIN CSL_CITATION { "citationItems" : [ { "id" : "ITEM-1", "itemData" : { "author" : [ { "dropping-particle" : "", "family" : "Tabvuma", "given" : "V.", "non-dropping-particle" : "", "parse-names" : false, "suffix" : "" }, { "dropping-particle" : "", "family" : "Georgellis", "given" : "Y.", "non-dropping-particle" : "", "parse-names" : false, "suffix" : "" }, { "dropping-particle" : "", "family" : "Lange", "given" : "T.", "non-dropping-particle" : "", "parse-names" : false, "suffix" : "" } ], "container-title" : "Human Resource Management", "id" : "ITEM-1", "issue" : "2", "issued" : { "date-parts" : [ [ "2015" ] ] }, "page" : "303-321", "title" : "Orientation training and job satisfaction: A sector and gender analysis", "type" : "article-journal", "volume" : "54" }, "uris" : [ "http://www.mendeley.com/documents/?uuid=76de04c7-f445-4fb5-85bd-31dec2c13e00" ] } ], "mendeley" : { "formattedCitation" : "(Tabvuma et al. 2015)", "manualFormatting" : "Tabvuma et al. (2015)", "plainTextFormattedCitation" : "(Tabvuma et al. 2015)", "previouslyFormattedCitation" : "(Tabvuma et al. 2015)" }, "properties" : { "noteIndex" : 0 }, "schema" : "https://github.com/citation-style-language/schema/raw/master/csl-citation.json" }</w:instrText>
      </w:r>
      <w:r w:rsidRPr="00452E2E">
        <w:rPr>
          <w:szCs w:val="24"/>
        </w:rPr>
        <w:fldChar w:fldCharType="separate"/>
      </w:r>
      <w:r w:rsidRPr="00452E2E">
        <w:rPr>
          <w:noProof/>
          <w:szCs w:val="24"/>
        </w:rPr>
        <w:t xml:space="preserve">Tabvuma </w:t>
      </w:r>
      <w:r w:rsidRPr="00452E2E">
        <w:rPr>
          <w:i/>
          <w:noProof/>
          <w:szCs w:val="24"/>
        </w:rPr>
        <w:t>et al</w:t>
      </w:r>
      <w:r w:rsidRPr="00452E2E">
        <w:rPr>
          <w:noProof/>
          <w:szCs w:val="24"/>
        </w:rPr>
        <w:t>. (2015)</w:t>
      </w:r>
      <w:r w:rsidRPr="00452E2E">
        <w:rPr>
          <w:szCs w:val="24"/>
        </w:rPr>
        <w:fldChar w:fldCharType="end"/>
      </w:r>
      <w:r w:rsidRPr="00452E2E">
        <w:rPr>
          <w:szCs w:val="24"/>
        </w:rPr>
        <w:t xml:space="preserve"> examined the effect of only one HR practice- orientation training - on job satisfaction. This means that none of the studies examined the effects of HR practices on organizational commitment in public and private sector. Thus, not only is the present study the first to examine the effects of HR practices on employee attitudes in </w:t>
      </w:r>
      <w:r w:rsidR="00D605CE" w:rsidRPr="00452E2E">
        <w:rPr>
          <w:szCs w:val="24"/>
        </w:rPr>
        <w:t xml:space="preserve">the </w:t>
      </w:r>
      <w:r w:rsidRPr="00452E2E">
        <w:rPr>
          <w:szCs w:val="24"/>
        </w:rPr>
        <w:t xml:space="preserve">public and private sector in an African context, it is </w:t>
      </w:r>
      <w:r w:rsidRPr="00452E2E">
        <w:rPr>
          <w:i/>
          <w:szCs w:val="24"/>
        </w:rPr>
        <w:t>perhaps</w:t>
      </w:r>
      <w:r w:rsidRPr="00452E2E">
        <w:rPr>
          <w:szCs w:val="24"/>
        </w:rPr>
        <w:t xml:space="preserve"> the first (but certainly one of the first) to examine the effects of HR practices on</w:t>
      </w:r>
      <w:r w:rsidR="00654EC5" w:rsidRPr="00452E2E">
        <w:rPr>
          <w:szCs w:val="24"/>
        </w:rPr>
        <w:t xml:space="preserve"> organizational commitment whilst</w:t>
      </w:r>
      <w:r w:rsidRPr="00452E2E">
        <w:rPr>
          <w:szCs w:val="24"/>
        </w:rPr>
        <w:t xml:space="preserve"> comparing public and private sectors. </w:t>
      </w:r>
    </w:p>
    <w:p w:rsidR="00D03A8E" w:rsidRPr="00452E2E" w:rsidRDefault="00D03A8E" w:rsidP="00D03A8E">
      <w:pPr>
        <w:spacing w:line="360" w:lineRule="auto"/>
        <w:jc w:val="both"/>
        <w:rPr>
          <w:szCs w:val="24"/>
        </w:rPr>
      </w:pPr>
      <w:r w:rsidRPr="00452E2E">
        <w:rPr>
          <w:szCs w:val="24"/>
        </w:rPr>
        <w:t xml:space="preserve">Despite calls for researchers to treat organizational commitment as a multi-dimensional construct in HRM research </w:t>
      </w:r>
      <w:r w:rsidRPr="00452E2E">
        <w:rPr>
          <w:szCs w:val="24"/>
        </w:rPr>
        <w:fldChar w:fldCharType="begin" w:fldLock="1"/>
      </w:r>
      <w:r w:rsidRPr="00452E2E">
        <w:rPr>
          <w:szCs w:val="24"/>
        </w:rPr>
        <w:instrText>ADDIN CSL_CITATION { "citationItems" : [ { "id" : "ITEM-1", "itemData" : { "DOI" : "10.1177/1038411107086540.APJHR", "ISBN" : "1038411107086", "author" : [ { "dropping-particle" : "", "family" : "Wright", "given" : "Patrick M", "non-dropping-particle" : "", "parse-names" : false, "suffix" : "" }, { "dropping-particle" : "", "family" : "Kehoe", "given" : "Rebecca R", "non-dropping-particle" : "", "parse-names" : false, "suffix" : "" } ], "container-title" : "Asia Pacific Journal of Human Resources", "id" : "ITEM-1", "issue" : "1", "issued" : { "date-parts" : [ [ "2008" ] ] }, "page" : "6-20", "title" : "Human resource practices and organizational commitment: A deeper examination", "type" : "article-journal", "volume" : "46" }, "uris" : [ "http://www.mendeley.com/documents/?uuid=b6a5c3fa-8a3f-4cb1-9f5c-a49e30eb9228" ] } ], "mendeley" : { "formattedCitation" : "(Wright &amp; Kehoe 2008)", "manualFormatting" : "(Wright &amp; Kehoe, 2008)", "plainTextFormattedCitation" : "(Wright &amp; Kehoe 2008)", "previouslyFormattedCitation" : "(Wright &amp; Kehoe 2008)" }, "properties" : { "noteIndex" : 0 }, "schema" : "https://github.com/citation-style-language/schema/raw/master/csl-citation.json" }</w:instrText>
      </w:r>
      <w:r w:rsidRPr="00452E2E">
        <w:rPr>
          <w:szCs w:val="24"/>
        </w:rPr>
        <w:fldChar w:fldCharType="separate"/>
      </w:r>
      <w:r w:rsidRPr="00452E2E">
        <w:rPr>
          <w:noProof/>
          <w:szCs w:val="24"/>
        </w:rPr>
        <w:t>(Wright &amp; Kehoe, 2008)</w:t>
      </w:r>
      <w:r w:rsidRPr="00452E2E">
        <w:rPr>
          <w:szCs w:val="24"/>
        </w:rPr>
        <w:fldChar w:fldCharType="end"/>
      </w:r>
      <w:r w:rsidRPr="00452E2E">
        <w:rPr>
          <w:szCs w:val="24"/>
        </w:rPr>
        <w:t xml:space="preserve">, most of the studies concentrated on only affective commitment </w:t>
      </w:r>
      <w:r w:rsidRPr="00452E2E">
        <w:rPr>
          <w:szCs w:val="24"/>
        </w:rPr>
        <w:fldChar w:fldCharType="begin" w:fldLock="1"/>
      </w:r>
      <w:r w:rsidRPr="00452E2E">
        <w:rPr>
          <w:szCs w:val="24"/>
        </w:rPr>
        <w:instrText>ADDIN CSL_CITATION { "citationItems" : [ { "id" : "ITEM-1", "itemData" : { "DOI" : "10.1080/09585190210158501", "ISBN" : "0958519021", "ISSN" : "0958-5192", "PMID" : "9173613", "abstract" : "This paper assesses the impact of bundles of HR practices on workplace trust, job satisfaction, commitment, effort and perceived organizational performance. A theoretical model is developed and tested using data collected through a postal survey of UK local government employees. The results support the hypothesis that HR practices are powerful predictors of trust and organizational performance. These findings demonstrate the need for public organizations to re-evaluate their current battery of HR practices in an attempt to improve overall performance.", "author" : [ { "dropping-particle" : "", "family" : "Gould-Williams", "given" : "Julian", "non-dropping-particle" : "", "parse-names" : false, "suffix" : "" } ], "container-title" : "The International Journal of Human Resource Management", "id" : "ITEM-1", "issue" : "1", "issued" : { "date-parts" : [ [ "2003" ] ] }, "page" : "28-54", "title" : "The importance of HR practices and workplace trust in achieving superior performance: A study of public-sector organizations", "type" : "article-journal", "volume" : "14" }, "uris" : [ "http://www.mendeley.com/documents/?uuid=fb0949b0-c830-4532-bfa9-55739950a3b5" ] }, { "id" : "ITEM-2", "itemData" : { "abstract" : "Purpose - The purpose of this paper is to examine the impacts of key human resource (HR) practices on permanent employees' organizational commitment and intention to stay. These practices include facilitating of person-organization fit (P-O fit), designing effective remuneration and recognition, creating sufficiently challenging assignments, and implementing training and career development. Design/methodology/approach - The study was carried out in three phases. First, 13 experts (e.g. academics, HR managers and organizational psychologists) were interviewed using the Delphi technique. Second, in-depth interviews with 12 HR managers were conducted. Third, 457 employees from nine Australian organizations responded to a survey. Structural equation modeling was used to test the hypotheses. Findings - Organizational commitment was positively affected by P-O fit, remuneration, recognition, and an opportunity to undertake challenging employment assignments. Intention to stay was significantly related to P-O fit, remuneration, recognition, training and career development. Surprisingly, training and career development was not significantly related to organizational commitment and challenging assignment was not significantly related to intention to stay. Originality/value - This paper contributes to existing knowledge by testing HR practices in large public and private Australian organizations, which are impacted by demographic changes, increasing dependence on outsourcing, and industrial relations reforms. Thus, the results of this study will provide practitioners with better insights into some practices that could elevate organizational commitment and retention of employees. ABSTRACT FROM AUTHOR Copyright of International Journal of Manpower is the property of Emerald Group Publishing Limited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"Chew", "given" : "Janet", "non-dropping-particle" : "", "parse-names" : false, "suffix" : "" }, { "dropping-particle" : "", "family" : "Chan", "given" : "Christopher C A", "non-dropping-particle" : "", "parse-names" : false, "suffix" : "" } ], "container-title" : "International Journal of Manpower", "id" : "ITEM-2", "issue" : "6", "issued" : { "date-parts" : [ [ "2008" ] ] }, "page" : "503-522", "title" : "Human resource practices, organizational commitment and intention to stay", "type" : "article-journal", "volume" : "29" }, "uris" : [ "http://www.mendeley.com/documents/?uuid=e4299377-928f-4ad1-b27d-31dfa978daea" ] }, { "id" : "ITEM-3",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"ITEM-3",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"id" : "ITEM-4", "itemData" : { "DOI" : "10.1108/00483480810877589", "ISBN" : "0048-3486", "ISSN" : "0048-3486", "abstract" : "la referencia viene de una alerta de internet. Se trata de una investigaci\u00f3n que relaciona el HRM con el compromiso. LO HACE UTILIZANDO LA PROPUESTA DE BOWEN Y OSTROFF CON SU IDEA DE FUERZA. UNA DE LAS PRIMERAS EVIDENCIAS EN ESTE SENTIDO. INTERESANTE PARA VER C\u00d3MO LO HACEN Y PORQUE CREO QUE TENGO QU ECONTACTAR CON ESTA GENTE (O PURCELL) PARA HACER UNA ESTANCIA CON ELLOS.", "author" : [ { "dropping-particle" : "", "family" : "Sanders", "given" : "Karin", "non-dropping-particle" : "", "parse-names" : false, "suffix" : "" }, { "dropping-particle" : "", "family" : "Dorenbosch", "given" : "Luc", "non-dropping-particle" : "", "parse-names" : false, "suffix" : "" }, { "dropping-particle" : "", "family" : "Reuver", "given" : "R.D.", "non-dropping-particle" : "", "parse-names" : false, "suffix" : "" } ], "container-title" : "Personnel Review", "id" : "ITEM-4", "issue" : "4", "issued" : { "date-parts" : [ [ "2008" ] ] }, "page" : "412-425", "title" : "The impact of individual and shared employee perceptions of HRM on affective commitment: Considering climate strength", "type" : "article-journal", "volume" : "37" }, "uris" : [ "http://www.mendeley.com/documents/?uuid=c49efb63-522b-4314-adbc-b49812acde34" ] }, { "id" : "ITEM-5",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"ITEM-5",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"id" : "ITEM-6", "itemData" : { "abstract" : "Purpose: This paper aims to present an empirical study of the effect of high performance work practices on commitment and citizenship behaviour in the health care sector. The theory suggests that individual employees are willing \"to go the extra mile\" when they are given the opportunity to develop their abilities and to participate, and when they are motivated. Design/methodology/approach: The data were gathered in a Dutch general hospital using employee questionnaires. Medical specialists were not included in the study. Findings: The results of the study suggest that employee development (e.g. skills training, general training, and task enrichment) and employee involvement (e.g. job autonomy, participation in decision making) are important HR practices in creating a high performance work climate in a health care organisation. Research limitations/implications: The data come from one hospital and the analysis is cross-sectional. However, the importance of the study lies in its focus on the individual employee perspective rather than the organisational level analyses which currently predominate in the HRM and performance debate. Practical implications: The training and development of health care employees can increase their affective commitment. Increasing employee involvement can also help stimulate citizenship behaviour. Originality/value: The paper looks at the non-profit sector, whereas the majority of previous HR research has focused on multinational companies. \u00a9 Emerald Group Publishing Limited.", "author" : [ { "dropping-particle" : "", "family" : "Boselie", "given" : "Paul", "non-dropping-particle" : "", "parse-names" : false, "suffix" : "" } ], "container-title" : "International Journal of Manpower", "id" : "ITEM-6", "issue" : "1", "issued" : { "date-parts" : [ [ "2010" ] ] }, "page" : "42-58", "title" : "High performance work practices in the health care sector: A Dutch case study", "type" : "article-journal", "volume" : "31" }, "uris" : [ "http://www.mendeley.com/documents/?uuid=a1717bb6-a722-4213-87d0-ca5efc310966" ] }, { "id" : "ITEM-7",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"ITEM-7",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"id" : "ITEM-8", "itemData" : { "DOI" : "10.1080/09585192.2011.565667", "ISBN" : "0958-5192", "ISSN" : "0958-5192", "abstract" : "This study examines the impact of employee perceptions of training on organizational commitment, and the latter\u2019s relationship with turnover intentions. Structured equation modelling is conducted on survey data from 437 Chinese employees of five multinational enterprises operating in the Chinese service sector. The results of the survey are consistent with social exchange theory. They highlight the importance of training as a tool to enhance the affective organisational commitment of employees, and reduce turnover. The findings differ from previous studies in non-Chinese settings. No evidence was found of any impact of motivation to learn and perceived benefits of training on organizational commitment. This may be explained by three factors; the involuntary nature of employee training, the limited career development opportunities on offer to local employees of multinational enterprises and the difficulty employees face in applying learnt skills given cultural differences. The implications for research and practice are discussed.", "author" : [ { "dropping-particle" : "", "family" : "Newman", "given" : "Alexander", "non-dropping-particle" : "", "parse-names" : false, "suffix" : "" }, { "dropping-particle" : "", "family" : "Thanacoody", "given" : "Rani", "non-dropping-particle" : "", "parse-names" : false, "suffix" : "" }, { "dropping-particle" : "", "family" : "Hui", "given" : "Wendy", "non-dropping-particle" : "", "parse-names" : false, "suffix" : "" } ], "container-title" : "The International Journal of Human Resource Management", "id" : "ITEM-8", "issue" : "8", "issued" : { "date-parts" : [ [ "2011" ] ] }, "page" : "1765-1787", "title" : "The impact of employee perceptions of training on organisational commitment and turnover intentions: A study of multinationals in the Chinese service sector", "type" : "article-journal", "volume" : "22" }, "uris" : [ "http://www.mendeley.com/documents/?uuid=ce97a180-3fba-469d-8dfb-42c8e83ffc6d" ] }, { "id" : "ITEM-9",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"ITEM-9", "issue" : "8", "issued" : { "date-parts" : [ [ "2012" ] ] }, "page" : "1209-1227", "title" : "High-involvement human resource practices, affective commitment, and organizational citizenship behaviors", "type" : "article-journal", "volume" : "32" }, "uris" : [ "http://www.mendeley.com/documents/?uuid=3233ad68-00c0-4a22-bbc0-0ed35d43dfad" ] }, { "id" : "ITEM-10",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"ITEM-10", "issue" : "2", "issued" : { "date-parts" : [ [ "2013" ] ] }, "page" : "366-391", "title" : "The impact of high performance human resource practices on employees' attitudes and behaviors", "type" : "article-journal", "volume" : "39" }, "uris" : [ "http://www.mendeley.com/documents/?uuid=87fa9e55-e4a1-416e-9e06-eb7fd4bd89a6" ] }, { "id" : "ITEM-11",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"ITEM-11", "issue" : "5", "issued" : { "date-parts" : [ [ "2015" ] ] }, "page" : "747-757", "title" : "High-performance human resource practices and employee outcomes: The mediating role of public service motivation", "type" : "article-journal", "volume" : "75" }, "uris" : [ "http://www.mendeley.com/documents/?uuid=d929d627-475b-4d7b-9d57-7ed8e89a7d6c" ] } ], "mendeley" : { "formattedCitation" : "(Gould-Williams 2003; Chew &amp; Chan 2008; Kuvaas 2008; Sanders et al. 2008; Qiao et al. 2009; Boselie 2010; Elorza et al. 2011; Newman et al. 2011; Yang 2012; Kehoe &amp; Wright 2013; Mostafa &amp; Gould-Williams 2015)", "manualFormatting" : "(e.g. Gould-Williams, 2003; Chew &amp; Chan, 2008; Kuvaas, 2008; Sanders et al., 2008; Qiao et al., 2009; Boselie, 2010; Elorza et al., 2011; Yang, 2012; Kehoe &amp; Wright, 2013; Mostafa &amp; Gould-Williams, 2015)", "plainTextFormattedCitation" : "(Gould-Williams 2003; Chew &amp; Chan 2008; Kuvaas 2008; Sanders et al. 2008; Qiao et al. 2009; Boselie 2010; Elorza et al. 2011; Newman et al. 2011; Yang 2012; Kehoe &amp; Wright 2013; Mostafa &amp; Gould-Williams 2015)", "previouslyFormattedCitation" : "(Gould-Williams 2003; Chew &amp; Chan 2008; Kuvaas 2008; Sanders et al. 2008; Qiao et al. 2009; Boselie 2010; Elorza et al. 2011; Newman et al. 2011; Yang 2012; Kehoe &amp; Wright 2013; Mostafa &amp; Gould-Williams 2015)" }, "properties" : { "noteIndex" : 0 }, "schema" : "https://github.com/citation-style-language/schema/raw/master/csl-citation.json" }</w:instrText>
      </w:r>
      <w:r w:rsidRPr="00452E2E">
        <w:rPr>
          <w:szCs w:val="24"/>
        </w:rPr>
        <w:fldChar w:fldCharType="separate"/>
      </w:r>
      <w:r w:rsidRPr="00452E2E">
        <w:rPr>
          <w:noProof/>
          <w:szCs w:val="24"/>
        </w:rPr>
        <w:t xml:space="preserve">(e.g. Chew &amp; Chan, 2008; Kuvaas, 2008; Sanders </w:t>
      </w:r>
      <w:r w:rsidRPr="00452E2E">
        <w:rPr>
          <w:i/>
          <w:noProof/>
          <w:szCs w:val="24"/>
        </w:rPr>
        <w:t>et al</w:t>
      </w:r>
      <w:r w:rsidRPr="00452E2E">
        <w:rPr>
          <w:noProof/>
          <w:szCs w:val="24"/>
        </w:rPr>
        <w:t xml:space="preserve">., 2008; Qiao </w:t>
      </w:r>
      <w:r w:rsidRPr="00452E2E">
        <w:rPr>
          <w:i/>
          <w:noProof/>
          <w:szCs w:val="24"/>
        </w:rPr>
        <w:t>et al</w:t>
      </w:r>
      <w:r w:rsidRPr="00452E2E">
        <w:rPr>
          <w:noProof/>
          <w:szCs w:val="24"/>
        </w:rPr>
        <w:t xml:space="preserve">., 2009; Boselie, 2010; Elorza </w:t>
      </w:r>
      <w:r w:rsidRPr="00452E2E">
        <w:rPr>
          <w:i/>
          <w:noProof/>
          <w:szCs w:val="24"/>
        </w:rPr>
        <w:t>et al</w:t>
      </w:r>
      <w:r w:rsidRPr="00452E2E">
        <w:rPr>
          <w:noProof/>
          <w:szCs w:val="24"/>
        </w:rPr>
        <w:t>., 2011; Kehoe &amp; Wright, 2013; Mostafa &amp; Gould-Williams, 2015)</w:t>
      </w:r>
      <w:r w:rsidRPr="00452E2E">
        <w:rPr>
          <w:szCs w:val="24"/>
        </w:rPr>
        <w:fldChar w:fldCharType="end"/>
      </w:r>
      <w:r w:rsidR="00044ABD" w:rsidRPr="00452E2E">
        <w:rPr>
          <w:szCs w:val="24"/>
        </w:rPr>
        <w:t xml:space="preserve"> whilst</w:t>
      </w:r>
      <w:r w:rsidRPr="00452E2E">
        <w:rPr>
          <w:szCs w:val="24"/>
        </w:rPr>
        <w:t xml:space="preserve"> some examined the effects of HR practices on affective and continuance components of commitment </w:t>
      </w:r>
      <w:r w:rsidRPr="00452E2E">
        <w:rPr>
          <w:szCs w:val="24"/>
        </w:rPr>
        <w:fldChar w:fldCharType="begin" w:fldLock="1"/>
      </w:r>
      <w:r w:rsidRPr="00452E2E">
        <w:rPr>
          <w:szCs w:val="24"/>
        </w:rPr>
        <w:instrText>ADDIN CSL_CITATION { "citationItems" : [ { "id" : "ITEM-1",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"ITEM-1", "issue" : "1", "issued" : { "date-parts" : [ [ "2005" ] ] }, "page" : "3-29", "title" : "Benefit system effects on employees' benefit knowledge, use and organizational commitment", "type" : "article-journal", "volume" : "20" }, "uris" : [ "http://www.mendeley.com/documents/?uuid=76153374-7214-4e74-b268-ebcd9498b8b1" ] }, { "id" : "ITEM-2", "itemData" : { "author" : [ { "dropping-particle" : "", "family" : "Par\u00e9", "given" : "Guy", "non-dropping-particle" : "", "parse-names" : false, "suffix" : "" }, { "dropping-particle" : "", "family" : "Tremblay", "given" : "Michel", "non-dropping-particle" : "", "parse-names" : false, "suffix" : "" } ], "container-title" : "Group &amp; Organization Management", "id" : "ITEM-2", "issue" : "3", "issued" : { "date-parts" : [ [ "2007" ] ] }, "page" : "326-357", "title" : "The influence of high-involvement human resource practices, procedural justice, organizational commitment, and citizenship behaviors on information technology professionals \u2019 turnover intentions", "type" : "article-journal", "volume" : "32" }, "uris" : [ "http://www.mendeley.com/documents/?uuid=dd7a2e92-5026-450c-83bb-2292744a7d0b" ] }, { "id" : "ITEM-3",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"ITEM-3",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"id" : "ITEM-4",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"ITEM-4",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"ITEM-5", "itemData" : { "author" : [ { "dropping-particle" : "", "family" : "Fabi", "given" : "B", "non-dropp</w:instrText>
      </w:r>
      <w:r w:rsidRPr="00452E2E">
        <w:rPr>
          <w:szCs w:val="24"/>
          <w:lang w:val="fr-FR"/>
        </w:rPr>
        <w:instrText>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"ITEM-5",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"mendeley" : { "formattedCitation" : "(Sinclair et al. 2005; Par\u00e9 &amp; Tremblay 2007; Gong et al. 2009; Mendelson et al. 2011; Fabi et al. 2015)", "manualFormatting" : "(e.g. Sinclair et al., 2005; Par\u00e9 &amp; Tremblay, 2007; Gong et al., 2009; Mendelson et al., 2011; Fabi et al., 2015)", "plainTextFormattedCitation" : "(Sinclair et al. 2005; Par\u00e9 &amp; Tremblay 2007; Gong et al. 2009; Mendelson et al. 2011; Fabi et al. 2015)", "previouslyFormattedCitation" : "(Sinclair et al. 2005; Par\u00e9 &amp; Tremblay 2007; Gong et al. 2009; Mendelson et al. 2011; Fabi et al. 2015)" }, "properties" : { "noteIndex" : 0 }, "schema" : "https://github.com/citation-style-language/schema/raw/master/csl-citation.json" }</w:instrText>
      </w:r>
      <w:r w:rsidRPr="00452E2E">
        <w:rPr>
          <w:szCs w:val="24"/>
        </w:rPr>
        <w:fldChar w:fldCharType="separate"/>
      </w:r>
      <w:r w:rsidRPr="00452E2E">
        <w:rPr>
          <w:noProof/>
          <w:szCs w:val="24"/>
          <w:lang w:val="fr-FR"/>
        </w:rPr>
        <w:t xml:space="preserve">(e.g. Sinclair </w:t>
      </w:r>
      <w:r w:rsidRPr="00452E2E">
        <w:rPr>
          <w:i/>
          <w:noProof/>
          <w:szCs w:val="24"/>
          <w:lang w:val="fr-FR"/>
        </w:rPr>
        <w:t>et al</w:t>
      </w:r>
      <w:r w:rsidRPr="00452E2E">
        <w:rPr>
          <w:noProof/>
          <w:szCs w:val="24"/>
          <w:lang w:val="fr-FR"/>
        </w:rPr>
        <w:t xml:space="preserve">., 2005; Paré &amp; Tremblay, 2007; Gong </w:t>
      </w:r>
      <w:r w:rsidRPr="00452E2E">
        <w:rPr>
          <w:i/>
          <w:noProof/>
          <w:szCs w:val="24"/>
          <w:lang w:val="fr-FR"/>
        </w:rPr>
        <w:t>et al</w:t>
      </w:r>
      <w:r w:rsidRPr="00452E2E">
        <w:rPr>
          <w:noProof/>
          <w:szCs w:val="24"/>
          <w:lang w:val="fr-FR"/>
        </w:rPr>
        <w:t xml:space="preserve">., 2009; Mendelson </w:t>
      </w:r>
      <w:r w:rsidRPr="00452E2E">
        <w:rPr>
          <w:i/>
          <w:noProof/>
          <w:szCs w:val="24"/>
          <w:lang w:val="fr-FR"/>
        </w:rPr>
        <w:t>et al</w:t>
      </w:r>
      <w:r w:rsidRPr="00452E2E">
        <w:rPr>
          <w:noProof/>
          <w:szCs w:val="24"/>
          <w:lang w:val="fr-FR"/>
        </w:rPr>
        <w:t xml:space="preserve">., 2011; Fabi </w:t>
      </w:r>
      <w:r w:rsidRPr="00452E2E">
        <w:rPr>
          <w:i/>
          <w:noProof/>
          <w:szCs w:val="24"/>
          <w:lang w:val="fr-FR"/>
        </w:rPr>
        <w:t>et al</w:t>
      </w:r>
      <w:r w:rsidRPr="00452E2E">
        <w:rPr>
          <w:noProof/>
          <w:szCs w:val="24"/>
          <w:lang w:val="fr-FR"/>
        </w:rPr>
        <w:t>., 2015)</w:t>
      </w:r>
      <w:r w:rsidRPr="00452E2E">
        <w:rPr>
          <w:szCs w:val="24"/>
        </w:rPr>
        <w:fldChar w:fldCharType="end"/>
      </w:r>
      <w:r w:rsidRPr="00452E2E">
        <w:rPr>
          <w:szCs w:val="24"/>
          <w:lang w:val="fr-FR"/>
        </w:rPr>
        <w:t xml:space="preserve">. </w:t>
      </w:r>
      <w:r w:rsidRPr="00452E2E">
        <w:rPr>
          <w:szCs w:val="24"/>
        </w:rPr>
        <w:t xml:space="preserve">Relatively few studies however examined the effects of HR practices on all three forms of commitment: affective, continuance, and normative commitment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"abstract" : "The exploration of the relationship between organizational commitment and training is still in its early stages. Although there have been several studies reported on training and organizational commitment in Western countries, very little has been done in respect of the local professionals in Malaysia. This research investigates the association between five training variables (availability of training, support for training, motivation to learn, training environment and perceived benefits of training), and various aspects of organizational commitment (affective commitment, normative commitment, continuance commitment and overall organizational commitment). The availability of training, support for training, motivation to learn, training environment, perceived benefits of training were all significantly correlated with affective commitment, normative commitment and overall organizational commitment. The training environment and perceived benefits were also significantly correlated with continuance commitment. However the availability of training, support for training and motivation to learn were not significantly correlated with continuance commitment. This suggests that despite other forms of commitment, Malaysian workers do not feel that they need to remain in an organization that has made available the training, given support for the training and were motivated to learn. Otherwise, results suggest that on the whole, training does seem to have an influence on organizational commitment. The practical implication of this is that managers, who are so desirous of enhancing organizational commitment among their subordinates, should pay more attention to training. Annual income was found to correlate positively with affective commitment and overall commitment. Age and tenure were not significant predictors of overall organizational commitment contradicting studies in the West. This demonstrated that Malaysians might have different attitudes towards organizational commitment. The older they are and the longer they stay within an organization do not imply that they will be committed towards their organization. This phenomenon can be attributed to the uncertain business environment in Malaysia.", "author" : [ { "dropping-particle" : "", "family" : "Ahmad", "given" : "Kamarul Zaman", "non-dropping-particle" : "", "parse-names" : false, "suffix" : "" }, { "dropping-particle" : "", "family" : "Bakar", "given" : "Raida Abu", "non-dropping-particle" : "", "parse-names" : false, "suffix" : "" } ], "container-title" : "International Journal of Training and Development", "id" : "ITEM-2", "issue" : "3", "issued" : { "date-parts" : [ [ "2003" ] ] }, "page" : "166-185", "title" : "The association between training and organizational commitment among white-collar workers in Malaysia", "type" : "article-journal", "volume" : "7" }, "uris" : [ "http://www.mendeley.com/documents/?uuid=e5cf5154-3ab0-4796-ba06-0c93dc30699a" ] }, { "id" : "ITEM-3", "itemData" : { "author" : [ { "dropping-particle" : "", "family" : "Conway", "given" : "Edel", "non-dropping-particle" : "", "parse-names" : false, "suffix" : "" }, { "dropping-particle" : "", "family" : "Monks", "given" : "Kathy", "non-dropping-particle" : "", "parse-names" : false, "suffix" : "" } ], "container-title" : "Human resource management Journal", "id" : "ITEM-3", "issue" : "2", "issued" : { "date-parts" : [ [ "2009" ] ] }, "page" : "140-158", "title" : "Unravelling the complexities of high commitment: An employee-level analysis", "type" : "article-journal", "volume" : "19" }, "uris" : [ "http://www.mendeley.com/documents/?uuid=27e6e8b9-9ee2-45ca-90f0-2264a8bc8e92" ] }, { "id" : "ITEM-4",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"ITEM-4", "issue" : "4", "issued" : { "date-parts" : [ [ "2010" ] ] }, "page" : "368-392", "title" : "Participative decision making and organizational commitment", "type" : "article-journal", "volume" : "17" }, "uris" : [ "http://www.mendeley.com/documents/?uuid=0fdfa12a-cb95-4f52-9f14-24feff7c4e3b" ] } ], "mendeley" : { "formattedCitation" : "(Meyer &amp; Smith 2000; Ahmad &amp; Bakar 2003; Conway &amp; Monks 2009; Elele &amp; Fields 2010)", "manualFormatting" : "(e.g. Meyer &amp; Smith, 2000; Ahmad &amp; Bakar, 2003; Conway &amp; Monks, 2009; Elele &amp; Fields, 2010)", "plainTextFormattedCitation" : "(Meyer &amp; Smith 2000; Ahmad &amp; Bakar 2003; Conway &amp; Monks 2009; Elele &amp; Fields 2010)", "previouslyFormattedCitation" : "(Meyer &amp; Smith 2000; Ahmad &amp; Bakar 2003; Conway &amp; Monks 2009; Elele &amp; Fields 2010)" }, "properties" : { "noteIndex" : 0 }, "schema" : "https://github.com/citation-style-language/schema/raw/master/csl-citation.json" }</w:instrText>
      </w:r>
      <w:r w:rsidRPr="00452E2E">
        <w:rPr>
          <w:szCs w:val="24"/>
        </w:rPr>
        <w:fldChar w:fldCharType="separate"/>
      </w:r>
      <w:r w:rsidRPr="00452E2E">
        <w:rPr>
          <w:noProof/>
          <w:szCs w:val="24"/>
        </w:rPr>
        <w:t>(e.g. Meyer &amp; Smith, 2000; Ahmad &amp; Bakar, 2003; Conway &amp; Monks, 2009; Elele &amp; Fields, 2010)</w:t>
      </w:r>
      <w:r w:rsidRPr="00452E2E">
        <w:rPr>
          <w:szCs w:val="24"/>
        </w:rPr>
        <w:fldChar w:fldCharType="end"/>
      </w:r>
      <w:r w:rsidRPr="00452E2E">
        <w:rPr>
          <w:szCs w:val="24"/>
        </w:rPr>
        <w:t xml:space="preserve">. This study seeks to </w:t>
      </w:r>
      <w:r w:rsidRPr="00452E2E">
        <w:rPr>
          <w:szCs w:val="24"/>
        </w:rPr>
        <w:lastRenderedPageBreak/>
        <w:t xml:space="preserve">bridge this research gap by examining the effects of HR practices on the three components of commitment. </w:t>
      </w:r>
    </w:p>
    <w:p w:rsidR="00D03A8E" w:rsidRPr="00452E2E" w:rsidRDefault="00D03A8E" w:rsidP="00D03A8E">
      <w:pPr>
        <w:spacing w:line="360" w:lineRule="auto"/>
        <w:jc w:val="both"/>
        <w:rPr>
          <w:szCs w:val="24"/>
        </w:rPr>
      </w:pPr>
      <w:r w:rsidRPr="00452E2E">
        <w:rPr>
          <w:szCs w:val="24"/>
        </w:rPr>
        <w:t xml:space="preserve">Further, studies examining the effects of HR practices on employee attitudes have shown that both job satisfaction and organizational commitment are important variables mediating the relationship between HR practices and other work outcomes such as turnover intentions </w:t>
      </w:r>
      <w:r w:rsidRPr="00452E2E">
        <w:rPr>
          <w:szCs w:val="24"/>
        </w:rPr>
        <w:fldChar w:fldCharType="begin" w:fldLock="1"/>
      </w:r>
      <w:r w:rsidRPr="00452E2E">
        <w:rPr>
          <w:szCs w:val="24"/>
        </w:rPr>
        <w:instrText>ADDIN CSL_CITATION { "citationItems" : [ { "id" : "ITEM-1", "itemData" : { "DOI" : "10.1080/09585192.2010.483845", "ISBN" : "0958-5192", "ISSN" : "0958-5192", "abstract" : "The purpose of this study was to investigate the impact of a bundle of eight human resource management practices on intention to leave, and to examine the mediating effect of organizational commitment on the relationship between the HRM practices and intention to leave of employees of a service organization in India. Most of the prior HRM practices-employee turnover studies have been from the HR manager's point of view. This study took a different approach and studied this relationship from an employee's point of view. Internet survey questionnaires were used to collect the data from 183 employees working in a service company in India. Multiple linear regression and hierarchical linear regression analysis were conducted to test the hypotheses. The study found not only that the HRM practices lower employee intentions to leave, but also that this relationship is partially mediated by organizational commitment. The results of the study not only supported that organizations should focus on employee perceptions of the organizations' HRM practices but also indicated that human resources should go beyond establishing policies and procedures to providing an employee-friendly work environment (Biswas and Varma 2007). \u00a9 2010 Taylor &amp; Francis.", "author" : [ { "dropping-particle" : "", "family" : "Guchait", "given" : "Priyanko", "non-dropping-particle" : "", "parse-names" : false, "suffix" : "" }, { "dropping-particle" : "", "family" : "Cho", "given" : "Seonghee", "non-dropping-particle" : "", "parse-names" : false, "suffix" : "" } ], "container-title" : "The International Journal of Human Resource Management", "id" : "ITEM-1", "issue" : "8", "issued" : { "date-parts" : [ [ "2010" ] ] }, "page" : "1228-1247", "title" : "The impact of human resource management practices on intention to leave of employees in the service industry in India: The mediating role of organizational commitment", "type" : "article-journal", "volume" : "21" }, "uris" : [ "http://www.mendeley.com/documents/?uuid=06a93245-ccf1-4ad2-84ce-ca27f6eec38c" ] } ], "mendeley" : { "formattedCitation" : "(Guchait &amp; Cho 2010)", "manualFormatting" : "(e.g. Guchait &amp; Cho, 2010)", "plainTextFormattedCitation" : "(Guchait &amp; Cho 2010)", "previouslyFormattedCitation" : "(Guchait &amp; Cho 2010)" }, "properties" : { "noteIndex" : 0 }, "schema" : "https://github.com/citation-style-language/schema/raw/master/csl-citation.json" }</w:instrText>
      </w:r>
      <w:r w:rsidRPr="00452E2E">
        <w:rPr>
          <w:szCs w:val="24"/>
        </w:rPr>
        <w:fldChar w:fldCharType="separate"/>
      </w:r>
      <w:r w:rsidRPr="00452E2E">
        <w:rPr>
          <w:noProof/>
          <w:szCs w:val="24"/>
        </w:rPr>
        <w:t>(e.g. Guchait &amp; Cho, 2010)</w:t>
      </w:r>
      <w:r w:rsidRPr="00452E2E">
        <w:rPr>
          <w:szCs w:val="24"/>
        </w:rPr>
        <w:fldChar w:fldCharType="end"/>
      </w:r>
      <w:r w:rsidRPr="00452E2E">
        <w:rPr>
          <w:szCs w:val="24"/>
        </w:rPr>
        <w:t xml:space="preserve">, organizational citizenship behaviour </w:t>
      </w:r>
      <w:r w:rsidRPr="00452E2E">
        <w:rPr>
          <w:szCs w:val="24"/>
        </w:rPr>
        <w:fldChar w:fldCharType="begin" w:fldLock="1"/>
      </w:r>
      <w:r w:rsidRPr="00452E2E">
        <w:rPr>
          <w:szCs w:val="24"/>
        </w:rPr>
        <w:instrText>ADDIN CSL_CITATION { "citationItems" : [ { "id" : "ITEM-1", "itemData" : { "DOI" : "10.1080/02642069.2010.545875", "ISBN" : "0264-2069", "ISSN" : "0264-2069", "abstract" : "Although understanding the concept of organizational citizenship behaviors (OCBs) in a service context is important, very few studies have investigated what motivates frontline service employees to exhibit such behaviors. This study examines how high-involvement human resource (HR) practices influence affective commitment, which contributes to citizenship behaviors in service settings from the employees&amp;#039; point of view. Based on previous studies, this study proposed a conceptual model and hypothesized that five constructs of HR practices (i.e. recognition, empowerment, competence development, fair rewards, and information sharing) facilitate the development of frontline employees&amp;#039; affective commitment. This kind of organizational commitment in turn contributes to OCB (i.e. loyalty, participation, and service delivery). Data were collected from 172 contact employees of Taiwanese restaurants. The result indicated that high-involvement HR practices play an important role in determining contact employees&amp;#039; affective commitment. Moreover, affective commitment was found to be an effective linkage between high-involvement HR practices and contact employees&amp;#039; citizenship behaviors.", "author" : [ { "dropping-particle" : "", "family" : "Yang", "given" : "Yi-Chun", "non-dropping-particle" : "", "parse-names" : false, "suffix" : "" } ], "container-title" : "The Service Industries Journal", "id" : "ITEM-1", "issue" : "8", "issued" : { "date-parts" : [ [ "2012" ] ] }, "page" : "1209-1227", "title" : "High-involvement human resource practices, affective commitment, and organizational citizenship behaviors", "type" : "article-journal", "volume" : "32" }, "uris" : [ "http://www.mendeley.com/documents/?uuid=3233ad68-00c0-4a22-bbc0-0ed35d43dfad" ] } ], "mendeley" : { "formattedCitation" : "(Yang 2012)", "manualFormatting" : "(e.g. Yang, 2012)", "plainTextFormattedCitation" : "(Yang 2012)", "previouslyFormattedCitation" : "(Yang 2012)" }, "properties" : { "noteIndex" : 0 }, "schema" : "https://github.com/citation-style-language/schema/raw/master/csl-citation.json" }</w:instrText>
      </w:r>
      <w:r w:rsidRPr="00452E2E">
        <w:rPr>
          <w:szCs w:val="24"/>
        </w:rPr>
        <w:fldChar w:fldCharType="separate"/>
      </w:r>
      <w:r w:rsidRPr="00452E2E">
        <w:rPr>
          <w:noProof/>
          <w:szCs w:val="24"/>
        </w:rPr>
        <w:t>(e.g. Yang, 2012)</w:t>
      </w:r>
      <w:r w:rsidRPr="00452E2E">
        <w:rPr>
          <w:szCs w:val="24"/>
        </w:rPr>
        <w:fldChar w:fldCharType="end"/>
      </w:r>
      <w:r w:rsidRPr="00452E2E">
        <w:rPr>
          <w:szCs w:val="24"/>
        </w:rPr>
        <w:t xml:space="preserve">, work performance </w:t>
      </w:r>
      <w:r w:rsidRPr="00452E2E">
        <w:rPr>
          <w:szCs w:val="24"/>
        </w:rPr>
        <w:fldChar w:fldCharType="begin" w:fldLock="1"/>
      </w:r>
      <w:r w:rsidRPr="00452E2E">
        <w:rPr>
          <w:szCs w:val="24"/>
        </w:rPr>
        <w:instrText>ADDIN CSL_CITATION { "citationItems" : [ { "id" : "ITEM-1", "itemData" : { "DOI" : "10.1111/j.1467-6486.2007.00710.x", "ISBN" : "00222380", "ISSN" : "00222380", "PMID" : "28158066", "abstract" : "Comentarios Unai: no se puede incluir en el estado del arte como black box pues no cumple el requisito de medir el dise\u00f1o objetivo y adem\u00e1s es del marco te\u00f3rico del social exchange. Utilizia un \u00fanico index de las pr\u00e1cticas pero con pocas pr\u00e1cticas. No le sale bien que el EOR media en la relaci\u00f3n entre sistema y rendimiento.", "author" : [ { "dropping-particle" : "", "family" : "Kuvaas", "given" : "Bard", "non-dropping-particle" : "", "parse-names" : false, "suffix" : "" } ], "container-title" : "Journal of Management Studies", "id" : "ITEM-1", "issue" : "1", "issued" : { "date-parts" : [ [ "2008" ] ] }, "page" : "1-25", "title" : "An exploration of how the employee-organization relationship affects the linkage between perception of developmental human resource practices and employee outcomes", "type" : "article-journal", "volume" : "45" }, "uris" : [ "http://www.mendeley.com/documents/?uuid=cdd76824-4b51-4115-a32a-34b11fdff048" ] } ], "mendeley" : { "formattedCitation" : "(Kuvaas 2008)", "manualFormatting" : "(e.g. Kuvaas, 2008)", "plainTextFormattedCitation" : "(Kuvaas 2008)", "previouslyFormattedCitation" : "(Kuvaas 2008)" }, "properties" : { "noteIndex" : 0 }, "schema" : "https://github.com/citation-style-language/schema/raw/master/csl-citation.json" }</w:instrText>
      </w:r>
      <w:r w:rsidRPr="00452E2E">
        <w:rPr>
          <w:szCs w:val="24"/>
        </w:rPr>
        <w:fldChar w:fldCharType="separate"/>
      </w:r>
      <w:r w:rsidRPr="00452E2E">
        <w:rPr>
          <w:noProof/>
          <w:szCs w:val="24"/>
        </w:rPr>
        <w:t>(e.g. Kuvaas, 2008)</w:t>
      </w:r>
      <w:r w:rsidRPr="00452E2E">
        <w:rPr>
          <w:szCs w:val="24"/>
        </w:rPr>
        <w:fldChar w:fldCharType="end"/>
      </w:r>
      <w:r w:rsidRPr="00452E2E">
        <w:rPr>
          <w:szCs w:val="24"/>
        </w:rPr>
        <w:t xml:space="preserve">, and firm performance </w:t>
      </w:r>
      <w:r w:rsidRPr="00452E2E">
        <w:rPr>
          <w:szCs w:val="24"/>
        </w:rPr>
        <w:fldChar w:fldCharType="begin" w:fldLock="1"/>
      </w:r>
      <w:r w:rsidRPr="00452E2E">
        <w:rPr>
          <w:szCs w:val="24"/>
        </w:rPr>
        <w:instrText>ADDIN CSL_CITATION { "citationItems" : [ { "id" : "ITEM-1",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"ITEM-1", "issue" : "5", "issued" : { "date-parts" : [ [ "2013" ] ] }, "page" : "573-594", "title" : "Effects of employees' perceptions on the relationship between HR practices and firm performance for Korean firms", "type" : "article-journal", "volume" : "42" }, "uris" : [ "http://www.mendeley.com/documents/?uuid=ffb61f90-b58e-4457-9560-eaad5c903c53" ] } ], "mendeley" : { "formattedCitation" : "(Choi &amp; Lee 2013)", "manualFormatting" : "(Choi &amp; Lee, 2013)", "plainTextFormattedCitation" : "(Choi &amp; Lee 2013)", "previouslyFormattedCitation" : "(Choi &amp; Lee 2013)" }, "properties" : { "noteIndex" : 0 }, "schema" : "https://github.com/citation-style-language/schema/raw/master/csl-citation.json" }</w:instrText>
      </w:r>
      <w:r w:rsidRPr="00452E2E">
        <w:rPr>
          <w:szCs w:val="24"/>
        </w:rPr>
        <w:fldChar w:fldCharType="separate"/>
      </w:r>
      <w:r w:rsidRPr="00452E2E">
        <w:rPr>
          <w:noProof/>
          <w:szCs w:val="24"/>
        </w:rPr>
        <w:t>(Choi &amp; Lee, 2013)</w:t>
      </w:r>
      <w:r w:rsidRPr="00452E2E">
        <w:rPr>
          <w:szCs w:val="24"/>
        </w:rPr>
        <w:fldChar w:fldCharType="end"/>
      </w:r>
      <w:r w:rsidRPr="00452E2E">
        <w:rPr>
          <w:szCs w:val="24"/>
        </w:rPr>
        <w:t xml:space="preserve">. However, the relationship between HR practices and employee attitudes may as well not be a straightforward one as many studies have shown the mediating effects of variables such as organizational justice </w:t>
      </w:r>
      <w:r w:rsidRPr="00452E2E">
        <w:rPr>
          <w:szCs w:val="24"/>
        </w:rPr>
        <w:fldChar w:fldCharType="begin" w:fldLock="1"/>
      </w:r>
      <w:r w:rsidRPr="00452E2E">
        <w:rPr>
          <w:szCs w:val="24"/>
        </w:rPr>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"id" : "ITEM-2",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"ITEM-2",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"(Farndale et al. 2011; Heffernan &amp; Dundon 2016)", "manualFormatting" : "(e.g. Farndale et al., 2011a; Heffernan &amp; Dundon, 2016)", "plainTextFormattedCitation" : "(Farndale et al. 2011; Heffernan &amp; Dundon 2016)", "previouslyFormattedCitation" : "(Farndale et al. 2011;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(e.g. Farndale </w:t>
      </w:r>
      <w:r w:rsidRPr="00452E2E">
        <w:rPr>
          <w:i/>
          <w:noProof/>
          <w:szCs w:val="24"/>
        </w:rPr>
        <w:t>et al</w:t>
      </w:r>
      <w:r w:rsidRPr="00452E2E">
        <w:rPr>
          <w:noProof/>
          <w:szCs w:val="24"/>
        </w:rPr>
        <w:t>., 2011</w:t>
      </w:r>
      <w:r w:rsidRPr="00452E2E">
        <w:rPr>
          <w:i/>
          <w:noProof/>
          <w:szCs w:val="24"/>
        </w:rPr>
        <w:t>a</w:t>
      </w:r>
      <w:r w:rsidRPr="00452E2E">
        <w:rPr>
          <w:noProof/>
          <w:szCs w:val="24"/>
        </w:rPr>
        <w:t>; Heffernan &amp; Dundon, 2016)</w:t>
      </w:r>
      <w:r w:rsidRPr="00452E2E">
        <w:rPr>
          <w:szCs w:val="24"/>
        </w:rPr>
        <w:fldChar w:fldCharType="end"/>
      </w:r>
      <w:r w:rsidRPr="00452E2E">
        <w:rPr>
          <w:szCs w:val="24"/>
        </w:rPr>
        <w:t xml:space="preserve">; notably procedural justice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"ITEM-2",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"mendeley" : { "formattedCitation" : "(Meyer &amp; Smith 2000; Wu &amp; Chaturvedi 2009)", "manualFormatting" : "(e.g. Meyer &amp; Smith, 2000; Wu &amp; Chaturvedi, 2009)", "plainTextFormattedCitation" : "(Meyer &amp; Smith 2000; Wu &amp; Chaturvedi 2009)", "previouslyFormattedCitation" : "(Meyer &amp; Smith 2000; Wu &amp; Chaturvedi 2009)" }, "properties" : { "noteIndex" : 0 }, "schema" : "https://github.com/citation-style-language/schema/raw/master/csl-citation.json" }</w:instrText>
      </w:r>
      <w:r w:rsidRPr="00452E2E">
        <w:rPr>
          <w:szCs w:val="24"/>
        </w:rPr>
        <w:fldChar w:fldCharType="separate"/>
      </w:r>
      <w:r w:rsidRPr="00452E2E">
        <w:rPr>
          <w:noProof/>
          <w:szCs w:val="24"/>
        </w:rPr>
        <w:t>(e.g. Meyer &amp; Smith, 2000; Wu &amp; Chaturvedi, 2009)</w:t>
      </w:r>
      <w:r w:rsidRPr="00452E2E">
        <w:rPr>
          <w:szCs w:val="24"/>
        </w:rPr>
        <w:fldChar w:fldCharType="end"/>
      </w:r>
      <w:r w:rsidRPr="00452E2E">
        <w:rPr>
          <w:szCs w:val="24"/>
        </w:rPr>
        <w:t xml:space="preserve">, person-organization fit </w:t>
      </w:r>
      <w:r w:rsidRPr="00452E2E">
        <w:rPr>
          <w:szCs w:val="24"/>
        </w:rPr>
        <w:fldChar w:fldCharType="begin" w:fldLock="1"/>
      </w:r>
      <w:r w:rsidRPr="00452E2E">
        <w:rPr>
          <w:szCs w:val="24"/>
        </w:rPr>
        <w:instrText>ADDIN CSL_CITATION { "citationItems" : [ { "id" : "ITEM-1",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"ITEM-1",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"mendeley" : { "formattedCitation" : "(Boon et al. 2011)", "manualFormatting" : "(e.g. Boon et al., 2011)", "plainTextFormattedCitation" : "(Boon et al. 2011)", "previouslyFormattedCitation" : "(Boon et al. 2011)" }, "properties" : { "noteIndex" : 0 }, "schema" : "https://github.com/citation-style-language/schema/raw/master/csl-citation.json" }</w:instrText>
      </w:r>
      <w:r w:rsidRPr="00452E2E">
        <w:rPr>
          <w:szCs w:val="24"/>
        </w:rPr>
        <w:fldChar w:fldCharType="separate"/>
      </w:r>
      <w:r w:rsidRPr="00452E2E">
        <w:rPr>
          <w:noProof/>
          <w:szCs w:val="24"/>
        </w:rPr>
        <w:t xml:space="preserve">(e.g. Boon </w:t>
      </w:r>
      <w:r w:rsidRPr="00452E2E">
        <w:rPr>
          <w:i/>
          <w:noProof/>
          <w:szCs w:val="24"/>
        </w:rPr>
        <w:t>et al</w:t>
      </w:r>
      <w:r w:rsidRPr="00452E2E">
        <w:rPr>
          <w:noProof/>
          <w:szCs w:val="24"/>
        </w:rPr>
        <w:t>., 2011)</w:t>
      </w:r>
      <w:r w:rsidRPr="00452E2E">
        <w:rPr>
          <w:szCs w:val="24"/>
        </w:rPr>
        <w:fldChar w:fldCharType="end"/>
      </w:r>
      <w:r w:rsidRPr="00452E2E">
        <w:rPr>
          <w:szCs w:val="24"/>
        </w:rPr>
        <w:t xml:space="preserve">, job characteristics </w:t>
      </w:r>
      <w:r w:rsidRPr="00452E2E">
        <w:rPr>
          <w:szCs w:val="24"/>
        </w:rPr>
        <w:fldChar w:fldCharType="begin" w:fldLock="1"/>
      </w:r>
      <w:r w:rsidRPr="00452E2E">
        <w:rPr>
          <w:szCs w:val="24"/>
        </w:rPr>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"mendeley" : { "formattedCitation" : "(Wright &amp; Kim 2004)", "manualFormatting" : "(e.g. Wright &amp; Kim, 2004)", "plainTextFormattedCitation" : "(Wright &amp; Kim 2004)", "previouslyFormattedCitation" : "(Wright &amp; Kim 2004)" }, "properties" : { "noteIndex" : 0 }, "schema" : "https://github.com/citation-style-language/schema/raw/master/csl-citation.json" }</w:instrText>
      </w:r>
      <w:r w:rsidRPr="00452E2E">
        <w:rPr>
          <w:szCs w:val="24"/>
        </w:rPr>
        <w:fldChar w:fldCharType="separate"/>
      </w:r>
      <w:r w:rsidRPr="00452E2E">
        <w:rPr>
          <w:noProof/>
          <w:szCs w:val="24"/>
        </w:rPr>
        <w:t>(e.g. Wright &amp; Kim, 2004)</w:t>
      </w:r>
      <w:r w:rsidRPr="00452E2E">
        <w:rPr>
          <w:szCs w:val="24"/>
        </w:rPr>
        <w:fldChar w:fldCharType="end"/>
      </w:r>
      <w:r w:rsidRPr="00452E2E">
        <w:rPr>
          <w:szCs w:val="24"/>
        </w:rPr>
        <w:t>, among others</w:t>
      </w:r>
      <w:r w:rsidR="00321DB9" w:rsidRPr="00452E2E">
        <w:rPr>
          <w:szCs w:val="24"/>
        </w:rPr>
        <w:t xml:space="preserve"> on HR practices-employee attitudes relationship</w:t>
      </w:r>
      <w:r w:rsidRPr="00452E2E">
        <w:rPr>
          <w:szCs w:val="24"/>
        </w:rPr>
        <w:t xml:space="preserve">. Nevertheless, the role of the institutional environment of the organization has been neglected in </w:t>
      </w:r>
      <w:r w:rsidR="009D2B75" w:rsidRPr="00452E2E">
        <w:rPr>
          <w:szCs w:val="24"/>
        </w:rPr>
        <w:t xml:space="preserve">most of the </w:t>
      </w:r>
      <w:r w:rsidRPr="00452E2E">
        <w:rPr>
          <w:szCs w:val="24"/>
        </w:rPr>
        <w:t>studies linking HR practices and employee attitudes</w:t>
      </w:r>
      <w:r w:rsidR="009D2B75" w:rsidRPr="00452E2E">
        <w:rPr>
          <w:szCs w:val="24"/>
        </w:rPr>
        <w:t xml:space="preserve"> (Kim &amp; Wright, 2011)</w:t>
      </w:r>
      <w:r w:rsidRPr="00452E2E">
        <w:rPr>
          <w:szCs w:val="24"/>
        </w:rPr>
        <w:t xml:space="preserve">. The implicit assumption perhaps is that HR practices will produce favourable effects on employee attitudes irrespective of the institutional context in which the organization operates (Kim &amp; Wright, 2011). </w:t>
      </w:r>
      <w:r w:rsidR="00665F95" w:rsidRPr="00452E2E">
        <w:rPr>
          <w:szCs w:val="24"/>
        </w:rPr>
        <w:t xml:space="preserve">Nevertheless, the regulatory system and the system of employee relations in a given context may influence the type of HR practices implemented by organizations (Brewster &amp; Mayrhofer, 2012). In turn, this may affect employees’ perceptions of HR practices and their effect on employee attitudes (Kim &amp; Wright, 2011). Thus, it is important for researchers to take into account the role of the institutional environment in studies examining the effect of HR practices on work outcomes. </w:t>
      </w:r>
      <w:r w:rsidRPr="00452E2E">
        <w:rPr>
          <w:szCs w:val="24"/>
        </w:rPr>
        <w:t xml:space="preserve">The present study therefore seeks to fill this research gap by examining this relationship </w:t>
      </w:r>
      <w:r w:rsidR="00745228" w:rsidRPr="00452E2E">
        <w:rPr>
          <w:szCs w:val="24"/>
        </w:rPr>
        <w:t xml:space="preserve">in an African context </w:t>
      </w:r>
      <w:r w:rsidRPr="00452E2E">
        <w:rPr>
          <w:szCs w:val="24"/>
        </w:rPr>
        <w:t xml:space="preserve">from an institutional perspective. </w:t>
      </w:r>
    </w:p>
    <w:p w:rsidR="00D03A8E" w:rsidRPr="00452E2E" w:rsidRDefault="00F44DD6" w:rsidP="00D03A8E">
      <w:pPr>
        <w:spacing w:line="360" w:lineRule="auto"/>
        <w:jc w:val="both"/>
        <w:rPr>
          <w:szCs w:val="24"/>
        </w:rPr>
      </w:pPr>
      <w:r w:rsidRPr="00452E2E">
        <w:rPr>
          <w:szCs w:val="24"/>
        </w:rPr>
        <w:t>In the present</w:t>
      </w:r>
      <w:r w:rsidR="00D03A8E" w:rsidRPr="00452E2E">
        <w:rPr>
          <w:szCs w:val="24"/>
        </w:rPr>
        <w:t xml:space="preserve"> research, procedural justice and HR attributions are examined as mediating variables in the relationship between HR practices and employee attitudes. These variables were considered in this study because researchers have suggested that procedural justice </w:t>
      </w:r>
      <w:r w:rsidR="00D03A8E" w:rsidRPr="00452E2E">
        <w:rPr>
          <w:szCs w:val="24"/>
        </w:rPr>
        <w:fldChar w:fldCharType="begin" w:fldLock="1"/>
      </w:r>
      <w:r w:rsidR="00D03A8E" w:rsidRPr="00452E2E">
        <w:rPr>
          <w:szCs w:val="24"/>
        </w:rPr>
        <w:instrText>ADDIN CSL_CITATION { "citationItems" : [ { "id" : "ITEM-1",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"ITEM-1", "issued" : { "date-parts" : [ [ "2007" ] ] }, "page" : "166-184", "publisher" : "Oxford University Press", "publisher-place" : "New York", "title" : "HRM and societal embeddedness", "type" : "chapter" }, "uris" : [ "http://www.mendeley.com/documents/?uuid=bc50bffa-b076-4ece-b963-52ac09293458" ] } ], "mendeley" : { "formattedCitation" : "(Paauwe &amp; Boselie 2007)", "manualFormatting" : "(Paauwe &amp; Boselie, 2007)", "plainTextFormattedCitation" : "(Paauwe &amp; Boselie 2007)", "previouslyFormattedCitation" : "(Paauwe &amp; Boselie 2007)" }, "properties" : { "noteIndex" : 0 }, "schema" : "https://github.com/citation-style-language/schema/raw/master/csl-citation.json" }</w:instrText>
      </w:r>
      <w:r w:rsidR="00D03A8E" w:rsidRPr="00452E2E">
        <w:rPr>
          <w:szCs w:val="24"/>
        </w:rPr>
        <w:fldChar w:fldCharType="separate"/>
      </w:r>
      <w:r w:rsidR="00D03A8E" w:rsidRPr="00452E2E">
        <w:rPr>
          <w:noProof/>
          <w:szCs w:val="24"/>
        </w:rPr>
        <w:t>(Paauwe &amp; Boselie, 2007)</w:t>
      </w:r>
      <w:r w:rsidR="00D03A8E" w:rsidRPr="00452E2E">
        <w:rPr>
          <w:szCs w:val="24"/>
        </w:rPr>
        <w:fldChar w:fldCharType="end"/>
      </w:r>
      <w:r w:rsidR="00D03A8E" w:rsidRPr="00452E2E">
        <w:rPr>
          <w:szCs w:val="24"/>
        </w:rPr>
        <w:t xml:space="preserve"> and HR attributions </w:t>
      </w:r>
      <w:r w:rsidR="00D03A8E" w:rsidRPr="00452E2E">
        <w:rPr>
          <w:szCs w:val="24"/>
        </w:rPr>
        <w:fldChar w:fldCharType="begin" w:fldLock="1"/>
      </w:r>
      <w:r w:rsidR="00D03A8E" w:rsidRPr="00452E2E">
        <w:rPr>
          <w:szCs w:val="24"/>
        </w:rPr>
        <w:instrText>ADDIN CSL_CITATION { "citationItems" : [ { "id" : "ITEM-1",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"ITEM-1",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"(Kim &amp; Wright 2011)", "manualFormatting" : "(Kim &amp; Wright, 2011)", "plainTextFormattedCitation" : "(Kim &amp; Wright 2011)", "previouslyFormattedCitation" : "(Kim &amp; Wright 2011)" }, "properties" : { "noteIndex" : 0 }, "schema" : "https://github.com/citation-style-language/schema/raw/master/csl-citation.json" }</w:instrText>
      </w:r>
      <w:r w:rsidR="00D03A8E" w:rsidRPr="00452E2E">
        <w:rPr>
          <w:szCs w:val="24"/>
        </w:rPr>
        <w:fldChar w:fldCharType="separate"/>
      </w:r>
      <w:r w:rsidR="00D03A8E" w:rsidRPr="00452E2E">
        <w:rPr>
          <w:noProof/>
          <w:szCs w:val="24"/>
        </w:rPr>
        <w:t>(Kim &amp; Wright, 2011)</w:t>
      </w:r>
      <w:r w:rsidR="00D03A8E" w:rsidRPr="00452E2E">
        <w:rPr>
          <w:szCs w:val="24"/>
        </w:rPr>
        <w:fldChar w:fldCharType="end"/>
      </w:r>
      <w:r w:rsidR="00D03A8E" w:rsidRPr="00452E2E">
        <w:rPr>
          <w:szCs w:val="24"/>
        </w:rPr>
        <w:t xml:space="preserve"> may account for variations in the effect of HR </w:t>
      </w:r>
      <w:r w:rsidR="00D03A8E" w:rsidRPr="00452E2E">
        <w:rPr>
          <w:szCs w:val="24"/>
        </w:rPr>
        <w:lastRenderedPageBreak/>
        <w:t xml:space="preserve">practices on employee outcomes in different institutional contexts. Whilst procedural justice entails employees’ perception of fairness in the implementation of HR practices </w:t>
      </w:r>
      <w:r w:rsidR="00D03A8E" w:rsidRPr="00452E2E">
        <w:rPr>
          <w:szCs w:val="24"/>
        </w:rPr>
        <w:fldChar w:fldCharType="begin" w:fldLock="1"/>
      </w:r>
      <w:r w:rsidR="00D03A8E" w:rsidRPr="00452E2E">
        <w:rPr>
          <w:szCs w:val="24"/>
        </w:rPr>
        <w:instrText>ADDIN CSL_CITATION { "citationItems" : [ { "id" : "ITEM-1", "itemData" : { "author" : [ { "dropping-particle" : "", "family" : "Par\u00e9", "given" : "Guy", "non-dropping-particle" : "", "parse-names" : false, "suffix" : "" }, { "dropping-particle" : "", "family" : "Tremblay", "given" : "Michel", "non-dropping-particle" : "", "parse-names" : false, "suffix" : "" } ], "container-title" : "Group &amp; Organization Management", "id" : "ITEM-1", "issue" : "3", "issued" : { "date-parts" : [ [ "2007" ] ] }, "page" : "326-357", "title" : "The influence of high-involvement human resource practices, procedural justice, organizational commitment, and citizenship behaviors on information technology professionals \u2019 turnover intentions", "type" : "article-journal", "volume" : "32" }, "uris" : [ "http://www.mendeley.com/documents/?uuid=dd7a2e92-5026-450c-83bb-2292744a7d0b" ] } ], "mendeley" : { "formattedCitation" : "(Par\u00e9 &amp; Tremblay 2007)", "manualFormatting" : "(Par\u00e9 &amp; Tremblay, 2007)", "plainTextFormattedCitation" : "(Par\u00e9 &amp; Tremblay 2007)", "previouslyFormattedCitation" : "(Par\u00e9 &amp; Tremblay 2007)" }, "properties" : { "noteIndex" : 0 }, "schema" : "https://github.com/citation-style-language/schema/raw/master/csl-citation.json" }</w:instrText>
      </w:r>
      <w:r w:rsidR="00D03A8E" w:rsidRPr="00452E2E">
        <w:rPr>
          <w:szCs w:val="24"/>
        </w:rPr>
        <w:fldChar w:fldCharType="separate"/>
      </w:r>
      <w:r w:rsidR="00D03A8E" w:rsidRPr="00452E2E">
        <w:rPr>
          <w:noProof/>
          <w:szCs w:val="24"/>
        </w:rPr>
        <w:t>(Paré &amp; Tremblay, 2007)</w:t>
      </w:r>
      <w:r w:rsidR="00D03A8E" w:rsidRPr="00452E2E">
        <w:rPr>
          <w:szCs w:val="24"/>
        </w:rPr>
        <w:fldChar w:fldCharType="end"/>
      </w:r>
      <w:r w:rsidR="00D03A8E" w:rsidRPr="00452E2E">
        <w:rPr>
          <w:szCs w:val="24"/>
        </w:rPr>
        <w:t xml:space="preserve">, HR attributions refer to employees’ perception of the motivations for why organizations adopt HR practices </w:t>
      </w:r>
      <w:r w:rsidR="00D03A8E" w:rsidRPr="00452E2E">
        <w:rPr>
          <w:szCs w:val="24"/>
        </w:rPr>
        <w:fldChar w:fldCharType="begin" w:fldLock="1"/>
      </w:r>
      <w:r w:rsidR="00D03A8E" w:rsidRPr="00452E2E">
        <w:rPr>
          <w:szCs w:val="24"/>
        </w:rPr>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00D03A8E" w:rsidRPr="00452E2E">
        <w:rPr>
          <w:szCs w:val="24"/>
        </w:rPr>
        <w:fldChar w:fldCharType="separate"/>
      </w:r>
      <w:r w:rsidR="00D03A8E" w:rsidRPr="00452E2E">
        <w:rPr>
          <w:noProof/>
          <w:szCs w:val="24"/>
        </w:rPr>
        <w:t xml:space="preserve">(Nishii </w:t>
      </w:r>
      <w:r w:rsidR="00D03A8E" w:rsidRPr="00452E2E">
        <w:rPr>
          <w:i/>
          <w:noProof/>
          <w:szCs w:val="24"/>
        </w:rPr>
        <w:t>et al</w:t>
      </w:r>
      <w:r w:rsidR="00D03A8E" w:rsidRPr="00452E2E">
        <w:rPr>
          <w:noProof/>
          <w:szCs w:val="24"/>
        </w:rPr>
        <w:t>., 2008)</w:t>
      </w:r>
      <w:r w:rsidR="00D03A8E" w:rsidRPr="00452E2E">
        <w:rPr>
          <w:szCs w:val="24"/>
        </w:rPr>
        <w:fldChar w:fldCharType="end"/>
      </w:r>
      <w:r w:rsidR="00D03A8E" w:rsidRPr="00452E2E">
        <w:rPr>
          <w:szCs w:val="24"/>
        </w:rPr>
        <w:t xml:space="preserve">. These concepts shall be discussed in detail under the chapter on theorizing and hypotheses for study 2 (chapter 6). Meanwhile, the nature of public and private sector organizations is discussed in the next section. </w:t>
      </w:r>
    </w:p>
    <w:p w:rsidR="00D03A8E" w:rsidRPr="00452E2E" w:rsidRDefault="004D1B33" w:rsidP="00170224">
      <w:pPr>
        <w:pStyle w:val="Heading3"/>
      </w:pPr>
      <w:bookmarkStart w:id="73" w:name="_Toc465271178"/>
      <w:bookmarkStart w:id="74" w:name="_Toc473808134"/>
      <w:r w:rsidRPr="00452E2E">
        <w:t>3.5</w:t>
      </w:r>
      <w:r w:rsidR="00D03A8E" w:rsidRPr="00452E2E">
        <w:t xml:space="preserve"> Summary</w:t>
      </w:r>
      <w:bookmarkEnd w:id="73"/>
      <w:bookmarkEnd w:id="74"/>
    </w:p>
    <w:p w:rsidR="00D03A8E" w:rsidRPr="00452E2E" w:rsidRDefault="00D03A8E" w:rsidP="006F500C">
      <w:pPr>
        <w:spacing w:line="360" w:lineRule="auto"/>
        <w:jc w:val="both"/>
        <w:rPr>
          <w:rFonts w:asciiTheme="majorHAnsi" w:eastAsiaTheme="majorEastAsia" w:hAnsiTheme="majorHAnsi" w:cstheme="majorBidi"/>
          <w:sz w:val="32"/>
          <w:szCs w:val="32"/>
        </w:rPr>
      </w:pPr>
      <w:r w:rsidRPr="00452E2E">
        <w:rPr>
          <w:szCs w:val="24"/>
        </w:rPr>
        <w:t>The review of existing literature on the effect</w:t>
      </w:r>
      <w:r w:rsidR="00B52515" w:rsidRPr="00452E2E">
        <w:rPr>
          <w:szCs w:val="24"/>
        </w:rPr>
        <w:t>s</w:t>
      </w:r>
      <w:r w:rsidRPr="00452E2E">
        <w:rPr>
          <w:szCs w:val="24"/>
        </w:rPr>
        <w:t xml:space="preserve"> of HR practices on employee attitudes was the focus of thi</w:t>
      </w:r>
      <w:r w:rsidR="000D4848" w:rsidRPr="00452E2E">
        <w:rPr>
          <w:szCs w:val="24"/>
        </w:rPr>
        <w:t xml:space="preserve">s chapter. </w:t>
      </w:r>
      <w:r w:rsidRPr="00452E2E">
        <w:rPr>
          <w:szCs w:val="24"/>
        </w:rPr>
        <w:t>The review of existing literature indicates that existing studies on H</w:t>
      </w:r>
      <w:r w:rsidR="00C16038" w:rsidRPr="00452E2E">
        <w:rPr>
          <w:szCs w:val="24"/>
        </w:rPr>
        <w:t>R practices</w:t>
      </w:r>
      <w:r w:rsidR="00590DB2" w:rsidRPr="00452E2E">
        <w:rPr>
          <w:szCs w:val="24"/>
        </w:rPr>
        <w:t>-</w:t>
      </w:r>
      <w:r w:rsidRPr="00452E2E">
        <w:rPr>
          <w:szCs w:val="24"/>
        </w:rPr>
        <w:t xml:space="preserve">employee attitudes </w:t>
      </w:r>
      <w:r w:rsidR="00590DB2" w:rsidRPr="00452E2E">
        <w:rPr>
          <w:szCs w:val="24"/>
        </w:rPr>
        <w:t xml:space="preserve">relationship </w:t>
      </w:r>
      <w:r w:rsidRPr="00452E2E">
        <w:rPr>
          <w:szCs w:val="24"/>
        </w:rPr>
        <w:t xml:space="preserve">have focused largely on private sector organizations, with only a few studies focusing on public sector organizations. The present research therefore seeks to bridge this gap by examining this relationship in both public and private sector organizations. In addition, the chapter highlighted the neglect of the role of the institutional environment of organizations in most previous studies – a gap that the current research seeks to fill. The methodology used in conducting this research </w:t>
      </w:r>
      <w:r w:rsidR="00DE45C4" w:rsidRPr="00452E2E">
        <w:rPr>
          <w:szCs w:val="24"/>
        </w:rPr>
        <w:t>will</w:t>
      </w:r>
      <w:r w:rsidRPr="00452E2E">
        <w:rPr>
          <w:szCs w:val="24"/>
        </w:rPr>
        <w:t xml:space="preserve"> be the focus of the next chapter. </w:t>
      </w:r>
      <w:r w:rsidRPr="00452E2E">
        <w:rPr>
          <w:rFonts w:asciiTheme="majorHAnsi" w:eastAsiaTheme="majorEastAsia" w:hAnsiTheme="majorHAnsi" w:cstheme="majorBidi"/>
          <w:sz w:val="32"/>
          <w:szCs w:val="32"/>
        </w:rPr>
        <w:br w:type="page"/>
      </w:r>
    </w:p>
    <w:p w:rsidR="00D03A8E" w:rsidRPr="00452E2E" w:rsidRDefault="00D03A8E" w:rsidP="00D03A8E">
      <w:pPr>
        <w:pStyle w:val="Heading1"/>
        <w:numPr>
          <w:ilvl w:val="0"/>
          <w:numId w:val="0"/>
        </w:numPr>
      </w:pPr>
      <w:bookmarkStart w:id="75" w:name="_Toc473808135"/>
      <w:r w:rsidRPr="00452E2E">
        <w:lastRenderedPageBreak/>
        <w:t>CHAPTER FOUR</w:t>
      </w:r>
      <w:bookmarkEnd w:id="75"/>
    </w:p>
    <w:p w:rsidR="00D03A8E" w:rsidRPr="00452E2E" w:rsidRDefault="00D03A8E" w:rsidP="00D03A8E">
      <w:pPr>
        <w:pStyle w:val="Heading2"/>
      </w:pPr>
      <w:bookmarkStart w:id="76" w:name="_Toc465271180"/>
      <w:bookmarkStart w:id="77" w:name="_Toc473808136"/>
      <w:r w:rsidRPr="00452E2E">
        <w:t>RESEARCH METHODOLOGY</w:t>
      </w:r>
      <w:bookmarkEnd w:id="76"/>
      <w:bookmarkEnd w:id="77"/>
    </w:p>
    <w:p w:rsidR="00D03A8E" w:rsidRPr="00452E2E" w:rsidRDefault="00D03A8E" w:rsidP="00D03A8E"/>
    <w:p w:rsidR="00D03A8E" w:rsidRPr="00452E2E" w:rsidRDefault="00D03A8E" w:rsidP="00170224">
      <w:pPr>
        <w:pStyle w:val="Heading3"/>
      </w:pPr>
      <w:bookmarkStart w:id="78" w:name="_Toc465271181"/>
      <w:bookmarkStart w:id="79" w:name="_Toc473808137"/>
      <w:r w:rsidRPr="00452E2E">
        <w:t>4.1 Introduction</w:t>
      </w:r>
      <w:bookmarkEnd w:id="78"/>
      <w:bookmarkEnd w:id="79"/>
    </w:p>
    <w:p w:rsidR="00D03A8E" w:rsidRPr="00452E2E" w:rsidRDefault="00D03A8E" w:rsidP="00D03A8E">
      <w:pPr>
        <w:spacing w:line="360" w:lineRule="auto"/>
        <w:jc w:val="both"/>
      </w:pPr>
      <w:r w:rsidRPr="00452E2E">
        <w:t>This chapter provides details of how the research was conducted in order to achieve the objectives of the research. It deals with the methodology that was utilized for collecting and analysing data. The research is comprised of two studies, therefore, details of how each study was conducted and the integration of both studies are outlined in the chapter. Thus, after discussing the overarching research philosophy and research design, the rest of the chapter deals with how each of the 2 studies were conducted. Thereafter, the ethical considerations for the research is discussed. The structure of the methodology is presented in figure 4.1 below.</w:t>
      </w:r>
    </w:p>
    <w:p w:rsidR="00D03A8E" w:rsidRPr="00452E2E" w:rsidRDefault="00D03A8E" w:rsidP="00D03A8E">
      <w:pPr>
        <w:keepNext/>
        <w:spacing w:line="360" w:lineRule="auto"/>
        <w:jc w:val="both"/>
      </w:pPr>
      <w:r w:rsidRPr="00452E2E">
        <w:t xml:space="preserve"> </w:t>
      </w:r>
      <w:r w:rsidRPr="00452E2E">
        <w:rPr>
          <w:noProof/>
          <w:lang w:eastAsia="en-GB"/>
        </w:rPr>
        <mc:AlternateContent>
          <mc:Choice Requires="wpg">
            <w:drawing>
              <wp:inline distT="0" distB="0" distL="0" distR="0" wp14:anchorId="14D0890D" wp14:editId="1F268760">
                <wp:extent cx="5970456" cy="4381500"/>
                <wp:effectExtent l="0" t="0" r="11430" b="1905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456" cy="4381500"/>
                          <a:chOff x="265" y="0"/>
                          <a:chExt cx="55459" cy="74862"/>
                        </a:xfrm>
                      </wpg:grpSpPr>
                      <wps:wsp>
                        <wps:cNvPr id="16" name="Left Brace 88"/>
                        <wps:cNvSpPr>
                          <a:spLocks/>
                        </wps:cNvSpPr>
                        <wps:spPr bwMode="auto">
                          <a:xfrm rot="5400000">
                            <a:off x="34643" y="30827"/>
                            <a:ext cx="14072" cy="20025"/>
                          </a:xfrm>
                          <a:prstGeom prst="leftBrace">
                            <a:avLst>
                              <a:gd name="adj1" fmla="val 833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Left Brace 81"/>
                        <wps:cNvSpPr>
                          <a:spLocks/>
                        </wps:cNvSpPr>
                        <wps:spPr bwMode="auto">
                          <a:xfrm rot="5400000">
                            <a:off x="16835" y="7542"/>
                            <a:ext cx="21431" cy="28284"/>
                          </a:xfrm>
                          <a:prstGeom prst="leftBrace">
                            <a:avLst>
                              <a:gd name="adj1" fmla="val 8334"/>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 name="Left Brace 87"/>
                        <wps:cNvSpPr>
                          <a:spLocks/>
                        </wps:cNvSpPr>
                        <wps:spPr bwMode="auto">
                          <a:xfrm rot="5400000">
                            <a:off x="6421" y="31737"/>
                            <a:ext cx="14075" cy="19726"/>
                          </a:xfrm>
                          <a:prstGeom prst="leftBrace">
                            <a:avLst>
                              <a:gd name="adj1" fmla="val 8331"/>
                              <a:gd name="adj2" fmla="val 50000"/>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Rectangle 1"/>
                        <wps:cNvSpPr>
                          <a:spLocks noChangeArrowheads="1"/>
                        </wps:cNvSpPr>
                        <wps:spPr bwMode="auto">
                          <a:xfrm>
                            <a:off x="4381" y="0"/>
                            <a:ext cx="47435" cy="5370"/>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b/>
                                  <w:lang w:val="en-US"/>
                                </w:rPr>
                              </w:pPr>
                              <w:r>
                                <w:rPr>
                                  <w:b/>
                                  <w:lang w:val="en-US"/>
                                </w:rPr>
                                <w:t>Research Philosophy</w:t>
                              </w:r>
                            </w:p>
                          </w:txbxContent>
                        </wps:txbx>
                        <wps:bodyPr rot="0" vert="horz" wrap="square" lIns="91440" tIns="45720" rIns="91440" bIns="45720" anchor="ctr" anchorCtr="0" upright="1">
                          <a:noAutofit/>
                        </wps:bodyPr>
                      </wps:wsp>
                      <wps:wsp>
                        <wps:cNvPr id="20" name="Rectangle 9"/>
                        <wps:cNvSpPr>
                          <a:spLocks noChangeArrowheads="1"/>
                        </wps:cNvSpPr>
                        <wps:spPr bwMode="auto">
                          <a:xfrm>
                            <a:off x="5904" y="5370"/>
                            <a:ext cx="14859" cy="9114"/>
                          </a:xfrm>
                          <a:prstGeom prst="rect">
                            <a:avLst/>
                          </a:prstGeom>
                          <a:solidFill>
                            <a:srgbClr val="FFFFFF"/>
                          </a:solidFill>
                          <a:ln w="25400">
                            <a:solidFill>
                              <a:srgbClr val="000000"/>
                            </a:solidFill>
                            <a:miter lim="800000"/>
                            <a:headEnd/>
                            <a:tailEnd/>
                          </a:ln>
                        </wps:spPr>
                        <wps:txbx>
                          <w:txbxContent>
                            <w:p w:rsidR="00FD1596" w:rsidRDefault="00FD1596" w:rsidP="00D03A8E">
                              <w:pPr>
                                <w:spacing w:after="0"/>
                                <w:jc w:val="center"/>
                                <w:rPr>
                                  <w:b/>
                                  <w:lang w:val="en-US"/>
                                </w:rPr>
                              </w:pPr>
                              <w:r>
                                <w:rPr>
                                  <w:b/>
                                  <w:lang w:val="en-US"/>
                                </w:rPr>
                                <w:t>Ontology</w:t>
                              </w:r>
                            </w:p>
                            <w:p w:rsidR="00FD1596" w:rsidRDefault="00FD1596" w:rsidP="00D03A8E">
                              <w:pPr>
                                <w:jc w:val="center"/>
                                <w:rPr>
                                  <w:lang w:val="en-US"/>
                                </w:rPr>
                              </w:pPr>
                              <w:r>
                                <w:rPr>
                                  <w:lang w:val="en-US"/>
                                </w:rPr>
                                <w:t>REALISM</w:t>
                              </w:r>
                            </w:p>
                          </w:txbxContent>
                        </wps:txbx>
                        <wps:bodyPr rot="0" vert="horz" wrap="square" lIns="91440" tIns="45720" rIns="91440" bIns="45720" anchor="ctr" anchorCtr="0" upright="1">
                          <a:noAutofit/>
                        </wps:bodyPr>
                      </wps:wsp>
                      <wps:wsp>
                        <wps:cNvPr id="21" name="Rectangle 52"/>
                        <wps:cNvSpPr>
                          <a:spLocks noChangeArrowheads="1"/>
                        </wps:cNvSpPr>
                        <wps:spPr bwMode="auto">
                          <a:xfrm>
                            <a:off x="20762" y="5370"/>
                            <a:ext cx="14859" cy="8951"/>
                          </a:xfrm>
                          <a:prstGeom prst="rect">
                            <a:avLst/>
                          </a:prstGeom>
                          <a:solidFill>
                            <a:srgbClr val="FFFFFF"/>
                          </a:solidFill>
                          <a:ln w="25400">
                            <a:solidFill>
                              <a:srgbClr val="000000"/>
                            </a:solidFill>
                            <a:miter lim="800000"/>
                            <a:headEnd/>
                            <a:tailEnd/>
                          </a:ln>
                        </wps:spPr>
                        <wps:txbx>
                          <w:txbxContent>
                            <w:p w:rsidR="00FD1596" w:rsidRDefault="00FD1596" w:rsidP="00D03A8E">
                              <w:pPr>
                                <w:spacing w:after="0"/>
                                <w:jc w:val="center"/>
                                <w:rPr>
                                  <w:b/>
                                  <w:lang w:val="en-US"/>
                                </w:rPr>
                              </w:pPr>
                              <w:r>
                                <w:rPr>
                                  <w:b/>
                                  <w:lang w:val="en-US"/>
                                </w:rPr>
                                <w:t>Epistemology</w:t>
                              </w:r>
                            </w:p>
                            <w:p w:rsidR="00FD1596" w:rsidRDefault="00FD1596" w:rsidP="00D03A8E">
                              <w:pPr>
                                <w:jc w:val="center"/>
                                <w:rPr>
                                  <w:lang w:val="en-US"/>
                                </w:rPr>
                              </w:pPr>
                              <w:r>
                                <w:rPr>
                                  <w:lang w:val="en-US"/>
                                </w:rPr>
                                <w:t>NEO-POSITIVISM</w:t>
                              </w:r>
                            </w:p>
                            <w:p w:rsidR="00FD1596" w:rsidRDefault="00FD1596" w:rsidP="00D03A8E">
                              <w:pPr>
                                <w:jc w:val="center"/>
                              </w:pPr>
                            </w:p>
                          </w:txbxContent>
                        </wps:txbx>
                        <wps:bodyPr rot="0" vert="horz" wrap="square" lIns="91440" tIns="45720" rIns="91440" bIns="45720" anchor="ctr" anchorCtr="0" upright="1">
                          <a:noAutofit/>
                        </wps:bodyPr>
                      </wps:wsp>
                      <wps:wsp>
                        <wps:cNvPr id="22" name="Rectangle 80"/>
                        <wps:cNvSpPr>
                          <a:spLocks noChangeArrowheads="1"/>
                        </wps:cNvSpPr>
                        <wps:spPr bwMode="auto">
                          <a:xfrm>
                            <a:off x="35620" y="5533"/>
                            <a:ext cx="14859" cy="8788"/>
                          </a:xfrm>
                          <a:prstGeom prst="rect">
                            <a:avLst/>
                          </a:prstGeom>
                          <a:solidFill>
                            <a:srgbClr val="FFFFFF"/>
                          </a:solidFill>
                          <a:ln w="25400">
                            <a:solidFill>
                              <a:srgbClr val="000000"/>
                            </a:solidFill>
                            <a:miter lim="800000"/>
                            <a:headEnd/>
                            <a:tailEnd/>
                          </a:ln>
                        </wps:spPr>
                        <wps:txbx>
                          <w:txbxContent>
                            <w:p w:rsidR="00FD1596" w:rsidRDefault="00FD1596" w:rsidP="00D03A8E">
                              <w:pPr>
                                <w:spacing w:after="0"/>
                                <w:jc w:val="center"/>
                                <w:rPr>
                                  <w:b/>
                                  <w:lang w:val="en-US"/>
                                </w:rPr>
                              </w:pPr>
                              <w:r>
                                <w:rPr>
                                  <w:b/>
                                  <w:lang w:val="en-US"/>
                                </w:rPr>
                                <w:t>Methodology</w:t>
                              </w:r>
                            </w:p>
                            <w:p w:rsidR="00FD1596" w:rsidRDefault="00FD1596" w:rsidP="00D03A8E">
                              <w:pPr>
                                <w:jc w:val="center"/>
                                <w:rPr>
                                  <w:lang w:val="en-US"/>
                                </w:rPr>
                              </w:pPr>
                              <w:r>
                                <w:rPr>
                                  <w:lang w:val="en-US"/>
                                </w:rPr>
                                <w:t>MIXED METHODS</w:t>
                              </w:r>
                            </w:p>
                            <w:p w:rsidR="00FD1596" w:rsidRDefault="00FD1596" w:rsidP="00D03A8E">
                              <w:pPr>
                                <w:jc w:val="center"/>
                              </w:pPr>
                            </w:p>
                          </w:txbxContent>
                        </wps:txbx>
                        <wps:bodyPr rot="0" vert="horz" wrap="square" lIns="91440" tIns="45720" rIns="91440" bIns="45720" anchor="ctr" anchorCtr="0" upright="1">
                          <a:noAutofit/>
                        </wps:bodyPr>
                      </wps:wsp>
                      <wps:wsp>
                        <wps:cNvPr id="32" name="Rectangle 82"/>
                        <wps:cNvSpPr>
                          <a:spLocks noChangeArrowheads="1"/>
                        </wps:cNvSpPr>
                        <wps:spPr bwMode="auto">
                          <a:xfrm>
                            <a:off x="20764" y="16437"/>
                            <a:ext cx="14859" cy="7974"/>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b/>
                                  <w:lang w:val="en-US"/>
                                </w:rPr>
                              </w:pPr>
                              <w:r>
                                <w:rPr>
                                  <w:b/>
                                  <w:lang w:val="en-US"/>
                                </w:rPr>
                                <w:t>Research Design</w:t>
                              </w:r>
                            </w:p>
                          </w:txbxContent>
                        </wps:txbx>
                        <wps:bodyPr rot="0" vert="horz" wrap="square" lIns="91440" tIns="45720" rIns="91440" bIns="45720" anchor="ctr" anchorCtr="0" upright="1">
                          <a:noAutofit/>
                        </wps:bodyPr>
                      </wps:wsp>
                      <wps:wsp>
                        <wps:cNvPr id="33" name="Rectangle 83"/>
                        <wps:cNvSpPr>
                          <a:spLocks noChangeArrowheads="1"/>
                        </wps:cNvSpPr>
                        <wps:spPr bwMode="auto">
                          <a:xfrm>
                            <a:off x="8096" y="30586"/>
                            <a:ext cx="11811" cy="6287"/>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b/>
                                  <w:lang w:val="en-US"/>
                                </w:rPr>
                              </w:pPr>
                              <w:r>
                                <w:rPr>
                                  <w:b/>
                                  <w:lang w:val="en-US"/>
                                </w:rPr>
                                <w:t>Study 1</w:t>
                              </w:r>
                            </w:p>
                          </w:txbxContent>
                        </wps:txbx>
                        <wps:bodyPr rot="0" vert="horz" wrap="square" lIns="91440" tIns="45720" rIns="91440" bIns="45720" anchor="ctr" anchorCtr="0" upright="1">
                          <a:noAutofit/>
                        </wps:bodyPr>
                      </wps:wsp>
                      <wps:wsp>
                        <wps:cNvPr id="34" name="Rectangle 86"/>
                        <wps:cNvSpPr>
                          <a:spLocks noChangeArrowheads="1"/>
                        </wps:cNvSpPr>
                        <wps:spPr bwMode="auto">
                          <a:xfrm>
                            <a:off x="35092" y="30098"/>
                            <a:ext cx="11811" cy="6286"/>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b/>
                                  <w:lang w:val="en-US"/>
                                </w:rPr>
                              </w:pPr>
                              <w:r>
                                <w:rPr>
                                  <w:b/>
                                  <w:lang w:val="en-US"/>
                                </w:rPr>
                                <w:t>Study 2</w:t>
                              </w:r>
                            </w:p>
                          </w:txbxContent>
                        </wps:txbx>
                        <wps:bodyPr rot="0" vert="horz" wrap="square" lIns="91440" tIns="45720" rIns="91440" bIns="45720" anchor="ctr" anchorCtr="0" upright="1">
                          <a:noAutofit/>
                        </wps:bodyPr>
                      </wps:wsp>
                      <wps:wsp>
                        <wps:cNvPr id="35" name="Rectangle 89"/>
                        <wps:cNvSpPr>
                          <a:spLocks noChangeArrowheads="1"/>
                        </wps:cNvSpPr>
                        <wps:spPr bwMode="auto">
                          <a:xfrm>
                            <a:off x="265" y="46639"/>
                            <a:ext cx="8096" cy="16859"/>
                          </a:xfrm>
                          <a:prstGeom prst="rect">
                            <a:avLst/>
                          </a:prstGeom>
                          <a:solidFill>
                            <a:srgbClr val="FFFFFF"/>
                          </a:solidFill>
                          <a:ln w="25400">
                            <a:solidFill>
                              <a:srgbClr val="000000"/>
                            </a:solidFill>
                            <a:miter lim="800000"/>
                            <a:headEnd/>
                            <a:tailEnd/>
                          </a:ln>
                        </wps:spPr>
                        <wps:txbx>
                          <w:txbxContent>
                            <w:p w:rsidR="00FD1596" w:rsidRDefault="00FD1596" w:rsidP="00D03A8E">
                              <w:pPr>
                                <w:spacing w:after="0"/>
                                <w:jc w:val="center"/>
                                <w:rPr>
                                  <w:b/>
                                  <w:sz w:val="16"/>
                                  <w:szCs w:val="16"/>
                                  <w:lang w:val="en-US"/>
                                </w:rPr>
                              </w:pPr>
                              <w:r>
                                <w:rPr>
                                  <w:b/>
                                  <w:sz w:val="16"/>
                                  <w:szCs w:val="16"/>
                                  <w:lang w:val="en-US"/>
                                </w:rPr>
                                <w:t>Sampling</w:t>
                              </w:r>
                            </w:p>
                            <w:p w:rsidR="00FD1596" w:rsidRDefault="00FD1596" w:rsidP="00D03A8E">
                              <w:pPr>
                                <w:jc w:val="center"/>
                                <w:rPr>
                                  <w:sz w:val="16"/>
                                  <w:szCs w:val="16"/>
                                </w:rPr>
                              </w:pPr>
                              <w:r>
                                <w:rPr>
                                  <w:b/>
                                  <w:sz w:val="16"/>
                                  <w:szCs w:val="16"/>
                                </w:rPr>
                                <w:t xml:space="preserve">* </w:t>
                              </w:r>
                              <w:r>
                                <w:rPr>
                                  <w:sz w:val="16"/>
                                  <w:szCs w:val="16"/>
                                </w:rPr>
                                <w:t>Stratified</w:t>
                              </w:r>
                            </w:p>
                            <w:p w:rsidR="00FD1596" w:rsidRDefault="00FD1596" w:rsidP="00D03A8E">
                              <w:pPr>
                                <w:spacing w:after="0"/>
                                <w:rPr>
                                  <w:b/>
                                  <w:sz w:val="16"/>
                                  <w:szCs w:val="16"/>
                                </w:rPr>
                              </w:pPr>
                              <w:r>
                                <w:rPr>
                                  <w:b/>
                                  <w:sz w:val="16"/>
                                  <w:szCs w:val="16"/>
                                </w:rPr>
                                <w:t>Participants</w:t>
                              </w:r>
                            </w:p>
                            <w:p w:rsidR="00FD1596" w:rsidRDefault="00FD1596" w:rsidP="00D03A8E">
                              <w:pPr>
                                <w:jc w:val="center"/>
                                <w:rPr>
                                  <w:sz w:val="16"/>
                                  <w:szCs w:val="16"/>
                                </w:rPr>
                              </w:pPr>
                              <w:r>
                                <w:rPr>
                                  <w:b/>
                                  <w:sz w:val="16"/>
                                  <w:szCs w:val="16"/>
                                </w:rPr>
                                <w:t xml:space="preserve">* </w:t>
                              </w:r>
                              <w:r>
                                <w:rPr>
                                  <w:sz w:val="16"/>
                                  <w:szCs w:val="16"/>
                                </w:rPr>
                                <w:t>HR Managers</w:t>
                              </w:r>
                            </w:p>
                          </w:txbxContent>
                        </wps:txbx>
                        <wps:bodyPr rot="0" vert="horz" wrap="square" lIns="91440" tIns="45720" rIns="91440" bIns="45720" anchor="ctr" anchorCtr="0" upright="1">
                          <a:noAutofit/>
                        </wps:bodyPr>
                      </wps:wsp>
                      <wps:wsp>
                        <wps:cNvPr id="36" name="Rectangle 93"/>
                        <wps:cNvSpPr>
                          <a:spLocks noChangeArrowheads="1"/>
                        </wps:cNvSpPr>
                        <wps:spPr bwMode="auto">
                          <a:xfrm>
                            <a:off x="19619" y="46429"/>
                            <a:ext cx="8494" cy="18343"/>
                          </a:xfrm>
                          <a:prstGeom prst="rect">
                            <a:avLst/>
                          </a:prstGeom>
                          <a:solidFill>
                            <a:srgbClr val="FFFFFF"/>
                          </a:solidFill>
                          <a:ln w="25400">
                            <a:solidFill>
                              <a:srgbClr val="000000"/>
                            </a:solidFill>
                            <a:miter lim="800000"/>
                            <a:headEnd/>
                            <a:tailEnd/>
                          </a:ln>
                        </wps:spPr>
                        <wps:txbx>
                          <w:txbxContent>
                            <w:p w:rsidR="00FD1596" w:rsidRDefault="00FD1596" w:rsidP="00D03A8E">
                              <w:pPr>
                                <w:spacing w:after="0"/>
                                <w:jc w:val="center"/>
                                <w:rPr>
                                  <w:b/>
                                  <w:sz w:val="16"/>
                                  <w:szCs w:val="16"/>
                                  <w:lang w:val="en-US"/>
                                </w:rPr>
                              </w:pPr>
                              <w:r>
                                <w:rPr>
                                  <w:b/>
                                  <w:sz w:val="16"/>
                                  <w:szCs w:val="16"/>
                                  <w:lang w:val="en-US"/>
                                </w:rPr>
                                <w:t>Data Analysis</w:t>
                              </w:r>
                            </w:p>
                            <w:p w:rsidR="00FD1596" w:rsidRPr="00632644" w:rsidRDefault="00FD1596" w:rsidP="00D03A8E">
                              <w:pPr>
                                <w:spacing w:after="0"/>
                                <w:rPr>
                                  <w:sz w:val="15"/>
                                  <w:szCs w:val="15"/>
                                </w:rPr>
                              </w:pPr>
                              <w:r w:rsidRPr="00632644">
                                <w:rPr>
                                  <w:b/>
                                  <w:sz w:val="15"/>
                                  <w:szCs w:val="15"/>
                                </w:rPr>
                                <w:t xml:space="preserve">* </w:t>
                              </w:r>
                              <w:r w:rsidRPr="00632644">
                                <w:rPr>
                                  <w:sz w:val="15"/>
                                  <w:szCs w:val="15"/>
                                </w:rPr>
                                <w:t>Logistic Regression</w:t>
                              </w:r>
                              <w:r w:rsidRPr="00632644">
                                <w:rPr>
                                  <w:b/>
                                  <w:sz w:val="15"/>
                                  <w:szCs w:val="15"/>
                                </w:rPr>
                                <w:t xml:space="preserve"> *</w:t>
                              </w:r>
                              <w:r w:rsidRPr="00632644">
                                <w:rPr>
                                  <w:sz w:val="15"/>
                                  <w:szCs w:val="15"/>
                                </w:rPr>
                                <w:t>Content Analysis</w:t>
                              </w:r>
                            </w:p>
                            <w:p w:rsidR="00FD1596" w:rsidRPr="00632644" w:rsidRDefault="00FD1596" w:rsidP="00D03A8E">
                              <w:pPr>
                                <w:rPr>
                                  <w:sz w:val="15"/>
                                  <w:szCs w:val="15"/>
                                </w:rPr>
                              </w:pPr>
                              <w:r w:rsidRPr="00632644">
                                <w:rPr>
                                  <w:b/>
                                  <w:sz w:val="15"/>
                                  <w:szCs w:val="15"/>
                                </w:rPr>
                                <w:t xml:space="preserve">* </w:t>
                              </w:r>
                              <w:r w:rsidRPr="00632644">
                                <w:rPr>
                                  <w:sz w:val="15"/>
                                  <w:szCs w:val="15"/>
                                </w:rPr>
                                <w:t>Thematic Analysis</w:t>
                              </w:r>
                            </w:p>
                          </w:txbxContent>
                        </wps:txbx>
                        <wps:bodyPr rot="0" vert="horz" wrap="square" lIns="91440" tIns="45720" rIns="91440" bIns="45720" anchor="ctr" anchorCtr="0" upright="1">
                          <a:noAutofit/>
                        </wps:bodyPr>
                      </wps:wsp>
                      <wps:wsp>
                        <wps:cNvPr id="37" name="Rectangle 94"/>
                        <wps:cNvSpPr>
                          <a:spLocks noChangeArrowheads="1"/>
                        </wps:cNvSpPr>
                        <wps:spPr bwMode="auto">
                          <a:xfrm>
                            <a:off x="28867" y="46620"/>
                            <a:ext cx="8096" cy="16859"/>
                          </a:xfrm>
                          <a:prstGeom prst="rect">
                            <a:avLst/>
                          </a:prstGeom>
                          <a:solidFill>
                            <a:srgbClr val="FFFFFF"/>
                          </a:solidFill>
                          <a:ln w="25400">
                            <a:solidFill>
                              <a:srgbClr val="000000"/>
                            </a:solidFill>
                            <a:miter lim="800000"/>
                            <a:headEnd/>
                            <a:tailEnd/>
                          </a:ln>
                        </wps:spPr>
                        <wps:txbx>
                          <w:txbxContent>
                            <w:p w:rsidR="00FD1596" w:rsidRDefault="00FD1596" w:rsidP="00D03A8E">
                              <w:pPr>
                                <w:spacing w:after="0"/>
                                <w:jc w:val="center"/>
                                <w:rPr>
                                  <w:b/>
                                  <w:sz w:val="16"/>
                                  <w:szCs w:val="16"/>
                                  <w:lang w:val="en-US"/>
                                </w:rPr>
                              </w:pPr>
                              <w:r>
                                <w:rPr>
                                  <w:b/>
                                  <w:sz w:val="16"/>
                                  <w:szCs w:val="16"/>
                                  <w:lang w:val="en-US"/>
                                </w:rPr>
                                <w:t xml:space="preserve">Sampling </w:t>
                              </w:r>
                            </w:p>
                            <w:p w:rsidR="00FD1596" w:rsidRDefault="00FD1596" w:rsidP="00D03A8E">
                              <w:pPr>
                                <w:rPr>
                                  <w:sz w:val="16"/>
                                  <w:szCs w:val="16"/>
                                </w:rPr>
                              </w:pPr>
                              <w:r>
                                <w:rPr>
                                  <w:b/>
                                  <w:sz w:val="16"/>
                                  <w:szCs w:val="16"/>
                                </w:rPr>
                                <w:t xml:space="preserve">* </w:t>
                              </w:r>
                              <w:r>
                                <w:rPr>
                                  <w:sz w:val="16"/>
                                  <w:szCs w:val="16"/>
                                </w:rPr>
                                <w:t>Simple   Random</w:t>
                              </w:r>
                            </w:p>
                            <w:p w:rsidR="00FD1596" w:rsidRDefault="00FD1596" w:rsidP="00D03A8E">
                              <w:pPr>
                                <w:spacing w:after="0"/>
                                <w:rPr>
                                  <w:b/>
                                  <w:sz w:val="16"/>
                                  <w:szCs w:val="16"/>
                                </w:rPr>
                              </w:pPr>
                              <w:r>
                                <w:rPr>
                                  <w:b/>
                                  <w:sz w:val="16"/>
                                  <w:szCs w:val="16"/>
                                </w:rPr>
                                <w:t>Participants</w:t>
                              </w:r>
                            </w:p>
                            <w:p w:rsidR="00FD1596" w:rsidRDefault="00FD1596" w:rsidP="00D03A8E">
                              <w:pPr>
                                <w:rPr>
                                  <w:sz w:val="16"/>
                                  <w:szCs w:val="16"/>
                                </w:rPr>
                              </w:pPr>
                              <w:r>
                                <w:rPr>
                                  <w:b/>
                                  <w:sz w:val="16"/>
                                  <w:szCs w:val="16"/>
                                </w:rPr>
                                <w:t xml:space="preserve">* </w:t>
                              </w:r>
                              <w:r>
                                <w:rPr>
                                  <w:sz w:val="16"/>
                                  <w:szCs w:val="16"/>
                                </w:rPr>
                                <w:t>Employees</w:t>
                              </w:r>
                            </w:p>
                          </w:txbxContent>
                        </wps:txbx>
                        <wps:bodyPr rot="0" vert="horz" wrap="square" lIns="91440" tIns="45720" rIns="91440" bIns="45720" anchor="ctr" anchorCtr="0" upright="1">
                          <a:noAutofit/>
                        </wps:bodyPr>
                      </wps:wsp>
                      <wps:wsp>
                        <wps:cNvPr id="38" name="Rectangle 95"/>
                        <wps:cNvSpPr>
                          <a:spLocks noChangeArrowheads="1"/>
                        </wps:cNvSpPr>
                        <wps:spPr bwMode="auto">
                          <a:xfrm>
                            <a:off x="47667" y="46620"/>
                            <a:ext cx="8057" cy="18715"/>
                          </a:xfrm>
                          <a:prstGeom prst="rect">
                            <a:avLst/>
                          </a:prstGeom>
                          <a:solidFill>
                            <a:srgbClr val="FFFFFF"/>
                          </a:solidFill>
                          <a:ln w="25400">
                            <a:solidFill>
                              <a:srgbClr val="000000"/>
                            </a:solidFill>
                            <a:miter lim="800000"/>
                            <a:headEnd/>
                            <a:tailEnd/>
                          </a:ln>
                        </wps:spPr>
                        <wps:txbx>
                          <w:txbxContent>
                            <w:p w:rsidR="00FD1596" w:rsidRDefault="00FD1596" w:rsidP="00D03A8E">
                              <w:pPr>
                                <w:spacing w:after="0"/>
                                <w:jc w:val="center"/>
                                <w:rPr>
                                  <w:b/>
                                  <w:sz w:val="16"/>
                                  <w:szCs w:val="16"/>
                                  <w:lang w:val="en-US"/>
                                </w:rPr>
                              </w:pPr>
                              <w:r>
                                <w:rPr>
                                  <w:b/>
                                  <w:sz w:val="16"/>
                                  <w:szCs w:val="16"/>
                                  <w:lang w:val="en-US"/>
                                </w:rPr>
                                <w:t>Data Analysis</w:t>
                              </w:r>
                            </w:p>
                            <w:p w:rsidR="00FD1596" w:rsidRPr="00632644" w:rsidRDefault="00FD1596" w:rsidP="00D03A8E">
                              <w:pPr>
                                <w:spacing w:after="0"/>
                                <w:rPr>
                                  <w:sz w:val="15"/>
                                  <w:szCs w:val="15"/>
                                </w:rPr>
                              </w:pPr>
                              <w:r w:rsidRPr="00632644">
                                <w:rPr>
                                  <w:b/>
                                  <w:sz w:val="15"/>
                                  <w:szCs w:val="15"/>
                                </w:rPr>
                                <w:t xml:space="preserve">* </w:t>
                              </w:r>
                              <w:r w:rsidRPr="00632644">
                                <w:rPr>
                                  <w:sz w:val="15"/>
                                  <w:szCs w:val="15"/>
                                </w:rPr>
                                <w:t>Multiple Regression</w:t>
                              </w:r>
                              <w:r w:rsidRPr="00632644">
                                <w:rPr>
                                  <w:b/>
                                  <w:sz w:val="15"/>
                                  <w:szCs w:val="15"/>
                                </w:rPr>
                                <w:t xml:space="preserve"> *</w:t>
                              </w:r>
                              <w:r w:rsidRPr="00632644">
                                <w:rPr>
                                  <w:sz w:val="15"/>
                                  <w:szCs w:val="15"/>
                                </w:rPr>
                                <w:t>Mediation Analysis</w:t>
                              </w:r>
                            </w:p>
                            <w:p w:rsidR="00FD1596" w:rsidRPr="00632644" w:rsidRDefault="00FD1596" w:rsidP="00D03A8E">
                              <w:pPr>
                                <w:rPr>
                                  <w:sz w:val="15"/>
                                  <w:szCs w:val="15"/>
                                </w:rPr>
                              </w:pPr>
                              <w:r w:rsidRPr="00632644">
                                <w:rPr>
                                  <w:b/>
                                  <w:sz w:val="15"/>
                                  <w:szCs w:val="15"/>
                                </w:rPr>
                                <w:t xml:space="preserve">* </w:t>
                              </w:r>
                              <w:r w:rsidRPr="00632644">
                                <w:rPr>
                                  <w:sz w:val="15"/>
                                  <w:szCs w:val="15"/>
                                </w:rPr>
                                <w:t>Moderated Mediation</w:t>
                              </w:r>
                            </w:p>
                          </w:txbxContent>
                        </wps:txbx>
                        <wps:bodyPr rot="0" vert="horz" wrap="square" lIns="91440" tIns="45720" rIns="91440" bIns="45720" anchor="ctr" anchorCtr="0" upright="1">
                          <a:noAutofit/>
                        </wps:bodyPr>
                      </wps:wsp>
                      <wps:wsp>
                        <wps:cNvPr id="39" name="Straight Arrow Connector 100"/>
                        <wps:cNvCnPr>
                          <a:cxnSpLocks noChangeShapeType="1"/>
                        </wps:cNvCnPr>
                        <wps:spPr bwMode="auto">
                          <a:xfrm>
                            <a:off x="23812" y="65144"/>
                            <a:ext cx="0" cy="238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Straight Arrow Connector 101"/>
                        <wps:cNvCnPr>
                          <a:cxnSpLocks noChangeShapeType="1"/>
                          <a:stCxn id="50" idx="3"/>
                          <a:endCxn id="37" idx="2"/>
                        </wps:cNvCnPr>
                        <wps:spPr bwMode="auto">
                          <a:xfrm flipV="1">
                            <a:off x="28110" y="63479"/>
                            <a:ext cx="4804" cy="764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Straight Arrow Connector 102"/>
                        <wps:cNvCnPr>
                          <a:cxnSpLocks noChangeShapeType="1"/>
                        </wps:cNvCnPr>
                        <wps:spPr bwMode="auto">
                          <a:xfrm flipV="1">
                            <a:off x="26425" y="70074"/>
                            <a:ext cx="20478" cy="457"/>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Rectangle 103"/>
                        <wps:cNvSpPr>
                          <a:spLocks noChangeArrowheads="1"/>
                        </wps:cNvSpPr>
                        <wps:spPr bwMode="auto">
                          <a:xfrm>
                            <a:off x="46682" y="67389"/>
                            <a:ext cx="9042" cy="7239"/>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sz w:val="16"/>
                                  <w:szCs w:val="16"/>
                                  <w:lang w:val="en-US"/>
                                </w:rPr>
                              </w:pPr>
                              <w:r>
                                <w:rPr>
                                  <w:b/>
                                  <w:sz w:val="16"/>
                                  <w:szCs w:val="16"/>
                                  <w:lang w:val="en-US"/>
                                </w:rPr>
                                <w:t>Findings</w:t>
                              </w:r>
                            </w:p>
                          </w:txbxContent>
                        </wps:txbx>
                        <wps:bodyPr rot="0" vert="horz" wrap="square" lIns="91440" tIns="45720" rIns="91440" bIns="45720" anchor="ctr" anchorCtr="0" upright="1">
                          <a:noAutofit/>
                        </wps:bodyPr>
                      </wps:wsp>
                      <wps:wsp>
                        <wps:cNvPr id="43" name="Straight Arrow Connector 104"/>
                        <wps:cNvCnPr>
                          <a:cxnSpLocks noChangeShapeType="1"/>
                        </wps:cNvCnPr>
                        <wps:spPr bwMode="auto">
                          <a:xfrm>
                            <a:off x="52694" y="65434"/>
                            <a:ext cx="0" cy="238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Straight Arrow Connector 105"/>
                        <wps:cNvCnPr>
                          <a:cxnSpLocks noChangeShapeType="1"/>
                        </wps:cNvCnPr>
                        <wps:spPr bwMode="auto">
                          <a:xfrm flipV="1">
                            <a:off x="8538" y="55722"/>
                            <a:ext cx="1429" cy="9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Straight Arrow Connector 108"/>
                        <wps:cNvCnPr>
                          <a:cxnSpLocks noChangeShapeType="1"/>
                        </wps:cNvCnPr>
                        <wps:spPr bwMode="auto">
                          <a:xfrm flipV="1">
                            <a:off x="18288" y="55911"/>
                            <a:ext cx="1619" cy="9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Straight Arrow Connector 109"/>
                        <wps:cNvCnPr>
                          <a:cxnSpLocks noChangeShapeType="1"/>
                        </wps:cNvCnPr>
                        <wps:spPr bwMode="auto">
                          <a:xfrm>
                            <a:off x="37229" y="55638"/>
                            <a:ext cx="1238"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Straight Arrow Connector 110"/>
                        <wps:cNvCnPr>
                          <a:cxnSpLocks noChangeShapeType="1"/>
                        </wps:cNvCnPr>
                        <wps:spPr bwMode="auto">
                          <a:xfrm flipV="1">
                            <a:off x="45661" y="55276"/>
                            <a:ext cx="2167" cy="3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Straight Arrow Connector 145"/>
                        <wps:cNvCnPr>
                          <a:cxnSpLocks noChangeShapeType="1"/>
                        </wps:cNvCnPr>
                        <wps:spPr bwMode="auto">
                          <a:xfrm flipH="1">
                            <a:off x="19907" y="33567"/>
                            <a:ext cx="39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Straight Arrow Connector 146"/>
                        <wps:cNvCnPr>
                          <a:cxnSpLocks noChangeShapeType="1"/>
                        </wps:cNvCnPr>
                        <wps:spPr bwMode="auto">
                          <a:xfrm>
                            <a:off x="31758" y="33404"/>
                            <a:ext cx="3334"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Rectangle 97"/>
                        <wps:cNvSpPr>
                          <a:spLocks noChangeArrowheads="1"/>
                        </wps:cNvSpPr>
                        <wps:spPr bwMode="auto">
                          <a:xfrm>
                            <a:off x="19348" y="67381"/>
                            <a:ext cx="8763" cy="7481"/>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sz w:val="16"/>
                                  <w:szCs w:val="16"/>
                                  <w:lang w:val="en-US"/>
                                </w:rPr>
                              </w:pPr>
                              <w:r>
                                <w:rPr>
                                  <w:b/>
                                  <w:sz w:val="16"/>
                                  <w:szCs w:val="16"/>
                                  <w:lang w:val="en-US"/>
                                </w:rPr>
                                <w:t>Findings</w:t>
                              </w:r>
                            </w:p>
                          </w:txbxContent>
                        </wps:txbx>
                        <wps:bodyPr rot="0" vert="horz" wrap="square" lIns="91440" tIns="45720" rIns="91440" bIns="45720" anchor="ctr" anchorCtr="0" upright="1">
                          <a:noAutofit/>
                        </wps:bodyPr>
                      </wps:wsp>
                      <wps:wsp>
                        <wps:cNvPr id="52" name="Rectangle 92"/>
                        <wps:cNvSpPr>
                          <a:spLocks noChangeArrowheads="1"/>
                        </wps:cNvSpPr>
                        <wps:spPr bwMode="auto">
                          <a:xfrm>
                            <a:off x="9790" y="49195"/>
                            <a:ext cx="8763" cy="12478"/>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b/>
                                  <w:sz w:val="16"/>
                                  <w:szCs w:val="16"/>
                                  <w:lang w:val="en-US"/>
                                </w:rPr>
                              </w:pPr>
                              <w:r>
                                <w:rPr>
                                  <w:b/>
                                  <w:sz w:val="16"/>
                                  <w:szCs w:val="16"/>
                                  <w:lang w:val="en-US"/>
                                </w:rPr>
                                <w:t xml:space="preserve">Methods </w:t>
                              </w:r>
                            </w:p>
                            <w:p w:rsidR="00FD1596" w:rsidRPr="00632644" w:rsidRDefault="00FD1596" w:rsidP="00D03A8E">
                              <w:pPr>
                                <w:jc w:val="center"/>
                                <w:rPr>
                                  <w:sz w:val="15"/>
                                  <w:szCs w:val="15"/>
                                  <w:lang w:val="en-US"/>
                                </w:rPr>
                              </w:pPr>
                              <w:r w:rsidRPr="00632644">
                                <w:rPr>
                                  <w:sz w:val="15"/>
                                  <w:szCs w:val="15"/>
                                  <w:lang w:val="en-US"/>
                                </w:rPr>
                                <w:t>Questionnaires</w:t>
                              </w:r>
                            </w:p>
                            <w:p w:rsidR="00FD1596" w:rsidRPr="00632644" w:rsidRDefault="00FD1596" w:rsidP="00D03A8E">
                              <w:pPr>
                                <w:jc w:val="center"/>
                                <w:rPr>
                                  <w:sz w:val="15"/>
                                  <w:szCs w:val="15"/>
                                </w:rPr>
                              </w:pPr>
                              <w:r w:rsidRPr="00632644">
                                <w:rPr>
                                  <w:sz w:val="15"/>
                                  <w:szCs w:val="15"/>
                                  <w:lang w:val="en-US"/>
                                </w:rPr>
                                <w:t>Interviews</w:t>
                              </w:r>
                            </w:p>
                          </w:txbxContent>
                        </wps:txbx>
                        <wps:bodyPr rot="0" vert="horz" wrap="square" lIns="91440" tIns="45720" rIns="91440" bIns="45720" anchor="ctr" anchorCtr="0" upright="1">
                          <a:noAutofit/>
                        </wps:bodyPr>
                      </wps:wsp>
                      <wps:wsp>
                        <wps:cNvPr id="53" name="Rectangle 96"/>
                        <wps:cNvSpPr>
                          <a:spLocks noChangeArrowheads="1"/>
                        </wps:cNvSpPr>
                        <wps:spPr bwMode="auto">
                          <a:xfrm>
                            <a:off x="38467" y="50446"/>
                            <a:ext cx="7943" cy="9903"/>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b/>
                                  <w:sz w:val="16"/>
                                  <w:szCs w:val="16"/>
                                  <w:lang w:val="en-US"/>
                                </w:rPr>
                              </w:pPr>
                              <w:r>
                                <w:rPr>
                                  <w:b/>
                                  <w:sz w:val="16"/>
                                  <w:szCs w:val="16"/>
                                  <w:lang w:val="en-US"/>
                                </w:rPr>
                                <w:t xml:space="preserve">Methods </w:t>
                              </w:r>
                            </w:p>
                            <w:p w:rsidR="00FD1596" w:rsidRPr="00632644" w:rsidRDefault="00FD1596" w:rsidP="00D03A8E">
                              <w:pPr>
                                <w:jc w:val="center"/>
                                <w:rPr>
                                  <w:sz w:val="15"/>
                                  <w:szCs w:val="15"/>
                                  <w:lang w:val="en-US"/>
                                </w:rPr>
                              </w:pPr>
                              <w:r w:rsidRPr="00632644">
                                <w:rPr>
                                  <w:sz w:val="15"/>
                                  <w:szCs w:val="15"/>
                                  <w:lang w:val="en-US"/>
                                </w:rPr>
                                <w:t>Questionnaires</w:t>
                              </w:r>
                            </w:p>
                          </w:txbxContent>
                        </wps:txbx>
                        <wps:bodyPr rot="0" vert="horz" wrap="square" lIns="91440" tIns="45720" rIns="91440" bIns="45720" anchor="ctr" anchorCtr="0" upright="1">
                          <a:noAutofit/>
                        </wps:bodyPr>
                      </wps:wsp>
                      <wps:wsp>
                        <wps:cNvPr id="54" name="Rectangle 111"/>
                        <wps:cNvSpPr>
                          <a:spLocks noChangeArrowheads="1"/>
                        </wps:cNvSpPr>
                        <wps:spPr bwMode="auto">
                          <a:xfrm>
                            <a:off x="22903" y="27674"/>
                            <a:ext cx="8763" cy="12477"/>
                          </a:xfrm>
                          <a:prstGeom prst="rect">
                            <a:avLst/>
                          </a:prstGeom>
                          <a:solidFill>
                            <a:srgbClr val="FFFFFF"/>
                          </a:solidFill>
                          <a:ln w="25400">
                            <a:solidFill>
                              <a:srgbClr val="000000"/>
                            </a:solidFill>
                            <a:miter lim="800000"/>
                            <a:headEnd/>
                            <a:tailEnd/>
                          </a:ln>
                        </wps:spPr>
                        <wps:txbx>
                          <w:txbxContent>
                            <w:p w:rsidR="00FD1596" w:rsidRDefault="00FD1596" w:rsidP="00D03A8E">
                              <w:pPr>
                                <w:jc w:val="center"/>
                                <w:rPr>
                                  <w:sz w:val="16"/>
                                  <w:szCs w:val="16"/>
                                </w:rPr>
                              </w:pPr>
                              <w:r>
                                <w:rPr>
                                  <w:sz w:val="16"/>
                                  <w:szCs w:val="16"/>
                                  <w:lang w:val="en-US"/>
                                </w:rPr>
                                <w:t>Ethical Consideration, Planning and Approval</w:t>
                              </w:r>
                            </w:p>
                          </w:txbxContent>
                        </wps:txbx>
                        <wps:bodyPr rot="0" vert="horz" wrap="square" lIns="91440" tIns="45720" rIns="91440" bIns="45720" anchor="ctr" anchorCtr="0" upright="1">
                          <a:noAutofit/>
                        </wps:bodyPr>
                      </wps:wsp>
                    </wpg:wgp>
                  </a:graphicData>
                </a:graphic>
              </wp:inline>
            </w:drawing>
          </mc:Choice>
          <mc:Fallback>
            <w:pict>
              <v:group w14:anchorId="516CE80F" id="Group 15" o:spid="_x0000_s1048" style="width:470.1pt;height:345pt;mso-position-horizontal-relative:char;mso-position-vertical-relative:line" coordorigin="265" coordsize="55459,7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">
                <v:shape id="Left Brace 88" o:spid="_x0000_s1049" type="#_x0000_t87" style="position:absolute;left:34643;top:30827;width:14072;height:2002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RjMIA&#10;AADbAAAADwAAAGRycy9kb3ducmV2LnhtbERPS2sCMRC+F/ofwhR6q1l7WMtqFC20itCCL/A4bMbd&#10;xc1kSWJ2+++bQsHbfHzPmS0G04pIzjeWFYxHGQji0uqGKwXHw8fLGwgfkDW2lknBD3lYzB8fZlho&#10;2/OO4j5UIoWwL1BBHUJXSOnLmgz6ke2IE3exzmBI0FVSO+xTuGnla5bl0mDDqaHGjt5rKq/7m1Gw&#10;XrlP+/V9icPZbnKzjbE/TaRSz0/Dcgoi0BDu4n/3Rqf5Of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lGMwgAAANsAAAAPAAAAAAAAAAAAAAAAAJgCAABkcnMvZG93&#10;bnJldi54bWxQSwUGAAAAAAQABAD1AAAAhwMAAAAA&#10;" adj="1265" strokeweight="2.25pt"/>
                <v:shape id="Left Brace 81" o:spid="_x0000_s1050" type="#_x0000_t87" style="position:absolute;left:16835;top:7542;width:21431;height:282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dcQA&#10;AADbAAAADwAAAGRycy9kb3ducmV2LnhtbERPS2vCQBC+F/wPywi91Y0FH6SuUgSpF22NofE4ZqdJ&#10;MDsbsluT9td3C4K3+fies1j1phZXal1lWcF4FIEgzq2uuFCQHjdPcxDOI2usLZOCH3KwWg4eFhhr&#10;2/GBrokvRAhhF6OC0vsmltLlJRl0I9sQB+7LtgZ9gG0hdYtdCDe1fI6iqTRYcWgosaF1Sfkl+TYK&#10;Pid785b97t+7c7Y5VVmauN3HWqnHYf/6AsJT7+/im3urw/wZ/P8SD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u3XEAAAA2wAAAA8AAAAAAAAAAAAAAAAAmAIAAGRycy9k&#10;b3ducmV2LnhtbFBLBQYAAAAABAAEAPUAAACJAwAAAAA=&#10;" adj="1364" strokeweight="2.25pt"/>
                <v:shape id="Left Brace 87" o:spid="_x0000_s1051" type="#_x0000_t87" style="position:absolute;left:6421;top:31737;width:14075;height:197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O8cQA&#10;AADbAAAADwAAAGRycy9kb3ducmV2LnhtbESPQUsDMRCF74L/IYzQm80qWMvatBRBEGyhbi1ex824&#10;WdxMliR2t/++cyj0NsN78943i9XoO3WkmNrABh6mBSjiOtiWGwNf+7f7OaiUkS12gcnAiRKslrc3&#10;CyxtGPiTjlVulIRwKtGAy7kvtU61I49pGnpi0X5D9JhljY22EQcJ951+LIqZ9tiyNDjs6dVR/Vf9&#10;ewPb3dPws65ctB/28Lw57Ddz+52MmdyN6xdQmcZ8NV+u363gC6z8IgPo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zvHEAAAA2wAAAA8AAAAAAAAAAAAAAAAAmAIAAGRycy9k&#10;b3ducmV2LnhtbFBLBQYAAAAABAAEAPUAAACJAwAAAAA=&#10;" adj="1284" strokeweight="2.25pt"/>
                <v:rect id="Rectangle 1" o:spid="_x0000_s1052" style="position:absolute;left:4381;width:47435;height:5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BsIA&#10;AADbAAAADwAAAGRycy9kb3ducmV2LnhtbERPTWvCQBC9F/wPywje6q45SE1dQ1GkgrQQ00tvQ3aa&#10;hGZnw+42xn/vFgq9zeN9zraYbC9G8qFzrGG1VCCIa2c6bjR8VMfHJxAhIhvsHZOGGwUodrOHLebG&#10;Xbmk8RIbkUI45KihjXHIpQx1SxbD0g3Eifty3mJM0DfSeLymcNvLTKm1tNhxamhxoH1L9fflx2pw&#10;Wf3qy0pmb9Wh25SfTvXvZ6X1Yj69PIOINMV/8Z/7ZNL8Dfz+kg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IIGwgAAANsAAAAPAAAAAAAAAAAAAAAAAJgCAABkcnMvZG93&#10;bnJldi54bWxQSwUGAAAAAAQABAD1AAAAhwMAAAAA&#10;" strokeweight="2pt">
                  <v:textbox>
                    <w:txbxContent>
                      <w:p w:rsidR="00FD1596" w:rsidRDefault="00FD1596" w:rsidP="00D03A8E">
                        <w:pPr>
                          <w:jc w:val="center"/>
                          <w:rPr>
                            <w:b/>
                            <w:lang w:val="en-US"/>
                          </w:rPr>
                        </w:pPr>
                        <w:r>
                          <w:rPr>
                            <w:b/>
                            <w:lang w:val="en-US"/>
                          </w:rPr>
                          <w:t>Research Philosophy</w:t>
                        </w:r>
                      </w:p>
                    </w:txbxContent>
                  </v:textbox>
                </v:rect>
                <v:rect id="Rectangle 9" o:spid="_x0000_s1053" style="position:absolute;left:5904;top:5370;width:14859;height:9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hJsEA&#10;AADbAAAADwAAAGRycy9kb3ducmV2LnhtbERPPWvDMBDdA/kP4gLdEqkeQutGNqEhNBBasN2l22Fd&#10;bRPrZCQ1cf99NBQ6Pt73rpztKK7kw+BYw+NGgSBunRm40/DZHNdPIEJENjg6Jg2/FKAslosd5sbd&#10;uKJrHTuRQjjkqKGPccqlDG1PFsPGTcSJ+3beYkzQd9J4vKVwO8pMqa20OHBq6HGi157aS/1jNbis&#10;ffNVI7P35jA8V19OjR9npfXDat6/gIg0x3/xn/tkNGRpffqSf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4SbBAAAA2wAAAA8AAAAAAAAAAAAAAAAAmAIAAGRycy9kb3du&#10;cmV2LnhtbFBLBQYAAAAABAAEAPUAAACGAwAAAAA=&#10;" strokeweight="2pt">
                  <v:textbox>
                    <w:txbxContent>
                      <w:p w:rsidR="00FD1596" w:rsidRDefault="00FD1596" w:rsidP="00D03A8E">
                        <w:pPr>
                          <w:spacing w:after="0"/>
                          <w:jc w:val="center"/>
                          <w:rPr>
                            <w:b/>
                            <w:lang w:val="en-US"/>
                          </w:rPr>
                        </w:pPr>
                        <w:r>
                          <w:rPr>
                            <w:b/>
                            <w:lang w:val="en-US"/>
                          </w:rPr>
                          <w:t>Ontology</w:t>
                        </w:r>
                      </w:p>
                      <w:p w:rsidR="00FD1596" w:rsidRDefault="00FD1596" w:rsidP="00D03A8E">
                        <w:pPr>
                          <w:jc w:val="center"/>
                          <w:rPr>
                            <w:lang w:val="en-US"/>
                          </w:rPr>
                        </w:pPr>
                        <w:r>
                          <w:rPr>
                            <w:lang w:val="en-US"/>
                          </w:rPr>
                          <w:t>REALISM</w:t>
                        </w:r>
                      </w:p>
                    </w:txbxContent>
                  </v:textbox>
                </v:rect>
                <v:rect id="Rectangle 52" o:spid="_x0000_s1054" style="position:absolute;left:20762;top:5370;width:14859;height:8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EvcQA&#10;AADbAAAADwAAAGRycy9kb3ducmV2LnhtbESPwWrDMBBE74X+g9hCbo1kH0LiRjGlJbRQUnCcS26L&#10;tbVNrZWRlMT9+yhQyHGYmTfMupzsIM7kQ+9YQzZXIIgbZ3puNRzq7fMSRIjIBgfHpOGPApSbx4c1&#10;FsZduKLzPrYiQTgUqKGLcSykDE1HFsPcjcTJ+3HeYkzSt9J4vCS4HWSu1EJa7DktdDjSW0fN7/5k&#10;Nbi8+fBVLfNd/d6vqqNTw/eX0nr2NL2+gIg0xXv4v/1pNOQZ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RL3EAAAA2wAAAA8AAAAAAAAAAAAAAAAAmAIAAGRycy9k&#10;b3ducmV2LnhtbFBLBQYAAAAABAAEAPUAAACJAwAAAAA=&#10;" strokeweight="2pt">
                  <v:textbox>
                    <w:txbxContent>
                      <w:p w:rsidR="00FD1596" w:rsidRDefault="00FD1596" w:rsidP="00D03A8E">
                        <w:pPr>
                          <w:spacing w:after="0"/>
                          <w:jc w:val="center"/>
                          <w:rPr>
                            <w:b/>
                            <w:lang w:val="en-US"/>
                          </w:rPr>
                        </w:pPr>
                        <w:r>
                          <w:rPr>
                            <w:b/>
                            <w:lang w:val="en-US"/>
                          </w:rPr>
                          <w:t>Epistemology</w:t>
                        </w:r>
                      </w:p>
                      <w:p w:rsidR="00FD1596" w:rsidRDefault="00FD1596" w:rsidP="00D03A8E">
                        <w:pPr>
                          <w:jc w:val="center"/>
                          <w:rPr>
                            <w:lang w:val="en-US"/>
                          </w:rPr>
                        </w:pPr>
                        <w:r>
                          <w:rPr>
                            <w:lang w:val="en-US"/>
                          </w:rPr>
                          <w:t>NEO-POSITIVISM</w:t>
                        </w:r>
                      </w:p>
                      <w:p w:rsidR="00FD1596" w:rsidRDefault="00FD1596" w:rsidP="00D03A8E">
                        <w:pPr>
                          <w:jc w:val="center"/>
                        </w:pPr>
                      </w:p>
                    </w:txbxContent>
                  </v:textbox>
                </v:rect>
                <v:rect id="Rectangle 80" o:spid="_x0000_s1055" style="position:absolute;left:35620;top:5533;width:14859;height:8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ysMA&#10;AADbAAAADwAAAGRycy9kb3ducmV2LnhtbESPQWsCMRSE7wX/Q3hCbzUxh2JXo5SKKJQW1vXi7bF5&#10;3V26eVmSqNt/3wiFHoeZ+YZZbUbXiyuF2Hk2MJ8pEMS1tx03Bk7V7mkBIiZki71nMvBDETbrycMK&#10;C+tvXNL1mBqRIRwLNNCmNBRSxrolh3HmB+LsffngMGUZGmkD3jLc9VIr9SwddpwXWhzoraX6+3hx&#10;Bryu96GspP6ott1Lefaq/3xXxjxOx9cliERj+g//tQ/WgNZ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jaysMAAADbAAAADwAAAAAAAAAAAAAAAACYAgAAZHJzL2Rv&#10;d25yZXYueG1sUEsFBgAAAAAEAAQA9QAAAIgDAAAAAA==&#10;" strokeweight="2pt">
                  <v:textbox>
                    <w:txbxContent>
                      <w:p w:rsidR="00FD1596" w:rsidRDefault="00FD1596" w:rsidP="00D03A8E">
                        <w:pPr>
                          <w:spacing w:after="0"/>
                          <w:jc w:val="center"/>
                          <w:rPr>
                            <w:b/>
                            <w:lang w:val="en-US"/>
                          </w:rPr>
                        </w:pPr>
                        <w:r>
                          <w:rPr>
                            <w:b/>
                            <w:lang w:val="en-US"/>
                          </w:rPr>
                          <w:t>Methodology</w:t>
                        </w:r>
                      </w:p>
                      <w:p w:rsidR="00FD1596" w:rsidRDefault="00FD1596" w:rsidP="00D03A8E">
                        <w:pPr>
                          <w:jc w:val="center"/>
                          <w:rPr>
                            <w:lang w:val="en-US"/>
                          </w:rPr>
                        </w:pPr>
                        <w:r>
                          <w:rPr>
                            <w:lang w:val="en-US"/>
                          </w:rPr>
                          <w:t>MIXED METHODS</w:t>
                        </w:r>
                      </w:p>
                      <w:p w:rsidR="00FD1596" w:rsidRDefault="00FD1596" w:rsidP="00D03A8E">
                        <w:pPr>
                          <w:jc w:val="center"/>
                        </w:pPr>
                      </w:p>
                    </w:txbxContent>
                  </v:textbox>
                </v:rect>
                <v:rect id="Rectangle 82" o:spid="_x0000_s1056" style="position:absolute;left:20764;top:16437;width:14859;height:7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MF8QA&#10;AADbAAAADwAAAGRycy9kb3ducmV2LnhtbESPQWvCQBSE70L/w/IK3nS3KRR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RTBfEAAAA2wAAAA8AAAAAAAAAAAAAAAAAmAIAAGRycy9k&#10;b3ducmV2LnhtbFBLBQYAAAAABAAEAPUAAACJAwAAAAA=&#10;" strokeweight="2pt">
                  <v:textbox>
                    <w:txbxContent>
                      <w:p w:rsidR="00FD1596" w:rsidRDefault="00FD1596" w:rsidP="00D03A8E">
                        <w:pPr>
                          <w:jc w:val="center"/>
                          <w:rPr>
                            <w:b/>
                            <w:lang w:val="en-US"/>
                          </w:rPr>
                        </w:pPr>
                        <w:r>
                          <w:rPr>
                            <w:b/>
                            <w:lang w:val="en-US"/>
                          </w:rPr>
                          <w:t>Research Design</w:t>
                        </w:r>
                      </w:p>
                    </w:txbxContent>
                  </v:textbox>
                </v:rect>
                <v:rect id="Rectangle 83" o:spid="_x0000_s1057" style="position:absolute;left:8096;top:30586;width:11811;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pjMQA&#10;AADbAAAADwAAAGRycy9kb3ducmV2LnhtbESPQWvCQBSE74X+h+UJvdVdI5QaXUUqYqG0kKSX3h7Z&#10;ZxLMvg27q8Z/7xYKPQ4z8w2z2oy2FxfyoXOsYTZVIIhrZzpuNHxX++dXECEiG+wdk4YbBdisHx9W&#10;mBt35YIuZWxEgnDIUUMb45BLGeqWLIapG4iTd3TeYkzSN9J4vCa47WWm1Iu02HFaaHGgt5bqU3m2&#10;GlxWH3xRyeyz2nWL4sep/utDaf00GbdLEJHG+B/+a78bDfM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d6YzEAAAA2wAAAA8AAAAAAAAAAAAAAAAAmAIAAGRycy9k&#10;b3ducmV2LnhtbFBLBQYAAAAABAAEAPUAAACJAwAAAAA=&#10;" strokeweight="2pt">
                  <v:textbox>
                    <w:txbxContent>
                      <w:p w:rsidR="00FD1596" w:rsidRDefault="00FD1596" w:rsidP="00D03A8E">
                        <w:pPr>
                          <w:jc w:val="center"/>
                          <w:rPr>
                            <w:b/>
                            <w:lang w:val="en-US"/>
                          </w:rPr>
                        </w:pPr>
                        <w:r>
                          <w:rPr>
                            <w:b/>
                            <w:lang w:val="en-US"/>
                          </w:rPr>
                          <w:t>Study 1</w:t>
                        </w:r>
                      </w:p>
                    </w:txbxContent>
                  </v:textbox>
                </v:rect>
                <v:rect id="Rectangle 86" o:spid="_x0000_s1058" style="position:absolute;left:35092;top:30098;width:1181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x+MQA&#10;AADbAAAADwAAAGRycy9kb3ducmV2LnhtbESPQWsCMRSE74L/ITyhN026Ld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cfjEAAAA2wAAAA8AAAAAAAAAAAAAAAAAmAIAAGRycy9k&#10;b3ducmV2LnhtbFBLBQYAAAAABAAEAPUAAACJAwAAAAA=&#10;" strokeweight="2pt">
                  <v:textbox>
                    <w:txbxContent>
                      <w:p w:rsidR="00FD1596" w:rsidRDefault="00FD1596" w:rsidP="00D03A8E">
                        <w:pPr>
                          <w:jc w:val="center"/>
                          <w:rPr>
                            <w:b/>
                            <w:lang w:val="en-US"/>
                          </w:rPr>
                        </w:pPr>
                        <w:r>
                          <w:rPr>
                            <w:b/>
                            <w:lang w:val="en-US"/>
                          </w:rPr>
                          <w:t>Study 2</w:t>
                        </w:r>
                      </w:p>
                    </w:txbxContent>
                  </v:textbox>
                </v:rect>
                <v:rect id="Rectangle 89" o:spid="_x0000_s1059" style="position:absolute;left:265;top:46639;width:8096;height:16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UY8QA&#10;AADbAAAADwAAAGRycy9kb3ducmV2LnhtbESPQWsCMRSE74L/ITyhN026pdKuRhFLaUEU1u2lt8fm&#10;ubt087IkqW7/fSMIHoeZ+YZZrgfbiTP50DrW8DhTIIgrZ1quNXyV79MXECEiG+wck4Y/CrBejUdL&#10;zI27cEHnY6xFgnDIUUMTY59LGaqGLIaZ64mTd3LeYkzS19J4vCS47WSm1FxabDktNNjTtqHq5/hr&#10;Nbis+vBFKbN9+da+Ft9OdYed0vphMmwWICIN8R6+tT+Nhqd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41GPEAAAA2wAAAA8AAAAAAAAAAAAAAAAAmAIAAGRycy9k&#10;b3ducmV2LnhtbFBLBQYAAAAABAAEAPUAAACJAwAAAAA=&#10;" strokeweight="2pt">
                  <v:textbox>
                    <w:txbxContent>
                      <w:p w:rsidR="00FD1596" w:rsidRDefault="00FD1596" w:rsidP="00D03A8E">
                        <w:pPr>
                          <w:spacing w:after="0"/>
                          <w:jc w:val="center"/>
                          <w:rPr>
                            <w:b/>
                            <w:sz w:val="16"/>
                            <w:szCs w:val="16"/>
                            <w:lang w:val="en-US"/>
                          </w:rPr>
                        </w:pPr>
                        <w:r>
                          <w:rPr>
                            <w:b/>
                            <w:sz w:val="16"/>
                            <w:szCs w:val="16"/>
                            <w:lang w:val="en-US"/>
                          </w:rPr>
                          <w:t>Sampling</w:t>
                        </w:r>
                      </w:p>
                      <w:p w:rsidR="00FD1596" w:rsidRDefault="00FD1596" w:rsidP="00D03A8E">
                        <w:pPr>
                          <w:jc w:val="center"/>
                          <w:rPr>
                            <w:sz w:val="16"/>
                            <w:szCs w:val="16"/>
                          </w:rPr>
                        </w:pPr>
                        <w:r>
                          <w:rPr>
                            <w:b/>
                            <w:sz w:val="16"/>
                            <w:szCs w:val="16"/>
                          </w:rPr>
                          <w:t xml:space="preserve">* </w:t>
                        </w:r>
                        <w:r>
                          <w:rPr>
                            <w:sz w:val="16"/>
                            <w:szCs w:val="16"/>
                          </w:rPr>
                          <w:t>Stratified</w:t>
                        </w:r>
                      </w:p>
                      <w:p w:rsidR="00FD1596" w:rsidRDefault="00FD1596" w:rsidP="00D03A8E">
                        <w:pPr>
                          <w:spacing w:after="0"/>
                          <w:rPr>
                            <w:b/>
                            <w:sz w:val="16"/>
                            <w:szCs w:val="16"/>
                          </w:rPr>
                        </w:pPr>
                        <w:r>
                          <w:rPr>
                            <w:b/>
                            <w:sz w:val="16"/>
                            <w:szCs w:val="16"/>
                          </w:rPr>
                          <w:t>Participants</w:t>
                        </w:r>
                      </w:p>
                      <w:p w:rsidR="00FD1596" w:rsidRDefault="00FD1596" w:rsidP="00D03A8E">
                        <w:pPr>
                          <w:jc w:val="center"/>
                          <w:rPr>
                            <w:sz w:val="16"/>
                            <w:szCs w:val="16"/>
                          </w:rPr>
                        </w:pPr>
                        <w:r>
                          <w:rPr>
                            <w:b/>
                            <w:sz w:val="16"/>
                            <w:szCs w:val="16"/>
                          </w:rPr>
                          <w:t xml:space="preserve">* </w:t>
                        </w:r>
                        <w:r>
                          <w:rPr>
                            <w:sz w:val="16"/>
                            <w:szCs w:val="16"/>
                          </w:rPr>
                          <w:t>HR Managers</w:t>
                        </w:r>
                      </w:p>
                    </w:txbxContent>
                  </v:textbox>
                </v:rect>
                <v:rect id="Rectangle 93" o:spid="_x0000_s1060" style="position:absolute;left:19619;top:46429;width:8494;height:18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KFMMA&#10;AADbAAAADwAAAGRycy9kb3ducmV2LnhtbESPQWsCMRSE7wX/Q3hCbzVxC1JXo4ilWCgW1vXi7bF5&#10;7i5uXpYk6vbfN0Khx2FmvmGW68F24kY+tI41TCcKBHHlTMu1hmP58fIGIkRkg51j0vBDAdar0dMS&#10;c+PuXNDtEGuRIBxy1NDE2OdShqohi2HieuLknZ23GJP0tTQe7wluO5kpNZMWW04LDfa0bai6HK5W&#10;g8uqnS9Kme3L93ZenJzqvr+U1s/jYbMAEWmI/+G/9qfR8DqDx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pKFMMAAADbAAAADwAAAAAAAAAAAAAAAACYAgAAZHJzL2Rv&#10;d25yZXYueG1sUEsFBgAAAAAEAAQA9QAAAIgDAAAAAA==&#10;" strokeweight="2pt">
                  <v:textbox>
                    <w:txbxContent>
                      <w:p w:rsidR="00FD1596" w:rsidRDefault="00FD1596" w:rsidP="00D03A8E">
                        <w:pPr>
                          <w:spacing w:after="0"/>
                          <w:jc w:val="center"/>
                          <w:rPr>
                            <w:b/>
                            <w:sz w:val="16"/>
                            <w:szCs w:val="16"/>
                            <w:lang w:val="en-US"/>
                          </w:rPr>
                        </w:pPr>
                        <w:r>
                          <w:rPr>
                            <w:b/>
                            <w:sz w:val="16"/>
                            <w:szCs w:val="16"/>
                            <w:lang w:val="en-US"/>
                          </w:rPr>
                          <w:t>Data Analysis</w:t>
                        </w:r>
                      </w:p>
                      <w:p w:rsidR="00FD1596" w:rsidRPr="00632644" w:rsidRDefault="00FD1596" w:rsidP="00D03A8E">
                        <w:pPr>
                          <w:spacing w:after="0"/>
                          <w:rPr>
                            <w:sz w:val="15"/>
                            <w:szCs w:val="15"/>
                          </w:rPr>
                        </w:pPr>
                        <w:r w:rsidRPr="00632644">
                          <w:rPr>
                            <w:b/>
                            <w:sz w:val="15"/>
                            <w:szCs w:val="15"/>
                          </w:rPr>
                          <w:t xml:space="preserve">* </w:t>
                        </w:r>
                        <w:r w:rsidRPr="00632644">
                          <w:rPr>
                            <w:sz w:val="15"/>
                            <w:szCs w:val="15"/>
                          </w:rPr>
                          <w:t>Logistic Regression</w:t>
                        </w:r>
                        <w:r w:rsidRPr="00632644">
                          <w:rPr>
                            <w:b/>
                            <w:sz w:val="15"/>
                            <w:szCs w:val="15"/>
                          </w:rPr>
                          <w:t xml:space="preserve"> *</w:t>
                        </w:r>
                        <w:r w:rsidRPr="00632644">
                          <w:rPr>
                            <w:sz w:val="15"/>
                            <w:szCs w:val="15"/>
                          </w:rPr>
                          <w:t>Content Analysis</w:t>
                        </w:r>
                      </w:p>
                      <w:p w:rsidR="00FD1596" w:rsidRPr="00632644" w:rsidRDefault="00FD1596" w:rsidP="00D03A8E">
                        <w:pPr>
                          <w:rPr>
                            <w:sz w:val="15"/>
                            <w:szCs w:val="15"/>
                          </w:rPr>
                        </w:pPr>
                        <w:r w:rsidRPr="00632644">
                          <w:rPr>
                            <w:b/>
                            <w:sz w:val="15"/>
                            <w:szCs w:val="15"/>
                          </w:rPr>
                          <w:t xml:space="preserve">* </w:t>
                        </w:r>
                        <w:r w:rsidRPr="00632644">
                          <w:rPr>
                            <w:sz w:val="15"/>
                            <w:szCs w:val="15"/>
                          </w:rPr>
                          <w:t>Thematic Analysis</w:t>
                        </w:r>
                      </w:p>
                    </w:txbxContent>
                  </v:textbox>
                </v:rect>
                <v:rect id="Rectangle 94" o:spid="_x0000_s1061" style="position:absolute;left:28867;top:46620;width:8096;height:16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vj8QA&#10;AADbAAAADwAAAGRycy9kb3ducmV2LnhtbESPQWsCMRSE74L/ITyhN026hdquRhFLaUEU1u2lt8fm&#10;ubt087IkqW7/fSMIHoeZ+YZZrgfbiTP50DrW8DhTIIgrZ1quNXyV79MXECEiG+wck4Y/CrBejUdL&#10;zI27cEHnY6xFgnDIUUMTY59LGaqGLIaZ64mTd3LeYkzS19J4vCS47WSm1LO02HJaaLCnbUPVz/HX&#10;anBZ9eGLUmb78q19Lb6d6g47pfXDZNgsQEQa4j18a38aDU9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74/EAAAA2wAAAA8AAAAAAAAAAAAAAAAAmAIAAGRycy9k&#10;b3ducmV2LnhtbFBLBQYAAAAABAAEAPUAAACJAwAAAAA=&#10;" strokeweight="2pt">
                  <v:textbox>
                    <w:txbxContent>
                      <w:p w:rsidR="00FD1596" w:rsidRDefault="00FD1596" w:rsidP="00D03A8E">
                        <w:pPr>
                          <w:spacing w:after="0"/>
                          <w:jc w:val="center"/>
                          <w:rPr>
                            <w:b/>
                            <w:sz w:val="16"/>
                            <w:szCs w:val="16"/>
                            <w:lang w:val="en-US"/>
                          </w:rPr>
                        </w:pPr>
                        <w:r>
                          <w:rPr>
                            <w:b/>
                            <w:sz w:val="16"/>
                            <w:szCs w:val="16"/>
                            <w:lang w:val="en-US"/>
                          </w:rPr>
                          <w:t xml:space="preserve">Sampling </w:t>
                        </w:r>
                      </w:p>
                      <w:p w:rsidR="00FD1596" w:rsidRDefault="00FD1596" w:rsidP="00D03A8E">
                        <w:pPr>
                          <w:rPr>
                            <w:sz w:val="16"/>
                            <w:szCs w:val="16"/>
                          </w:rPr>
                        </w:pPr>
                        <w:r>
                          <w:rPr>
                            <w:b/>
                            <w:sz w:val="16"/>
                            <w:szCs w:val="16"/>
                          </w:rPr>
                          <w:t xml:space="preserve">* </w:t>
                        </w:r>
                        <w:r>
                          <w:rPr>
                            <w:sz w:val="16"/>
                            <w:szCs w:val="16"/>
                          </w:rPr>
                          <w:t>Simple   Random</w:t>
                        </w:r>
                      </w:p>
                      <w:p w:rsidR="00FD1596" w:rsidRDefault="00FD1596" w:rsidP="00D03A8E">
                        <w:pPr>
                          <w:spacing w:after="0"/>
                          <w:rPr>
                            <w:b/>
                            <w:sz w:val="16"/>
                            <w:szCs w:val="16"/>
                          </w:rPr>
                        </w:pPr>
                        <w:r>
                          <w:rPr>
                            <w:b/>
                            <w:sz w:val="16"/>
                            <w:szCs w:val="16"/>
                          </w:rPr>
                          <w:t>Participants</w:t>
                        </w:r>
                      </w:p>
                      <w:p w:rsidR="00FD1596" w:rsidRDefault="00FD1596" w:rsidP="00D03A8E">
                        <w:pPr>
                          <w:rPr>
                            <w:sz w:val="16"/>
                            <w:szCs w:val="16"/>
                          </w:rPr>
                        </w:pPr>
                        <w:r>
                          <w:rPr>
                            <w:b/>
                            <w:sz w:val="16"/>
                            <w:szCs w:val="16"/>
                          </w:rPr>
                          <w:t xml:space="preserve">* </w:t>
                        </w:r>
                        <w:r>
                          <w:rPr>
                            <w:sz w:val="16"/>
                            <w:szCs w:val="16"/>
                          </w:rPr>
                          <w:t>Employees</w:t>
                        </w:r>
                      </w:p>
                    </w:txbxContent>
                  </v:textbox>
                </v:rect>
                <v:rect id="Rectangle 95" o:spid="_x0000_s1062" style="position:absolute;left:47667;top:46620;width:8057;height:18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cAA&#10;AADbAAAADwAAAGRycy9kb3ducmV2LnhtbERPz2vCMBS+D/wfwhN2m4kdDK1GEUUmjAm1Xrw9mmdb&#10;bF5Kkmn975fDYMeP7/dyPdhO3MmH1rGG6USBIK6cabnWcC73bzMQISIb7ByThicFWK9GL0vMjXtw&#10;QfdTrEUK4ZCjhibGPpcyVA1ZDBPXEyfu6rzFmKCvpfH4SOG2k5lSH9Jiy6mhwZ62DVW304/V4LLq&#10;0xelzL7LXTsvLk51xy+l9et42CxARBriv/jPfTAa3tPY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l7/cAAAADbAAAADwAAAAAAAAAAAAAAAACYAgAAZHJzL2Rvd25y&#10;ZXYueG1sUEsFBgAAAAAEAAQA9QAAAIUDAAAAAA==&#10;" strokeweight="2pt">
                  <v:textbox>
                    <w:txbxContent>
                      <w:p w:rsidR="00FD1596" w:rsidRDefault="00FD1596" w:rsidP="00D03A8E">
                        <w:pPr>
                          <w:spacing w:after="0"/>
                          <w:jc w:val="center"/>
                          <w:rPr>
                            <w:b/>
                            <w:sz w:val="16"/>
                            <w:szCs w:val="16"/>
                            <w:lang w:val="en-US"/>
                          </w:rPr>
                        </w:pPr>
                        <w:r>
                          <w:rPr>
                            <w:b/>
                            <w:sz w:val="16"/>
                            <w:szCs w:val="16"/>
                            <w:lang w:val="en-US"/>
                          </w:rPr>
                          <w:t>Data Analysis</w:t>
                        </w:r>
                      </w:p>
                      <w:p w:rsidR="00FD1596" w:rsidRPr="00632644" w:rsidRDefault="00FD1596" w:rsidP="00D03A8E">
                        <w:pPr>
                          <w:spacing w:after="0"/>
                          <w:rPr>
                            <w:sz w:val="15"/>
                            <w:szCs w:val="15"/>
                          </w:rPr>
                        </w:pPr>
                        <w:r w:rsidRPr="00632644">
                          <w:rPr>
                            <w:b/>
                            <w:sz w:val="15"/>
                            <w:szCs w:val="15"/>
                          </w:rPr>
                          <w:t xml:space="preserve">* </w:t>
                        </w:r>
                        <w:r w:rsidRPr="00632644">
                          <w:rPr>
                            <w:sz w:val="15"/>
                            <w:szCs w:val="15"/>
                          </w:rPr>
                          <w:t>Multiple Regression</w:t>
                        </w:r>
                        <w:r w:rsidRPr="00632644">
                          <w:rPr>
                            <w:b/>
                            <w:sz w:val="15"/>
                            <w:szCs w:val="15"/>
                          </w:rPr>
                          <w:t xml:space="preserve"> *</w:t>
                        </w:r>
                        <w:r w:rsidRPr="00632644">
                          <w:rPr>
                            <w:sz w:val="15"/>
                            <w:szCs w:val="15"/>
                          </w:rPr>
                          <w:t>Mediation Analysis</w:t>
                        </w:r>
                      </w:p>
                      <w:p w:rsidR="00FD1596" w:rsidRPr="00632644" w:rsidRDefault="00FD1596" w:rsidP="00D03A8E">
                        <w:pPr>
                          <w:rPr>
                            <w:sz w:val="15"/>
                            <w:szCs w:val="15"/>
                          </w:rPr>
                        </w:pPr>
                        <w:r w:rsidRPr="00632644">
                          <w:rPr>
                            <w:b/>
                            <w:sz w:val="15"/>
                            <w:szCs w:val="15"/>
                          </w:rPr>
                          <w:t xml:space="preserve">* </w:t>
                        </w:r>
                        <w:r w:rsidRPr="00632644">
                          <w:rPr>
                            <w:sz w:val="15"/>
                            <w:szCs w:val="15"/>
                          </w:rPr>
                          <w:t>Moderated Mediation</w:t>
                        </w:r>
                      </w:p>
                    </w:txbxContent>
                  </v:textbox>
                </v:rect>
                <v:shape id="Straight Arrow Connector 100" o:spid="_x0000_s1063" type="#_x0000_t32" style="position:absolute;left:23812;top:65144;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i/UsQAAADbAAAADwAAAGRycy9kb3ducmV2LnhtbESPQWsCMRSE7wX/Q3iCt5pVYWlXo4hg&#10;8SCVWg8e326eu4vJy5Kk6/bfN4VCj8PMfMOsNoM1oicfWscKZtMMBHHldMu1gsvn/vkFRIjIGo1j&#10;UvBNATbr0dMKC+0e/EH9OdYiQTgUqKCJsSukDFVDFsPUdcTJuzlvMSbpa6k9PhLcGjnPslxabDkt&#10;NNjRrqHqfv6yCvLqejLlcaDybXfypctNr9/3Sk3Gw3YJItIQ/8N/7YNWsHiF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iL9SxAAAANsAAAAPAAAAAAAAAAAA&#10;AAAAAKECAABkcnMvZG93bnJldi54bWxQSwUGAAAAAAQABAD5AAAAkgMAAAAA&#10;" strokeweight="3pt">
                  <v:stroke endarrow="block"/>
                </v:shape>
                <v:shape id="Straight Arrow Connector 101" o:spid="_x0000_s1064" type="#_x0000_t32" style="position:absolute;left:28110;top:63479;width:4804;height:76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YiosIAAADbAAAADwAAAGRycy9kb3ducmV2LnhtbERPy2oCMRTdF/yHcIXuasbSWh2NIi0F&#10;28XUF+LyMrnODE5uQhJ1+vfNQujycN6zRWdacSUfGssKhoMMBHFpdcOVgv3u82kMIkRkja1lUvBL&#10;ARbz3sMMc21vvKHrNlYihXDIUUEdo8ulDGVNBsPAOuLEnaw3GBP0ldQebynctPI5y0bSYMOpoUZH&#10;7zWV5+3FKPga/XxMjkP/ZooDvq6+18XFuUKpx363nIKI1MV/8d290gpe0vr0Jf0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YiosIAAADbAAAADwAAAAAAAAAAAAAA&#10;AAChAgAAZHJzL2Rvd25yZXYueG1sUEsFBgAAAAAEAAQA+QAAAJADAAAAAA==&#10;" strokeweight="3pt">
                  <v:stroke endarrow="block"/>
                </v:shape>
                <v:shape id="Straight Arrow Connector 102" o:spid="_x0000_s1065" type="#_x0000_t32" style="position:absolute;left:26425;top:70074;width:20478;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qHOcYAAADbAAAADwAAAGRycy9kb3ducmV2LnhtbESPQWsCMRSE7wX/Q3iF3mp2S9V2a5TS&#10;IqiH1dpSenxsXncXNy8hibr+eyMUehxm5htmOu9NJ47kQ2tZQT7MQBBXVrdcK/j6XNw/gQgRWWNn&#10;mRScKcB8NriZYqHtiT/ouIu1SBAOBSpoYnSFlKFqyGAYWkecvF/rDcYkfS21x1OCm04+ZNlYGmw5&#10;LTTo6K2har87GAWr8eb9+Sf3E1N+42i53pYH50ql7m771xcQkfr4H/5rL7WCxxyuX9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ahznGAAAA2wAAAA8AAAAAAAAA&#10;AAAAAAAAoQIAAGRycy9kb3ducmV2LnhtbFBLBQYAAAAABAAEAPkAAACUAwAAAAA=&#10;" strokeweight="3pt">
                  <v:stroke endarrow="block"/>
                </v:shape>
                <v:rect id="Rectangle 103" o:spid="_x0000_s1066" style="position:absolute;left:46682;top:67389;width:9042;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asQA&#10;AADbAAAADwAAAGRycy9kb3ducmV2LnhtbESPQWvCQBSE70L/w/IK3nS3oRR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P2rEAAAA2wAAAA8AAAAAAAAAAAAAAAAAmAIAAGRycy9k&#10;b3ducmV2LnhtbFBLBQYAAAAABAAEAPUAAACJAwAAAAA=&#10;" strokeweight="2pt">
                  <v:textbox>
                    <w:txbxContent>
                      <w:p w:rsidR="00FD1596" w:rsidRDefault="00FD1596" w:rsidP="00D03A8E">
                        <w:pPr>
                          <w:jc w:val="center"/>
                          <w:rPr>
                            <w:sz w:val="16"/>
                            <w:szCs w:val="16"/>
                            <w:lang w:val="en-US"/>
                          </w:rPr>
                        </w:pPr>
                        <w:r>
                          <w:rPr>
                            <w:b/>
                            <w:sz w:val="16"/>
                            <w:szCs w:val="16"/>
                            <w:lang w:val="en-US"/>
                          </w:rPr>
                          <w:t>Findings</w:t>
                        </w:r>
                      </w:p>
                    </w:txbxContent>
                  </v:textbox>
                </v:rect>
                <v:shape id="Straight Arrow Connector 104" o:spid="_x0000_s1067" type="#_x0000_t32" style="position:absolute;left:52694;top:65434;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7xcQAAADbAAAADwAAAGRycy9kb3ducmV2LnhtbESPQWsCMRSE7wX/Q3iCt5pVy1JWo4hg&#10;8SCVWg8e326eu4vJy5Kk6/bfN4VCj8PMfMOsNoM1oicfWscKZtMMBHHldMu1gsvn/vkVRIjIGo1j&#10;UvBNATbr0dMKC+0e/EH9OdYiQTgUqKCJsSukDFVDFsPUdcTJuzlvMSbpa6k9PhLcGjnPslxabDkt&#10;NNjRrqHqfv6yCvLqejLlcaDybXfypctNr9/3Sk3Gw3YJItIQ/8N/7YNW8LK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vFxAAAANsAAAAPAAAAAAAAAAAA&#10;AAAAAKECAABkcnMvZG93bnJldi54bWxQSwUGAAAAAAQABAD5AAAAkgMAAAAA&#10;" strokeweight="3pt">
                  <v:stroke endarrow="block"/>
                </v:shape>
                <v:shape id="Straight Arrow Connector 105" o:spid="_x0000_s1068" type="#_x0000_t32" style="position:absolute;left:8538;top:55722;width:142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kocUAAADbAAAADwAAAGRycy9kb3ducmV2LnhtbESPQWsCMRSE7wX/Q3iCt5q1qNWtUUpF&#10;sD1sWxXx+Ni87i7dvIQk6vbfN0Khx2FmvmEWq8604kI+NJYVjIYZCOLS6oYrBYf95n4GIkRkja1l&#10;UvBDAVbL3t0Cc22v/EmXXaxEgnDIUUEdo8ulDGVNBsPQOuLkfVlvMCbpK6k9XhPctPIhy6bSYMNp&#10;oUZHLzWV37uzUfA6fV/PTyP/aIojTrZvH8XZuUKpQb97fgIRqYv/4b/2VisYj+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0kocUAAADbAAAADwAAAAAAAAAA&#10;AAAAAAChAgAAZHJzL2Rvd25yZXYueG1sUEsFBgAAAAAEAAQA+QAAAJMDAAAAAA==&#10;" strokeweight="3pt">
                  <v:stroke endarrow="block"/>
                </v:shape>
                <v:shape id="Straight Arrow Connector 108" o:spid="_x0000_s1069" type="#_x0000_t32" style="position:absolute;left:18288;top:55911;width:1619;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BOsYAAADbAAAADwAAAGRycy9kb3ducmV2LnhtbESPT2sCMRTE7wW/Q3hCbzVrqdquRikt&#10;Beth/dMiHh+b5+7SzUtIom6/vREKPQ4z8xtmtuhMK87kQ2NZwXCQgSAurW64UvD99fHwDCJEZI2t&#10;ZVLwSwEW897dDHNtL7yl8y5WIkE45KigjtHlUoayJoNhYB1x8o7WG4xJ+kpqj5cEN618zLKxNNhw&#10;WqjR0VtN5c/uZBR8jtfvL4ehn5hij6PlalOcnCuUuu93r1MQkbr4H/5rL7WCpxHcvq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hgTrGAAAA2wAAAA8AAAAAAAAA&#10;AAAAAAAAoQIAAGRycy9kb3ducmV2LnhtbFBLBQYAAAAABAAEAPkAAACUAwAAAAA=&#10;" strokeweight="3pt">
                  <v:stroke endarrow="block"/>
                </v:shape>
                <v:shape id="Straight Arrow Connector 109" o:spid="_x0000_s1070" type="#_x0000_t32" style="position:absolute;left:37229;top:55638;width:1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YXcMAAADbAAAADwAAAGRycy9kb3ducmV2LnhtbESPQWsCMRSE74L/ITzBm2YVWcrWKCIo&#10;PZSK2kOPbzevu4vJy5LEdfvvm4LQ4zAz3zDr7WCN6MmH1rGCxTwDQVw53XKt4PN6mL2ACBFZo3FM&#10;Cn4owHYzHq2x0O7BZ+ovsRYJwqFABU2MXSFlqBqyGOauI07et/MWY5K+ltrjI8Gtkcssy6XFltNC&#10;gx3tG6pul7tVkFdfJ1O+D1Qe9ydfutz0+uOg1HQy7F5BRBrif/jZftMKVjn8fU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RWF3DAAAA2wAAAA8AAAAAAAAAAAAA&#10;AAAAoQIAAGRycy9kb3ducmV2LnhtbFBLBQYAAAAABAAEAPkAAACRAwAAAAA=&#10;" strokeweight="3pt">
                  <v:stroke endarrow="block"/>
                </v:shape>
                <v:shape id="Straight Arrow Connector 110" o:spid="_x0000_s1071" type="#_x0000_t32" style="position:absolute;left:45661;top:55276;width:2167;height: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1sYAAADbAAAADwAAAGRycy9kb3ducmV2LnhtbESPT2sCMRTE7wW/Q3hCbzVrabVdjVJa&#10;CraH9U+LeHxsnrtLNy8hibp+eyMUPA4z8xtmOu9MK47kQ2NZwXCQgSAurW64UvD78/nwAiJEZI2t&#10;ZVJwpgDzWe9uirm2J17TcRMrkSAcclRQx+hyKUNZk8EwsI44eXvrDcYkfSW1x1OCm1Y+ZtlIGmw4&#10;LdTo6L2m8m9zMAq+RsuP193Qj02xxefF96o4OFcodd/v3iYgInXxFv5vL7SCpzFcv6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utbGAAAA2wAAAA8AAAAAAAAA&#10;AAAAAAAAoQIAAGRycy9kb3ducmV2LnhtbFBLBQYAAAAABAAEAPkAAACUAwAAAAA=&#10;" strokeweight="3pt">
                  <v:stroke endarrow="block"/>
                </v:shape>
                <v:shape id="Straight Arrow Connector 145" o:spid="_x0000_s1072" type="#_x0000_t32" style="position:absolute;left:19907;top:33567;width:3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upMIAAADbAAAADwAAAGRycy9kb3ducmV2LnhtbERPy2oCMRTdF/yHcIXuasbSWh2NIi0F&#10;28XUF+LyMrnODE5uQhJ1+vfNQujycN6zRWdacSUfGssKhoMMBHFpdcOVgv3u82kMIkRkja1lUvBL&#10;ARbz3sMMc21vvKHrNlYihXDIUUEdo8ulDGVNBsPAOuLEnaw3GBP0ldQebynctPI5y0bSYMOpoUZH&#10;7zWV5+3FKPga/XxMjkP/ZooDvq6+18XFuUKpx363nIKI1MV/8d290gpe0tj0Jf0A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AupMIAAADbAAAADwAAAAAAAAAAAAAA&#10;AAChAgAAZHJzL2Rvd25yZXYueG1sUEsFBgAAAAAEAAQA+QAAAJADAAAAAA==&#10;" strokeweight="3pt">
                  <v:stroke endarrow="block"/>
                </v:shape>
                <v:shape id="Straight Arrow Connector 146" o:spid="_x0000_s1073" type="#_x0000_t32" style="position:absolute;left:31758;top:33404;width:3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7ML8QAAADbAAAADwAAAGRycy9kb3ducmV2LnhtbESPQWsCMRSE7wX/Q3iCt5pVZGlXo4hg&#10;8SCVWg8e326eu4vJy5Kk6/bfN4VCj8PMfMOsNoM1oicfWscKZtMMBHHldMu1gsvn/vkFRIjIGo1j&#10;UvBNATbr0dMKC+0e/EH9OdYiQTgUqKCJsSukDFVDFsPUdcTJuzlvMSbpa6k9PhLcGjnPslxabDkt&#10;NNjRrqHqfv6yCvLqejLlcaDybXfypctNr9/3Sk3Gw3YJItIQ/8N/7YNWsHiF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swvxAAAANsAAAAPAAAAAAAAAAAA&#10;AAAAAKECAABkcnMvZG93bnJldi54bWxQSwUGAAAAAAQABAD5AAAAkgMAAAAA&#10;" strokeweight="3pt">
                  <v:stroke endarrow="block"/>
                </v:shape>
                <v:rect id="Rectangle 97" o:spid="_x0000_s1074" style="position:absolute;left:19348;top:67381;width:8763;height:7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CSW8AA&#10;AADbAAAADwAAAGRycy9kb3ducmV2LnhtbERPz2vCMBS+D/wfwhN2m4mFDa1GEUUmjAm1Xrw9mmdb&#10;bF5Kkmn975fDYMeP7/dyPdhO3MmH1rGG6USBIK6cabnWcC73bzMQISIb7ByThicFWK9GL0vMjXtw&#10;QfdTrEUK4ZCjhibGPpcyVA1ZDBPXEyfu6rzFmKCvpfH4SOG2k5lSH9Jiy6mhwZ62DVW304/V4LLq&#10;0xelzL7LXTsvLk51xy+l9et42CxARBriv/jPfTAa3tP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CSW8AAAADbAAAADwAAAAAAAAAAAAAAAACYAgAAZHJzL2Rvd25y&#10;ZXYueG1sUEsFBgAAAAAEAAQA9QAAAIUDAAAAAA==&#10;" strokeweight="2pt">
                  <v:textbox>
                    <w:txbxContent>
                      <w:p w:rsidR="00FD1596" w:rsidRDefault="00FD1596" w:rsidP="00D03A8E">
                        <w:pPr>
                          <w:jc w:val="center"/>
                          <w:rPr>
                            <w:sz w:val="16"/>
                            <w:szCs w:val="16"/>
                            <w:lang w:val="en-US"/>
                          </w:rPr>
                        </w:pPr>
                        <w:r>
                          <w:rPr>
                            <w:b/>
                            <w:sz w:val="16"/>
                            <w:szCs w:val="16"/>
                            <w:lang w:val="en-US"/>
                          </w:rPr>
                          <w:t>Findings</w:t>
                        </w:r>
                      </w:p>
                    </w:txbxContent>
                  </v:textbox>
                </v:rect>
                <v:rect id="Rectangle 92" o:spid="_x0000_s1075" style="position:absolute;left:9790;top:49195;width:8763;height:12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t8QA&#10;AADbAAAADwAAAGRycy9kb3ducmV2LnhtbESPQWvCQBSE70L/w/IK3nS3gRZNXaW0SIVSIYmX3h7Z&#10;1yQ0+zbsrhr/vVsQPA4z8w2z2oy2FyfyoXOs4WmuQBDXznTcaDhU29kCRIjIBnvHpOFCATbrh8kK&#10;c+POXNCpjI1IEA45amhjHHIpQ92SxTB3A3Hyfp23GJP0jTQezwlue5kp9SItdpwWWhzovaX6rzxa&#10;DS6rP31Ryey7+uiWxY9T/f5LaT19HN9eQUQa4z18a++MhucM/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qbfEAAAA2wAAAA8AAAAAAAAAAAAAAAAAmAIAAGRycy9k&#10;b3ducmV2LnhtbFBLBQYAAAAABAAEAPUAAACJAwAAAAA=&#10;" strokeweight="2pt">
                  <v:textbox>
                    <w:txbxContent>
                      <w:p w:rsidR="00FD1596" w:rsidRDefault="00FD1596" w:rsidP="00D03A8E">
                        <w:pPr>
                          <w:jc w:val="center"/>
                          <w:rPr>
                            <w:b/>
                            <w:sz w:val="16"/>
                            <w:szCs w:val="16"/>
                            <w:lang w:val="en-US"/>
                          </w:rPr>
                        </w:pPr>
                        <w:r>
                          <w:rPr>
                            <w:b/>
                            <w:sz w:val="16"/>
                            <w:szCs w:val="16"/>
                            <w:lang w:val="en-US"/>
                          </w:rPr>
                          <w:t xml:space="preserve">Methods </w:t>
                        </w:r>
                      </w:p>
                      <w:p w:rsidR="00FD1596" w:rsidRPr="00632644" w:rsidRDefault="00FD1596" w:rsidP="00D03A8E">
                        <w:pPr>
                          <w:jc w:val="center"/>
                          <w:rPr>
                            <w:sz w:val="15"/>
                            <w:szCs w:val="15"/>
                            <w:lang w:val="en-US"/>
                          </w:rPr>
                        </w:pPr>
                        <w:r w:rsidRPr="00632644">
                          <w:rPr>
                            <w:sz w:val="15"/>
                            <w:szCs w:val="15"/>
                            <w:lang w:val="en-US"/>
                          </w:rPr>
                          <w:t>Questionnaires</w:t>
                        </w:r>
                      </w:p>
                      <w:p w:rsidR="00FD1596" w:rsidRPr="00632644" w:rsidRDefault="00FD1596" w:rsidP="00D03A8E">
                        <w:pPr>
                          <w:jc w:val="center"/>
                          <w:rPr>
                            <w:sz w:val="15"/>
                            <w:szCs w:val="15"/>
                          </w:rPr>
                        </w:pPr>
                        <w:r w:rsidRPr="00632644">
                          <w:rPr>
                            <w:sz w:val="15"/>
                            <w:szCs w:val="15"/>
                            <w:lang w:val="en-US"/>
                          </w:rPr>
                          <w:t>Interviews</w:t>
                        </w:r>
                      </w:p>
                    </w:txbxContent>
                  </v:textbox>
                </v:rect>
                <v:rect id="Rectangle 96" o:spid="_x0000_s1076" style="position:absolute;left:38467;top:50446;width:7943;height:9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MLMQA&#10;AADbAAAADwAAAGRycy9kb3ducmV2LnhtbESPQWsCMRSE74L/ITyhN026pdKuRhFLaUEU1u2lt8fm&#10;ubt087IkqW7/fSMIHoeZ+YZZrgfbiTP50DrW8DhTIIgrZ1quNXyV79MXECEiG+wck4Y/CrBejUdL&#10;zI27cEHnY6xFgnDIUUMTY59LGaqGLIaZ64mTd3LeYkzS19J4vCS47WSm1FxabDktNNjTtqHq5/hr&#10;Nbis+vBFKbN9+da+Ft9OdYed0vphMmwWICIN8R6+tT+Nhuc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DCzEAAAA2wAAAA8AAAAAAAAAAAAAAAAAmAIAAGRycy9k&#10;b3ducmV2LnhtbFBLBQYAAAAABAAEAPUAAACJAwAAAAA=&#10;" strokeweight="2pt">
                  <v:textbox>
                    <w:txbxContent>
                      <w:p w:rsidR="00FD1596" w:rsidRDefault="00FD1596" w:rsidP="00D03A8E">
                        <w:pPr>
                          <w:jc w:val="center"/>
                          <w:rPr>
                            <w:b/>
                            <w:sz w:val="16"/>
                            <w:szCs w:val="16"/>
                            <w:lang w:val="en-US"/>
                          </w:rPr>
                        </w:pPr>
                        <w:r>
                          <w:rPr>
                            <w:b/>
                            <w:sz w:val="16"/>
                            <w:szCs w:val="16"/>
                            <w:lang w:val="en-US"/>
                          </w:rPr>
                          <w:t xml:space="preserve">Methods </w:t>
                        </w:r>
                      </w:p>
                      <w:p w:rsidR="00FD1596" w:rsidRPr="00632644" w:rsidRDefault="00FD1596" w:rsidP="00D03A8E">
                        <w:pPr>
                          <w:jc w:val="center"/>
                          <w:rPr>
                            <w:sz w:val="15"/>
                            <w:szCs w:val="15"/>
                            <w:lang w:val="en-US"/>
                          </w:rPr>
                        </w:pPr>
                        <w:r w:rsidRPr="00632644">
                          <w:rPr>
                            <w:sz w:val="15"/>
                            <w:szCs w:val="15"/>
                            <w:lang w:val="en-US"/>
                          </w:rPr>
                          <w:t>Questionnaires</w:t>
                        </w:r>
                      </w:p>
                    </w:txbxContent>
                  </v:textbox>
                </v:rect>
                <v:rect id="Rectangle 111" o:spid="_x0000_s1077" style="position:absolute;left:22903;top:27674;width:8763;height:1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UWMQA&#10;AADbAAAADwAAAGRycy9kb3ducmV2LnhtbESPQWsCMRSE74L/ITyhN026tNKuRhFLaUEU1u2lt8fm&#10;ubt087IkqW7/fSMIHoeZ+YZZrgfbiTP50DrW8DhTIIgrZ1quNXyV79MXECEiG+wck4Y/CrBejUdL&#10;zI27cEHnY6xFgnDIUUMTY59LGaqGLIaZ64mTd3LeYkzS19J4vCS47WSm1FxabDktNNjTtqHq5/hr&#10;Nbis+vBFKbN9+da+Ft9OdYed0vphMmwWICIN8R6+tT+Nhucn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lFjEAAAA2wAAAA8AAAAAAAAAAAAAAAAAmAIAAGRycy9k&#10;b3ducmV2LnhtbFBLBQYAAAAABAAEAPUAAACJAwAAAAA=&#10;" strokeweight="2pt">
                  <v:textbox>
                    <w:txbxContent>
                      <w:p w:rsidR="00FD1596" w:rsidRDefault="00FD1596" w:rsidP="00D03A8E">
                        <w:pPr>
                          <w:jc w:val="center"/>
                          <w:rPr>
                            <w:sz w:val="16"/>
                            <w:szCs w:val="16"/>
                          </w:rPr>
                        </w:pPr>
                        <w:r>
                          <w:rPr>
                            <w:sz w:val="16"/>
                            <w:szCs w:val="16"/>
                            <w:lang w:val="en-US"/>
                          </w:rPr>
                          <w:t>Ethical Consideration, Planning and Approval</w:t>
                        </w:r>
                      </w:p>
                    </w:txbxContent>
                  </v:textbox>
                </v:rect>
                <w10:anchorlock/>
              </v:group>
            </w:pict>
          </mc:Fallback>
        </mc:AlternateContent>
      </w:r>
    </w:p>
    <w:p w:rsidR="00D03A8E" w:rsidRPr="00452E2E" w:rsidRDefault="00D03A8E" w:rsidP="00D03A8E">
      <w:pPr>
        <w:pStyle w:val="Caption"/>
      </w:pPr>
      <w:bookmarkStart w:id="80" w:name="_Toc465382298"/>
      <w:bookmarkStart w:id="81" w:name="_Toc465271182"/>
      <w:r w:rsidRPr="00452E2E">
        <w:t>Figure 4</w:t>
      </w:r>
      <w:r w:rsidRPr="00452E2E">
        <w:noBreakHyphen/>
      </w:r>
      <w:r w:rsidR="00B26571">
        <w:fldChar w:fldCharType="begin"/>
      </w:r>
      <w:r w:rsidR="00B26571">
        <w:instrText xml:space="preserve"> SEQ Figure \* ARABIC \s 1 </w:instrText>
      </w:r>
      <w:r w:rsidR="00B26571">
        <w:fldChar w:fldCharType="separate"/>
      </w:r>
      <w:r w:rsidR="00AE2756" w:rsidRPr="00452E2E">
        <w:rPr>
          <w:noProof/>
        </w:rPr>
        <w:t>1</w:t>
      </w:r>
      <w:r w:rsidR="00B26571">
        <w:rPr>
          <w:noProof/>
        </w:rPr>
        <w:fldChar w:fldCharType="end"/>
      </w:r>
      <w:r w:rsidRPr="00452E2E">
        <w:t xml:space="preserve"> Research Methodology Outline</w:t>
      </w:r>
      <w:bookmarkEnd w:id="80"/>
    </w:p>
    <w:p w:rsidR="00D03A8E" w:rsidRPr="00452E2E" w:rsidRDefault="00D03A8E" w:rsidP="00170224">
      <w:pPr>
        <w:pStyle w:val="Heading3"/>
      </w:pPr>
      <w:bookmarkStart w:id="82" w:name="_Toc473808138"/>
      <w:r w:rsidRPr="00452E2E">
        <w:lastRenderedPageBreak/>
        <w:t>4.2 Research Philosophical Stance</w:t>
      </w:r>
      <w:bookmarkEnd w:id="81"/>
      <w:bookmarkEnd w:id="82"/>
    </w:p>
    <w:p w:rsidR="00911C9A" w:rsidRPr="00452E2E" w:rsidRDefault="00D03A8E" w:rsidP="00D03A8E">
      <w:pPr>
        <w:spacing w:line="360" w:lineRule="auto"/>
        <w:jc w:val="both"/>
      </w:pPr>
      <w:r w:rsidRPr="00452E2E">
        <w:t xml:space="preserve">There are philosophical assumptions that underpin every piece of research in the social sciences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"mendeley" : { "formattedCitation" : "(Johnson &amp; Duberley 2000)", "manualFormatting" : "(Johnson &amp; Duberley, 2000)", "plainTextFormattedCitation" : "(Johnson &amp; Duberley 2000)", "previouslyFormattedCitation" : "(Johnson &amp; Duberley 2000)" }, "properties" : { "noteIndex" : 0 }, "schema" : "https://github.com/citation-style-language/schema/raw/master/csl-citation.json" }</w:instrText>
      </w:r>
      <w:r w:rsidRPr="00452E2E">
        <w:fldChar w:fldCharType="separate"/>
      </w:r>
      <w:r w:rsidRPr="00452E2E">
        <w:rPr>
          <w:noProof/>
        </w:rPr>
        <w:t>(Johnson &amp; Duberley, 2000)</w:t>
      </w:r>
      <w:r w:rsidRPr="00452E2E">
        <w:fldChar w:fldCharType="end"/>
      </w:r>
      <w:r w:rsidRPr="00452E2E">
        <w:t xml:space="preserve">. It is therefore important to understand a researcher’s philosophical stance because whether stated explicitly or not, these philosophical assumptions influence the way research is conducted </w:t>
      </w:r>
      <w:r w:rsidRPr="00452E2E">
        <w:fldChar w:fldCharType="begin" w:fldLock="1"/>
      </w:r>
      <w:r w:rsidRPr="00452E2E">
        <w:instrText>ADDIN CSL_CITATION { "citationItems" : [ { "id" : "ITEM-1", "itemData" : { "ISBN" : "1345-0891", "abstract" : "This article traces the underlying theoretical framework of educational research. It outlines the definitions of epistemology, ontology and paradigm and the origins, main tenets, and key thinkers of the 3 paradigms; positivist, interpetivist and critical. By closely analyzing each paradigm, the literature review focuses on the ontological and epistemological assumptions of each paradigm. Finally the author analyzes not only the paradigm\u2019s weakness but also the author\u2019s own construct of reality and knowledge which align with the critical paradigm.", "author" : [ { "dropping-particle" : "", "family" : "Mack", "given" : "Lindsay", "non-dropping-particle" : "", "parse-names" : false, "suffix" : "" } ], "container-title" : "Polyglossia", "id" : "ITEM-1", "issued" : { "date-parts" : [ [ "2010" ] ] }, "page" : "5-11", "title" : "The philosophical underpinnings of educational research", "type" : "article-journal", "volume" : "19" }, "uris" : [ "http://www.mendeley.com/documents/?uuid=e2352029-78fb-4dc6-914a-956a36efabe3" ] } ], "mendeley" : { "formattedCitation" : "(Mack 2010)", "manualFormatting" : "(Mack, 2010)", "plainTextFormattedCitation" : "(Mack 2010)", "previouslyFormattedCitation" : "(Mack 2010)" }, "properties" : { "noteIndex" : 0 }, "schema" : "https://github.com/citation-style-language/schema/raw/master/csl-citation.json" }</w:instrText>
      </w:r>
      <w:r w:rsidRPr="00452E2E">
        <w:fldChar w:fldCharType="separate"/>
      </w:r>
      <w:r w:rsidRPr="00452E2E">
        <w:rPr>
          <w:noProof/>
        </w:rPr>
        <w:t>(Mack, 2010)</w:t>
      </w:r>
      <w:r w:rsidRPr="00452E2E">
        <w:fldChar w:fldCharType="end"/>
      </w:r>
      <w:r w:rsidRPr="00452E2E">
        <w:t xml:space="preserve">. One concept that captures the philosophical assumptions of research is the research paradigm. According to </w:t>
      </w:r>
      <w:r w:rsidRPr="00452E2E">
        <w:fldChar w:fldCharType="begin" w:fldLock="1"/>
      </w:r>
      <w:r w:rsidRPr="00452E2E">
        <w:instrText>ADDIN CSL_CITATION { "citationItems" : [ { "id" : "ITEM-1", "itemData" : { "ISBN" : "0803946791", "ISSN" : "1098-2140", "PMID" : "3604933", "author" : [ { "dropping-particle" : "", "family" : "Guba", "given" : "E. G.", "non-dropping-particle" : "", "parse-names" : false, "suffix" : "" }, { "dropping-particle" : "", "family" : "Lincoln", "given" : "Y. S", "non-dropping-particle" : "", "parse-names" : false, "suffix" : "" } ], "container-title" : "Handbook of qualitative research", "editor" : [ { "dropping-particle" : "", "family" : "Denzin", "given" : "N.", "non-dropping-particle" : "", "parse-names" : false, "suffix" : "" }, { "dropping-particle" : "", "family" : "Lincoln", "given" : "Y. S", "non-dropping-particle" : "", "parse-names" : false, "suffix" : "" } ], "id" : "ITEM-1", "issued" : { "date-parts" : [ [ "1994" ] ] }, "page" : "pp. 105-117", "publisher" : "SAGE", "publisher-place" : "Thousand Oaks, CA", "title" : "Competing paradigms in qualitative research", "type" : "chapter" }, "uris" : [ "http://www.mendeley.com/documents/?uuid=a6c93c77-ae47-4ce1-86b6-e0172bdf8574" ] } ], "mendeley" : { "formattedCitation" : "(Guba &amp; Lincoln 1994)", "manualFormatting" : "Guba &amp; Lincoln (1994)", "plainTextFormattedCitation" : "(Guba &amp; Lincoln 1994)", "previouslyFormattedCitation" : "(Guba &amp; Lincoln 1994)" }, "properties" : { "noteIndex" : 0 }, "schema" : "https://github.com/citation-style-language/schema/raw/master/csl-citation.json" }</w:instrText>
      </w:r>
      <w:r w:rsidRPr="00452E2E">
        <w:fldChar w:fldCharType="separate"/>
      </w:r>
      <w:r w:rsidRPr="00452E2E">
        <w:rPr>
          <w:noProof/>
        </w:rPr>
        <w:t>Guba &amp; Lincoln (1994)</w:t>
      </w:r>
      <w:r w:rsidRPr="00452E2E">
        <w:fldChar w:fldCharType="end"/>
      </w:r>
      <w:r w:rsidRPr="00452E2E">
        <w:t xml:space="preserve"> research paradigm is a researcher’s belief system or worldview that determines how research is undertaken. Thus, research paradigm determines the factors that a researcher has to take into account whilst conducting research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"id" : "ITEM-2", "itemData" : { "DOI" : "10.1111/1467-9256.00173", "ISBN" : "ISSN~~1467-9256", "ISSN" : "0263-3957", "PMID" : "16318604", "abstract" : "The aim of this article is twofold: first, to present an accessible way of introducing students to the key generic terms of social science research. There is an obvious need for clarifying the generic tools and terminology of the social sciences across the disciplines, as academics argue past each other, using identical terms but attaching different meanings to them. Secondly, this article pre- sents the interrelationship between the core concepts of social science (ontology, epistemology, methodology, methods and sources). This \u2018directional\u2019 and logical relationship needs to be under- stood, if students \u2013 and academics \u2013 are to engage in constructive dialogue and criticism of each others\u2019 work.", "author" : [ { "dropping-particle" : "", "family" : "Grix", "given" : "Jonathan", "non-dropping-particle" : "", "parse-names" : false, "suffix" : "" } ], "container-title" : "Politics", "id" : "ITEM-2", "issue" : "3", "issued" : { "date-parts" : [ [ "2002" ] ] }, "page" : "175-186", "title" : "Introducing students to the generic terminology of social research", "type" : "article-journal", "volume" : "22" }, "uris" : [ "http://www.mendeley.com/documents/?uuid=cac1bbd3-9a49-45bd-bb62-086810a6ac65" ] } ], "mendeley" : { "formattedCitation" : "(Johnson &amp; Duberley 2000; Grix 2002)", "manualFormatting" : "(Johnson &amp; Duberley, 2000; Grix, 2002)", "plainTextFormattedCitation" : "(Johnson &amp; Duberley 2000; Grix 2002)", "previouslyFormattedCitation" : "(Johnson &amp; Duberley 2000; Grix 2002)" }, "properties" : { "noteIndex" : 0 }, "schema" : "https://github.com/citation-style-language/schema/raw/master/csl-citation.json" }</w:instrText>
      </w:r>
      <w:r w:rsidRPr="00452E2E">
        <w:fldChar w:fldCharType="separate"/>
      </w:r>
      <w:r w:rsidRPr="00452E2E">
        <w:rPr>
          <w:noProof/>
        </w:rPr>
        <w:t>(Johnson &amp; Duberley, 2000; Grix, 2002)</w:t>
      </w:r>
      <w:r w:rsidRPr="00452E2E">
        <w:fldChar w:fldCharType="end"/>
      </w:r>
      <w:r w:rsidRPr="00452E2E">
        <w:t xml:space="preserve">. This means that researchers who subscribe to a particular research philosophy have shared beliefs about the way research should be conducted </w:t>
      </w:r>
      <w:r w:rsidRPr="00452E2E">
        <w:fldChar w:fldCharType="begin" w:fldLock="1"/>
      </w:r>
      <w:r w:rsidRPr="00452E2E">
        <w:instrText>ADDIN CSL_CITATION { "citationItems" : [ { "id" : "ITEM-1", "itemData" : { "DOI" : "10.1348/096317901167280", "ISBN" : "0963-1798", "ISSN" : "09631798", "abstract" : "Examines current epistemological debates within psychology and social science generally, and explicates their significance for the way in which work psychology research is conducted. It is argued that although there have been a number of recent critiques of the epistemological and methodological base of psychology, the research base of work psychology has come in for little such attention. The result has been a lack of reflexivity on the part of work psychologists. One potential challenge to this status quo comes from postmodernism which has had a significant impact on other areas of social science. This paper illustrates some of the key tensions and debates that result from extending these epistemological debates to the realm of work psychology. It is argued that a consideration of epistemology is important for work psychologists; and that different approaches to positivism, such as postmodernism, can provide us with different ways of examining and conducting work psychology research. The importance of epistemological reflexivity is highlighted within the paper: that is the researcher makes explicit, and critically reflects upon, the epistemological assumptions that underlie their own work. The authors assess the implications of this for work psychology research and practice. (PsycINFO Database Record (c) 2002 APA, all rights reserved) epistemology; work psychology; positivism; research", "author" : [ { "dropping-particle" : "", "family" : "Johnson", "given" : "Phil", "non-dropping-particle" : "", "parse-names" : false, "suffix" : "" }, { "dropping-particle" : "", "family" : "Cassell", "given" : "Catherine", "non-dropping-particle" : "", "parse-names" : false, "suffix" : "" } ], "container-title" : "Journal of Occupational and Organizational Psychology", "id" : "ITEM-1", "issue" : "2", "issued" : { "date-parts" : [ [ "2001" ] ] }, "page" : "125-143", "title" : "Epistemology and work psychology: new agendas", "type" : "article-journal", "volume" : "74" }, "uris" : [ "http://www.mendeley.com/documents/?uuid=6fa9b953-5543-4cec-801a-c2e54f50d2de" ] }, { "id" : "ITEM-2", "itemData" : { "DOI" : "10.1111/1467-9256.00173", "ISBN" : "ISSN~~1467-9256", "ISSN" : "0263-3957", "PMID" : "16318604", "abstract" : "The aim of this article is twofold: first, to present an accessible way of introducing students to the key generic terms of social science research. There is an obvious need for clarifying the generic tools and terminology of the social sciences across the disciplines, as academics argue past each other, using identical terms but attaching different meanings to them. Secondly, this article pre- sents the interrelationship between the core concepts of social science (ontology, epistemology, methodology, methods and sources). This \u2018directional\u2019 and logical relationship needs to be under- stood, if students \u2013 and academics \u2013 are to engage in constructive dialogue and criticism of each others\u2019 work.", "author" : [ { "dropping-particle" : "", "family" : "Grix", "given" : "Jonathan", "non-dropping-particle" : "", "parse-names" : false, "suffix" : "" } ], "container-title" : "Politics", "id" : "ITEM-2", "issue" : "3", "issued" : { "date-parts" : [ [ "2002" ] ] }, "page" : "175-186", "title" : "Introducing students to the generic terminology of social research", "type" : "article-journal", "volume" : "22" }, "uris" : [ "http://www.mendeley.com/documents/?uuid=cac1bbd3-9a49-45bd-bb62-086810a6ac65" ] } ], "mendeley" : { "formattedCitation" : "(Johnson &amp; Cassell 2001; Grix 2002)", "manualFormatting" : "(Johnson &amp; Cassell, 2001; Grix, 2002)", "plainTextFormattedCitation" : "(Johnson &amp; Cassell 2001; Grix 2002)", "previouslyFormattedCitation" : "(Johnson &amp; Cassell 2001; Grix 2002)" }, "properties" : { "noteIndex" : 0 }, "schema" : "https://github.com/citation-style-language/schema/raw/master/csl-citation.json" }</w:instrText>
      </w:r>
      <w:r w:rsidRPr="00452E2E">
        <w:fldChar w:fldCharType="separate"/>
      </w:r>
      <w:r w:rsidRPr="00452E2E">
        <w:rPr>
          <w:noProof/>
        </w:rPr>
        <w:t>(Johnson &amp; Cassell, 2001; Grix, 2002)</w:t>
      </w:r>
      <w:r w:rsidRPr="00452E2E">
        <w:fldChar w:fldCharType="end"/>
      </w:r>
      <w:r w:rsidRPr="00452E2E">
        <w:t xml:space="preserve">. </w:t>
      </w:r>
    </w:p>
    <w:p w:rsidR="00D03A8E" w:rsidRPr="00452E2E" w:rsidRDefault="00D03A8E" w:rsidP="00D03A8E">
      <w:pPr>
        <w:spacing w:line="360" w:lineRule="auto"/>
        <w:jc w:val="both"/>
      </w:pPr>
      <w:r w:rsidRPr="00452E2E">
        <w:t xml:space="preserve">Whilst there are different philosophical assumptions underlying research in the social sciences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"id" : "ITEM-2", "itemData" : { "author" : [ { "dropping-particle" : "", "family" : "Bryman", "given" : "A", "non-dropping-particle" : "", "parse-names" : false, "suffix" : "" }, { "dropping-particle" : "", "family" : "Bell", "given" : "E", "non-dropping-particle" : "", "parse-names" : false, "suffix" : "" } ], "edition" : "3rd", "id" : "ITEM-2", "issued" : { "date-parts" : [ [ "2011" ] ] }, "publisher" : "Oxford University Press", "publisher-place" : "Oxford", "title" : "Business research methods", "type" : "book" }, "uris" : [ "http://www.mendeley.com/documents/?uuid=4cae4e90-dc5a-4453-b76d-3ba238dca132" ] } ], "mendeley" : { "formattedCitation" : "(Johnson &amp; Duberley 2000; Bryman &amp; Bell 2011)", "manualFormatting" : "(Guba &amp; Lincoln, 1994; Johnson &amp; Duberley 2000; Bryman &amp; Bell 2011; Saunders et al., 2012)", "plainTextFormattedCitation" : "(Johnson &amp; Duberley 2000; Bryman &amp; Bell 2011)", "previouslyFormattedCitation" : "(Johnson &amp; Duberley 2000; Bryman &amp; Bell 2011)" }, "properties" : { "noteIndex" : 0 }, "schema" : "https://github.com/citation-style-language/schema/raw/master/csl-citation.json" }</w:instrText>
      </w:r>
      <w:r w:rsidRPr="00452E2E">
        <w:fldChar w:fldCharType="separate"/>
      </w:r>
      <w:r w:rsidRPr="00452E2E">
        <w:rPr>
          <w:noProof/>
        </w:rPr>
        <w:t xml:space="preserve">(Guba &amp; Lincoln, 1994; Johnson &amp; Duberley 2000; Bryman &amp; Bell 2011; Saunders </w:t>
      </w:r>
      <w:r w:rsidRPr="00452E2E">
        <w:rPr>
          <w:i/>
          <w:noProof/>
        </w:rPr>
        <w:t>et al</w:t>
      </w:r>
      <w:r w:rsidRPr="00452E2E">
        <w:rPr>
          <w:noProof/>
        </w:rPr>
        <w:t>., 2012)</w:t>
      </w:r>
      <w:r w:rsidRPr="00452E2E">
        <w:fldChar w:fldCharType="end"/>
      </w:r>
      <w:r w:rsidRPr="00452E2E">
        <w:t xml:space="preserve">, the aim of this section is not to engage in these paradigmatic debates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but to state explicitly the philosophical foundations upon which this research is built. This will enable researchers reading this piece of research to understand the factors the researcher considered whilst conducting this research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"id" : "ITEM-2", "itemData" : { "DOI" : "10.1111/1467-9256.00173", "ISBN" : "ISSN~~1467-9256", "ISSN" : "0263-3957", "PMID" : "16318604", "abstract" : "The aim of this article is twofold: first, to present an accessible way of introducing students to the key generic terms of social science research. There is an obvious need for clarifying the generic tools and terminology of the social sciences across the disciplines, as academics argue past each other, using identical terms but attaching different meanings to them. Secondly, this article pre- sents the interrelationship between the core concepts of social science (ontology, epistemology, methodology, methods and sources). This \u2018directional\u2019 and logical relationship needs to be under- stood, if students \u2013 and academics \u2013 are to engage in constructive dialogue and criticism of each others\u2019 work.", "author" : [ { "dropping-particle" : "", "family" : "Grix", "given" : "Jonathan", "non-dropping-particle" : "", "parse-names" : false, "suffix" : "" } ], "container-title" : "Politics", "id" : "ITEM-2", "issue" : "3", "issued" : { "date-parts" : [ [ "2002" ] ] }, "page" : "175-186", "title" : "Introducing students to the generic terminology of social research", "type" : "article-journal", "volume" : "22" }, "uris" : [ "http://www.mendeley.com/documents/?uuid=cac1bbd3-9a49-45bd-bb62-086810a6ac65" ] } ], "mendeley" : { "formattedCitation" : "(Johnson &amp; Duberley 2000; Grix 2002)", "manualFormatting" : "(Johnson &amp; Duberley, 2000; Grix, 2002)", "plainTextFormattedCitation" : "(Johnson &amp; Duberley 2000; Grix 2002)", "previouslyFormattedCitation" : "(Johnson &amp; Duberley 2000; Grix 2002)" }, "properties" : { "noteIndex" : 0 }, "schema" : "https://github.com/citation-style-language/schema/raw/master/csl-citation.json" }</w:instrText>
      </w:r>
      <w:r w:rsidRPr="00452E2E">
        <w:fldChar w:fldCharType="separate"/>
      </w:r>
      <w:r w:rsidRPr="00452E2E">
        <w:rPr>
          <w:noProof/>
        </w:rPr>
        <w:t>(Johnson &amp; Duberley, 2000; Grix, 2002)</w:t>
      </w:r>
      <w:r w:rsidRPr="00452E2E">
        <w:fldChar w:fldCharType="end"/>
      </w:r>
      <w:r w:rsidRPr="00452E2E">
        <w:t xml:space="preserve">. By so doing, it will provide the basis for effectively evaluating this piece of research </w:t>
      </w:r>
      <w:r w:rsidRPr="00452E2E">
        <w:fldChar w:fldCharType="begin" w:fldLock="1"/>
      </w:r>
      <w:r w:rsidRPr="00452E2E">
        <w:instrText>ADDIN CSL_CITATION { "citationItems" : [ { "id" : "ITEM-1", "itemData" : { "DOI" : "10.1111/1467-9256.00173", "ISBN" : "ISSN~~1467-9256", "ISSN" : "0263-3957", "PMID" : "16318604", "abstract" : "The aim of this article is twofold: first, to present an accessible way of introducing students to the key generic terms of social science research. There is an obvious need for clarifying the generic tools and terminology of the social sciences across the disciplines, as academics argue past each other, using identical terms but attaching different meanings to them. Secondly, this article pre- sents the interrelationship between the core concepts of social science (ontology, epistemology, methodology, methods and sources). This \u2018directional\u2019 and logical relationship needs to be under- stood, if students \u2013 and academics \u2013 are to engage in constructive dialogue and criticism of each others\u2019 work.", "author" : [ { "dropping-particle" : "", "family" : "Grix", "given" : "Jonathan", "non-dropping-particle" : "", "parse-names" : false, "suffix" : "" } ], "container-title" : "Politics", "id" : "ITEM-1", "issue" : "3", "issued" : { "date-parts" : [ [ "2002" ] ] }, "page" : "175-186", "title" : "Introducing students to the generic terminology of social research", "type" : "article-journal", "volume" : "22" }, "uris" : [ "http://www.mendeley.com/documents/?uuid=cac1bbd3-9a49-45bd-bb62-086810a6ac65" ] }, { "id" : "ITEM-2", "itemData" : { "ISBN" : "1345-0891", "abstract" : "This article traces the underlying theoretical framework of educational research. It outlines the definitions of epistemology, ontology and paradigm and the origins, main tenets, and key thinkers of the 3 paradigms; positivist, interpetivist and critical. By closely analyzing each paradigm, the literature review focuses on the ontological and epistemological assumptions of each paradigm. Finally the author analyzes not only the paradigm\u2019s weakness but also the author\u2019s own construct of reality and knowledge which align with the critical paradigm.", "author" : [ { "dropping-particle" : "", "family" : "Mack", "given" : "Lindsay", "non-dropping-particle" : "", "parse-names" : false, "suffix" : "" } ], "container-title" : "Polyglossia", "id" : "ITEM-2", "issued" : { "date-parts" : [ [ "2010" ] ] }, "page" : "5-11", "title" : "The philosophical underpinnings of educational research", "type" : "article-journal", "volume" : "19" }, "uris" : [ "http://www.mendeley.com/documents/?uuid=e2352029-78fb-4dc6-914a-956a36efabe3" ] } ], "mendeley" : { "formattedCitation" : "(Grix 2002; Mack 2010)", "manualFormatting" : "(Grix, 2002; Mack, 2010)", "plainTextFormattedCitation" : "(Grix 2002; Mack 2010)", "previouslyFormattedCitation" : "(Grix 2002; Mack 2010)" }, "properties" : { "noteIndex" : 0 }, "schema" : "https://github.com/citation-style-language/schema/raw/master/csl-citation.json" }</w:instrText>
      </w:r>
      <w:r w:rsidRPr="00452E2E">
        <w:fldChar w:fldCharType="separate"/>
      </w:r>
      <w:r w:rsidRPr="00452E2E">
        <w:rPr>
          <w:noProof/>
        </w:rPr>
        <w:t>(Grix, 2002; Mack, 2010)</w:t>
      </w:r>
      <w:r w:rsidRPr="00452E2E">
        <w:fldChar w:fldCharType="end"/>
      </w:r>
      <w:r w:rsidRPr="00452E2E">
        <w:t>.</w:t>
      </w:r>
    </w:p>
    <w:p w:rsidR="00D03A8E" w:rsidRPr="00452E2E" w:rsidRDefault="00D03A8E" w:rsidP="00D03A8E">
      <w:pPr>
        <w:spacing w:line="360" w:lineRule="auto"/>
        <w:jc w:val="both"/>
      </w:pPr>
      <w:r w:rsidRPr="00452E2E">
        <w:t xml:space="preserve">The components of research paradigm are ontology, epistemology and methodology </w:t>
      </w:r>
      <w:r w:rsidRPr="00452E2E">
        <w:fldChar w:fldCharType="begin" w:fldLock="1"/>
      </w:r>
      <w:r w:rsidRPr="00452E2E">
        <w:instrText>ADDIN CSL_CITATION { "citationItems" : [ { "id" : "ITEM-1", "itemData" : { "DOI" : "10.1111/1467-9256.00173", "ISBN" : "ISSN~~1467-9256", "ISSN" : "0263-3957", "PMID" : "16318604", "abstract" : "The aim of this article is twofold: first, to present an accessible way of introducing students to the key generic terms of social science research. There is an obvious need for clarifying the generic tools and terminology of the social sciences across the disciplines, as academics argue past each other, using identical terms but attaching different meanings to them. Secondly, this article pre- sents the interrelationship between the core concepts of social science (ontology, epistemology, methodology, methods and sources). This \u2018directional\u2019 and logical relationship needs to be under- stood, if students \u2013 and academics \u2013 are to engage in constructive dialogue and criticism of each others\u2019 work.", "author" : [ { "dropping-particle" : "", "family" : "Grix", "given" : "Jonathan", "non-dropping-particle" : "", "parse-names" : false, "suffix" : "" } ], "container-title" : "Politics", "id" : "ITEM-1", "issue" : "3", "issued" : { "date-parts" : [ [ "2002" ] ] }, "page" : "175-186", "title" : "Introducing students to the generic terminology of social research", "type" : "article-journal", "volume" : "22" }, "uris" : [ "http://www.mendeley.com/documents/?uuid=cac1bbd3-9a49-45bd-bb62-086810a6ac65" ] } ], "mendeley" : { "formattedCitation" : "(Grix 2002)", "manualFormatting" : "(Grix, 2002)", "plainTextFormattedCitation" : "(Grix 2002)", "previouslyFormattedCitation" : "(Grix 2002)" }, "properties" : { "noteIndex" : 0 }, "schema" : "https://github.com/citation-style-language/schema/raw/master/csl-citation.json" }</w:instrText>
      </w:r>
      <w:r w:rsidRPr="00452E2E">
        <w:fldChar w:fldCharType="separate"/>
      </w:r>
      <w:r w:rsidRPr="00452E2E">
        <w:rPr>
          <w:noProof/>
        </w:rPr>
        <w:t>(Grix, 2002)</w:t>
      </w:r>
      <w:r w:rsidRPr="00452E2E">
        <w:fldChar w:fldCharType="end"/>
      </w:r>
      <w:r w:rsidRPr="00452E2E">
        <w:t xml:space="preserve">. These components are chronologically interrelated such that a researcher’s ontological position determines the epistemological position which in turn results to the choice of methodology adopted </w:t>
      </w:r>
      <w:r w:rsidRPr="00452E2E">
        <w:fldChar w:fldCharType="begin" w:fldLock="1"/>
      </w:r>
      <w:r w:rsidRPr="00452E2E">
        <w:instrText>ADDIN CSL_CITATION { "citationItems" : [ { "id" : "ITEM-1", "itemData" : { "ISBN" : "1345-0891", "abstract" : "This article traces the underlying theoretical framework of educational research. It outlines the definitions of epistemology, ontology and paradigm and the origins, main tenets, and key thinkers of the 3 paradigms; positivist, interpetivist and critical. By closely analyzing each paradigm, the literature review focuses on the ontological and epistemological assumptions of each paradigm. Finally the author analyzes not only the paradigm\u2019s weakness but also the author\u2019s own construct of reality and knowledge which align with the critical paradigm.", "author" : [ { "dropping-particle" : "", "family" : "Mack", "given" : "Lindsay", "non-dropping-particle" : "", "parse-names" : false, "suffix" : "" } ], "container-title" : "Polyglossia", "id" : "ITEM-1", "issued" : { "date-parts" : [ [ "2010" ] ] }, "page" : "5-11", "title" : "The philosophical underpinnings of educational research", "type" : "article-journal", "volume" : "19" }, "uris" : [ "http://www.mendeley.com/documents/?uuid=e2352029-78fb-4dc6-914a-956a36efabe3" ] } ], "mendeley" : { "formattedCitation" : "(Mack 2010)", "manualFormatting" : "(Mack, 2010)", "plainTextFormattedCitation" : "(Mack 2010)", "previouslyFormattedCitation" : "(Mack 2010)" }, "properties" : { "noteIndex" : 0 }, "schema" : "https://github.com/citation-style-language/schema/raw/master/csl-citation.json" }</w:instrText>
      </w:r>
      <w:r w:rsidRPr="00452E2E">
        <w:fldChar w:fldCharType="separate"/>
      </w:r>
      <w:r w:rsidRPr="00452E2E">
        <w:rPr>
          <w:noProof/>
        </w:rPr>
        <w:t>(Mack, 2010)</w:t>
      </w:r>
      <w:r w:rsidRPr="00452E2E">
        <w:fldChar w:fldCharType="end"/>
      </w:r>
      <w:r w:rsidRPr="00452E2E">
        <w:t xml:space="preserve">. As noted by Grix (2002), ontology is the starting point of social science research which reflects the view of an individual about reality and being. It deals with the nature of phenomena and their existence </w:t>
      </w:r>
      <w:r w:rsidRPr="00452E2E">
        <w:fldChar w:fldCharType="begin" w:fldLock="1"/>
      </w:r>
      <w:r w:rsidRPr="00452E2E">
        <w:instrText>ADDIN CSL_CITATION { "citationItems" : [ { "id" : "ITEM-1",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"ITEM-1", "issued" : { "date-parts" : [ [ "2014" ] ] }, "publisher" : "Pearson", "publisher-place" : "Harlow", "title" : "Organization theory: challenges and perspectives", "type" : "book" }, "uris" : [ "http://www.mendeley.com/documents/?uuid=44ca8f45-0b5f-4621-9579-c81258e0c7cf" ] } ], "mendeley" : { "formattedCitation" : "(McAuley et al. 2014)", "manualFormatting" : "(McAuley et al., 2014)", "plainTextFormattedCitation" : "(McAuley et al. 2014)", "previouslyFormattedCitation" : "(McAuley et al. 2014)" }, "properties" : { "noteIndex" : 0 }, "schema" : "https://github.com/citation-style-language/schema/raw/master/csl-citation.json" }</w:instrText>
      </w:r>
      <w:r w:rsidRPr="00452E2E">
        <w:fldChar w:fldCharType="separate"/>
      </w:r>
      <w:r w:rsidRPr="00452E2E">
        <w:rPr>
          <w:noProof/>
        </w:rPr>
        <w:t xml:space="preserve">(McAuley </w:t>
      </w:r>
      <w:r w:rsidRPr="00452E2E">
        <w:rPr>
          <w:i/>
          <w:noProof/>
        </w:rPr>
        <w:t>et al</w:t>
      </w:r>
      <w:r w:rsidRPr="00452E2E">
        <w:rPr>
          <w:noProof/>
        </w:rPr>
        <w:t>., 2014)</w:t>
      </w:r>
      <w:r w:rsidRPr="00452E2E">
        <w:fldChar w:fldCharType="end"/>
      </w:r>
      <w:r w:rsidRPr="00452E2E">
        <w:t xml:space="preserve">. Ontology answers the question of “what we mean when we say something exists” (Mack 2010, p.5) According to </w:t>
      </w:r>
      <w:r w:rsidRPr="00452E2E">
        <w:fldChar w:fldCharType="begin" w:fldLock="1"/>
      </w:r>
      <w:r w:rsidRPr="00452E2E">
        <w:instrText>ADDIN CSL_CITATION { "citationItems" : [ { "id" : "ITEM-1",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"ITEM-1", "issued" : { "date-parts" : [ [ "2014" ] ] }, "publisher" : "Pearson", "publisher-place" : "Harlow", "title" : "Organization theory: challenges and perspectives", "type" : "book" }, "uris" : [ "http://www.mendeley.com/documents/?uuid=44ca8f45-0b5f-4621-9579-c81258e0c7cf" ] } ], "mendeley" : { "formattedCitation" : "(McAuley et al. 2014)", "manualFormatting" : "McAuley et al. (2014)", "plainTextFormattedCitation" : "(McAuley et al. 2014)", "previouslyFormattedCitation" : "(McAuley et al. 2014)" }, "properties" : { "noteIndex" : 0 }, "schema" : "https://github.com/citation-style-language/schema/raw/master/csl-citation.json" }</w:instrText>
      </w:r>
      <w:r w:rsidRPr="00452E2E">
        <w:fldChar w:fldCharType="separate"/>
      </w:r>
      <w:r w:rsidRPr="00452E2E">
        <w:rPr>
          <w:noProof/>
        </w:rPr>
        <w:t xml:space="preserve">McAuley </w:t>
      </w:r>
      <w:r w:rsidRPr="00452E2E">
        <w:rPr>
          <w:i/>
          <w:noProof/>
        </w:rPr>
        <w:t>et al</w:t>
      </w:r>
      <w:r w:rsidRPr="00452E2E">
        <w:rPr>
          <w:noProof/>
        </w:rPr>
        <w:t>. (2014)</w:t>
      </w:r>
      <w:r w:rsidRPr="00452E2E">
        <w:fldChar w:fldCharType="end"/>
      </w:r>
      <w:r w:rsidRPr="00452E2E">
        <w:t xml:space="preserve">, the central idea of ontology is in dealing with the issue of whether reality exists independently outside of the </w:t>
      </w:r>
      <w:r w:rsidRPr="00452E2E">
        <w:lastRenderedPageBreak/>
        <w:t xml:space="preserve">worldview of individuals interested in it or whether reality is created as perceived by individuals. Two main ontological positions have been distinguished as realism and subjectivism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"id" : "ITEM-2",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"ITEM-2", "issued" : { "date-parts" : [ [ "2014" ] ] }, "publisher" : "Pearson", "publisher-place" : "Harlow", "title" : "Organization theory: challenges and perspectives", "type" : "book" }, "uris" : [ "http://www.mendeley.com/documents/?uuid=44ca8f45-0b5f-4621-9579-c81258e0c7cf" ] } ], "mendeley" : { "formattedCitation" : "(Johnson &amp; Duberley 2000; McAuley et al. 2014)", "manualFormatting" : "(Johnson &amp; Duberley, 2000; McAuley et al., 2014)", "plainTextFormattedCitation" : "(Johnson &amp; Duberley 2000; McAuley et al. 2014)", "previouslyFormattedCitation" : "(Johnson &amp; Duberley 2000; McAuley et al. 2014)" }, "properties" : { "noteIndex" : 0 }, "schema" : "https://github.com/citation-style-language/schema/raw/master/csl-citation.json" }</w:instrText>
      </w:r>
      <w:r w:rsidRPr="00452E2E">
        <w:fldChar w:fldCharType="separate"/>
      </w:r>
      <w:r w:rsidRPr="00452E2E">
        <w:rPr>
          <w:noProof/>
        </w:rPr>
        <w:t xml:space="preserve">(Johnson &amp; Duberley, 2000; McAuley </w:t>
      </w:r>
      <w:r w:rsidRPr="00452E2E">
        <w:rPr>
          <w:i/>
          <w:noProof/>
        </w:rPr>
        <w:t>et al</w:t>
      </w:r>
      <w:r w:rsidRPr="00452E2E">
        <w:rPr>
          <w:noProof/>
        </w:rPr>
        <w:t>., 2014)</w:t>
      </w:r>
      <w:r w:rsidRPr="00452E2E">
        <w:fldChar w:fldCharType="end"/>
      </w:r>
      <w:r w:rsidRPr="00452E2E">
        <w:t xml:space="preserve">. </w:t>
      </w:r>
    </w:p>
    <w:p w:rsidR="00D03A8E" w:rsidRPr="00452E2E" w:rsidRDefault="00D03A8E" w:rsidP="00D03A8E">
      <w:pPr>
        <w:spacing w:line="360" w:lineRule="auto"/>
        <w:jc w:val="both"/>
      </w:pPr>
      <w:r w:rsidRPr="00452E2E">
        <w:rPr>
          <w:i/>
        </w:rPr>
        <w:t>Realism</w:t>
      </w:r>
      <w:r w:rsidRPr="00452E2E">
        <w:t xml:space="preserve">, also known as objectivism assumes that what we seek to know already exists and that even if we may be unaware of the way it looks, there is no doubt that it exists; it is real and out there for us to uncover it </w:t>
      </w:r>
      <w:r w:rsidRPr="00452E2E">
        <w:fldChar w:fldCharType="begin" w:fldLock="1"/>
      </w:r>
      <w:r w:rsidRPr="00452E2E">
        <w:instrText>ADDIN CSL_CITATION { "citationItems" : [ { "id" : "ITEM-1", "itemData" : { "DOI" : "10.1111/1467-9256.00173", "ISBN" : "ISSN~~1467-9256", "ISSN" : "0263-3957", "PMID" : "16318604", "abstract" : "The aim of this article is twofold: first, to present an accessible way of introducing students to the key generic terms of social science research. There is an obvious need for clarifying the generic tools and terminology of the social sciences across the disciplines, as academics argue past each other, using identical terms but attaching different meanings to them. Secondly, this article pre- sents the interrelationship between the core concepts of social science (ontology, epistemology, methodology, methods and sources). This \u2018directional\u2019 and logical relationship needs to be under- stood, if students \u2013 and academics \u2013 are to engage in constructive dialogue and criticism of each others\u2019 work.", "author" : [ { "dropping-particle" : "", "family" : "Grix", "given" : "Jonathan", "non-dropping-particle" : "", "parse-names" : false, "suffix" : "" } ], "container-title" : "Politics", "id" : "ITEM-1", "issue" : "3", "issued" : { "date-parts" : [ [ "2002" ] ] }, "page" : "175-186", "title" : "Introducing students to the generic terminology of social research", "type" : "article-journal", "volume" : "22" }, "uris" : [ "http://www.mendeley.com/documents/?uuid=cac1bbd3-9a49-45bd-bb62-086810a6ac65" ] }, { "id" : "ITEM-2",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"ITEM-2", "issued" : { "date-parts" : [ [ "2014" ] ] }, "publisher" : "Pearson", "publisher-place" : "Harlow", "title" : "Organization theory: challenges and perspectives", "type" : "book" }, "uris" : [ "http://www.mendeley.com/documents/?uuid=44ca8f45-0b5f-4621-9579-c81258e0c7cf" ] } ], "mendeley" : { "formattedCitation" : "(Grix 2002; McAuley et al. 2014)", "manualFormatting" : "(Grix, 2002; McAuley et al., 2014)", "plainTextFormattedCitation" : "(Grix 2002; McAuley et al. 2014)", "previouslyFormattedCitation" : "(Grix 2002; McAuley et al. 2014)" }, "properties" : { "noteIndex" : 0 }, "schema" : "https://github.com/citation-style-language/schema/raw/master/csl-citation.json" }</w:instrText>
      </w:r>
      <w:r w:rsidRPr="00452E2E">
        <w:fldChar w:fldCharType="separate"/>
      </w:r>
      <w:r w:rsidRPr="00452E2E">
        <w:rPr>
          <w:noProof/>
        </w:rPr>
        <w:t xml:space="preserve">(Grix, 2002; McAuley </w:t>
      </w:r>
      <w:r w:rsidRPr="00452E2E">
        <w:rPr>
          <w:i/>
          <w:noProof/>
        </w:rPr>
        <w:t>et al</w:t>
      </w:r>
      <w:r w:rsidRPr="00452E2E">
        <w:rPr>
          <w:noProof/>
        </w:rPr>
        <w:t>., 2014)</w:t>
      </w:r>
      <w:r w:rsidRPr="00452E2E">
        <w:fldChar w:fldCharType="end"/>
      </w:r>
      <w:r w:rsidRPr="00452E2E">
        <w:t xml:space="preserve">. On the other hand, </w:t>
      </w:r>
      <w:r w:rsidRPr="00452E2E">
        <w:rPr>
          <w:i/>
        </w:rPr>
        <w:t>subjectivism</w:t>
      </w:r>
      <w:r w:rsidRPr="00452E2E">
        <w:t xml:space="preserve"> which is also known as constructivism acknowledges the role of social actors in shaping the existence and meaning of social phenomena </w:t>
      </w:r>
      <w:r w:rsidRPr="00452E2E">
        <w:fldChar w:fldCharType="begin" w:fldLock="1"/>
      </w:r>
      <w:r w:rsidRPr="00452E2E">
        <w:instrText>ADDIN CSL_CITATION { "citationItems" : [ { "id" : "ITEM-1", "itemData" : { "author" : [ { "dropping-particle" : "", "family" : "Saunders", "given" : "M", "non-dropping-particle" : "", "parse-names" : false, "suffix" : "" }, { "dropping-particle" : "", "family" : "Lewis", "given" : "P", "non-dropping-particle" : "", "parse-names" : false, "suffix" : "" }, { "dropping-particle" : "", "family" : "Thornhill", "given" : "A", "non-dropping-particle" : "", "parse-names" : false, "suffix" : "" } ], "edition" : "6th", "id" : "ITEM-1", "issued" : { "date-parts" : [ [ "2012" ] ] }, "publisher" : "Pearson", "publisher-place" : "Harlow", "title" : "Research methods for business students", "type" : "book" }, "uris" : [ "http://www.mendeley.com/documents/?uuid=c6d2391b-4404-4f3f-a63b-3c03cd7b2137" ] }, { "id" : "ITEM-2",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"ITEM-2", "issued" : { "date-parts" : [ [ "2014" ] ] }, "publisher" : "Pearson", "publisher-place" : "Harlow", "title" : "Organization theory: challenges and perspectives", "type" : "book" }, "uris" : [ "http://www.mendeley.com/documents/?uuid=44ca8f45-0b5f-4621-9579-c81258e0c7cf" ] } ], "mendeley" : { "formattedCitation" : "(Saunders et al. 2012; McAuley et al. 2014)", "plainTextFormattedCitation" : "(Saunders et al. 2012; McAuley et al. 2014)", "previouslyFormattedCitation" : "(Saunders et al. 2012; McAuley et al. 2014)" }, "properties" : { "noteIndex" : 0 }, "schema" : "https://github.com/citation-style-language/schema/raw/master/csl-citation.json" }</w:instrText>
      </w:r>
      <w:r w:rsidRPr="00452E2E">
        <w:fldChar w:fldCharType="separate"/>
      </w:r>
      <w:r w:rsidRPr="00452E2E">
        <w:rPr>
          <w:noProof/>
        </w:rPr>
        <w:t xml:space="preserve">(Saunders </w:t>
      </w:r>
      <w:r w:rsidRPr="00452E2E">
        <w:rPr>
          <w:i/>
          <w:noProof/>
        </w:rPr>
        <w:t>et al</w:t>
      </w:r>
      <w:r w:rsidRPr="00452E2E">
        <w:rPr>
          <w:noProof/>
        </w:rPr>
        <w:t xml:space="preserve">. 2012; McAuley </w:t>
      </w:r>
      <w:r w:rsidRPr="00452E2E">
        <w:rPr>
          <w:i/>
          <w:noProof/>
        </w:rPr>
        <w:t>et al</w:t>
      </w:r>
      <w:r w:rsidRPr="00452E2E">
        <w:rPr>
          <w:noProof/>
        </w:rPr>
        <w:t>. 2014)</w:t>
      </w:r>
      <w:r w:rsidRPr="00452E2E">
        <w:fldChar w:fldCharType="end"/>
      </w:r>
      <w:r w:rsidRPr="00452E2E">
        <w:t xml:space="preserve">. It holds that what we know as social reality is created as a result of our desire to know its existence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"id" : "ITEM-2",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"ITEM-2", "issued" : { "date-parts" : [ [ "2014" ] ] }, "publisher" : "Pearson", "publisher-place" : "Harlow", "title" : "Organization theory: challenges and perspectives", "type" : "book" }, "uris" : [ "http://www.mendeley.com/documents/?uuid=44ca8f45-0b5f-4621-9579-c81258e0c7cf" ] } ], "mendeley" : { "formattedCitation" : "(Johnson &amp; Duberley 2000; McAuley et al. 2014)", "manualFormatting" : "(Johnson &amp; Duberley, 2000; McAuley et al., 2014)", "plainTextFormattedCitation" : "(Johnson &amp; Duberley 2000; McAuley et al. 2014)", "previouslyFormattedCitation" : "(Johnson &amp; Duberley 2000; McAuley et al. 2014)" }, "properties" : { "noteIndex" : 0 }, "schema" : "https://github.com/citation-style-language/schema/raw/master/csl-citation.json" }</w:instrText>
      </w:r>
      <w:r w:rsidRPr="00452E2E">
        <w:fldChar w:fldCharType="separate"/>
      </w:r>
      <w:r w:rsidRPr="00452E2E">
        <w:rPr>
          <w:noProof/>
        </w:rPr>
        <w:t xml:space="preserve">(Johnson &amp; Duberley, 2000; McAuley </w:t>
      </w:r>
      <w:r w:rsidRPr="00452E2E">
        <w:rPr>
          <w:i/>
          <w:noProof/>
        </w:rPr>
        <w:t>et al</w:t>
      </w:r>
      <w:r w:rsidRPr="00452E2E">
        <w:rPr>
          <w:noProof/>
        </w:rPr>
        <w:t>., 2014)</w:t>
      </w:r>
      <w:r w:rsidRPr="00452E2E">
        <w:fldChar w:fldCharType="end"/>
      </w:r>
      <w:r w:rsidRPr="00452E2E">
        <w:t xml:space="preserve">. It is on the assumptions of realism that this research is based. This is because the researcher believes that the social phenomena under investigation already exists out there without the interference of the researcher. </w:t>
      </w:r>
    </w:p>
    <w:p w:rsidR="00CD201E" w:rsidRPr="00452E2E" w:rsidRDefault="00D03A8E" w:rsidP="00D03A8E">
      <w:pPr>
        <w:spacing w:line="360" w:lineRule="auto"/>
        <w:jc w:val="both"/>
      </w:pPr>
      <w:r w:rsidRPr="00452E2E">
        <w:t xml:space="preserve">Epistemology refers to the way that we seek to gain knowledge about social phenomena </w:t>
      </w:r>
      <w:r w:rsidRPr="00452E2E">
        <w:fldChar w:fldCharType="begin" w:fldLock="1"/>
      </w:r>
      <w:r w:rsidRPr="00452E2E">
        <w:instrText>ADDIN CSL_CITATION { "citationItems" : [ { "id" : "ITEM-1", "itemData" : { "DOI" : "10.1111/1467-9256.00173", "ISBN" : "ISSN~~1467-9256", "ISSN" : "0263-3957", "PMID" : "16318604", "abstract" : "The aim of this article is twofold: first, to present an accessible way of introducing students to the key generic terms of social science research. There is an obvious need for clarifying the generic tools and terminology of the social sciences across the disciplines, as academics argue past each other, using identical terms but attaching different meanings to them. Secondly, this article pre- sents the interrelationship between the core concepts of social science (ontology, epistemology, methodology, methods and sources). This \u2018directional\u2019 and logical relationship needs to be under- stood, if students \u2013 and academics \u2013 are to engage in constructive dialogue and criticism of each others\u2019 work.", "author" : [ { "dropping-particle" : "", "family" : "Grix", "given" : "Jonathan", "non-dropping-particle" : "", "parse-names" : false, "suffix" : "" } ], "container-title" : "Politics", "id" : "ITEM-1", "issue" : "3", "issued" : { "date-parts" : [ [ "2002" ] ] }, "page" : "175-186", "title" : "Introducing students to the generic terminology of social research", "type" : "article-journal", "volume" : "22" }, "uris" : [ "http://www.mendeley.com/documents/?uuid=cac1bbd3-9a49-45bd-bb62-086810a6ac65" ] }, { "id" : "ITEM-2", "itemData" : { "ISBN" : "1345-0891", "abstract" : "This article traces the underlying theoretical framework of educational research. It outlines the definitions of epistemology, ontology and paradigm and the origins, main tenets, and key thinkers of the 3 paradigms; positivist, interpetivist and critical. By closely analyzing each paradigm, the literature review focuses on the ontological and epistemological assumptions of each paradigm. Finally the author analyzes not only the paradigm\u2019s weakness but also the author\u2019s own construct of reality and knowledge which align with the critical paradigm.", "author" : [ { "dropping-particle" : "", "family" : "Mack", "given" : "Lindsay", "non-dropping-particle" : "", "parse-names" : false, "suffix" : "" } ], "container-title" : "Polyglossia", "id" : "ITEM-2", "issued" : { "date-parts" : [ [ "2010" ] ] }, "page" : "5-11", "title" : "The philosophical underpinnings of educational research", "type" : "article-journal", "volume" : "19" }, "uris" : [ "http://www.mendeley.com/documents/?uuid=e2352029-78fb-4dc6-914a-956a36efabe3" ] } ], "mendeley" : { "formattedCitation" : "(Grix 2002; Mack 2010)", "manualFormatting" : "(Grix, 2002; Mack, 2010)", "plainTextFormattedCitation" : "(Grix 2002; Mack 2010)", "previouslyFormattedCitation" : "(Grix 2002; Mack 2010)" }, "properties" : { "noteIndex" : 0 }, "schema" : "https://github.com/citation-style-language/schema/raw/master/csl-citation.json" }</w:instrText>
      </w:r>
      <w:r w:rsidRPr="00452E2E">
        <w:fldChar w:fldCharType="separate"/>
      </w:r>
      <w:r w:rsidRPr="00452E2E">
        <w:rPr>
          <w:noProof/>
        </w:rPr>
        <w:t>(Grix, 2002; Mack, 2010)</w:t>
      </w:r>
      <w:r w:rsidRPr="00452E2E">
        <w:fldChar w:fldCharType="end"/>
      </w:r>
      <w:r w:rsidRPr="00452E2E">
        <w:t xml:space="preserve">. According to </w:t>
      </w:r>
      <w:r w:rsidRPr="00452E2E">
        <w:fldChar w:fldCharType="begin" w:fldLock="1"/>
      </w:r>
      <w:r w:rsidRPr="00452E2E">
        <w:instrText>ADDIN CSL_CITATION { "citationItems" : [ { "id" : "ITEM-1",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"ITEM-1", "issued" : { "date-parts" : [ [ "2014" ] ] }, "publisher" : "Pearson", "publisher-place" : "Harlow", "title" : "Organization theory: challenges and perspectives", "type" : "book" }, "uris" : [ "http://www.mendeley.com/documents/?uuid=44ca8f45-0b5f-4621-9579-c81258e0c7cf" ] } ], "mendeley" : { "formattedCitation" : "(McAuley et al. 2014)", "manualFormatting" : "McAuley et al. (2014)", "plainTextFormattedCitation" : "(McAuley et al. 2014)", "previouslyFormattedCitation" : "(McAuley et al. 2014)" }, "properties" : { "noteIndex" : 0 }, "schema" : "https://github.com/citation-style-language/schema/raw/master/csl-citation.json" }</w:instrText>
      </w:r>
      <w:r w:rsidRPr="00452E2E">
        <w:fldChar w:fldCharType="separate"/>
      </w:r>
      <w:r w:rsidRPr="00452E2E">
        <w:rPr>
          <w:noProof/>
        </w:rPr>
        <w:t xml:space="preserve">McAuley </w:t>
      </w:r>
      <w:r w:rsidRPr="00452E2E">
        <w:rPr>
          <w:i/>
          <w:noProof/>
        </w:rPr>
        <w:t>et al</w:t>
      </w:r>
      <w:r w:rsidRPr="00452E2E">
        <w:rPr>
          <w:noProof/>
        </w:rPr>
        <w:t>. (2014)</w:t>
      </w:r>
      <w:r w:rsidRPr="00452E2E">
        <w:fldChar w:fldCharType="end"/>
      </w:r>
      <w:r w:rsidRPr="00452E2E">
        <w:t xml:space="preserve">, epistemology is “the study of the criteria we deploy and by which we know and decide what does and does not constitute a warranted claim about the world or what might constitute warranted knowledge” [p.33]. Epistemology answers the question of what constitutes the truth and how we can discern the truth from falsity based on evidence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"mendeley" : { "formattedCitation" : "(Johnson &amp; Duberley 2000)", "manualFormatting" : "(Johnson &amp; Duberley, 2000)", "plainTextFormattedCitation" : "(Johnson &amp; Duberley 2000)", "previouslyFormattedCitation" : "(Johnson &amp; Duberley 2000)" }, "properties" : { "noteIndex" : 0 }, "schema" : "https://github.com/citation-style-language/schema/raw/master/csl-citation.json" }</w:instrText>
      </w:r>
      <w:r w:rsidRPr="00452E2E">
        <w:fldChar w:fldCharType="separate"/>
      </w:r>
      <w:r w:rsidRPr="00452E2E">
        <w:rPr>
          <w:noProof/>
        </w:rPr>
        <w:t>(Johnson &amp; Duberley, 2000)</w:t>
      </w:r>
      <w:r w:rsidRPr="00452E2E">
        <w:fldChar w:fldCharType="end"/>
      </w:r>
      <w:r w:rsidRPr="00452E2E">
        <w:t xml:space="preserve">. Therefore, at the heart of epistemology is how we know that justification has been provided about claims made about social phenomena </w:t>
      </w:r>
      <w:r w:rsidRPr="00452E2E">
        <w:fldChar w:fldCharType="begin" w:fldLock="1"/>
      </w:r>
      <w:r w:rsidRPr="00452E2E">
        <w:instrText>ADDIN CSL_CITATION { "citationItems" : [ { "id" : "ITEM-1",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"ITEM-1", "issued" : { "date-parts" : [ [ "2014" ] ] }, "publisher" : "Pearson", "publisher-place" : "Harlow", "title" : "Organization theory: challenges and perspectives", "type" : "book" }, "uris" : [ "http://www.mendeley.com/documents/?uuid=44ca8f45-0b5f-4621-9579-c81258e0c7cf" ] } ], "mendeley" : { "formattedCitation" : "(McAuley et al. 2014)", "manualFormatting" : "(McAuley et al., 2014)", "plainTextFormattedCitation" : "(McAuley et al. 2014)", "previouslyFormattedCitation" : "(McAuley et al. 2014)" }, "properties" : { "noteIndex" : 0 }, "schema" : "https://github.com/citation-style-language/schema/raw/master/csl-citation.json" }</w:instrText>
      </w:r>
      <w:r w:rsidRPr="00452E2E">
        <w:fldChar w:fldCharType="separate"/>
      </w:r>
      <w:r w:rsidRPr="00452E2E">
        <w:rPr>
          <w:noProof/>
        </w:rPr>
        <w:t xml:space="preserve">(McAuley </w:t>
      </w:r>
      <w:r w:rsidRPr="00452E2E">
        <w:rPr>
          <w:i/>
          <w:noProof/>
        </w:rPr>
        <w:t>et al</w:t>
      </w:r>
      <w:r w:rsidRPr="00452E2E">
        <w:rPr>
          <w:noProof/>
        </w:rPr>
        <w:t>., 2014)</w:t>
      </w:r>
      <w:r w:rsidRPr="00452E2E">
        <w:fldChar w:fldCharType="end"/>
      </w:r>
      <w:r w:rsidRPr="00452E2E">
        <w:t>.</w:t>
      </w:r>
    </w:p>
    <w:p w:rsidR="00D03A8E" w:rsidRPr="00452E2E" w:rsidRDefault="00D03A8E" w:rsidP="00D03A8E">
      <w:pPr>
        <w:spacing w:line="360" w:lineRule="auto"/>
        <w:jc w:val="both"/>
      </w:pPr>
      <w:r w:rsidRPr="00452E2E">
        <w:t xml:space="preserve"> Although research in the social sciences has been dominated by two contrasting epistemological positions, namely positivism and interpretivism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"id" : "ITEM-2", "itemData" : { "author" : [ { "dropping-particle" : "", "family" : "Saunders", "given" : "M", "non-dropping-particle" : "", "parse-names" : false, "suffix" : "" }, { "dropping-particle" : "", "family" : "Lewis", "given" : "P", "non-dropping-particle" : "", "parse-names" : false, "suffix" : "" }, { "dropping-particle" : "", "family" : "Thornhill", "given" : "A", "non-dropping-particle" : "", "parse-names" : false, "suffix" : "" } ], "edition" : "6th", "id" : "ITEM-2", "issued" : { "date-parts" : [ [ "2012" ] ] }, "publisher" : "Pearson", "publisher-place" : "Harlow", "title" : "Research methods for business students", "type" : "book" }, "uris" : [ "http://www.mendeley.com/documents/?uuid=c6d2391b-4404-4f3f-a63b-3c03cd7b2137" ] } ], "mendeley" : { "formattedCitation" : "(Bryman &amp; Bell 2011; Saunders et al. 2012)", "manualFormatting" : "(Bryman &amp; Bell, 2011; Saunders et al., 2012)", "plainTextFormattedCitation" : "(Bryman &amp; Bell 2011; Saunders et al. 2012)", "previouslyFormattedCitation" : "(Bryman &amp; Bell 2011; Saunders et al. 2012)" }, "properties" : { "noteIndex" : 0 }, "schema" : "https://github.com/citation-style-language/schema/raw/master/csl-citation.json" }</w:instrText>
      </w:r>
      <w:r w:rsidRPr="00452E2E">
        <w:fldChar w:fldCharType="separate"/>
      </w:r>
      <w:r w:rsidRPr="00452E2E">
        <w:rPr>
          <w:noProof/>
        </w:rPr>
        <w:t xml:space="preserve">(Bryman &amp; Bell, 2011; Saunders </w:t>
      </w:r>
      <w:r w:rsidRPr="00452E2E">
        <w:rPr>
          <w:i/>
          <w:noProof/>
        </w:rPr>
        <w:t>et al</w:t>
      </w:r>
      <w:r w:rsidRPr="00452E2E">
        <w:rPr>
          <w:noProof/>
        </w:rPr>
        <w:t>., 2012)</w:t>
      </w:r>
      <w:r w:rsidRPr="00452E2E">
        <w:fldChar w:fldCharType="end"/>
      </w:r>
      <w:r w:rsidRPr="00452E2E">
        <w:t xml:space="preserve">, a third epistemological position known as neo-positivism has also gained popularity in management research in recent years </w:t>
      </w:r>
      <w:r w:rsidRPr="00452E2E">
        <w:fldChar w:fldCharType="begin" w:fldLock="1"/>
      </w:r>
      <w:r w:rsidRPr="00452E2E">
        <w:instrText>ADDIN CSL_CITATION { "citationItems" : [ { "id" : "ITEM-1",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"ITEM-1", "issued" : { "date-parts" : [ [ "2012" ] ] }, "page" : "15-34", "publisher" : "SAGE", "publisher-place" : "London", "title" : "Philosophies underpinning qualitative research", "type" : "chapter" }, "uris" : [ "http://www.mendeley.com/documents/?uuid=e58728df-d537-4f3e-bf54-129d677c48be" ] } ], "mendeley" : { "formattedCitation" : "(Duberley et al. 2012)", "manualFormatting" : "(Duberley et al., 2012)", "plainTextFormattedCitation" : "(Duberley et al. 2012)", "previouslyFormattedCitation" : "(Duberley et al. 2012)" }, "properties" : { "noteIndex" : 0 }, "schema" : "https://github.com/citation-style-language/schema/raw/master/csl-citation.json" }</w:instrText>
      </w:r>
      <w:r w:rsidRPr="00452E2E">
        <w:fldChar w:fldCharType="separate"/>
      </w:r>
      <w:r w:rsidRPr="00452E2E">
        <w:rPr>
          <w:noProof/>
        </w:rPr>
        <w:t xml:space="preserve">(Duberley </w:t>
      </w:r>
      <w:r w:rsidRPr="00452E2E">
        <w:rPr>
          <w:i/>
          <w:noProof/>
        </w:rPr>
        <w:t>et al</w:t>
      </w:r>
      <w:r w:rsidRPr="00452E2E">
        <w:rPr>
          <w:noProof/>
        </w:rPr>
        <w:t>., 2012)</w:t>
      </w:r>
      <w:r w:rsidRPr="00452E2E">
        <w:fldChar w:fldCharType="end"/>
      </w:r>
      <w:r w:rsidRPr="00452E2E">
        <w:t xml:space="preserve">. Indeed, neo-positivism is the epistemological stance adopted for this research. Nevertheless, before discussing neo-positivism as the epistemological position adopted for this research, there is need to shed light on the other two epistemological positions. </w:t>
      </w:r>
    </w:p>
    <w:p w:rsidR="00D03A8E" w:rsidRPr="00452E2E" w:rsidRDefault="00D03A8E" w:rsidP="00D03A8E">
      <w:pPr>
        <w:spacing w:line="360" w:lineRule="auto"/>
        <w:jc w:val="both"/>
      </w:pPr>
      <w:r w:rsidRPr="00452E2E">
        <w:rPr>
          <w:i/>
        </w:rPr>
        <w:lastRenderedPageBreak/>
        <w:t xml:space="preserve">Positivism </w:t>
      </w:r>
      <w:r w:rsidRPr="00452E2E">
        <w:t xml:space="preserve">assumes that individuals can objectively or neutrally gain knowledge of social phenomena without influencing it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"id" : "ITEM-2",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"ITEM-2", "issued" : { "date-parts" : [ [ "2014" ] ] }, "publisher" : "Pearson", "publisher-place" : "Harlow", "title" : "Organization theory: challenges and perspectives", "type" : "book" }, "uris" : [ "http://www.mendeley.com/documents/?uuid=44ca8f45-0b5f-4621-9579-c81258e0c7cf" ] } ], "mendeley" : { "formattedCitation" : "(Johnson &amp; Duberley 2000; McAuley et al. 2014)", "manualFormatting" : "(Johnson &amp; Duberley, 2000; McAuley et al., 2014)", "plainTextFormattedCitation" : "(Johnson &amp; Duberley 2000; McAuley et al. 2014)", "previouslyFormattedCitation" : "(Johnson &amp; Duberley 2000; McAuley et al. 2014)" }, "properties" : { "noteIndex" : 0 }, "schema" : "https://github.com/citation-style-language/schema/raw/master/csl-citation.json" }</w:instrText>
      </w:r>
      <w:r w:rsidRPr="00452E2E">
        <w:fldChar w:fldCharType="separate"/>
      </w:r>
      <w:r w:rsidRPr="00452E2E">
        <w:rPr>
          <w:noProof/>
        </w:rPr>
        <w:t xml:space="preserve">(Johnson &amp; Duberley, 2000; McAuley </w:t>
      </w:r>
      <w:r w:rsidRPr="00452E2E">
        <w:rPr>
          <w:i/>
          <w:noProof/>
        </w:rPr>
        <w:t>et al</w:t>
      </w:r>
      <w:r w:rsidRPr="00452E2E">
        <w:rPr>
          <w:noProof/>
        </w:rPr>
        <w:t>., 2014)</w:t>
      </w:r>
      <w:r w:rsidRPr="00452E2E">
        <w:fldChar w:fldCharType="end"/>
      </w:r>
      <w:r w:rsidRPr="00452E2E">
        <w:t xml:space="preserve">. Positivism is influenced by methods of research in the natural sciences and emphasizes the adoption of scientific method of inquiry in order to test theories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This it does by utilizing techniques that enable researchers prevent bias in the research process </w:t>
      </w:r>
      <w:r w:rsidRPr="00452E2E">
        <w:fldChar w:fldCharType="begin" w:fldLock="1"/>
      </w:r>
      <w:r w:rsidRPr="00452E2E">
        <w:instrText>ADDIN CSL_CITATION { "citationItems" : [ { "id" : "ITEM-1", "itemData" : { "ISBN" : "1345-0891", "abstract" : "This article traces the underlying theoretical framework of educational research. It outlines the definitions of epistemology, ontology and paradigm and the origins, main tenets, and key thinkers of the 3 paradigms; positivist, interpetivist and critical. By closely analyzing each paradigm, the literature review focuses on the ontological and epistemological assumptions of each paradigm. Finally the author analyzes not only the paradigm\u2019s weakness but also the author\u2019s own construct of reality and knowledge which align with the critical paradigm.", "author" : [ { "dropping-particle" : "", "family" : "Mack", "given" : "Lindsay", "non-dropping-particle" : "", "parse-names" : false, "suffix" : "" } ], "container-title" : "Polyglossia", "id" : "ITEM-1", "issued" : { "date-parts" : [ [ "2010" ] ] }, "page" : "5-11", "title" : "The philosophical underpinnings of educational research", "type" : "article-journal", "volume" : "19" }, "uris" : [ "http://www.mendeley.com/documents/?uuid=e2352029-78fb-4dc6-914a-956a36efabe3" ] }, { "id" : "ITEM-2", "itemData" : { "author" : [ { "dropping-particle" : "", "family" : "Bryman", "given" : "A", "non-dropping-particle" : "", "parse-names" : false, "suffix" : "" }, { "dropping-particle" : "", "family" : "Bell", "given" : "E", "non-dropping-particle" : "", "parse-names" : false, "suffix" : "" } ], "edition" : "3rd", "id" : "ITEM-2", "issued" : { "date-parts" : [ [ "2011" ] ] }, "publisher" : "Oxford University Press", "publisher-place" : "Oxford", "title" : "Business research methods", "type" : "book" }, "uris" : [ "http://www.mendeley.com/documents/?uuid=4cae4e90-dc5a-4453-b76d-3ba238dca132" ] } ], "mendeley" : { "formattedCitation" : "(Mack 2010; Bryman &amp; Bell 2011)", "manualFormatting" : "(Mack, 2010; Bryman &amp; Bell, 2011)", "plainTextFormattedCitation" : "(Mack 2010; Bryman &amp; Bell 2011)", "previouslyFormattedCitation" : "(Mack 2010; Bryman &amp; Bell 2011)" }, "properties" : { "noteIndex" : 0 }, "schema" : "https://github.com/citation-style-language/schema/raw/master/csl-citation.json" }</w:instrText>
      </w:r>
      <w:r w:rsidRPr="00452E2E">
        <w:fldChar w:fldCharType="separate"/>
      </w:r>
      <w:r w:rsidRPr="00452E2E">
        <w:rPr>
          <w:noProof/>
        </w:rPr>
        <w:t>(Mack, 2010; Bryman &amp; Bell, 2011)</w:t>
      </w:r>
      <w:r w:rsidRPr="00452E2E">
        <w:fldChar w:fldCharType="end"/>
      </w:r>
      <w:r w:rsidRPr="00452E2E">
        <w:t xml:space="preserve">. Positivism aligns with the realist ontological position and quantitative research methodology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On the other hand, </w:t>
      </w:r>
      <w:r w:rsidRPr="00452E2E">
        <w:rPr>
          <w:i/>
        </w:rPr>
        <w:t xml:space="preserve">interpretivism </w:t>
      </w:r>
      <w:r w:rsidRPr="00452E2E">
        <w:t xml:space="preserve">assumes that what we know as reality is the creation of individuals </w:t>
      </w:r>
      <w:r w:rsidRPr="00452E2E">
        <w:fldChar w:fldCharType="begin" w:fldLock="1"/>
      </w:r>
      <w:r w:rsidRPr="00452E2E">
        <w:instrText>ADDIN CSL_CITATION { "citationItems" : [ { "id" : "ITEM-1", "itemData" : { "author" : [ { "dropping-particle" : "", "family" : "Johnson", "given" : "Phil", "non-dropping-particle" : "", "parse-names" : false, "suffix" : "" }, { "dropping-particle" : "", "family" : "Duberley", "given" : "Joanne", "non-dropping-particle" : "", "parse-names" : false, "suffix" : "" } ], "id" : "ITEM-1", "issued" : { "date-parts" : [ [ "2000" ] ] }, "publisher" : "SAGE", "publisher-place" : "London", "title" : "Understanding management research", "type" : "book" }, "uris" : [ "http://www.mendeley.com/documents/?uuid=3ff850c0-c6a0-4567-9c44-490da9ebf60b" ] }, { "id" : "ITEM-2", "itemData" : { "author" : [ { "dropping-particle" : "", "family" : "McAuley", "given" : "J", "non-dropping-particle" : "", "parse-names" : false, "suffix" : "" }, { "dropping-particle" : "", "family" : "Duberley", "given" : "Joanne", "non-dropping-particle" : "", "parse-names" : false, "suffix" : "" }, { "dropping-particle" : "", "family" : "Johnson", "given" : "Phil", "non-dropping-particle" : "", "parse-names" : false, "suffix" : "" } ], "edition" : "2nd", "id" : "ITEM-2", "issued" : { "date-parts" : [ [ "2014" ] ] }, "publisher" : "Pearson", "publisher-place" : "Harlow", "title" : "Organization theory: challenges and perspectives", "type" : "book" }, "uris" : [ "http://www.mendeley.com/documents/?uuid=44ca8f45-0b5f-4621-9579-c81258e0c7cf" ] }, { "id" : "ITEM-3", "itemData" : { "ISBN" : "1345-0891", "abstract" : "This article traces the underlying theoretical framework of educational research. It outlines the definitions of epistemology, ontology and paradigm and the origins, main tenets, and key thinkers of the 3 paradigms; positivist, interpetivist and critical. By closely analyzing each paradigm, the literature review focuses on the ontological and epistemological assumptions of each paradigm. Finally the author analyzes not only the paradigm\u2019s weakness but also the author\u2019s own construct of reality and knowledge which align with the critical paradigm.", "author" : [ { "dropping-particle" : "", "family" : "Mack", "given" : "Lindsay", "non-dropping-particle" : "", "parse-names" : false, "suffix" : "" } ], "container-title" : "Polyglossia", "id" : "ITEM-3", "issued" : { "date-parts" : [ [ "2010" ] ] }, "page" : "5-11", "title" : "The philosophical underpinnings of educational research", "type" : "article-journal", "volume" : "19" }, "uris" : [ "http://www.mendeley.com/documents/?uuid=e2352029-78fb-4dc6-914a-956a36efabe3" ] } ], "mendeley" : { "formattedCitation" : "(Johnson &amp; Duberley 2000; McAuley et al. 2014; Mack 2010)", "manualFormatting" : "(Johnson &amp; Duberley, 2000; McAuley et al., 2014; Mack, 2010)", "plainTextFormattedCitation" : "(Johnson &amp; Duberley 2000; McAuley et al. 2014; Mack 2010)", "previouslyFormattedCitation" : "(Johnson &amp; Duberley 2000; McAuley et al. 2014; Mack 2010)" }, "properties" : { "noteIndex" : 0 }, "schema" : "https://github.com/citation-style-language/schema/raw/master/csl-citation.json" }</w:instrText>
      </w:r>
      <w:r w:rsidRPr="00452E2E">
        <w:fldChar w:fldCharType="separate"/>
      </w:r>
      <w:r w:rsidRPr="00452E2E">
        <w:rPr>
          <w:noProof/>
        </w:rPr>
        <w:t xml:space="preserve">(Johnson &amp; Duberley, 2000; McAuley </w:t>
      </w:r>
      <w:r w:rsidRPr="00452E2E">
        <w:rPr>
          <w:i/>
          <w:noProof/>
        </w:rPr>
        <w:t>et al</w:t>
      </w:r>
      <w:r w:rsidRPr="00452E2E">
        <w:rPr>
          <w:noProof/>
        </w:rPr>
        <w:t>., 2014; Mack, 2010)</w:t>
      </w:r>
      <w:r w:rsidRPr="00452E2E">
        <w:fldChar w:fldCharType="end"/>
      </w:r>
      <w:r w:rsidRPr="00452E2E">
        <w:t xml:space="preserve">. Therefore, in order to understand social phenomena, the subjective interpretation and perceptions of individuals need to be taken into consideration </w:t>
      </w:r>
      <w:r w:rsidRPr="00452E2E">
        <w:fldChar w:fldCharType="begin" w:fldLock="1"/>
      </w:r>
      <w:r w:rsidRPr="00452E2E">
        <w:instrText>ADDIN CSL_CITATION { "citationItems" : [ { "id" : "ITEM-1", "itemData" : { "ISBN" : "1345-0891", "abstract" : "This article traces the underlying theoretical framework of educational research. It outlines the definitions of epistemology, ontology and paradigm and the origins, main tenets, and key thinkers of the 3 paradigms; positivist, interpetivist and critical. By closely analyzing each paradigm, the literature review focuses on the ontological and epistemological assumptions of each paradigm. Finally the author analyzes not only the paradigm\u2019s weakness but also the author\u2019s own construct of reality and knowledge which align with the critical paradigm.", "author" : [ { "dropping-particle" : "", "family" : "Mack", "given" : "Lindsay", "non-dropping-particle" : "", "parse-names" : false, "suffix" : "" } ], "container-title" : "Polyglossia", "id" : "ITEM-1", "issued" : { "date-parts" : [ [ "2010" ] ] }, "page" : "5-11", "title" : "The philosophical underpinnings of educational research", "type" : "article-journal", "volume" : "19" }, "uris" : [ "http://www.mendeley.com/documents/?uuid=e2352029-78fb-4dc6-914a-956a36efabe3" ] } ], "mendeley" : { "formattedCitation" : "(Mack 2010)", "manualFormatting" : "(Mack, 2010)", "plainTextFormattedCitation" : "(Mack 2010)", "previouslyFormattedCitation" : "(Mack 2010)" }, "properties" : { "noteIndex" : 0 }, "schema" : "https://github.com/citation-style-language/schema/raw/master/csl-citation.json" }</w:instrText>
      </w:r>
      <w:r w:rsidRPr="00452E2E">
        <w:fldChar w:fldCharType="separate"/>
      </w:r>
      <w:r w:rsidRPr="00452E2E">
        <w:rPr>
          <w:noProof/>
        </w:rPr>
        <w:t>(Mack, 2010)</w:t>
      </w:r>
      <w:r w:rsidRPr="00452E2E">
        <w:fldChar w:fldCharType="end"/>
      </w:r>
      <w:r w:rsidRPr="00452E2E">
        <w:t xml:space="preserve">. This epistemological stance aligns with the subjectivist ontological position and qualitative research methodology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w:t>
      </w:r>
    </w:p>
    <w:p w:rsidR="00C453CE" w:rsidRPr="00452E2E" w:rsidRDefault="00D03A8E" w:rsidP="00D03A8E">
      <w:pPr>
        <w:spacing w:line="360" w:lineRule="auto"/>
        <w:jc w:val="both"/>
      </w:pPr>
      <w:r w:rsidRPr="00452E2E">
        <w:rPr>
          <w:i/>
        </w:rPr>
        <w:t xml:space="preserve">Neo-positivism </w:t>
      </w:r>
      <w:r w:rsidRPr="00452E2E">
        <w:t xml:space="preserve">adopts a realist ontological status of social reality just like positivism in the sense that it is based on the assumption that reality exists out there waiting to be unearthed </w:t>
      </w:r>
      <w:r w:rsidRPr="00452E2E">
        <w:fldChar w:fldCharType="begin" w:fldLock="1"/>
      </w:r>
      <w:r w:rsidRPr="00452E2E">
        <w:instrText>ADDIN CSL_CITATION { "citationItems" : [ { "id" : "ITEM-1", "itemData" : { "DOI" : "10.1111/j.1468-2370.2006.00124.x", "ISBN" : "14608545", "ISSN" : "14608545", "author" : [ { "dropping-particle" : "", "family" : "Johnson", "given" : "Phil", "non-dropping-particle" : "", "parse-names" : false, "suffix" : "" }, { "dropping-particle" : "", "family" : "Buehring", "given" : "Anna", "non-dropping-particle" : "", "parse-names" : false, "suffix" : "" }, { "dropping-particle" : "", "family" : "Cassell", "given" : "Catherine", "non-dropping-particle" : "", "parse-names" : false, "suffix" : "" }, { "dropping-particle" : "", "family" : "Symon", "given" : "Gillian", "non-dropping-particle" : "", "parse-names" : false, "suffix" : "" } ], "container-title" : "International Journal of Management Reviews", "id" : "ITEM-1", "issue" : "3", "issued" : { "date-parts" : [ [ "2006" ] ] }, "page" : "131-156", "title" : "Evaluating qualitative management research: Towards a contingent criteriology", "type" : "article-journal", "volume" : "8" }, "uris" : [ "http://www.mendeley.com/documents/?uuid=19446eb4-0877-4f78-aaf2-08d3c1d3ef26" ] }, { "id" : "ITEM-2",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"ITEM-2", "issued" : { "date-parts" : [ [ "2012" ] ] }, "page" : "15-34", "publisher" : "SAGE", "publisher-place" : "London", "title" : "Philosophies underpinning qualitative research", "type" : "chapter" }, "uris" : [ "http://www.mendeley.com/documents/?uuid=e58728df-d537-4f3e-bf54-129d677c48be" ] } ], "mendeley" : { "formattedCitation" : "(Johnson et al. 2006; Duberley et al. 2012)", "manualFormatting" : "(Johnson et al., 2006; Duberley et al., 2012)", "plainTextFormattedCitation" : "(Johnson et al. 2006; Duberley et al. 2012)", "previouslyFormattedCitation" : "(Johnson et al. 2006; Duberley et al. 2012)" }, "properties" : { "noteIndex" : 0 }, "schema" : "https://github.com/citation-style-language/schema/raw/master/csl-citation.json" }</w:instrText>
      </w:r>
      <w:r w:rsidRPr="00452E2E">
        <w:fldChar w:fldCharType="separate"/>
      </w:r>
      <w:r w:rsidRPr="00452E2E">
        <w:rPr>
          <w:noProof/>
        </w:rPr>
        <w:t xml:space="preserve">(Johnson </w:t>
      </w:r>
      <w:r w:rsidRPr="00452E2E">
        <w:rPr>
          <w:i/>
          <w:noProof/>
        </w:rPr>
        <w:t>et al</w:t>
      </w:r>
      <w:r w:rsidRPr="00452E2E">
        <w:rPr>
          <w:noProof/>
        </w:rPr>
        <w:t xml:space="preserve">., 2006; Duberley </w:t>
      </w:r>
      <w:r w:rsidRPr="00452E2E">
        <w:rPr>
          <w:i/>
          <w:noProof/>
        </w:rPr>
        <w:t>et al</w:t>
      </w:r>
      <w:r w:rsidRPr="00452E2E">
        <w:rPr>
          <w:noProof/>
        </w:rPr>
        <w:t>., 2012)</w:t>
      </w:r>
      <w:r w:rsidRPr="00452E2E">
        <w:fldChar w:fldCharType="end"/>
      </w:r>
      <w:r w:rsidRPr="00452E2E">
        <w:t xml:space="preserve">. It however deviates from core positivism in the sense that when it comes to the ontological status of human behaviour and action, neo-positivists believe that human behaviour is subjective and must not be studied through a predetermined methodology </w:t>
      </w:r>
      <w:r w:rsidRPr="00452E2E">
        <w:fldChar w:fldCharType="begin" w:fldLock="1"/>
      </w:r>
      <w:r w:rsidRPr="00452E2E">
        <w:instrText>ADDIN CSL_CITATION { "citationItems" : [ { "id" : "ITEM-1", "itemData" : { "DOI" : "10.1111/j.1468-2370.2006.00124.x", "ISBN" : "14608545", "ISSN" : "14608545", "author" : [ { "dropping-particle" : "", "family" : "Johnson", "given" : "Phil", "non-dropping-particle" : "", "parse-names" : false, "suffix" : "" }, { "dropping-particle" : "", "family" : "Buehring", "given" : "Anna", "non-dropping-particle" : "", "parse-names" : false, "suffix" : "" }, { "dropping-particle" : "", "family" : "Cassell", "given" : "Catherine", "non-dropping-particle" : "", "parse-names" : false, "suffix" : "" }, { "dropping-particle" : "", "family" : "Symon", "given" : "Gillian", "non-dropping-particle" : "", "parse-names" : false, "suffix" : "" } ], "container-title" : "International Journal of Management Reviews", "id" : "ITEM-1", "issue" : "3", "issued" : { "date-parts" : [ [ "2006" ] ] }, "page" : "131-156", "title" : "Evaluating qualitative management research: Towards a contingent criteriology", "type" : "article-journal", "volume" : "8" }, "uris" : [ "http://www.mendeley.com/documents/?uuid=19446eb4-0877-4f78-aaf2-08d3c1d3ef26" ] }, { "id" : "ITEM-2",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"ITEM-2", "issued" : { "date-parts" : [ [ "2012" ] ] }, "page" : "15-34", "publisher" : "SAGE", "publisher-place" : "London", "title" : "Philosophies underpinning qualitative research", "type" : "chapter" }, "uris" : [ "http://www.mendeley.com/documents/?uuid=e58728df-d537-4f3e-bf54-129d677c48be" ] }, { "id" : "ITEM-3",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"ITEM-3", "issue" : "4", "issued" : { "date-parts" : [ [ "2015" ] ] }, "page" : "760-776", "title" : "Inductive praxis and management research: towards a reflexive framework", "type" : "article-journal", "volume" : "26" }, "uris" : [ "http://www.mendeley.com/documents/?uuid=f9176601-aa58-4266-aecd-97878aa30f90" ] } ], "mendeley" : { "formattedCitation" : "(Johnson et al. 2006; Duberley et al. 2012; Johnson &amp; Duberley 2015)", "manualFormatting" : "(Johnson et al., 2006; Duberley et al., 2012; Johnson &amp; Duberley, 2015)", "plainTextFormattedCitation" : "(Johnson et al. 2006; Duberley et al. 2012; Johnson &amp; Duberley 2015)", "previouslyFormattedCitation" : "(Johnson et al. 2006; Duberley et al. 2012; Johnson &amp; Duberley 2015)" }, "properties" : { "noteIndex" : 0 }, "schema" : "https://github.com/citation-style-language/schema/raw/master/csl-citation.json" }</w:instrText>
      </w:r>
      <w:r w:rsidRPr="00452E2E">
        <w:fldChar w:fldCharType="separate"/>
      </w:r>
      <w:r w:rsidRPr="00452E2E">
        <w:rPr>
          <w:noProof/>
        </w:rPr>
        <w:t xml:space="preserve">(Johnson </w:t>
      </w:r>
      <w:r w:rsidRPr="00452E2E">
        <w:rPr>
          <w:i/>
          <w:noProof/>
        </w:rPr>
        <w:t>et al</w:t>
      </w:r>
      <w:r w:rsidRPr="00452E2E">
        <w:rPr>
          <w:noProof/>
        </w:rPr>
        <w:t xml:space="preserve">., 2006; Duberley </w:t>
      </w:r>
      <w:r w:rsidRPr="00452E2E">
        <w:rPr>
          <w:i/>
          <w:noProof/>
        </w:rPr>
        <w:t>et al</w:t>
      </w:r>
      <w:r w:rsidRPr="00452E2E">
        <w:rPr>
          <w:noProof/>
        </w:rPr>
        <w:t>., 2012; Johnson &amp; Duberley, 2015)</w:t>
      </w:r>
      <w:r w:rsidRPr="00452E2E">
        <w:fldChar w:fldCharType="end"/>
      </w:r>
      <w:r w:rsidRPr="00452E2E">
        <w:t xml:space="preserve">. Thus, there is need </w:t>
      </w:r>
      <w:r w:rsidR="00C0776A" w:rsidRPr="00452E2E">
        <w:t>for researchers to be reflexive</w:t>
      </w:r>
      <w:r w:rsidRPr="00452E2E">
        <w:t xml:space="preserve"> in order to avoid methodological lapses </w:t>
      </w:r>
      <w:r w:rsidRPr="00452E2E">
        <w:fldChar w:fldCharType="begin" w:fldLock="1"/>
      </w:r>
      <w:r w:rsidRPr="00452E2E">
        <w:instrText>ADDIN CSL_CITATION { "citationItems" : [ { "id" : "ITEM-1", "itemData" : { "DOI" : "10.1111/1467-6486.00380", "ISBN" : "1467-6486", "ISSN" : "0022-2380", "PMID" : "10193293", "abstract" : "Recently the term reflexivity has entered management discourses about research, education and practice. This paper highlights the ambiguity which prevails concerning the concept of reflexivity showing how the ways in which reflexivity itself is constituted inevitably articulates epistemological circularity in that commentators\u2019 definitions and prescriptions vary according to their tacit metatheoretical commitments. Hence the aim of this paper is to explore this paradox by excavating such commitments and demonstrating how they constitute particular forms of reflexivity \u2013 each with distinctive implications for the role of the management researcher in terms of aims, processes, and outcomes. Three generic forms of reflexivity are proposed: the methodological, the hyper or deconstructive, and the epistemic", "author" : [ { "dropping-particle" : "", "family" : "Johnson", "given" : "Phil", "non-dropping-particle" : "", "parse-names" : false, "suffix" : "" }, { "dropping-particle" : "", "family" : "Duberley", "given" : "Joanne", "non-dropping-particle" : "", "parse-names" : false, "suffix" : "" } ], "container-title" : "Journal of Management Studies", "id" : "ITEM-1", "issue" : "5", "issued" : { "date-parts" : [ [ "2003" ] ] }, "page" : "1279-1303", "title" : "Reflexivity in management research", "type" : "article-journal", "volume" : "40" }, "uris" : [ "http://www.mendeley.com/documents/?uuid=00744364-5c4d-4aa5-b46a-7fd3a51f25c0" ] }, { "id" : "ITEM-2",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"ITEM-2", "issue" : "4", "issued" : { "date-parts" : [ [ "2015" ] ] }, "page" : "760-776", "title" : "Inductive praxis and management research: towards a reflexive framework", "type" : "article-journal", "volume" : "26" }, "uris" : [ "http://www.mendeley.com/documents/?uuid=f9176601-aa58-4266-aecd-97878aa30f90" ] } ], "mendeley" : { "formattedCitation" : "(Johnson &amp; Duberley 2003; Johnson &amp; Duberley 2015)", "manualFormatting" : "(Johnson &amp; Duberley, 2003; Johnson &amp; Duberley, 2015)", "plainTextFormattedCitation" : "(Johnson &amp; Duberley 2003; Johnson &amp; Duberley 2015)", "previouslyFormattedCitation" : "(Johnson &amp; Duberley 2003; Johnson &amp; Duberley 2015)" }, "properties" : { "noteIndex" : 0 }, "schema" : "https://github.com/citation-style-language/schema/raw/master/csl-citation.json" }</w:instrText>
      </w:r>
      <w:r w:rsidRPr="00452E2E">
        <w:fldChar w:fldCharType="separate"/>
      </w:r>
      <w:r w:rsidRPr="00452E2E">
        <w:rPr>
          <w:noProof/>
        </w:rPr>
        <w:t>(Johnson &amp; Duberley, 2003; Johnson &amp; Duberley, 2015)</w:t>
      </w:r>
      <w:r w:rsidRPr="00452E2E">
        <w:fldChar w:fldCharType="end"/>
      </w:r>
      <w:r w:rsidRPr="00452E2E">
        <w:t xml:space="preserve">. </w:t>
      </w:r>
    </w:p>
    <w:p w:rsidR="00D03A8E" w:rsidRPr="00452E2E" w:rsidRDefault="00D03A8E" w:rsidP="00D03A8E">
      <w:pPr>
        <w:spacing w:line="360" w:lineRule="auto"/>
        <w:jc w:val="both"/>
      </w:pPr>
      <w:r w:rsidRPr="00452E2E">
        <w:t>Neo-positivism is anchored on the belief that although human behaviour may be subjective, it is possible to be objective/neu</w:t>
      </w:r>
      <w:r w:rsidR="00F66AF1" w:rsidRPr="00452E2E">
        <w:t>t</w:t>
      </w:r>
      <w:r w:rsidRPr="00452E2E">
        <w:t xml:space="preserve">ral in order to have access to reality </w:t>
      </w:r>
      <w:r w:rsidRPr="00452E2E">
        <w:fldChar w:fldCharType="begin" w:fldLock="1"/>
      </w:r>
      <w:r w:rsidRPr="00452E2E">
        <w:instrText>ADDIN CSL_CITATION { "citationItems" : [ { "id" : "ITEM-1", "itemData" : { "author" : [ { "dropping-particle" : "", "family" : "Alvesson", "given" : "Mats", "non-dropping-particle" : "", "parse-names" : false, "suffix" : "" }, { "dropping-particle" : "", "family" : "Ashcraft", "given" : "Karen Lee",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"ITEM-1", "issued" : { "date-parts" : [ [ "2012" ] ] }, "page" : "239-257", "publisher" : "SAGE", "publisher-place" : "London", "title" : "Interviews", "type" : "chapter" }, "uris" : [ "http://www.mendeley.com/documents/?uuid=22ea8538-d321-4f92-8b96-9b6b17d69206" ] }, { "id" : "ITEM-2",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"ITEM-2", "issued" : { "date-parts" : [ [ "2012" ] ] }, "page" : "15-34", "publisher" : "SAGE", "publisher-place" : "London", "title" : "Philosophies underpinning qualitative research", "type" : "chapter" }, "uris" : [ "http://www.mendeley.com/documents/?uuid=e58728df-d537-4f3e-bf54-129d677c48be" ] } ], "mendeley" : { "formattedCitation" : "(Alvesson &amp; Ashcraft 2012; Duberley et al. 2012)", "manualFormatting" : "(Alvesson &amp; Ashcraft, 2012; Duberley et al., 2012)", "plainTextFormattedCitation" : "(Alvesson &amp; Ashcraft 2012; Duberley et al. 2012)", "previouslyFormattedCitation" : "(Alvesson &amp; Ashcraft 2012; Duberley et al. 2012)" }, "properties" : { "noteIndex" : 0 }, "schema" : "https://github.com/citation-style-language/schema/raw/master/csl-citation.json" }</w:instrText>
      </w:r>
      <w:r w:rsidRPr="00452E2E">
        <w:fldChar w:fldCharType="separate"/>
      </w:r>
      <w:r w:rsidRPr="00452E2E">
        <w:rPr>
          <w:noProof/>
        </w:rPr>
        <w:t xml:space="preserve">(Alvesson &amp; Ashcraft, 2012; Duberley </w:t>
      </w:r>
      <w:r w:rsidRPr="00452E2E">
        <w:rPr>
          <w:i/>
          <w:noProof/>
        </w:rPr>
        <w:t>et al</w:t>
      </w:r>
      <w:r w:rsidRPr="00452E2E">
        <w:rPr>
          <w:noProof/>
        </w:rPr>
        <w:t>., 2012)</w:t>
      </w:r>
      <w:r w:rsidRPr="00452E2E">
        <w:fldChar w:fldCharType="end"/>
      </w:r>
      <w:r w:rsidRPr="00452E2E">
        <w:t xml:space="preserve">. It argues that whilst some research problems can be understood via quantitative approaches, others are best understood through qualitative methods </w:t>
      </w:r>
      <w:r w:rsidRPr="00452E2E">
        <w:fldChar w:fldCharType="begin" w:fldLock="1"/>
      </w:r>
      <w:r w:rsidRPr="00452E2E">
        <w:instrText>ADDIN CSL_CITATION { "citationItems" : [ { "id" : "ITEM-1",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"ITEM-1", "issue" : "4", "issued" : { "date-parts" : [ [ "2015" ] ] }, "page" : "760-776", "title" : "Inductive praxis and management research: towards a reflexive framework", "type" : "article-journal", "volume" : "26" }, "uris" : [ "http://www.mendeley.com/documents/?uuid=f9176601-aa58-4266-aecd-97878aa30f90" ] } ], "mendeley" : { "formattedCitation" : "(Johnson &amp; Duberley 2015)", "manualFormatting" : "(Johnson &amp; Duberley, 2015)", "plainTextFormattedCitation" : "(Johnson &amp; Duberley 2015)", "previouslyFormattedCitation" : "(Johnson &amp; Duberley 2015)" }, "properties" : { "noteIndex" : 0 }, "schema" : "https://github.com/citation-style-language/schema/raw/master/csl-citation.json" }</w:instrText>
      </w:r>
      <w:r w:rsidRPr="00452E2E">
        <w:fldChar w:fldCharType="separate"/>
      </w:r>
      <w:r w:rsidRPr="00452E2E">
        <w:rPr>
          <w:noProof/>
        </w:rPr>
        <w:t>(Johnson &amp; Duberley, 2015)</w:t>
      </w:r>
      <w:r w:rsidRPr="00452E2E">
        <w:fldChar w:fldCharType="end"/>
      </w:r>
      <w:r w:rsidRPr="00452E2E">
        <w:t xml:space="preserve">. This entails that within neo-positivism, qualitative approaches are also acceptable as a means of objectively accessing reality to the extent that the researcher attempts to, as much as possible, minimise the bias that is </w:t>
      </w:r>
      <w:r w:rsidR="00C13E52" w:rsidRPr="00452E2E">
        <w:t xml:space="preserve">sometimes </w:t>
      </w:r>
      <w:r w:rsidRPr="00452E2E">
        <w:t xml:space="preserve">associated with conducting qualitative research </w:t>
      </w:r>
      <w:r w:rsidRPr="00452E2E">
        <w:fldChar w:fldCharType="begin" w:fldLock="1"/>
      </w:r>
      <w:r w:rsidRPr="00452E2E">
        <w:instrText>ADDIN CSL_CITATION { "citationItems" : [ { "id" : "ITEM-1", "itemData" : { "DOI" : "10.1111/j.1468-2370.2006.00124.x", "ISBN" : "14608545", "ISSN" : "14608545", "author" : [ { "dropping-particle" : "", "family" : "Johnson", "given" : "Phil", "non-dropping-particle" : "", "parse-names" : false, "suffix" : "" }, { "dropping-particle" : "", "family" : "Buehring", "given" : "Anna", "non-dropping-particle" : "", "parse-names" : false, "suffix" : "" }, { "dropping-particle" : "", "family" : "Cassell", "given" : "Catherine", "non-dropping-particle" : "", "parse-names" : false, "suffix" : "" }, { "dropping-particle" : "", "family" : "Symon", "given" : "Gillian", "non-dropping-particle" : "", "parse-names" : false, "suffix" : "" } ], "container-title" : "International Journal of Management Reviews", "id" : "ITEM-1", "issue" : "3", "issued" : { "date-parts" : [ [ "2006" ] ] }, "page" : "131-156", "title" : "Evaluating qualitative management research: Towards a contingent criteriology", "type" : "article-journal", "volume" : "8" }, "uris" : [ "http://www.mendeley.com/documents/?uuid=19446eb4-0877-4f78-aaf2-08d3c1d3ef26" ] }, { "id" : "ITEM-2", "itemData" : { "author" : [ { "dropping-particle" : "", "family" : "Alvesson", "given" : "Mats", "non-dropping-particle" : "", "parse-names" : false, "suffix" : "" }, { "dropping-particle" : "", "family" : "Ashcraft", "given" : "Karen Lee",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"ITEM-2", "issued" : { "date-parts" : [ [ "2012" ] ] }, "page" : "239-257", "publisher" : "SAGE", "publisher-place" : "London", "title" : "Interviews", "type" : "chapter" }, "uris" : [ "http://www.mendeley.com/documents/?uuid=22ea8538-d321-4f92-8b96-9b6b17d69206" ] }, { "id" : "ITEM-3",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"ITEM-3", "issued" : { "date-parts" : [ [ "2012" ] ] }, "page" : "15-34", "publisher" : "SAGE", "publisher-place" : "London", "title" : "Philosophies underpinning qualitative research", "type" : "chapter" }, "uris" : [ "http://www.mendeley.com/documents/?uuid=e58728df-d537-4f3e-bf54-129d677c48be" ] } ], "mendeley" : { "formattedCitation" : "(Johnson et al. 2006; Alvesson &amp; Ashcraft 2012; Duberley et al. 2012)", "manualFormatting" : "(Johnson et al., 2006; Alvesson &amp; Ashcraft, 2012; Duberley et al., 2012)", "plainTextFormattedCitation" : "(Johnson et al. 2006; Alvesson &amp; Ashcraft 2012; Duberley et al. 2012)", "previouslyFormattedCitation" : "(Johnson et al. 2006; Alvesson &amp; Ashcraft 2012; Duberley et al. 2012)" }, "properties" : { "noteIndex" : 0 }, "schema" : "https://github.com/citation-style-language/schema/raw/master/csl-citation.json" }</w:instrText>
      </w:r>
      <w:r w:rsidRPr="00452E2E">
        <w:fldChar w:fldCharType="separate"/>
      </w:r>
      <w:r w:rsidRPr="00452E2E">
        <w:rPr>
          <w:noProof/>
        </w:rPr>
        <w:t xml:space="preserve">(Johnson </w:t>
      </w:r>
      <w:r w:rsidRPr="00452E2E">
        <w:rPr>
          <w:i/>
          <w:noProof/>
        </w:rPr>
        <w:t>et al</w:t>
      </w:r>
      <w:r w:rsidRPr="00452E2E">
        <w:rPr>
          <w:noProof/>
        </w:rPr>
        <w:t xml:space="preserve">., 2006; Alvesson &amp; Ashcraft, 2012; </w:t>
      </w:r>
      <w:r w:rsidRPr="00452E2E">
        <w:rPr>
          <w:noProof/>
        </w:rPr>
        <w:lastRenderedPageBreak/>
        <w:t xml:space="preserve">Duberley </w:t>
      </w:r>
      <w:r w:rsidRPr="00452E2E">
        <w:rPr>
          <w:i/>
          <w:noProof/>
        </w:rPr>
        <w:t>et al</w:t>
      </w:r>
      <w:r w:rsidRPr="00452E2E">
        <w:rPr>
          <w:noProof/>
        </w:rPr>
        <w:t>., 2012)</w:t>
      </w:r>
      <w:r w:rsidRPr="00452E2E">
        <w:fldChar w:fldCharType="end"/>
      </w:r>
      <w:r w:rsidRPr="00452E2E">
        <w:t xml:space="preserve">. Clearly, in the neo-positivist epistemological tradition, the assumptions of positivism are embedded in the use qualitative methods </w:t>
      </w:r>
      <w:r w:rsidRPr="00452E2E">
        <w:fldChar w:fldCharType="begin" w:fldLock="1"/>
      </w:r>
      <w:r w:rsidRPr="00452E2E">
        <w:instrText>ADDIN CSL_CITATION { "citationItems" : [ { "id" : "ITEM-1", "itemData" : { "DOI" : "10.1111/j.1468-2370.2006.00124.x", "ISBN" : "14608545", "ISSN" : "14608545", "author" : [ { "dropping-particle" : "", "family" : "Johnson", "given" : "Phil", "non-dropping-particle" : "", "parse-names" : false, "suffix" : "" }, { "dropping-particle" : "", "family" : "Buehring", "given" : "Anna", "non-dropping-particle" : "", "parse-names" : false, "suffix" : "" }, { "dropping-particle" : "", "family" : "Cassell", "given" : "Catherine", "non-dropping-particle" : "", "parse-names" : false, "suffix" : "" }, { "dropping-particle" : "", "family" : "Symon", "given" : "Gillian", "non-dropping-particle" : "", "parse-names" : false, "suffix" : "" } ], "container-title" : "International Journal of Management Reviews", "id" : "ITEM-1", "issue" : "3", "issued" : { "date-parts" : [ [ "2006" ] ] }, "page" : "131-156", "title" : "Evaluating qualitative management research: Towards a contingent criteriology", "type" : "article-journal", "volume" : "8" }, "uris" : [ "http://www.mendeley.com/documents/?uuid=19446eb4-0877-4f78-aaf2-08d3c1d3ef26" ] }, { "id" : "ITEM-2", "itemData" : { "author" : [ { "dropping-particle" : "", "family" : "Alvesson", "given" : "Mats", "non-dropping-particle" : "", "parse-names" : false, "suffix" : "" }, { "dropping-particle" : "", "family" : "Ashcraft", "given" : "Karen Lee",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"ITEM-2", "issued" : { "date-parts" : [ [ "2012" ] ] }, "page" : "239-257", "publisher" : "SAGE", "publisher-place" : "London", "title" : "Interviews", "type" : "chapter" }, "uris" : [ "http://www.mendeley.com/documents/?uuid=22ea8538-d321-4f92-8b96-9b6b17d69206" ] } ], "mendeley" : { "formattedCitation" : "(Johnson et al. 2006; Alvesson &amp; Ashcraft 2012)", "manualFormatting" : "(Johnson et al., 2006; Alvesson &amp; Ashcraft, 2012)", "plainTextFormattedCitation" : "(Johnson et al. 2006; Alvesson &amp; Ashcraft 2012)", "previouslyFormattedCitation" : "(Johnson et al. 2006; Alvesson &amp; Ashcraft 2012)" }, "properties" : { "noteIndex" : 0 }, "schema" : "https://github.com/citation-style-language/schema/raw/master/csl-citation.json" }</w:instrText>
      </w:r>
      <w:r w:rsidRPr="00452E2E">
        <w:fldChar w:fldCharType="separate"/>
      </w:r>
      <w:r w:rsidRPr="00452E2E">
        <w:rPr>
          <w:noProof/>
        </w:rPr>
        <w:t xml:space="preserve">(Johnson </w:t>
      </w:r>
      <w:r w:rsidRPr="00452E2E">
        <w:rPr>
          <w:i/>
          <w:noProof/>
        </w:rPr>
        <w:t>et al</w:t>
      </w:r>
      <w:r w:rsidRPr="00452E2E">
        <w:rPr>
          <w:noProof/>
        </w:rPr>
        <w:t>., 2006; Alvesson &amp; Ashcraft, 2012)</w:t>
      </w:r>
      <w:r w:rsidRPr="00452E2E">
        <w:fldChar w:fldCharType="end"/>
      </w:r>
      <w:r w:rsidRPr="00452E2E">
        <w:t xml:space="preserve"> and can therefore be easily used in a mixed methods research </w:t>
      </w:r>
      <w:r w:rsidRPr="00452E2E">
        <w:fldChar w:fldCharType="begin" w:fldLock="1"/>
      </w:r>
      <w:r w:rsidRPr="00452E2E">
        <w:instrText>ADDIN CSL_CITATION { "citationItems" : [ { "id" : "ITEM-1", "itemData" : { "DOI" : "10.1002/1098-240x(200006)23:3&lt;246::aid-nur9&gt;3.0.co;2-h", "ISBN" : "1098-240X", "ISSN" : "0160-6891", "PMID" : "10871540", "abstract" : "Researchers have increasingly turned to mixed-method techniques to expand the scope and improve the analytic power of their studies. Yet there is still relatively little direction on and much confusion about how to combine qualitative and quantitative techniques. These techniques are neither paradigm- nor method-linked; researchers' orientations to inquiry and their methodological commitments will influence how they use them. Examples of sampling combinations include criterion sampling from instrument scores, random purposeful sampling, and stratified purposeful sampling. Examples of data collection combinations include the use of instruments for fuller qualitative description, for validation, as guides for purposeful sampling, and as elicitation devices in interviews. Examples of data analysis combinations include interpretively linking qualitative and quantitative data sets and the transformation processes of qualitizing and quantitizing.", "author" : [ { "dropping-particle" : "", "family" : "Sandelowski", "given" : "M", "non-dropping-particle" : "", "parse-names" : false, "suffix" : "" } ], "container-title" : "Research in Nursing &amp; Health", "id" : "ITEM-1", "issue" : "3", "issued" : { "date-parts" : [ [ "2000" ] ] }, "page" : "246-255", "title" : "Combining qualitative and quantitative sampling, data collection, and analysis techniques in mixed-method studies.", "type" : "article-journal", "volume" : "23" }, "uris" : [ "http://www.mendeley.com/documents/?uuid=a84298a3-8c6c-41f1-b69c-934cf28008e1" ] }, { "id" : "ITEM-2", "itemData" : { "DOI" : "10.1016/j.jbusres.2007.07.014", "ISBN" : "0148-2963", "ISSN" : "01482963", "abstract" : "This review synthesizes the qualitative theoretical framework employed in Kennedy and McGarvey (in this issue), and posits a research paradigm to integrate and balance both qualitative and quantitative (\"Q-Q\") methods in study design using \"parallel perspective analysis\" as shown in Table 1. Integrating both research perspectives enabled Kennedy and McGarvey to construct a phenomenological \"story\" of human movement in pet-related consumption attitudes and behavior during the last century, while maintaining a high level of empirical rigor. The method for quantifying a Q-Q research study can be used to develop future balanced research by scholars and practitioners concerned with capturing contextual phenomena in empirically rigorous consumer research. ?? 2007.", "author" : [ { "dropping-particle" : "", "family" : "Mott-Stenerson", "given" : "Beth", "non-dropping-particle" : "", "parse-names" : false, "suffix" : "" } ], "container-title" : "Journal of Business Research", "id" : "ITEM-2", "issue" : "5", "issued" : { "date-parts" : [ [ "2008" ] ] }, "page" : "431-433", "title" : "Integrating qualitative and quantitative theoretical perspectives in applied advertising research", "type" : "article-journal", "volume" : "61" }, "uris" : [ "http://www.mendeley.com/documents/?uuid=a6520c6c-e3cc-417e-a043-9fcf60f6c45c" ] } ], "mendeley" : { "formattedCitation" : "(Sandelowski 2000; Mott-Stenerson 2008)", "manualFormatting" : "(Sandelowski, 2000; Mott-Stenerson, 2008)", "plainTextFormattedCitation" : "(Sandelowski 2000; Mott-Stenerson 2008)", "previouslyFormattedCitation" : "(Sandelowski 2000; Mott-Stenerson 2008)" }, "properties" : { "noteIndex" : 0 }, "schema" : "https://github.com/citation-style-language/schema/raw/master/csl-citation.json" }</w:instrText>
      </w:r>
      <w:r w:rsidRPr="00452E2E">
        <w:fldChar w:fldCharType="separate"/>
      </w:r>
      <w:r w:rsidRPr="00452E2E">
        <w:rPr>
          <w:noProof/>
        </w:rPr>
        <w:t>(Sandelowski, 2000; Mott-Stenerson, 2008)</w:t>
      </w:r>
      <w:r w:rsidRPr="00452E2E">
        <w:fldChar w:fldCharType="end"/>
      </w:r>
      <w:r w:rsidRPr="00452E2E">
        <w:t xml:space="preserve">. </w:t>
      </w:r>
    </w:p>
    <w:p w:rsidR="00D03A8E" w:rsidRPr="00452E2E" w:rsidRDefault="00D03A8E" w:rsidP="00D03A8E">
      <w:pPr>
        <w:spacing w:line="360" w:lineRule="auto"/>
        <w:jc w:val="both"/>
      </w:pPr>
      <w:r w:rsidRPr="00452E2E">
        <w:t xml:space="preserve">So how does neo-positivism apply to the present research? Whilst quantitative methods were largely used in this research, when it comes to the influence of institutions on HRM, inasmuch as quantitative methods were appropriate to tap the views of many HR managers across different industries and sectors about the research phenomena, the researcher acknowledges that abstract concepts such as institutions which are subject to cultural interpretations can be better understood through qualitative approaches </w:t>
      </w:r>
      <w:r w:rsidRPr="00452E2E">
        <w:fldChar w:fldCharType="begin" w:fldLock="1"/>
      </w:r>
      <w:r w:rsidRPr="00452E2E">
        <w:instrText>ADDIN CSL_CITATION { "citationItems" : [ { "id" : "ITEM-1",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"ITEM-2", "itemData" : { "abstract" : "Purpose \u2013 Research in strategic human resource management (HRM) has focused mainly on the effects of HRM practices or systems on organizational effectiveness. However, institutional theory argues that besides being financially successful, organizations also need legitimacy to survive.Owingto the tension between competitive and institutional pressures, organizations balance between the degree of conformity and the degree of differentiation from competitors regarding HRM. The purpose of this paper is to address how institutional pressures help shape HRM. Design/methodology/approach \u2013 Using the concepts of leeway, human agency and strategic choice, differences in three types of institutional fit are highlighted: innovative, conformist and deviant. A comparative case study approach is used in order to illustrate the framework, using document analysis and 43 interviews in three organizations in The Netherlands. Findings \u2013 This paper shows how balancing competitive and institutional pressures in organizations affects HRM. The cases illustrate the proposed theoretical framework, showing leeway, human agency, strategic choice and the nature of institutional fit.Theorganizations each illustrate a type of institutional fit. Moreover, not the institutional context itself, but the organization\u2019s response seems to make a difference for the nature of institutional fit. Originality/value \u2013 While previous studies focus on the effects of HRM on organizational effectiveness, this paper examines how the balance between competitive and institutional pressures affectsHRMand aims toshow that institutional fit can contribute to strategicHRMby providing insight in this more balanced goal setting of organizations.", "author" : [ { "dropping-particle" : "", "family" : "Boon", "given" : "Corine", "non-dropping-particle" : "", "parse-names" : false, "suffix" : "" }, { "dropping-particle" : "", "family" : "Paauwe", "given" : "Jaap", "non-dropping-particle" : "", "parse-names" : false, "suffix" : "" }, { "dropping-particle" : "", "family" : "Boselie", "given" : "Paul", "non-dropping-particle" : "", "parse-names" : false, "suffix" : "" }, { "dropping-particle" : "", "family" : "Hartog", "given" : "Deane", "non-dropping-particle" : "Den", "parse-names" : false, "suffix" : "" } ], "container-title" : "Personnel Review", "id" : "ITEM-2", "issue" : "5", "issued" : { "date-parts" : [ [ "2009" ] ] }, "page" : "492-508", "title" : "Institutional pressures and HRM: Developing institutional fit", "type" : "article-journal", "volume" : "38" }, "uris" : [ "http://www.mendeley.com/documents/?uuid=d7f5441f-2750-48bc-ac06-5b21ceb45e58" ] } ], "mendeley" : { "formattedCitation" : "(Boselie et al. 2003; Boon et al. 2009)", "manualFormatting" : "(Boselie et al., 2003; Boon et al., 2009)", "plainTextFormattedCitation" : "(Boselie et al. 2003; Boon et al. 2009)", "previouslyFormattedCitation" : "(Boselie et al. 2003; Boon et al. 2009)" }, "properties" : { "noteIndex" : 0 }, "schema" : "https://github.com/citation-style-language/schema/raw/master/csl-citation.json" }</w:instrText>
      </w:r>
      <w:r w:rsidRPr="00452E2E">
        <w:fldChar w:fldCharType="separate"/>
      </w:r>
      <w:r w:rsidRPr="00452E2E">
        <w:rPr>
          <w:noProof/>
        </w:rPr>
        <w:t xml:space="preserve">(Boselie </w:t>
      </w:r>
      <w:r w:rsidRPr="00452E2E">
        <w:rPr>
          <w:i/>
          <w:noProof/>
        </w:rPr>
        <w:t>et al</w:t>
      </w:r>
      <w:r w:rsidRPr="00452E2E">
        <w:rPr>
          <w:noProof/>
        </w:rPr>
        <w:t xml:space="preserve">., 2003; Boon </w:t>
      </w:r>
      <w:r w:rsidRPr="00452E2E">
        <w:rPr>
          <w:i/>
          <w:noProof/>
        </w:rPr>
        <w:t>et al</w:t>
      </w:r>
      <w:r w:rsidRPr="00452E2E">
        <w:rPr>
          <w:noProof/>
        </w:rPr>
        <w:t>., 2009)</w:t>
      </w:r>
      <w:r w:rsidRPr="00452E2E">
        <w:fldChar w:fldCharType="end"/>
      </w:r>
      <w:r w:rsidRPr="00452E2E">
        <w:t xml:space="preserve">; but that just like quantitative research, qualitative research can be objectively conducted </w:t>
      </w:r>
      <w:r w:rsidRPr="00452E2E">
        <w:fldChar w:fldCharType="begin" w:fldLock="1"/>
      </w:r>
      <w:r w:rsidRPr="00452E2E">
        <w:instrText>ADDIN CSL_CITATION { "citationItems" : [ { "id" : "ITEM-1", "itemData" : { "author" : [ { "dropping-particle" : "", "family" : "Alvesson", "given" : "Mats", "non-dropping-particle" : "", "parse-names" : false, "suffix" : "" }, { "dropping-particle" : "", "family" : "Ashcraft", "given" : "Karen Lee",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"ITEM-1", "issued" : { "date-parts" : [ [ "2012" ] ] }, "page" : "239-257", "publisher" : "SAGE", "publisher-place" : "London", "title" : "Interviews", "type" : "chapter" }, "uris" : [ "http://www.mendeley.com/documents/?uuid=22ea8538-d321-4f92-8b96-9b6b17d69206" ] }, { "id" : "ITEM-2", "itemData" : { "author" : [ { "dropping-particle" : "", "family" : "Duberley", "given" : "Joanne", "non-dropping-particle" : "", "parse-names" : false, "suffix" : "" }, { "dropping-particle" : "", "family" : "Johnson", "given" : "Phil", "non-dropping-particle" : "", "parse-names" : false, "suffix" : "" }, { "dropping-particle" : "", "family" : "Cassell", "given" : "Catherine",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"ITEM-2", "issued" : { "date-parts" : [ [ "2012" ] ] }, "page" : "15-34", "publisher" : "SAGE", "publisher-place" : "London", "title" : "Philosophies underpinning qualitative research", "type" : "chapter" }, "uris" : [ "http://www.mendeley.com/documents/?uuid=e58728df-d537-4f3e-bf54-129d677c48be" ] } ], "mendeley" : { "formattedCitation" : "(Alvesson &amp; Ashcraft 2012; Duberley et al. 2012)", "manualFormatting" : "(Alvesson &amp; Ashcraft, 2012; Duberley et al., 2012)", "plainTextFormattedCitation" : "(Alvesson &amp; Ashcraft 2012; Duberley et al. 2012)", "previouslyFormattedCitation" : "(Alvesson &amp; Ashcraft 2012; Duberley et al. 2012)" }, "properties" : { "noteIndex" : 0 }, "schema" : "https://github.com/citation-style-language/schema/raw/master/csl-citation.json" }</w:instrText>
      </w:r>
      <w:r w:rsidRPr="00452E2E">
        <w:fldChar w:fldCharType="separate"/>
      </w:r>
      <w:r w:rsidRPr="00452E2E">
        <w:rPr>
          <w:noProof/>
        </w:rPr>
        <w:t xml:space="preserve">(Alvesson &amp; Ashcraft, 2012; Duberley </w:t>
      </w:r>
      <w:r w:rsidRPr="00452E2E">
        <w:rPr>
          <w:i/>
          <w:noProof/>
        </w:rPr>
        <w:t>et al</w:t>
      </w:r>
      <w:r w:rsidRPr="00452E2E">
        <w:rPr>
          <w:noProof/>
        </w:rPr>
        <w:t>., 2012)</w:t>
      </w:r>
      <w:r w:rsidRPr="00452E2E">
        <w:fldChar w:fldCharType="end"/>
      </w:r>
      <w:r w:rsidRPr="00452E2E">
        <w:t xml:space="preserve">. Therefore, in order to gain more insights on how institutions influence HRM in public and private sector, the researcher turned to qualitative methods. Nevertheless, the bias that is sometimes associated with qualitative methods was minimised in this research in the sense that computer software (Nvivo 11) was used for qualitative data analysis whilst an audit trail is provided in order to demonstrate credibility, dependability, confirmability and ecological validity </w:t>
      </w:r>
      <w:r w:rsidRPr="00452E2E">
        <w:fldChar w:fldCharType="begin" w:fldLock="1"/>
      </w:r>
      <w:r w:rsidRPr="00452E2E">
        <w:instrText>ADDIN CSL_CITATION { "citationItems" : [ { "id" : "ITEM-1", "itemData" : { "DOI" : "10.1111/j.1468-2370.2006.00124.x", "ISBN" : "14608545", "ISSN" : "14608545", "author" : [ { "dropping-particle" : "", "family" : "Johnson", "given" : "Phil", "non-dropping-particle" : "", "parse-names" : false, "suffix" : "" }, { "dropping-particle" : "", "family" : "Buehring", "given" : "Anna", "non-dropping-particle" : "", "parse-names" : false, "suffix" : "" }, { "dropping-particle" : "", "family" : "Cassell", "given" : "Catherine", "non-dropping-particle" : "", "parse-names" : false, "suffix" : "" }, { "dropping-particle" : "", "family" : "Symon", "given" : "Gillian", "non-dropping-particle" : "", "parse-names" : false, "suffix" : "" } ], "container-title" : "International Journal of Management Reviews", "id" : "ITEM-1", "issue" : "3", "issued" : { "date-parts" : [ [ "2006" ] ] }, "page" : "131-156", "title" : "Evaluating qualitative management research: Towards a contingent criteriology", "type" : "article-journal", "volume" : "8" }, "uris" : [ "http://www.mendeley.com/documents/?uuid=19446eb4-0877-4f78-aaf2-08d3c1d3ef26" ] }, { "id" : "ITEM-2", "itemData" : { "author" : [ { "dropping-particle" : "", "family" : "Alvesson", "given" : "Mats", "non-dropping-particle" : "", "parse-names" : false, "suffix" : "" }, { "dropping-particle" : "", "family" : "Ashcraft", "given" : "Karen Lee",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"ITEM-2", "issued" : { "date-parts" : [ [ "2012" ] ] }, "page" : "239-257", "publisher" : "SAGE", "publisher-place" : "London", "title" : "Interviews", "type" : "chapter" }, "uris" : [ "http://www.mendeley.com/documents/?uuid=22ea8538-d321-4f92-8b96-9b6b17d69206" ] }, { "id" : "ITEM-3",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"ITEM-3", "issue" : "4", "issued" : { "date-parts" : [ [ "2015" ] ] }, "page" : "760-776", "title" : "Inductive praxis and management research: towards a reflexive framework", "type" : "article-journal", "volume" : "26" }, "uris" : [ "http://www.mendeley.com/documents/?uuid=f9176601-aa58-4266-aecd-97878aa30f90" ] } ], "mendeley" : { "formattedCitation" : "(Johnson et al. 2006; Alvesson &amp; Ashcraft 2012; Johnson &amp; Duberley 2015)", "manualFormatting" : "(Johnson et al., 2006; Alvesson &amp; Ashcraft, 2012; Johnson &amp; Duberley, 2015)", "plainTextFormattedCitation" : "(Johnson et al. 2006; Alvesson &amp; Ashcraft 2012; Johnson &amp; Duberley 2015)", "previouslyFormattedCitation" : "(Johnson et al. 2006; Alvesson &amp; Ashcraft 2012; Johnson &amp; Duberley 2015)" }, "properties" : { "noteIndex" : 0 }, "schema" : "https://github.com/citation-style-language/schema/raw/master/csl-citation.json" }</w:instrText>
      </w:r>
      <w:r w:rsidRPr="00452E2E">
        <w:fldChar w:fldCharType="separate"/>
      </w:r>
      <w:r w:rsidRPr="00452E2E">
        <w:rPr>
          <w:noProof/>
        </w:rPr>
        <w:t xml:space="preserve">(Johnson </w:t>
      </w:r>
      <w:r w:rsidRPr="00452E2E">
        <w:rPr>
          <w:i/>
          <w:noProof/>
        </w:rPr>
        <w:t>et al</w:t>
      </w:r>
      <w:r w:rsidRPr="00452E2E">
        <w:rPr>
          <w:noProof/>
        </w:rPr>
        <w:t>., 2006; Alvesson &amp; Ashcraft, 2012; Johnson &amp; Duberley, 2015)</w:t>
      </w:r>
      <w:r w:rsidRPr="00452E2E">
        <w:fldChar w:fldCharType="end"/>
      </w:r>
      <w:r w:rsidRPr="00452E2E">
        <w:t xml:space="preserve">. </w:t>
      </w:r>
    </w:p>
    <w:p w:rsidR="00D03A8E" w:rsidRPr="00452E2E" w:rsidRDefault="00D03A8E" w:rsidP="00D03A8E">
      <w:pPr>
        <w:spacing w:line="360" w:lineRule="auto"/>
        <w:jc w:val="both"/>
      </w:pPr>
      <w:r w:rsidRPr="00452E2E">
        <w:t xml:space="preserve">Methodology refers to how researchers go about obtaining knowledge about social reality (Grix, 2002). Three types of methodology have been distinguished as quantitative, qualitative, and mixed methods research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Among these three, </w:t>
      </w:r>
      <w:r w:rsidRPr="00452E2E">
        <w:rPr>
          <w:i/>
        </w:rPr>
        <w:t>quantitative research</w:t>
      </w:r>
      <w:r w:rsidRPr="00452E2E">
        <w:t xml:space="preserve"> is the most commonly used methodology for conducting research in the field of management and organizational behaviour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In quantitative research, both data collection and analysis are quantified. Hence, quantitative research adopts a deductive approach by testing hypotheses in order to validate theories that are already formulated </w:t>
      </w:r>
      <w:r w:rsidRPr="00452E2E">
        <w:fldChar w:fldCharType="begin" w:fldLock="1"/>
      </w:r>
      <w:r w:rsidRPr="00452E2E">
        <w:instrText>ADDIN CSL_CITATION { "citationItems" : [ { "id" : "ITEM-1", "itemData" : { "author" : [ { "dropping-particle" : "", "family" : "Gill", "given" : "J", "non-dropping-particle" : "", "parse-names" : false, "suffix" : "" }, { "dropping-particle" : "", "family" : "Johnson", "given" : "Phil", "non-dropping-particle" : "", "parse-names" : false, "suffix" : "" } ], "edition" : "3rd", "id" : "ITEM-1", "issued" : { "date-parts" : [ [ "2002" ] ] }, "publisher" : "SAGE", "publisher-place" : "London", "title" : "Research methods for managers", "type" : "book" }, "uris" : [ "http://www.mendeley.com/documents/?uuid=cedfbf31-c20d-4243-9fde-accbac1a3d30" ] }, { "id" : "ITEM-2",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"ITEM-2", "issued" : { "date-parts" : [ [ "2007" ] ] }, "publisher" : "John Wiley and Sons", "publisher-place" : "Chichester", "title" : "Research methods for business", "type" : "book" }, "uris" : [ "http://www.mendeley.com/documents/?uuid=89614995-9f01-44fe-b443-32e7b942c934" ] } ], "mendeley" : { "formattedCitation" : "(Gill &amp; Johnson 2002; Hair et al. 2007)", "manualFormatting" : "(Gill &amp; Johnson, 2002; Hair et al., 2007)", "plainTextFormattedCitation" : "(Gill &amp; Johnson 2002; Hair et al. 2007)", "previouslyFormattedCitation" : "(Gill &amp; Johnson 2002; Hair et al. 2007)" }, "properties" : { "noteIndex" : 0 }, "schema" : "https://github.com/citation-style-language/schema/raw/master/csl-citation.json" }</w:instrText>
      </w:r>
      <w:r w:rsidRPr="00452E2E">
        <w:fldChar w:fldCharType="separate"/>
      </w:r>
      <w:r w:rsidRPr="00452E2E">
        <w:rPr>
          <w:noProof/>
        </w:rPr>
        <w:t xml:space="preserve">(Gill &amp; Johnson, 2002; Hair </w:t>
      </w:r>
      <w:r w:rsidRPr="00452E2E">
        <w:rPr>
          <w:i/>
          <w:noProof/>
        </w:rPr>
        <w:t>et al</w:t>
      </w:r>
      <w:r w:rsidRPr="00452E2E">
        <w:rPr>
          <w:noProof/>
        </w:rPr>
        <w:t>., 2007)</w:t>
      </w:r>
      <w:r w:rsidRPr="00452E2E">
        <w:fldChar w:fldCharType="end"/>
      </w:r>
      <w:r w:rsidR="00A174FF" w:rsidRPr="00452E2E">
        <w:t>. Moreover</w:t>
      </w:r>
      <w:r w:rsidRPr="00452E2E">
        <w:t xml:space="preserve">, quantitative research seeks to obtain findings from a sample </w:t>
      </w:r>
      <w:r w:rsidR="00516272" w:rsidRPr="00452E2E">
        <w:t xml:space="preserve">that </w:t>
      </w:r>
      <w:r w:rsidRPr="00452E2E">
        <w:t xml:space="preserve">can be generalized to the entire population. On the other hand, </w:t>
      </w:r>
      <w:r w:rsidRPr="00452E2E">
        <w:rPr>
          <w:i/>
        </w:rPr>
        <w:t>qualitative research</w:t>
      </w:r>
      <w:r w:rsidRPr="00452E2E">
        <w:t xml:space="preserve"> seeks to understand a complex research phenomena based on the perceptions </w:t>
      </w:r>
      <w:r w:rsidRPr="00452E2E">
        <w:lastRenderedPageBreak/>
        <w:t xml:space="preserve">social actors </w:t>
      </w:r>
      <w:r w:rsidRPr="00452E2E">
        <w:fldChar w:fldCharType="begin" w:fldLock="1"/>
      </w:r>
      <w:r w:rsidRPr="00452E2E">
        <w:instrText>ADDIN CSL_CITATION { "citationItems" : [ { "id" : "ITEM-1", "itemData" : { "author" : [ { "dropping-particle" : "", "family" : "Cassell", "given" : "Catherine", "non-dropping-particle" : "", "parse-names" : false, "suffix" : "" }, { "dropping-particle" : "", "family" : "Symon", "given" : "Gillian", "non-dropping-particle" : "", "parse-names" : false, "suffix" : "" } ], "container-title" : "Qualitative organizational research: Core methods and current challenges", "editor" : [ { "dropping-particle" : "", "family" : "Symon", "given" : "Gillian", "non-dropping-particle" : "", "parse-names" : false, "suffix" : "" }, { "dropping-particle" : "", "family" : "Cassell", "given" : "Catherine", "non-dropping-particle" : "", "parse-names" : false, "suffix" : "" } ], "id" : "ITEM-1", "issued" : { "date-parts" : [ [ "2012" ] ] }, "page" : "1-11", "publisher" : "SAGE", "publisher-place" : "London", "title" : "Introduction: The context of qualitative organizational research", "type" : "chapter" }, "uris" : [ "http://www.mendeley.com/documents/?uuid=a77965c3-6be4-490b-bacb-7f31fef35744" ] } ], "mendeley" : { "formattedCitation" : "(Cassell &amp; Symon 2012)", "manualFormatting" : "(Cassell &amp; Symon, 2012)", "plainTextFormattedCitation" : "(Cassell &amp; Symon 2012)", "previouslyFormattedCitation" : "(Cassell &amp; Symon 2012)" }, "properties" : { "noteIndex" : 0 }, "schema" : "https://github.com/citation-style-language/schema/raw/master/csl-citation.json" }</w:instrText>
      </w:r>
      <w:r w:rsidRPr="00452E2E">
        <w:fldChar w:fldCharType="separate"/>
      </w:r>
      <w:r w:rsidRPr="00452E2E">
        <w:rPr>
          <w:noProof/>
        </w:rPr>
        <w:t>(Cassell &amp; Symon, 2012)</w:t>
      </w:r>
      <w:r w:rsidRPr="00452E2E">
        <w:fldChar w:fldCharType="end"/>
      </w:r>
      <w:r w:rsidRPr="00452E2E">
        <w:t xml:space="preserve">. It adopts an inductive approach by identifying patterns within a large amount of data </w:t>
      </w:r>
      <w:r w:rsidRPr="00452E2E">
        <w:fldChar w:fldCharType="begin" w:fldLock="1"/>
      </w:r>
      <w:r w:rsidRPr="00452E2E">
        <w:instrText>ADDIN CSL_CITATION { "citationItems" : [ { "id" : "ITEM-1", "itemData" : { "author" : [ { "dropping-particle" : "", "family" : "Gill", "given" : "J", "non-dropping-particle" : "", "parse-names" : false, "suffix" : "" }, { "dropping-particle" : "", "family" : "Johnson", "given" : "Phil", "non-dropping-particle" : "", "parse-names" : false, "suffix" : "" } ], "edition" : "3rd", "id" : "ITEM-1", "issued" : { "date-parts" : [ [ "2002" ] ] }, "publisher" : "SAGE", "publisher-place" : "London", "title" : "Research methods for managers", "type" : "book" }, "uris" : [ "http://www.mendeley.com/documents/?uuid=cedfbf31-c20d-4243-9fde-accbac1a3d30" ] }, { "id" : "ITEM-2",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"ITEM-2", "issued" : { "date-parts" : [ [ "2007" ] ] }, "publisher" : "John Wiley and Sons", "publisher-place" : "Chichester", "title" : "Research methods for business", "type" : "book" }, "uris" : [ "http://www.mendeley.com/documents/?uuid=89614995-9f01-44fe-b443-32e7b942c934" ] } ], "mendeley" : { "formattedCitation" : "(Gill &amp; Johnson 2002; Hair et al. 2007)", "manualFormatting" : "(Gill &amp; Johnson, 2002; Hair et al., 2007)", "plainTextFormattedCitation" : "(Gill &amp; Johnson 2002; Hair et al. 2007)", "previouslyFormattedCitation" : "(Gill &amp; Johnson 2002; Hair et al. 2007)" }, "properties" : { "noteIndex" : 0 }, "schema" : "https://github.com/citation-style-language/schema/raw/master/csl-citation.json" }</w:instrText>
      </w:r>
      <w:r w:rsidRPr="00452E2E">
        <w:fldChar w:fldCharType="separate"/>
      </w:r>
      <w:r w:rsidRPr="00452E2E">
        <w:rPr>
          <w:noProof/>
        </w:rPr>
        <w:t xml:space="preserve">(Gill &amp; Johnson, 2002; Hair </w:t>
      </w:r>
      <w:r w:rsidRPr="00452E2E">
        <w:rPr>
          <w:i/>
          <w:noProof/>
        </w:rPr>
        <w:t>et al</w:t>
      </w:r>
      <w:r w:rsidRPr="00452E2E">
        <w:rPr>
          <w:noProof/>
        </w:rPr>
        <w:t>., 2007)</w:t>
      </w:r>
      <w:r w:rsidRPr="00452E2E">
        <w:fldChar w:fldCharType="end"/>
      </w:r>
      <w:r w:rsidRPr="00452E2E">
        <w:t>. Although qualitative research sometimes adopt</w:t>
      </w:r>
      <w:r w:rsidR="008948DB" w:rsidRPr="00452E2E">
        <w:t>s</w:t>
      </w:r>
      <w:r w:rsidRPr="00452E2E">
        <w:t xml:space="preserve"> a subjectivist epistemological orientation, it can also be objectively conducted </w:t>
      </w:r>
      <w:r w:rsidRPr="00452E2E">
        <w:fldChar w:fldCharType="begin" w:fldLock="1"/>
      </w:r>
      <w:r w:rsidRPr="00452E2E">
        <w:instrText>ADDIN CSL_CITATION { "citationItems" : [ { "id" : "ITEM-1",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"ITEM-1", "issue" : "4", "issued" : { "date-parts" : [ [ "2015" ] ] }, "page" : "760-776", "title" : "Inductive praxis and management research: towards a reflexive framework", "type" : "article-journal", "volume" : "26" }, "uris" : [ "http://www.mendeley.com/documents/?uuid=f9176601-aa58-4266-aecd-97878aa30f90" ] } ], "mendeley" : { "formattedCitation" : "(Johnson &amp; Duberley 2015)", "manualFormatting" : "(Johnson &amp; Duberley, 2015)", "plainTextFormattedCitation" : "(Johnson &amp; Duberley 2015)", "previouslyFormattedCitation" : "(Johnson &amp; Duberley 2015)" }, "properties" : { "noteIndex" : 0 }, "schema" : "https://github.com/citation-style-language/schema/raw/master/csl-citation.json" }</w:instrText>
      </w:r>
      <w:r w:rsidRPr="00452E2E">
        <w:fldChar w:fldCharType="separate"/>
      </w:r>
      <w:r w:rsidRPr="00452E2E">
        <w:rPr>
          <w:noProof/>
        </w:rPr>
        <w:t>(Johnson &amp; Duberley, 2015)</w:t>
      </w:r>
      <w:r w:rsidRPr="00452E2E">
        <w:fldChar w:fldCharType="end"/>
      </w:r>
      <w:r w:rsidRPr="00452E2E">
        <w:t xml:space="preserve"> as is the case in this research. </w:t>
      </w:r>
    </w:p>
    <w:p w:rsidR="00D03A8E" w:rsidRPr="00452E2E" w:rsidRDefault="00D03A8E" w:rsidP="00D03A8E">
      <w:pPr>
        <w:spacing w:line="360" w:lineRule="auto"/>
        <w:jc w:val="both"/>
      </w:pPr>
      <w:r w:rsidRPr="00452E2E">
        <w:t xml:space="preserve">Whilst there are differences between quantitative and qualitative research, the mixed methods research views both approaches as complementary </w:t>
      </w:r>
      <w:r w:rsidRPr="00452E2E">
        <w:fldChar w:fldCharType="begin" w:fldLock="1"/>
      </w:r>
      <w:r w:rsidRPr="00452E2E">
        <w:instrText>ADDIN CSL_CITATION { "citationItems" : [ { "id" : "ITEM-1", "itemData" : { "author" : [ { "dropping-particle" : "", "family" : "Creswell", "given" : "J.W", "non-dropping-particle" : "", "parse-names" : false, "suffix" : "" } ], "edition" : "4th", "id" : "ITEM-1", "issued" : { "date-parts" : [ [ "2014" ] ] }, "publisher" : "SAGE", "publisher-place" : "Thousand Oaks, CA", "title" : "Research design: Qualitative, quantitative &amp; mixed methods approaches", "type" : "book" }, "uris" : [ "http://www.mendeley.com/documents/?uuid=a5b87496-6b66-467a-aaf5-69da1d311e40" ] } ], "mendeley" : { "formattedCitation" : "(Creswell 2014)", "manualFormatting" : "(Creswell, 2014)", "plainTextFormattedCitation" : "(Creswell 2014)", "previouslyFormattedCitation" : "(Creswell 2014)" }, "properties" : { "noteIndex" : 0 }, "schema" : "https://github.com/citation-style-language/schema/raw/master/csl-citation.json" }</w:instrText>
      </w:r>
      <w:r w:rsidRPr="00452E2E">
        <w:fldChar w:fldCharType="separate"/>
      </w:r>
      <w:r w:rsidRPr="00452E2E">
        <w:rPr>
          <w:noProof/>
        </w:rPr>
        <w:t>(Creswell, 2014)</w:t>
      </w:r>
      <w:r w:rsidRPr="00452E2E">
        <w:fldChar w:fldCharType="end"/>
      </w:r>
      <w:r w:rsidRPr="00452E2E">
        <w:t xml:space="preserve">. Thus, mixed methods research is adopted for this study since the researcher views both methods as complementary in seeking answers to the research problem under investigation. Mixed methods research favours methodological pluralism by giving legitimacy to the use of multiple methodological approaches in scientific inquiry </w:t>
      </w:r>
      <w:r w:rsidRPr="00452E2E">
        <w:fldChar w:fldCharType="begin" w:fldLock="1"/>
      </w:r>
      <w:r w:rsidRPr="00452E2E">
        <w:instrText>ADDIN CSL_CITATION { "citationItems" : [ { "id" : "ITEM-1", "itemData" : { "author" : [ { "dropping-particle" : "", "family" : "Morgan", "given" : "D.L", "non-dropping-particle" : "", "parse-names" : false, "suffix" : "" } ], "id" : "ITEM-1", "issued" : { "date-parts" : [ [ "2014" ] ] }, "publisher" : "SAGE", "publisher-place" : "Thousand Oaks, CA", "title" : "Integrating qualitative and quantitative methods: a pragmatic approach", "type" : "book" }, "uris" : [ "http://www.mendeley.com/documents/?uuid=a5f3e054-c3de-410c-8fbe-98a29a798813" ] } ], "mendeley" : { "formattedCitation" : "(Morgan 2014)", "manualFormatting" : "(Morgan, 2014)", "plainTextFormattedCitation" : "(Morgan 2014)", "previouslyFormattedCitation" : "(Morgan 2014)" }, "properties" : { "noteIndex" : 0 }, "schema" : "https://github.com/citation-style-language/schema/raw/master/csl-citation.json" }</w:instrText>
      </w:r>
      <w:r w:rsidRPr="00452E2E">
        <w:fldChar w:fldCharType="separate"/>
      </w:r>
      <w:r w:rsidRPr="00452E2E">
        <w:rPr>
          <w:noProof/>
        </w:rPr>
        <w:t>(Morgan, 2014)</w:t>
      </w:r>
      <w:r w:rsidRPr="00452E2E">
        <w:fldChar w:fldCharType="end"/>
      </w:r>
      <w:r w:rsidRPr="00452E2E">
        <w:t xml:space="preserve">. The rationale for mixed methods research is that whilst some research problems can be tackled via quantitative research, others are better tackled using qualitative research. Therefore, by adopting a mixed methods approach, the strengths of quantitative and qualitative research can be harnessed in a single research project </w:t>
      </w:r>
      <w:r w:rsidRPr="00452E2E">
        <w:fldChar w:fldCharType="begin" w:fldLock="1"/>
      </w:r>
      <w:r w:rsidRPr="00452E2E">
        <w:instrText>ADDIN CSL_CITATION { "citationItems" : [ { "id" : "ITEM-1", "itemData" : { "author" : [ { "dropping-particle" : "", "family" : "Creswell", "given" : "J.W", "non-dropping-particle" : "", "parse-names" : false, "suffix" : "" } ], "edition" : "4th", "id" : "ITEM-1", "issued" : { "date-parts" : [ [ "2014" ] ] }, "publisher" : "SAGE", "publisher-place" : "Thousand Oaks, CA", "title" : "Research design: Qualitative, quantitative &amp; mixed methods approaches", "type" : "book" }, "uris" : [ "http://www.mendeley.com/documents/?uuid=a5b87496-6b66-467a-aaf5-69da1d311e40" ] }, { "id" : "ITEM-2", "itemData" : { "author" : [ { "dropping-particle" : "", "family" : "Morgan", "given" : "D.L", "non-dropping-particle" : "", "parse-names" : false, "suffix" : "" } ], "id" : "ITEM-2", "issued" : { "date-parts" : [ [ "2014" ] ] }, "publisher" : "SAGE", "publisher-place" : "Thousand Oaks, CA", "title" : "Integrating qualitative and quantitative methods: a pragmatic approach", "type" : "book" }, "uris" : [ "http://www.mendeley.com/documents/?uuid=a5f3e054-c3de-410c-8fbe-98a29a798813" ] } ], "mendeley" : { "formattedCitation" : "(Creswell 2014; Morgan 2014)", "manualFormatting" : "(Creswell, 2014; Morgan, 2014)", "plainTextFormattedCitation" : "(Creswell 2014; Morgan 2014)", "previouslyFormattedCitation" : "(Creswell 2014; Morgan 2014)" }, "properties" : { "noteIndex" : 0 }, "schema" : "https://github.com/citation-style-language/schema/raw/master/csl-citation.json" }</w:instrText>
      </w:r>
      <w:r w:rsidRPr="00452E2E">
        <w:fldChar w:fldCharType="separate"/>
      </w:r>
      <w:r w:rsidRPr="00452E2E">
        <w:rPr>
          <w:noProof/>
        </w:rPr>
        <w:t>(Creswell, 2014; Morgan, 2014)</w:t>
      </w:r>
      <w:r w:rsidRPr="00452E2E">
        <w:fldChar w:fldCharType="end"/>
      </w:r>
      <w:r w:rsidRPr="00452E2E">
        <w:t xml:space="preserve">. </w:t>
      </w:r>
    </w:p>
    <w:p w:rsidR="00D03A8E" w:rsidRPr="00452E2E" w:rsidRDefault="00D03A8E" w:rsidP="00D03A8E">
      <w:pPr>
        <w:spacing w:line="360" w:lineRule="auto"/>
        <w:jc w:val="both"/>
      </w:pPr>
      <w:r w:rsidRPr="00452E2E">
        <w:t xml:space="preserve">Nevertheless, Morgan (2014) cautions researchers to consider the complexities of adopting a mixed methods approach. Indeed, one of the main challenges of mixed methods is how both methods are integrated in a single piece of research </w:t>
      </w:r>
      <w:r w:rsidRPr="00452E2E">
        <w:fldChar w:fldCharType="begin" w:fldLock="1"/>
      </w:r>
      <w:r w:rsidRPr="00452E2E">
        <w:instrText>ADDIN CSL_CITATION { "citationItems" : [ { "id" : "ITEM-1", "itemData" : { "author" : [ { "dropping-particle" : "", "family" : "Morgan", "given" : "D.L", "non-dropping-particle" : "", "parse-names" : false, "suffix" : "" } ], "id" : "ITEM-1", "issued" : { "date-parts" : [ [ "2014" ] ] }, "publisher" : "SAGE", "publisher-place" : "Thousand Oaks, CA", "title" : "Integrating qualitative and quantitative methods: a pragmatic approach", "type" : "book" }, "uris" : [ "http://www.mendeley.com/documents/?uuid=a5f3e054-c3de-410c-8fbe-98a29a798813" ] } ], "mendeley" : { "formattedCitation" : "(Morgan 2014)", "manualFormatting" : "(Morgan, 2014)", "plainTextFormattedCitation" : "(Morgan 2014)", "previouslyFormattedCitation" : "(Morgan 2014)" }, "properties" : { "noteIndex" : 0 }, "schema" : "https://github.com/citation-style-language/schema/raw/master/csl-citation.json" }</w:instrText>
      </w:r>
      <w:r w:rsidRPr="00452E2E">
        <w:fldChar w:fldCharType="separate"/>
      </w:r>
      <w:r w:rsidRPr="00452E2E">
        <w:rPr>
          <w:noProof/>
        </w:rPr>
        <w:t>(Morgan, 2014)</w:t>
      </w:r>
      <w:r w:rsidRPr="00452E2E">
        <w:fldChar w:fldCharType="end"/>
      </w:r>
      <w:r w:rsidRPr="00452E2E">
        <w:t xml:space="preserve">. Three main methods for integrating quantitative and qualitative methods have been identified by Creswell (2014) as convergent parallel mixed methods, explanatory sequential mixed methods, and exploratory sequential mixed methods. In </w:t>
      </w:r>
      <w:r w:rsidRPr="00452E2E">
        <w:rPr>
          <w:i/>
        </w:rPr>
        <w:t xml:space="preserve">convergent parallel mixed methods, </w:t>
      </w:r>
      <w:r w:rsidRPr="00452E2E">
        <w:t xml:space="preserve">the researcher combines both quantitative and qualitative data collected at the same time in order to provide a comprehensive analysis of the research problem </w:t>
      </w:r>
      <w:r w:rsidRPr="00452E2E">
        <w:fldChar w:fldCharType="begin" w:fldLock="1"/>
      </w:r>
      <w:r w:rsidRPr="00452E2E">
        <w:instrText>ADDIN CSL_CITATION { "citationItems" : [ { "id" : "ITEM-1", "itemData" : { "author" : [ { "dropping-particle" : "", "family" : "Creswell", "given" : "J.W", "non-dropping-particle" : "", "parse-names" : false, "suffix" : "" } ], "edition" : "4th", "id" : "ITEM-1", "issued" : { "date-parts" : [ [ "2014" ] ] }, "publisher" : "SAGE", "publisher-place" : "Thousand Oaks, CA", "title" : "Research design: Qualitative, quantitative &amp; mixed methods approaches", "type" : "book" }, "uris" : [ "http://www.mendeley.com/documents/?uuid=a5b87496-6b66-467a-aaf5-69da1d311e40" ] } ], "mendeley" : { "formattedCitation" : "(Creswell 2014)", "manualFormatting" : "(Creswell, 2014)", "plainTextFormattedCitation" : "(Creswell 2014)", "previouslyFormattedCitation" : "(Creswell 2014)" }, "properties" : { "noteIndex" : 0 }, "schema" : "https://github.com/citation-style-language/schema/raw/master/csl-citation.json" }</w:instrText>
      </w:r>
      <w:r w:rsidRPr="00452E2E">
        <w:fldChar w:fldCharType="separate"/>
      </w:r>
      <w:r w:rsidRPr="00452E2E">
        <w:rPr>
          <w:noProof/>
        </w:rPr>
        <w:t>(Creswell, 2014)</w:t>
      </w:r>
      <w:r w:rsidRPr="00452E2E">
        <w:fldChar w:fldCharType="end"/>
      </w:r>
      <w:r w:rsidRPr="00452E2E">
        <w:t xml:space="preserve">. On the other hand, the </w:t>
      </w:r>
      <w:r w:rsidRPr="00452E2E">
        <w:rPr>
          <w:i/>
        </w:rPr>
        <w:t xml:space="preserve">explanatory sequential mixed methods </w:t>
      </w:r>
      <w:r w:rsidRPr="00452E2E">
        <w:t xml:space="preserve">is used when the researcher collects qualitative data after quantitative research has been conducted in order to provide a clearer understanding of the findings emanating from quantitative research whilst the </w:t>
      </w:r>
      <w:r w:rsidRPr="00452E2E">
        <w:rPr>
          <w:i/>
        </w:rPr>
        <w:t xml:space="preserve">exploratory sequential mixed methods </w:t>
      </w:r>
      <w:r w:rsidRPr="00452E2E">
        <w:t xml:space="preserve">is adopted if the goal is to test the findings emanating from qualitative research in a quantitative research </w:t>
      </w:r>
      <w:r w:rsidRPr="00452E2E">
        <w:fldChar w:fldCharType="begin" w:fldLock="1"/>
      </w:r>
      <w:r w:rsidRPr="00452E2E">
        <w:instrText>ADDIN CSL_CITATION { "citationItems" : [ { "id" : "ITEM-1", "itemData" : { "author" : [ { "dropping-particle" : "", "family" : "Creswell", "given" : "J.W", "non-dropping-particle" : "", "parse-names" : false, "suffix" : "" } ], "edition" : "4th", "id" : "ITEM-1", "issued" : { "date-parts" : [ [ "2014" ] ] }, "publisher" : "SAGE", "publisher-place" : "Thousand Oaks, CA", "title" : "Research design: Qualitative, quantitative &amp; mixed methods approaches", "type" : "book" }, "uris" : [ "http://www.mendeley.com/documents/?uuid=a5b87496-6b66-467a-aaf5-69da1d311e40" ] } ], "mendeley" : { "formattedCitation" : "(Creswell 2014)", "manualFormatting" : "(Creswell, 2014)", "plainTextFormattedCitation" : "(Creswell 2014)", "previouslyFormattedCitation" : "(Creswell 2014)" }, "properties" : { "noteIndex" : 0 }, "schema" : "https://github.com/citation-style-language/schema/raw/master/csl-citation.json" }</w:instrText>
      </w:r>
      <w:r w:rsidRPr="00452E2E">
        <w:fldChar w:fldCharType="separate"/>
      </w:r>
      <w:r w:rsidRPr="00452E2E">
        <w:rPr>
          <w:noProof/>
        </w:rPr>
        <w:t>(Creswell, 2014)</w:t>
      </w:r>
      <w:r w:rsidRPr="00452E2E">
        <w:fldChar w:fldCharType="end"/>
      </w:r>
      <w:r w:rsidRPr="00452E2E">
        <w:t>.</w:t>
      </w:r>
    </w:p>
    <w:p w:rsidR="00D03A8E" w:rsidRPr="00452E2E" w:rsidRDefault="00D03A8E" w:rsidP="00D03A8E">
      <w:pPr>
        <w:spacing w:line="360" w:lineRule="auto"/>
        <w:jc w:val="both"/>
      </w:pPr>
      <w:r w:rsidRPr="00452E2E">
        <w:lastRenderedPageBreak/>
        <w:t xml:space="preserve">In the present research, quantitative methods were used for examining the specific techniques of HRM used in </w:t>
      </w:r>
      <w:r w:rsidR="00942580" w:rsidRPr="00452E2E">
        <w:t xml:space="preserve">the </w:t>
      </w:r>
      <w:r w:rsidRPr="00452E2E">
        <w:t xml:space="preserve">public and private sector. This is in line with previous studies where a similar research approach has been adopted to examine the techniques of HRM across different organizational or institutional types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"10.1080/09585190802404247", "ISBN" : "0958519080", "ISSN" : "0958-5192", "abstract" : "The impact of institutionalized contexts on the HRM activities of multinational \ufb01rms has become a focus of increasing attention in recent literature. However, theories of how different types of business systems or market economies may in\ufb02uence HRM, and the impact of context on multinational corporations (MNCs) operating under these different conditions are still not fully tested. In this paper the in\ufb02uence of the extent of institutional embeddedness of different national contexts (based on varieties of capitalism theory) on the HRM activities of MNCs is explored through the use of extensive survey data from four countries: the UK, Germany, the Netherlands and Sweden. Evidence is found of differences in HRM practices between foreign- and domestic-owned MNCs, as well as between MNCs and domestic organizations. Although less than expected, the restricted amount of leeway within a coordinated economy also appears to have differential effects on the various HRM practices explored in these foreign and domestic organizations.", "author" : [ { "dropping-particle" : "", "family" : "Farndale", "given" : "Elaine", "non-dropping-particle" : "", "parse-names" : false, "suffix" : "" }, { "dropping-particle" : "", "family" : "Brewster", "given" : "Chris", "non-dropping-particle" : "", "parse-names" : false, "suffix" : "" }, { "dropping-particle" : "", "family" : "Poutsma", "given" : "Erik", "non-dropping-particle" : "", "parse-names" : false, "suffix" : "" } ], "container-title" : "The International Journal of Human Resource Management", "id" : "ITEM-2", "issue" : "11", "issued" : { "date-parts" : [ [ "2008" ] ] }, "page" : "2004-2023", "title" : "Coordinated vs. liberal market HRM: the impact of institutionalization on multinational firms", "type" : "article-journal", "volume" : "19" }, "uris" : [ "http://www.mendeley.com/documents/?uuid=2c701966-403e-4827-aee3-1040a62d9447" ] }, { "id" : "ITEM-3",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"ITEM-3", "issue" : "1", "issued" : { "date-parts" : [ [ "2009" ] ] }, "page" : "37-61", "title" : "The rise of post-bureaucracy: Theorists' fancy or organizational praxis?", "type" : "article-journal", "volume" : "24" }, "uris" : [ "http://www.mendeley.com/documents/?uuid=34301c7c-ab72-4a8c-a149-b61552e4a0db" ] }, { "id" : "ITEM-4", "itemData" : { "abstract" : "Literature on comparative capitalism remains divided between approaches founded on stylized case study evidence and descriptions of broad trends, and those that focus on macro data. In contrast, this study explores the relevance of Amable's approach to understanding differences in employment relations practice, based on firm-level micro data. The article examines employee-employer interdependence (including turnover rates) in different categories of economy as classified by Amable. The findings confirm that exit -- whether forced or voluntary -- remains more common in market-based economies than in their continental counterparts and that institutionalized employee voice is an important variable in reducing turnover. However, there is as much diversity within the different country categories as between them, and across continental Europe. In Denmark's case, high turnover is combined with high unionization, showing the effects of a 'flexicurity' strategy. While employee voice may be stronger in Scandinavia, interdependence is weaker than in continental Europe. [PUBLICATION ABSTRACT]", "author" : [ { "dropping-particle" : "", "family" : "Croucher", "given" : "R.", "non-dropping-particle" : "", "parse-names" : false, "suffix" : "" }, { "dropping-particle" : "", "family" : "Wood", "given" : "G.", "non-dropping-particle" : "", "parse-names" : false, "suffix" : "" }, { "dropping-particle" : "", "family" : "Brewster", "given" : "C.", "non-dropping-particle" : "", "parse-names" : false, "suffix" : "" }, { "dropping-particle" : "", "family" : "Brookes", "given" : "M.", "non-dropping-particle" : "", "parse-names" : false, "suffix" : "" } ], "container-title" : "Economic and Industrial Democracy", "id" : "ITEM-4", "issue" : "4", "issued" : { "date-parts" : [ [ "2011" ] ] }, "page" : "605-620", "title" : "Employee turnover, HRM and institutional contexts", "type" : "article-journal", "volume" : "33" }, "uris" : [ "http://www.mendeley.com/documents/?uuid=0b3f97cc-0034-4288-88b8-d6cce26d7155" ] }, { "id" : "ITEM-5", "itemData" : { "DOI" : "10.1016/j.hrmr.2010.09.011", "ISBN" : "1053-4822", "ISSN" : "10534822", "abstract" : "In this paper we explore the notion of convergence in managerial practice as a result of globalization. Focused on convergence at the national level, we offer a more nuanced exposition of convergence than has been evident in previous literature and draw upon a study that empirically analyzes the development of HRM in larger private sector firms in 13 European countries between 1992 and 2004 to examine any evidence of human resource management practices becoming more alike. We find considerable evidence of directional similarity - practices increasing or decreasing in the same way across the countries - but no evidence of final convergence - countries becoming more alike in the way they manage people. The findings have important implications for theories of convergence, theories of HRM, and for practitioners in multinational corporations. ?? 2010 Elsevier Inc.", "author" : [ { "dropping-particle" : "", "family" : "Mayrhofer", "given" : "Wolfgang", "non-dropping-particle" : "", "parse-names" : false, "suffix" : "" }, { "dropping-particle" : "", "family" : "Brewster", "given" : "Chris", "non-dropping-particle" : "", "parse-names" : false, "suffix" : "" }, { "dropping-particle" : "", "family" : "Morley", "given" : "Michael J.", "non-dropping-particle" : "", "parse-names" : false, "suffix" : "" }, { "dropping-particle" : "", "family" : "Ledolter", "given" : "Johannes", "non-dropping-particle" : "", "parse-names" : false, "suffix" : "" } ], "container-title" : "Human Resource Management Review", "id" : "ITEM-5", "issue" : "1", "issued" : { "date-parts" : [ [ "2011" ] ] }, "page" : "50-67", "publisher" : "Elsevier Inc.", "title" : "Hearing a different drummer? Convergence of human resource management in Europe - A longitudinal analysis", "type" : "article-journal", "volume" : "21" }, "uris" : [ "http://www.mendeley.com/documents/?uuid=fe989bd4-3b92-484f-8e26-379179d76108" ] }, { "id" : "ITEM-6",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"ITEM-6", "issue" : "1", "issued" : { "date-parts" : [ [ "2011" ] ] }, "page" : "31-41", "publisher" : "Elsevier Inc.", "title" : "HRM in Mozambique: Homogenization, path dependence or segmented business system?", "type" : "article-journal", "volume" : "46" }, "uris" : [ "http://www.mendeley.com/documents/?uuid=715488db-b5b1-4ac9-8b33-8be3c1beb0c1" ] }, { "id" : "ITEM-7",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w:instrText>
      </w:r>
      <w:r w:rsidRPr="00452E2E">
        <w:rPr>
          <w:lang w:val="fr-FR"/>
        </w:rPr>
        <w:instrText>hil", "non-dropping-particle" : "", "parse-names" : false, "suffix" : "" }, { "dropping-particle" : "", "family" : "Wood", "given" : "Geoffrey", "non-dropping-particle" : "", "parse-names" : false, "suffix" : "" } ], "container-title" : "The International Journal of Human Resource Management", "id" : "ITEM-7", "issue" : "6", "issued" : { "date-parts" : [ [ "2014" ] ] }, "page" : "795-809", "title" : "Direct involvement, partnership and setting: A study in bounded diversity", "type" : "article-journal", "volume" : "25" }, "uris" : [ "http://www.mendeley.com/documents/?uuid=e20c0258-4a3f-4b03-bcbb-2f7953a311a9" ] } ], "mendeley" : { "formattedCitation" : "(Webster &amp; Wood 2005; Farndale et al. 2008; Johnson et al. 2009; Croucher et al. 2011; Mayrhofer et al. 2011; Wood et al. 2011; Brewster et al. 2014)", "manualFormatting" : "(e.g Webster &amp; Wood, 2005; Farndale et al., 2008; Johnson et al., 2009; Croucher et al., 2011; Mayrhofer et al., 2011; Wood et al., 2011; Brewster et al., 2014)", "plainTextFormattedCitation" : "(Webster &amp; Wood 2005; Farndale et al. 2008; Johnson et al. 2009; Croucher et al. 2011; Mayrhofer et al. 2011; Wood et al. 2011; Brewster et al. 2014)", "previouslyFormattedCitation" : "(Webster &amp; Wood 2005; Farndale et al. 2008; Johnson et al. 2009; Croucher et al. 2011; Mayrhofer et al. 2011; Wood et al. 2011; Brewster et al. 2014)" }, "properties" : { "noteIndex" : 0 }, "schema" : "https://github.com/citation-style-language/schema/raw/master/csl-citation.json" }</w:instrText>
      </w:r>
      <w:r w:rsidRPr="00452E2E">
        <w:fldChar w:fldCharType="separate"/>
      </w:r>
      <w:r w:rsidRPr="00452E2E">
        <w:rPr>
          <w:noProof/>
          <w:lang w:val="fr-FR"/>
        </w:rPr>
        <w:t xml:space="preserve">(e.g Webster &amp; Wood, 2005; Farndale </w:t>
      </w:r>
      <w:r w:rsidRPr="00452E2E">
        <w:rPr>
          <w:i/>
          <w:noProof/>
          <w:lang w:val="fr-FR"/>
        </w:rPr>
        <w:t>et al</w:t>
      </w:r>
      <w:r w:rsidRPr="00452E2E">
        <w:rPr>
          <w:noProof/>
          <w:lang w:val="fr-FR"/>
        </w:rPr>
        <w:t xml:space="preserve">., 2008; Johnson </w:t>
      </w:r>
      <w:r w:rsidRPr="00452E2E">
        <w:rPr>
          <w:i/>
          <w:noProof/>
          <w:lang w:val="fr-FR"/>
        </w:rPr>
        <w:t>et al</w:t>
      </w:r>
      <w:r w:rsidRPr="00452E2E">
        <w:rPr>
          <w:noProof/>
          <w:lang w:val="fr-FR"/>
        </w:rPr>
        <w:t xml:space="preserve">., 2009; Croucher </w:t>
      </w:r>
      <w:r w:rsidRPr="00452E2E">
        <w:rPr>
          <w:i/>
          <w:noProof/>
          <w:lang w:val="fr-FR"/>
        </w:rPr>
        <w:t>et al</w:t>
      </w:r>
      <w:r w:rsidRPr="00452E2E">
        <w:rPr>
          <w:noProof/>
          <w:lang w:val="fr-FR"/>
        </w:rPr>
        <w:t xml:space="preserve">., 2011; Mayrhofer </w:t>
      </w:r>
      <w:r w:rsidRPr="00452E2E">
        <w:rPr>
          <w:i/>
          <w:noProof/>
          <w:lang w:val="fr-FR"/>
        </w:rPr>
        <w:t>et al</w:t>
      </w:r>
      <w:r w:rsidRPr="00452E2E">
        <w:rPr>
          <w:noProof/>
          <w:lang w:val="fr-FR"/>
        </w:rPr>
        <w:t xml:space="preserve">., 2011; Wood </w:t>
      </w:r>
      <w:r w:rsidRPr="00452E2E">
        <w:rPr>
          <w:i/>
          <w:noProof/>
          <w:lang w:val="fr-FR"/>
        </w:rPr>
        <w:t>et al</w:t>
      </w:r>
      <w:r w:rsidRPr="00452E2E">
        <w:rPr>
          <w:noProof/>
          <w:lang w:val="fr-FR"/>
        </w:rPr>
        <w:t xml:space="preserve">., 2011; Brewster </w:t>
      </w:r>
      <w:r w:rsidRPr="00452E2E">
        <w:rPr>
          <w:i/>
          <w:noProof/>
          <w:lang w:val="fr-FR"/>
        </w:rPr>
        <w:t>et al</w:t>
      </w:r>
      <w:r w:rsidRPr="00452E2E">
        <w:rPr>
          <w:noProof/>
          <w:lang w:val="fr-FR"/>
        </w:rPr>
        <w:t>., 2014)</w:t>
      </w:r>
      <w:r w:rsidRPr="00452E2E">
        <w:fldChar w:fldCharType="end"/>
      </w:r>
      <w:r w:rsidRPr="00452E2E">
        <w:rPr>
          <w:lang w:val="fr-FR"/>
        </w:rPr>
        <w:t xml:space="preserve">. </w:t>
      </w:r>
      <w:r w:rsidRPr="00452E2E">
        <w:t xml:space="preserve">The essence is to collect data from a large pool of organizations in order to enhance comparison of the HR practices used. Similarly, research on HR practices - employee attitudes relationship is usually quantitative in nature so as to establish a link between the independent and dependent variables </w:t>
      </w:r>
      <w:r w:rsidRPr="00452E2E">
        <w:fldChar w:fldCharType="begin" w:fldLock="1"/>
      </w:r>
      <w:r w:rsidRPr="00452E2E">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"ITEM-2", "issue" : "5", "issued" : { "date-parts" : [ [ "2005" ] ] }, "page" : "534-549", "title" : "HRM practice and employee attitudes: Different measures \u2013 different results", "type" : "article-journal", "volume" : "34" }, "uris" : [ "http://www.mendeley.com/documents/?uuid=9d6909f5-8480-4f8c-af13-1d14286dcfa0" ] }, { "id" : "ITEM-3", "itemData" : { "abstract" : "Purpose - The purpose of this paper is to examine the impacts of key human resource (HR) practices on permanent employees' organizational commitment and intention to stay. These practices include facilitating of person-organization fit (P-O fit), designing effective remuneration and recognition, creating sufficiently challenging assignments, and implementing training and career development. Design/methodology/approach - The study was carried out in three phases. First, 13 experts (e.g. academics, HR managers and organizational psychologists) were interviewed using the Delphi technique. Second, in-depth interviews with 12 HR managers were conducted. Third, 457 employees from nine Australian organizations responded to a survey. Structural equation modeling was used to test the hypotheses. Findings - Organizational commitment was positively affected by P-O fit, remuneration, recognition, and an opportunity to undertake challenging employment assignments. Intention to stay was significantly related to P-O fit, remuneration, recognition, training and career development. Surprisingly, training and career development was not significantly related to organizational commitment and challenging assignment was not significantly related to intention to stay. Originality/value - This paper contributes to existing knowledge by testing HR practices in large public and private Australian organizations, which are impacted by demographic changes, increasing dependence on outsourcing, and industrial relations reforms. Thus, the results of this study will provide practitioners with better insights into some practices that could elevate organizational commitment and retention of employees. ABSTRACT FROM AUTHOR Copyright of International Journal of Manpower is the property of Emerald Group Publishing Limited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"Chew", "given" : "Janet", "non-dropping-particle" : "", "parse-names" : false, "suffix" : "" }, { "dropping-particle" : "", "family" : "Chan", "given" : "Christopher C A", "non-dropping-particle" : "", "parse-names" : false, "suffix" : "" } ], "container-title" : "International Journal of Manpower", "id" : "ITEM-3", "issue" : "6", "issued" : { "date-parts" : [ [ "2008" ] ] }, "page" : "503-522", "title" : "Human resource practices, organizational commitment and intention to stay", "type" : "article-journal", "volume" : "29" }, "uris" : [ "http://www.mendeley.com/documents/?uuid=e4299377-928f-4ad1-b27d-31dfa978daea" ] }, { "id" : "ITEM-4", "itemData" : { "author" : [ { "dropping-particle" : "", "family" : "Conway", "given" : "Edel", "non-dropping-particle" : "", "parse-names" : false, "suffix" : "" }, { "dropping-particle" : "", "family" : "Monks", "given" : "Kathy", "non-dropping-particle" : "", "parse-names" : false, "suffix" : "" } ], "container-title" : "Human resource management Journal", "id" : "ITEM-4", "issue" : "2", "issued" : { "date-parts" : [ [ "2009" ] ] }, "page" : "140-158", "title" : "Unravelling the complexities of high commitment: An employee-level analysis", "type" : "article-journal", "volume" : "19" }, "uris" : [ "http://www.mendeley.com/documents/?uuid=27e6e8b9-9ee2-45ca-90f0-2264a8bc8e92" ] }, { "id" : "ITEM-5", "itemData" : { "DOI" : "10.1080/09585191003658821", "ISBN" : "0958-5192", "ISSN" : "0958-5192", "abstract" : "This paper presents the findings of a cross-cultural comparison of the effects of \u2018best practice\u2019 HRM using employees from a matched sample of local government service departments in England and Malaysia (England n = 569, Malaysian n = 453). The paper tests the universal \u2018best practice\u2019 thesis, and also assesses the perceived level of up-take of HR practices in the two samples. The research also considers the effects of the psychological climate and employees' perceptions of trust on five work-related outcomes, namely job satisfaction, motivation, organizational citizenship behaviour, stress and quit intentions. The findings reveal that the Malaysian workers perceived the up-take of HR practices to be higher in comparison to their counterparts in England. A less consistent pattern emerged with regards to perceptions of climate. OLS regression revealed that consistent with the universal thesis, a bundle of HR practices significantly predicted employee outcomes in the hypothesized directions in both samples. Therefore, these findings provide strong support for the universal thesis.", "author" : [ { "dropping-particle" : "", "family" : "Gould-Williams", "given" : "Julian Seymour", "non-dropping-particle" : "", "parse-names" : false, "suffix" : "" }, { "dropping-particle" : "", "family" : "Mohamed", "given" : "R. B.", "non-dropping-particle" : "", "parse-names" : false, "suffix" : "" } ], "container-title" : "International Journal of Human Resource Management", "id" : "ITEM-5", "issue" : "5", "issued" : { "date-parts" : [ [ "2010" ] ] }, "page" : "653-675", "title" : "A comparative study of the effects of 'best practice' HRM on worker outcomes in Malaysia and England local government", "type" : "article-journal", "volume" : "21" }, "uris" : [ "http://www.mendeley.com/documents/?uuid=98a188d6-200c-4802-9dc6-91c1531372f0" ] }, { "id" : "ITEM-6",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"ITEM-6",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"ITEM-7",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"ITEM-7", "issue" : "2", "issued" : { "date-parts" : [ [ "2013" ] ] }, "page" : "366-391", "title" : "The impact of high performance human resource practices on employees' attitudes and behaviors", "type" : "article-journal", "volume" : "39" }, "uris" : [ "http://www.mendeley.com/documents/?uuid=87fa9e55-e4a1-416e-9e06-eb7fd4bd89a6" ] }, { "id" : "ITEM-8",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"Boon", "given" : "C.", "non-dropping-particle" : "", "parse-names" : false, "suffix" : "" }, { "dropping-particle" : "", "family" : "Kalshoven", "given" : "K", "non-dropping-particle" : "", "parse-names" : false, "suffix" : "" } ], "container-title" : "Human Resource Management", "id" : "ITEM-8", "issue" : "3", "issued" : { "date-parts" : [ [ "2014" ] ] }, "page" : "403-420", "title" : "How high-commitment HRM relates to engagement and commitment: The moderating role of task proficiency", "type" : "article-journal", "volume" : "53" }, "uris" : [ "http://www.mendeley.com/documents/?uuid=cb756747-5761-4893-aa48-62d0692bb7b9" ] }, { "id" : "ITEM-9", "itemData" : { "author" : [ { "dropping-particle" : "", "family" : "Fabi", "given" : "B", "non-dropping-particle" : "", "parse-names" : false, "suffix" : "" }, { "dropping-particle" : "", "family" : "Lacoursi\u00e8re", "given" : "R", "non-dropping-particle" : "", "parse-names" : false, "suffix" : "" }, { "dropping-particle" : "", "family" : "Raymond", "given" : "L", "non-dropping-particle" : "", "parse-names" : false, "suffix" : "" } ], "container-title" : "International Journal of Manpower", "id" : "ITEM-9", "issue" : "5", "issued" : { "date-parts" : [ [ "2015" ] ] }, "page" : "772-790", "title" : "Impact of high-performance work systems on job satisfaction, organizational commitment, and intention to quit in Canadian organizations", "type" : "article-journal", "volume" : "36" }, "uris" : [ "http://www.mendeley.com/documents/?uuid=af3b2b1a-a01f-4983-995f-9c3e52123793" ] }, { "id" : "ITEM-10",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"ITEM-10",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"(Meyer &amp; Smith 2000; Edgar &amp; Geare 2005; Chew &amp; Chan 2008; Conway &amp; Monks 2009; Gould-Williams &amp; Mohamed 2010; Mendelson et al. 2011; Kehoe &amp; Wright 2013; Boon &amp; Kalshoven 2014; Fabi et al. 2015; Heffernan &amp; Dundon 2016)", "manualFormatting" : "(Meyer &amp; Smith, 2000; Edgar &amp; Geare, 2005; Chew &amp; Chan, 2008; Conway &amp; Monks, 2009; Gould-Williams &amp; Mohamed, 2010; Mendelson et al., 2011; Kehoe &amp; Wright, 2013; Boon &amp; Kalshoven, 2014; Fabi et al., 2015; Heffernan &amp; Dundon, 2016)", "plainTextFormattedCitation" : "(Meyer &amp; Smith 2000; Edgar &amp; Geare 2005; Chew &amp; Chan 2008; Conway &amp; Monks 2009; Gould-Williams &amp; Mohamed 2010; Mendelson et al. 2011; Kehoe &amp; Wright 2013; Boon &amp; Kalshoven 2014; Fabi et al. 2015; Heffernan &amp; Dundon 2016)", "previouslyFormattedCitation" : "(Meyer &amp; Smith 2000; Edgar &amp; Geare 2005; Chew &amp; Chan 2008; Conway &amp; Monks 2009; Gould-Williams &amp; Mohamed 2010; Mendelson et al. 2011; Kehoe &amp; Wright 2013; Boon &amp; Kalshoven 2014; Fabi et al. 2015; Heffernan &amp; Dundon 2016)" }, "properties" : { "noteIndex" : 0 }, "schema" : "https://github.com/citation-style-language/schema/raw/master/csl-citation.json" }</w:instrText>
      </w:r>
      <w:r w:rsidRPr="00452E2E">
        <w:fldChar w:fldCharType="separate"/>
      </w:r>
      <w:r w:rsidRPr="00452E2E">
        <w:rPr>
          <w:noProof/>
        </w:rPr>
        <w:t xml:space="preserve">(Meyer &amp; Smith, 2000; Edgar &amp; Geare, 2005; Chew &amp; Chan, 2008; Conway &amp; Monks, 2009; Gould-Williams &amp; Mohamed, 2010; Mendelson </w:t>
      </w:r>
      <w:r w:rsidRPr="00452E2E">
        <w:rPr>
          <w:i/>
          <w:noProof/>
        </w:rPr>
        <w:t>et al</w:t>
      </w:r>
      <w:r w:rsidRPr="00452E2E">
        <w:rPr>
          <w:noProof/>
        </w:rPr>
        <w:t xml:space="preserve">., 2011; Kehoe &amp; Wright, 2013; Boon &amp; Kalshoven, 2014; Fabi </w:t>
      </w:r>
      <w:r w:rsidRPr="00452E2E">
        <w:rPr>
          <w:i/>
          <w:noProof/>
        </w:rPr>
        <w:t>et al</w:t>
      </w:r>
      <w:r w:rsidRPr="00452E2E">
        <w:rPr>
          <w:noProof/>
        </w:rPr>
        <w:t>., 2015; Heffernan &amp; Dundon, 2016)</w:t>
      </w:r>
      <w:r w:rsidRPr="00452E2E">
        <w:fldChar w:fldCharType="end"/>
      </w:r>
      <w:r w:rsidRPr="00452E2E">
        <w:t xml:space="preserve">; therefore, a similar methodology was adopted in this research. </w:t>
      </w:r>
    </w:p>
    <w:p w:rsidR="00E7155B" w:rsidRPr="00452E2E" w:rsidRDefault="00D03A8E" w:rsidP="00D03A8E">
      <w:pPr>
        <w:spacing w:line="360" w:lineRule="auto"/>
        <w:jc w:val="both"/>
      </w:pPr>
      <w:r w:rsidRPr="00452E2E">
        <w:t>However, res</w:t>
      </w:r>
      <w:r w:rsidR="00AD58B2" w:rsidRPr="00452E2E">
        <w:t xml:space="preserve">earchers have used quantitative </w:t>
      </w:r>
      <w:r w:rsidRPr="00452E2E">
        <w:fldChar w:fldCharType="begin" w:fldLock="1"/>
      </w:r>
      <w:r w:rsidRPr="00452E2E">
        <w:instrText>ADDIN CSL_CITATION { "citationItems" : [ { "id" : "ITEM-1", "itemData" : { "author" : [ { "dropping-particle" : "", "family" : "Budhwar", "given" : "Pawan",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"75-90", "publisher" : "Routledge", "publisher-place" : "London", "title" : "Human resource management in India", "type" : "chapter" }, "uris" : [ "http://www.mendeley.com/documents/?uuid=f3126a42-1c4e-459f-bd09-965394c93d7c" ] }, { "id" : "ITEM-2",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"ITEM-2",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"mendeley" : { "formattedCitation" : "(Budhwar 2001; Boselie et al. 2003)", "plainTextFormattedCitation" : "(Budhwar 2001; Boselie et al. 2003)", "previouslyFormattedCitation" : "(Budhwar 2001; Boselie et al. 2003)" }, "properties" : { "noteIndex" : 0 }, "schema" : "https://github.com/citation-style-language/schema/raw/master/csl-citation.json" }</w:instrText>
      </w:r>
      <w:r w:rsidRPr="00452E2E">
        <w:fldChar w:fldCharType="separate"/>
      </w:r>
      <w:r w:rsidRPr="00452E2E">
        <w:rPr>
          <w:noProof/>
        </w:rPr>
        <w:t xml:space="preserve">(Budhwar 2001; Boselie </w:t>
      </w:r>
      <w:r w:rsidRPr="00452E2E">
        <w:rPr>
          <w:i/>
          <w:noProof/>
        </w:rPr>
        <w:t>et al</w:t>
      </w:r>
      <w:r w:rsidRPr="00452E2E">
        <w:rPr>
          <w:noProof/>
        </w:rPr>
        <w:t>. 2003)</w:t>
      </w:r>
      <w:r w:rsidRPr="00452E2E">
        <w:fldChar w:fldCharType="end"/>
      </w:r>
      <w:r w:rsidRPr="00452E2E">
        <w:t xml:space="preserve"> and/or qualitative approaches </w:t>
      </w:r>
      <w:r w:rsidRPr="00452E2E">
        <w:fldChar w:fldCharType="begin" w:fldLock="1"/>
      </w:r>
      <w:r w:rsidRPr="00452E2E">
        <w:instrText>ADDIN CSL_CITATION { "citationItems" : [ { "id" : "ITEM-1", "itemData" : { "author" : [ { "dropping-particle" : "", "family" : "Budhwar", "given" : "Pawan",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"75-90", "publisher" : "Routledge", "publisher-place" : "London", "title" : "Human resource management in India", "type" : "chapter" }, "uris" : [ "http://www.mendeley.com/documents/?uuid=f3126a42-1c4e-459f-bd09-965394c93d7c" ] }, { "id" : "ITEM-2", "itemData" : { "abstract" : "Purpose \u2013 Research in strategic human resource management (HRM) has focused mainly on the effects of HRM practices or systems on organizational effectiveness. However, institutional theory argues that besides being financially successful, organizations also need legitimacy to survive.Owingto the tension between competitive and institutional pressures, organizations balance between the degree of conformity and the degree of differentiation from competitors regarding HRM. The purpose of this paper is to address how institutional pressures help shape HRM. Design/methodology/approach \u2013 Using the concepts of leeway, human agency and strategic choice, differences in three types of institutional fit are highlighted: innovative, conformist and deviant. A comparative case study approach is used in order to illustrate the framework, using document analysis and 43 interviews in three organizations in The Netherlands. Findings \u2013 This paper shows how balancing competitive and institutional pressures in organizations affects HRM. The cases illustrate the proposed theoretical framework, showing leeway, human agency, strategic choice and the nature of institutional fit.Theorganizations each illustrate a type of institutional fit. Moreover, not the institutional context itself, but the organization\u2019s response seems to make a difference for the nature of institutional fit. Originality/value \u2013 While previous studies focus on the effects of HRM on organizational effectiveness, this paper examines how the balance between competitive and institutional pressures affectsHRMand aims toshow that institutional fit can contribute to strategicHRMby providing insight in this more balanced goal setting of organizations.", "author" : [ { "dropping-particle" : "", "family" : "Boon", "given" : "Corine", "non-dropping-particle" : "", "parse-names" : false, "suffix" : "" }, { "dropping-particle" : "", "family" : "Paauwe", "given" : "Jaap", "non-dropping-particle" : "", "parse-names" : false, "suffix" : "" }, { "dropping-particle" : "", "family" : "Boselie", "given" : "Paul", "non-dropping-particle" : "", "parse-names" : false, "suffix" : "" }, { "dropping-particle" : "", "family" : "Hartog", "given" : "Deane", "non-dropping-particle" : "Den", "parse-names" : false, "suffix" : "" } ], "container-title" : "Personnel Review", "id" : "ITEM-2", "issue" : "5", "issued" : { "date-parts" : [ [ "2009" ] ] }, "page" : "492-508", "title" : "Institutional pressures and HRM: Developing institutional fit", "type" : "article-journal", "volume" : "38" }, "uris" : [ "http://www.mendeley.com/documents/?uuid=d7f5441f-2750-48bc-ac06-5b21ceb45e58" ] }, { "id" : "ITEM-3", "itemData" : { "abstract" : "Purpose: Drawing on institutional theory and existing international business practice transfer and e-HRM models this paper develops an e-HRM diffusion model to ascertain the institutional factors that determine the successful diffusion of e-HRM practices in multinational corporations (MNC). The paper aims to discuss these issues. Design/methodology/approach: The research is based on the analysis of 25 semi-structured interviews with 15 key stakeholders in the German and Irish subsidiaries of a single US-based MNC as well as two interviews with a senior manager in one of its main competitors. Findings: The findings suggest that the successful transfer of e-HRM is mediated by an interchange of various institutional-level factors (external, relational, organizational and individual) within the corporation and its subsidiaries. Successful implementation of e-HRM is synonymous with the successful integration and institutionalization of e-HRM practices in the subsidiaries. Research limitations/implications: As this analysis is founded upon a single case study, it is difficult to make assumptions concerning the broad population of all MNC and their subsidiaries. Further research may be required to test the model and the findings presented in this paper. Practical implications: The findings and the model presented in this paper demonstrate the impact of the institutional context and of key success factors of technology implementation on e-HRM diffusion success. These findings may be of particular relevance to organizations and practitioners who are embarking on an e-HRM installation in an international context. Originality/value: This paper enriches the e-HRM and international management debate by identifying the key institutional factors impacting the diffusion of e-HRM practices in the subsidiaries of an MNC. In addition, the model put forward in the paper shows how these factors interact and how successful e-HRM diffusion can be characterized. \u00a9 Emerald Group Publishing Limited.", "author" : [ { "dropping-particle" : "", "family" : "Burbach", "given" : "Ralf", "non-dropping-particle" : "", "parse-names" : false, "suffix" : "" }, { "dropping-particle" : "", "family" : "Royle", "given" : "Tony", "non-dropping-particle" : "", "parse-names" : false, "suffix" : "" } ], "container-title" : "Employee Relations", "id" : "ITEM-3", "issue" : "4", "issued" : { "date-parts" : [ [ "2014" ] ] }, "page" : "354-375", "title" : "Institutional determinants of e-HRM diffusion success", "type" : "article-journal", "volume" : "36" }, "uris" : [ "http://www.mendeley.com/documents/?uuid=b3816d45-f80b-4578-995d-73e9259e51a3" ] }, { "id" : "ITEM-4", "itemData" : { "DOI" : "10.1108/ER-07-2013-0088", "ISBN" : "0263557091093", "ISSN" : "01425455", "abstract" : "Purpose: Up to now, there has been little research on the impact of the external environment on recruitment practices of organizations, and in part it lags behind practice. The purpose of this paper is to rectify this by studying recent changes in recruitment practices of Danish organizations and the adoption of e-recruitment from a macro organizational perspective. Design/methodology/approach: The study employs new institutional theory as a theoretical lens in order to understand how external pressures impact upon recruitment professionals and their practices. The empirical part is based on interpretive methods and the inductive analysis of data. The data were collected from a number of sources, such as exploratory interviews, observations, web sites, and other secondary material from 2008 to 2013. Findings: The findings indicate that recruitment practices are strongly influenced by changes stemming from functional and social pressures of the wider society, such as the labour market and the penetration of the internet into Danish society. That is reflected in the widespread use of digital HRM in general, and e-recruitment in particular. The study concludes that the recruitment field has transformed and reviewed its practices to a great extent due to the changes in how individuals search for employment and expect to be hired. Research limitations/implications: The empirical part of this study is limited to Denmark, and its economic, social, and cultural domains, yet the research design can be applied elsewhere. Originality/value: The paper contributes to a better understanding of HRM in context, the pressures and mechanisms for adoption of new recruitment practices, and more specifically the rationale for adopting e-recruitment practices. Additionally, it offers a novel research framework for future research on recruitment from the neoinstitutional perspective. \u00a9 Emerald Group Publishing Limited.", "author" : [ { "dropping-particle" : "", "family" : "Holm", "given" : "A.", "non-dropping-particle" : "", "parse-names" : false, "suffix" : "" } ], "container-title" : "Employee Relations", "id" : "ITEM-4", "issue" : "4", "issued" : { "date-parts" : [ [ "2014" ] ] }, "page" : "432-455", "title" : "Institutional context and e-recruitment practices of Danish organizations", "type" : "article-journal", "volume" : "36" }, "uris" : [ "http://www.mendeley.com/documents/?uuid=82dac40a-9e41-4c5a-a80e-259a373fab17" ] } ], "mendeley" : { "formattedCitation" : "(Budhwar 2001; Boon et al. 2009; Burbach &amp; Royle 2014; Holm 2014)", "manualFormatting" : "(Budhwar, 2001; Boon et al., 2009; Burbach &amp; Royle, 2014; Holm, 2014)", "plainTextFormattedCitation" : "(Budhwar 2001; Boon et al. 2009; Burbach &amp; Royle 2014; Holm 2014)", "previouslyFormattedCitation" : "(Budhwar 2001; Boon et al. 2009; Burbach &amp; Royle 2014; Holm 2014)" }, "properties" : { "noteIndex" : 0 }, "schema" : "https://github.com/citation-style-language/schema/raw/master/csl-citation.json" }</w:instrText>
      </w:r>
      <w:r w:rsidRPr="00452E2E">
        <w:fldChar w:fldCharType="separate"/>
      </w:r>
      <w:r w:rsidRPr="00452E2E">
        <w:rPr>
          <w:noProof/>
        </w:rPr>
        <w:t xml:space="preserve">(Budhwar, 2001; Boon </w:t>
      </w:r>
      <w:r w:rsidRPr="00452E2E">
        <w:rPr>
          <w:i/>
          <w:noProof/>
        </w:rPr>
        <w:t>et al</w:t>
      </w:r>
      <w:r w:rsidRPr="00452E2E">
        <w:rPr>
          <w:noProof/>
        </w:rPr>
        <w:t>., 2009; Burbach &amp; Royle, 2014; Holm, 2014)</w:t>
      </w:r>
      <w:r w:rsidRPr="00452E2E">
        <w:fldChar w:fldCharType="end"/>
      </w:r>
      <w:r w:rsidRPr="00452E2E">
        <w:t xml:space="preserve"> to explore the influence of institutions on HRM. Consequently, both quantitative and qualitative methods were used in this research to explore the influence of institutions on HRM in public and private sector. Nevertheless, since this research involves two studies, integrating both methods in this research was by no means straight-forward. First, the convergent parallel mixed methods design </w:t>
      </w:r>
      <w:r w:rsidRPr="00452E2E">
        <w:fldChar w:fldCharType="begin" w:fldLock="1"/>
      </w:r>
      <w:r w:rsidRPr="00452E2E">
        <w:instrText>ADDIN CSL_CITATION { "citationItems" : [ { "id" : "ITEM-1", "itemData" : { "author" : [ { "dropping-particle" : "", "family" : "Creswell", "given" : "J.W", "non-dropping-particle" : "", "parse-names" : false, "suffix" : "" } ], "edition" : "4th", "id" : "ITEM-1", "issued" : { "date-parts" : [ [ "2014" ] ] }, "publisher" : "SAGE", "publisher-place" : "Thousand Oaks, CA", "title" : "Research design: Qualitative, quantitative &amp; mixed methods approaches", "type" : "book" }, "uris" : [ "http://www.mendeley.com/documents/?uuid=a5b87496-6b66-467a-aaf5-69da1d311e40" ] } ], "mendeley" : { "formattedCitation" : "(Creswell 2014)", "manualFormatting" : "(Creswell, 2014)", "plainTextFormattedCitation" : "(Creswell 2014)", "previouslyFormattedCitation" : "(Creswell 2014)" }, "properties" : { "noteIndex" : 0 }, "schema" : "https://github.com/citation-style-language/schema/raw/master/csl-citation.json" }</w:instrText>
      </w:r>
      <w:r w:rsidRPr="00452E2E">
        <w:fldChar w:fldCharType="separate"/>
      </w:r>
      <w:r w:rsidRPr="00452E2E">
        <w:rPr>
          <w:noProof/>
        </w:rPr>
        <w:t>(Creswell, 2014)</w:t>
      </w:r>
      <w:r w:rsidRPr="00452E2E">
        <w:fldChar w:fldCharType="end"/>
      </w:r>
      <w:r w:rsidRPr="00452E2E">
        <w:t xml:space="preserve"> was adopted to integrate quantitative and qualitative data on the influence of institutions on HRM in </w:t>
      </w:r>
      <w:r w:rsidRPr="00452E2E">
        <w:rPr>
          <w:i/>
        </w:rPr>
        <w:t>study 1.</w:t>
      </w:r>
      <w:r w:rsidRPr="00452E2E">
        <w:t xml:space="preserve"> This was to provide a comprehensive analysis of the influence of institutions on HRM in </w:t>
      </w:r>
      <w:r w:rsidR="00F61223" w:rsidRPr="00452E2E">
        <w:t xml:space="preserve">the </w:t>
      </w:r>
      <w:r w:rsidRPr="00452E2E">
        <w:t xml:space="preserve">public and private sector by utilising quantitative data from many (122) HR managers whilst at the same time rich data from </w:t>
      </w:r>
      <w:r w:rsidR="00F61223" w:rsidRPr="00452E2E">
        <w:t xml:space="preserve">13 </w:t>
      </w:r>
      <w:r w:rsidRPr="00452E2E">
        <w:t xml:space="preserve">in-depth qualitative interviews were used to provide a deeper insight on how institutions influence HRM in both sectors. Second, the exploratory sequential mixed methods design </w:t>
      </w:r>
      <w:r w:rsidRPr="00452E2E">
        <w:fldChar w:fldCharType="begin" w:fldLock="1"/>
      </w:r>
      <w:r w:rsidRPr="00452E2E">
        <w:instrText>ADDIN CSL_CITATION { "citationItems" : [ { "id" : "ITEM-1", "itemData" : { "author" : [ { "dropping-particle" : "", "family" : "Creswell", "given" : "J.W", "non-dropping-particle" : "", "parse-names" : false, "suffix" : "" } ], "edition" : "4th", "id" : "ITEM-1", "issued" : { "date-parts" : [ [ "2014" ] ] }, "publisher" : "SAGE", "publisher-place" : "Thousand Oaks, CA", "title" : "Research design: Qualitative, quantitative &amp; mixed methods approaches", "type" : "book" }, "uris" : [ "http://www.mendeley.com/documents/?uuid=a5b87496-6b66-467a-aaf5-69da1d311e40" ] } ], "mendeley" : { "formattedCitation" : "(Creswell 2014)", "manualFormatting" : "(Creswell, 2014)", "plainTextFormattedCitation" : "(Creswell 2014)", "previouslyFormattedCitation" : "(Creswell 2014)" }, "properties" : { "noteIndex" : 0 }, "schema" : "https://github.com/citation-style-language/schema/raw/master/csl-citation.json" }</w:instrText>
      </w:r>
      <w:r w:rsidRPr="00452E2E">
        <w:fldChar w:fldCharType="separate"/>
      </w:r>
      <w:r w:rsidRPr="00452E2E">
        <w:rPr>
          <w:noProof/>
        </w:rPr>
        <w:t>(Creswell, 2014)</w:t>
      </w:r>
      <w:r w:rsidRPr="00452E2E">
        <w:fldChar w:fldCharType="end"/>
      </w:r>
      <w:r w:rsidRPr="00452E2E">
        <w:t xml:space="preserve"> was used to integrate the findings from the influence of institutions on HRM with </w:t>
      </w:r>
      <w:r w:rsidRPr="00452E2E">
        <w:rPr>
          <w:i/>
        </w:rPr>
        <w:t xml:space="preserve">study 2 </w:t>
      </w:r>
      <w:r w:rsidRPr="00452E2E">
        <w:t xml:space="preserve">since these findings provided directions for context-specific hypotheses  for </w:t>
      </w:r>
      <w:r w:rsidRPr="00452E2E">
        <w:rPr>
          <w:i/>
        </w:rPr>
        <w:t xml:space="preserve">study 2 </w:t>
      </w:r>
      <w:r w:rsidRPr="00452E2E">
        <w:t xml:space="preserve">(see chapter 6). </w:t>
      </w:r>
    </w:p>
    <w:p w:rsidR="00D03A8E" w:rsidRPr="00452E2E" w:rsidRDefault="00D03A8E" w:rsidP="00D03A8E">
      <w:pPr>
        <w:spacing w:line="360" w:lineRule="auto"/>
        <w:jc w:val="both"/>
      </w:pPr>
      <w:r w:rsidRPr="00452E2E">
        <w:lastRenderedPageBreak/>
        <w:t xml:space="preserve">In sum, convergent parallel mixed methods design was used to integrate quantitative and qualitative data within </w:t>
      </w:r>
      <w:r w:rsidRPr="00452E2E">
        <w:rPr>
          <w:i/>
        </w:rPr>
        <w:t xml:space="preserve">study 1 </w:t>
      </w:r>
      <w:r w:rsidRPr="00452E2E">
        <w:t xml:space="preserve">whilst exploratory sequential mixed methods design was used to integrate quantitative and qualitative data across the two studies. </w:t>
      </w:r>
    </w:p>
    <w:p w:rsidR="00D03A8E" w:rsidRPr="00452E2E" w:rsidRDefault="00D03A8E" w:rsidP="00170224">
      <w:pPr>
        <w:pStyle w:val="Heading3"/>
      </w:pPr>
      <w:bookmarkStart w:id="83" w:name="_Toc465271183"/>
      <w:bookmarkStart w:id="84" w:name="_Toc473808139"/>
      <w:r w:rsidRPr="00452E2E">
        <w:t>4.3 Research Design</w:t>
      </w:r>
      <w:bookmarkEnd w:id="83"/>
      <w:bookmarkEnd w:id="84"/>
    </w:p>
    <w:p w:rsidR="00D03A8E" w:rsidRPr="00452E2E" w:rsidRDefault="00D03A8E" w:rsidP="00D03A8E">
      <w:pPr>
        <w:spacing w:line="360" w:lineRule="auto"/>
        <w:jc w:val="both"/>
      </w:pPr>
      <w:r w:rsidRPr="00452E2E">
        <w:t xml:space="preserve">Research design is simply an outline of how a study is conducted. It provides a structure that guides the researcher to collect and analyse data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It is a plan of the procedures guiding the conduct of research in order to obtain findings that are most genuine </w:t>
      </w:r>
      <w:r w:rsidRPr="00452E2E">
        <w:fldChar w:fldCharType="begin" w:fldLock="1"/>
      </w:r>
      <w:r w:rsidRPr="00452E2E">
        <w:instrText>ADDIN CSL_CITATION { "citationItems" : [ { "id" : "ITEM-1", "itemData" : { "author" : [ { "dropping-particle" : "", "family" : "Collis", "given" : "J", "non-dropping-particle" : "", "parse-names" : false, "suffix" : "" }, { "dropping-particle" : "", "family" : "Hussey", "given" : "R", "non-dropping-particle" : "", "parse-names" : false, "suffix" : "" } ], "edition" : "2nd", "id" : "ITEM-1", "issued" : { "date-parts" : [ [ "2003" ] ] }, "publisher" : "Palgrave Macmillan", "publisher-place" : "Basingstoke", "title" : "Business research: A practical guide for undergraduate and postgraduate students", "type" : "book" }, "uris" : [ "http://www.mendeley.com/documents/?uuid=80379da1-5965-4a70-8c75-69c507ccbeb0" ] } ], "mendeley" : { "formattedCitation" : "(Collis &amp; Hussey 2003)", "manualFormatting" : "(Collis &amp; Hussey, 2003)", "plainTextFormattedCitation" : "(Collis &amp; Hussey 2003)", "previouslyFormattedCitation" : "(Collis &amp; Hussey 2003)" }, "properties" : { "noteIndex" : 0 }, "schema" : "https://github.com/citation-style-language/schema/raw/master/csl-citation.json" }</w:instrText>
      </w:r>
      <w:r w:rsidRPr="00452E2E">
        <w:fldChar w:fldCharType="separate"/>
      </w:r>
      <w:r w:rsidRPr="00452E2E">
        <w:rPr>
          <w:noProof/>
        </w:rPr>
        <w:t>(Collis &amp; Hussey, 2003)</w:t>
      </w:r>
      <w:r w:rsidRPr="00452E2E">
        <w:fldChar w:fldCharType="end"/>
      </w:r>
      <w:r w:rsidRPr="00452E2E">
        <w:t xml:space="preserve">. In selecting a research design for a study, it is important for researchers to determine whether a particular research design will help in providing answers to the research questions at hand (Collis &amp; Hussey, 2003). Therefore, the nature of the research problem or the goal of research is a key factor in selecting a particular research design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"mendeley" : { "formattedCitation" : "(Hair et al. 2007)", "manualFormatting" : "(Hair et al., 2007)", "plainTextFormattedCitation" : "(Hair et al. 2007)", "previouslyFormattedCitation" : "(Hair et al. 2007)"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w:t>
      </w:r>
      <w:r w:rsidRPr="00452E2E">
        <w:fldChar w:fldCharType="end"/>
      </w:r>
      <w:r w:rsidRPr="00452E2E">
        <w:t xml:space="preserve">. Based on the goal of research, three types of research designs can be distinguished as exploratory, descriptive, and causal research designs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"mendeley" : { "formattedCitation" : "(Hair et al. 2007)", "manualFormatting" : "(Hair et al., 2007)", "plainTextFormattedCitation" : "(Hair et al. 2007)", "previouslyFormattedCitation" : "(Hair et al. 2007)"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w:t>
      </w:r>
      <w:r w:rsidRPr="00452E2E">
        <w:fldChar w:fldCharType="end"/>
      </w:r>
      <w:r w:rsidRPr="00452E2E">
        <w:t xml:space="preserve">. </w:t>
      </w:r>
    </w:p>
    <w:p w:rsidR="00D03A8E" w:rsidRPr="00452E2E" w:rsidRDefault="00D03A8E" w:rsidP="00D03A8E">
      <w:pPr>
        <w:spacing w:line="360" w:lineRule="auto"/>
        <w:jc w:val="both"/>
      </w:pPr>
      <w:r w:rsidRPr="00452E2E">
        <w:t xml:space="preserve">Exploratory research design is appropriate when there is little or no understanding of the research problem at hand </w:t>
      </w:r>
      <w:r w:rsidRPr="00452E2E">
        <w:fldChar w:fldCharType="begin" w:fldLock="1"/>
      </w:r>
      <w:r w:rsidRPr="00452E2E">
        <w:instrText>ADDIN CSL_CITATION { "citationItems" : [ { "id" : "ITEM-1", "itemData" : { "author" : [ { "dropping-particle" : "", "family" : "Sekaran", "given" : "U", "non-dropping-particle" : "", "parse-names" : false, "suffix" : "" }, { "dropping-particle" : "", "family" : "Bougie", "given" : "R", "non-dropping-particle" : "", "parse-names" : false, "suffix" : "" } ], "edition" : "3rd", "id" : "ITEM-1", "issued" : { "date-parts" : [ [ "2010" ] ] }, "publisher" : "John Wiley", "publisher-place" : "New York", "title" : "Research methods for business: a skill building approach", "type" : "book" }, "uris" : [ "http://www.mendeley.com/documents/?uuid=81593b6a-c0fb-4887-bd80-f28e3ec22ed9" ] } ], "mendeley" : { "formattedCitation" : "(Sekaran &amp; Bougie 2010)", "manualFormatting" : "(Sekaran &amp; Bougie, 2010)", "plainTextFormattedCitation" : "(Sekaran &amp; Bougie 2010)", "previouslyFormattedCitation" : "(Sekaran &amp; Bougie 2010)" }, "properties" : { "noteIndex" : 0 }, "schema" : "https://github.com/citation-style-language/schema/raw/master/csl-citation.json" }</w:instrText>
      </w:r>
      <w:r w:rsidRPr="00452E2E">
        <w:fldChar w:fldCharType="separate"/>
      </w:r>
      <w:r w:rsidRPr="00452E2E">
        <w:rPr>
          <w:noProof/>
        </w:rPr>
        <w:t>(Sekaran &amp; Bougie, 2010)</w:t>
      </w:r>
      <w:r w:rsidRPr="00452E2E">
        <w:fldChar w:fldCharType="end"/>
      </w:r>
      <w:r w:rsidRPr="00452E2E">
        <w:t xml:space="preserve">. This type of research is conducted to provide better knowledge or understanding of the phenomena under investigation. Exploratory research is used especially when the researcher is faced with a research problem that is not properly structured </w:t>
      </w:r>
      <w:r w:rsidRPr="00452E2E">
        <w:fldChar w:fldCharType="begin" w:fldLock="1"/>
      </w:r>
      <w:r w:rsidRPr="00452E2E">
        <w:instrText>ADDIN CSL_CITATION { "citationItems" : [ { "id" : "ITEM-1", "itemData" : { "author" : [ { "dropping-particle" : "", "family" : "Sekaran", "given" : "U", "non-dropping-particle" : "", "parse-names" : false, "suffix" : "" }, { "dropping-particle" : "", "family" : "Bougie", "given" : "R", "non-dropping-particle" : "", "parse-names" : false, "suffix" : "" } ], "edition" : "3rd", "id" : "ITEM-1", "issued" : { "date-parts" : [ [ "2010" ] ] }, "publisher" : "John Wiley", "publisher-place" : "New York", "title" : "Research methods for business: a skill building approach", "type" : "book" }, "uris" : [ "http://www.mendeley.com/documents/?uuid=81593b6a-c0fb-4887-bd80-f28e3ec22ed9" ] } ], "mendeley" : { "formattedCitation" : "(Sekaran &amp; Bougie 2010)", "manualFormatting" : "(Sekaran &amp; Bougie, 2010)", "plainTextFormattedCitation" : "(Sekaran &amp; Bougie 2010)", "previouslyFormattedCitation" : "(Sekaran &amp; Bougie 2010)" }, "properties" : { "noteIndex" : 0 }, "schema" : "https://github.com/citation-style-language/schema/raw/master/csl-citation.json" }</w:instrText>
      </w:r>
      <w:r w:rsidRPr="00452E2E">
        <w:fldChar w:fldCharType="separate"/>
      </w:r>
      <w:r w:rsidRPr="00452E2E">
        <w:rPr>
          <w:noProof/>
        </w:rPr>
        <w:t>(Sekaran &amp; Bougie, 2010)</w:t>
      </w:r>
      <w:r w:rsidRPr="00452E2E">
        <w:fldChar w:fldCharType="end"/>
      </w:r>
      <w:r w:rsidRPr="00452E2E">
        <w:t xml:space="preserve">. The use of exploratory research design suggests the existence of few or no previous studies from which the researcher can seek information to understand the research problem </w:t>
      </w:r>
      <w:r w:rsidRPr="00452E2E">
        <w:fldChar w:fldCharType="begin" w:fldLock="1"/>
      </w:r>
      <w:r w:rsidRPr="00452E2E">
        <w:instrText>ADDIN CSL_CITATION { "citationItems" : [ { "id" : "ITEM-1", "itemData" : { "author" : [ { "dropping-particle" : "", "family" : "Collis", "given" : "J", "non-dropping-particle" : "", "parse-names" : false, "suffix" : "" }, { "dropping-particle" : "", "family" : "Hussey", "given" : "R", "non-dropping-particle" : "", "parse-names" : false, "suffix" : "" } ], "edition" : "2nd", "id" : "ITEM-1", "issued" : { "date-parts" : [ [ "2003" ] ] }, "publisher" : "Palgrave Macmillan", "publisher-place" : "Basingstoke", "title" : "Business research: A practical guide for undergraduate and postgraduate students", "type" : "book" }, "uris" : [ "http://www.mendeley.com/documents/?uuid=80379da1-5965-4a70-8c75-69c507ccbeb0" ] }, { "id" : "ITEM-2",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"ITEM-2", "issued" : { "date-parts" : [ [ "2007" ] ] }, "publisher" : "John Wiley and Sons", "publisher-place" : "Chichester", "title" : "Research methods for business", "type" : "book" }, "uris" : [ "http://www.mendeley.com/documents/?uuid=89614995-9f01-44fe-b443-32e7b942c934" ] }, { "id" : "ITEM-3", "itemData" : { "author" : [ { "dropping-particle" : "", "family" : "Sekaran", "given" : "U", "non-dropping-particle" : "", "parse-names" : false, "suffix" : "" }, { "dropping-particle" : "", "family" : "Bougie", "given" : "R", "non-dropping-particle" : "", "parse-names" : false, "suffix" : "" } ], "edition" : "3rd", "id" : "ITEM-3", "issued" : { "date-parts" : [ [ "2010" ] ] }, "publisher" : "John Wiley", "publisher-place" : "New York", "title" : "Research methods for business: a skill building approach", "type" : "book" }, "uris" : [ "http://www.mendeley.com/documents/?uuid=81593b6a-c0fb-4887-bd80-f28e3ec22ed9" ] } ], "mendeley" : { "formattedCitation" : "(Collis &amp; Hussey 2003; Hair et al. 2007; Sekaran &amp; Bougie 2010)", "manualFormatting" : "(Collis &amp; Hussey, 2003; Hair et al., 2007; Sekaran &amp; Bougie, 2010)", "plainTextFormattedCitation" : "(Collis &amp; Hussey 2003; Hair et al. 2007; Sekaran &amp; Bougie 2010)", "previouslyFormattedCitation" : "(Collis &amp; Hussey 2003; Hair et al. 2007; Sekaran &amp; Bougie 2010)" }, "properties" : { "noteIndex" : 0 }, "schema" : "https://github.com/citation-style-language/schema/raw/master/csl-citation.json" }</w:instrText>
      </w:r>
      <w:r w:rsidRPr="00452E2E">
        <w:fldChar w:fldCharType="separate"/>
      </w:r>
      <w:r w:rsidRPr="00452E2E">
        <w:rPr>
          <w:noProof/>
        </w:rPr>
        <w:t xml:space="preserve">(Collis &amp; Hussey, 2003; Hair </w:t>
      </w:r>
      <w:r w:rsidRPr="00452E2E">
        <w:rPr>
          <w:i/>
          <w:noProof/>
        </w:rPr>
        <w:t>et al</w:t>
      </w:r>
      <w:r w:rsidRPr="00452E2E">
        <w:rPr>
          <w:noProof/>
        </w:rPr>
        <w:t>., 2007; Sekaran &amp; Bougie, 2010)</w:t>
      </w:r>
      <w:r w:rsidRPr="00452E2E">
        <w:fldChar w:fldCharType="end"/>
      </w:r>
      <w:r w:rsidRPr="00452E2E">
        <w:t xml:space="preserve">. Thus, the goal of exploratory research is not to test hypotheses but to clarify the research problem by revealing insights about the research issue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"id" : "ITEM-2", "itemData" : { "author" : [ { "dropping-particle" : "", "family" : "Sekaran", "given" : "U", "non-dropping-particle" : "", "parse-names" : false, "suffix" : "" }, { "dropping-particle" : "", "family" : "Bougie", "given" : "R", "non-dropping-particle" : "", "parse-names" : false, "suffix" : "" } ], "edition" : "3rd", "id" : "ITEM-2", "issued" : { "date-parts" : [ [ "2010" ] ] }, "publisher" : "John Wiley", "publisher-place" : "New York", "title" : "Research methods for business: a skill building approach", "type" : "book" }, "uris" : [ "http://www.mendeley.com/documents/?uuid=81593b6a-c0fb-4887-bd80-f28e3ec22ed9" ] } ], "mendeley" : { "formattedCitation" : "(Hair et al. 2007; Sekaran &amp; Bougie 2010)", "manualFormatting" : "(Hair et al., 2007; Sekaran &amp; Bougie, 2010)", "plainTextFormattedCitation" : "(Hair et al. 2007; Sekaran &amp; Bougie 2010)", "previouslyFormattedCitation" : "(Hair et al. 2007; Sekaran &amp; Bougie 2010)"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 Sekaran &amp; Bougie, 2010)</w:t>
      </w:r>
      <w:r w:rsidRPr="00452E2E">
        <w:fldChar w:fldCharType="end"/>
      </w:r>
      <w:r w:rsidRPr="00452E2E">
        <w:t xml:space="preserve">. This suggests that exploratory research is a form of preliminary research conducted to provide ideas and insights that will guide the conduct of another study. Although most exploratory studies rely on qualitative approaches, it is also common for quantitative approaches to be adopted in exploratory research to enable the researcher </w:t>
      </w:r>
      <w:r w:rsidR="00E22DC7" w:rsidRPr="00452E2E">
        <w:t xml:space="preserve">to </w:t>
      </w:r>
      <w:r w:rsidRPr="00452E2E">
        <w:t xml:space="preserve">collect data from a large sample (Hair </w:t>
      </w:r>
      <w:r w:rsidRPr="00452E2E">
        <w:rPr>
          <w:i/>
        </w:rPr>
        <w:t>et al</w:t>
      </w:r>
      <w:r w:rsidRPr="00452E2E">
        <w:t>., 2007).</w:t>
      </w:r>
    </w:p>
    <w:p w:rsidR="00D03A8E" w:rsidRPr="00452E2E" w:rsidRDefault="00D03A8E" w:rsidP="00D03A8E">
      <w:pPr>
        <w:spacing w:line="360" w:lineRule="auto"/>
        <w:jc w:val="both"/>
      </w:pPr>
      <w:r w:rsidRPr="00452E2E">
        <w:lastRenderedPageBreak/>
        <w:t xml:space="preserve">Descriptive research on the other hand is appropriate for obtaining data that describes the characteristics of the phenomena of interest to the researcher </w:t>
      </w:r>
      <w:r w:rsidRPr="00452E2E">
        <w:fldChar w:fldCharType="begin" w:fldLock="1"/>
      </w:r>
      <w:r w:rsidRPr="00452E2E">
        <w:instrText>ADDIN CSL_CITATION { "citationItems" : [ { "id" : "ITEM-1", "itemData" : { "author" : [ { "dropping-particle" : "", "family" : "Collis", "given" : "J", "non-dropping-particle" : "", "parse-names" : false, "suffix" : "" }, { "dropping-particle" : "", "family" : "Hussey", "given" : "R", "non-dropping-particle" : "", "parse-names" : false, "suffix" : "" } ], "edition" : "2nd", "id" : "ITEM-1", "issued" : { "date-parts" : [ [ "2003" ] ] }, "publisher" : "Palgrave Macmillan", "publisher-place" : "Basingstoke", "title" : "Business research: A practical guide for undergraduate and postgraduate students", "type" : "book" }, "uris" : [ "http://www.mendeley.com/documents/?uuid=80379da1-5965-4a70-8c75-69c507ccbeb0" ] }, { "id" : "ITEM-2",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"ITEM-2", "issued" : { "date-parts" : [ [ "2007" ] ] }, "publisher" : "John Wiley and Sons", "publisher-place" : "Chichester", "title" : "Research methods for business", "type" : "book" }, "uris" : [ "http://www.mendeley.com/documents/?uuid=89614995-9f01-44fe-b443-32e7b942c934" ] } ], "mendeley" : { "formattedCitation" : "(Collis &amp; Hussey 2003; Hair et al. 2007)", "manualFormatting" : "(Collis &amp; Hussey, 2003; Bryman &amp; Bell, 2011)", "plainTextFormattedCitation" : "(Collis &amp; Hussey 2003; Hair et al. 2007)", "previouslyFormattedCitation" : "(Collis &amp; Hussey 2003; Hair et al. 2007)" }, "properties" : { "noteIndex" : 0 }, "schema" : "https://github.com/citation-style-language/schema/raw/master/csl-citation.json" }</w:instrText>
      </w:r>
      <w:r w:rsidRPr="00452E2E">
        <w:fldChar w:fldCharType="separate"/>
      </w:r>
      <w:r w:rsidRPr="00452E2E">
        <w:rPr>
          <w:noProof/>
        </w:rPr>
        <w:t>(Collis &amp; Hussey, 2003; Bryman &amp; Bell, 2011)</w:t>
      </w:r>
      <w:r w:rsidRPr="00452E2E">
        <w:fldChar w:fldCharType="end"/>
      </w:r>
      <w:r w:rsidRPr="00452E2E">
        <w:t xml:space="preserve">. The focus of this type of research design is on how frequent events occur and whether two or more variables are related </w:t>
      </w:r>
      <w:r w:rsidRPr="00452E2E">
        <w:fldChar w:fldCharType="begin" w:fldLock="1"/>
      </w:r>
      <w:r w:rsidRPr="00452E2E">
        <w:instrText>ADDIN CSL_CITATION { "citationItems" : [ { "id" : "ITEM-1", "itemData" : { "author" : [ { "dropping-particle" : "", "family" : "Saunders", "given" : "M", "non-dropping-particle" : "", "parse-names" : false, "suffix" : "" }, { "dropping-particle" : "", "family" : "Lewis", "given" : "P", "non-dropping-particle" : "", "parse-names" : false, "suffix" : "" }, { "dropping-particle" : "", "family" : "Thornhill", "given" : "A", "non-dropping-particle" : "", "parse-names" : false, "suffix" : "" } ], "edition" : "6th", "id" : "ITEM-1", "issued" : { "date-parts" : [ [ "2012" ] ] }, "publisher" : "Pearson", "publisher-place" : "Harlow", "title" : "Research methods for business students", "type" : "book" }, "uris" : [ "http://www.mendeley.com/documents/?uuid=c6d2391b-4404-4f3f-a63b-3c03cd7b2137" ] } ], "mendeley" : { "formattedCitation" : "(Saunders et al. 2012)", "manualFormatting" : "(Saunders et al., 2012)", "plainTextFormattedCitation" : "(Saunders et al. 2012)", "previouslyFormattedCitation" : "(Saunders et al. 2012)" }, "properties" : { "noteIndex" : 0 }, "schema" : "https://github.com/citation-style-language/schema/raw/master/csl-citation.json" }</w:instrText>
      </w:r>
      <w:r w:rsidRPr="00452E2E">
        <w:fldChar w:fldCharType="separate"/>
      </w:r>
      <w:r w:rsidRPr="00452E2E">
        <w:rPr>
          <w:noProof/>
        </w:rPr>
        <w:t xml:space="preserve">(Saunders </w:t>
      </w:r>
      <w:r w:rsidRPr="00452E2E">
        <w:rPr>
          <w:i/>
          <w:noProof/>
        </w:rPr>
        <w:t>et al</w:t>
      </w:r>
      <w:r w:rsidRPr="00452E2E">
        <w:rPr>
          <w:noProof/>
        </w:rPr>
        <w:t>., 2012)</w:t>
      </w:r>
      <w:r w:rsidRPr="00452E2E">
        <w:fldChar w:fldCharType="end"/>
      </w:r>
      <w:r w:rsidRPr="00452E2E">
        <w:t xml:space="preserve">. In descriptive research, the research issue at hand is properly understood and well-structured because of the existence of many previous studies from which the researcher can rely for information </w:t>
      </w:r>
      <w:r w:rsidRPr="00452E2E">
        <w:fldChar w:fldCharType="begin" w:fldLock="1"/>
      </w:r>
      <w:r w:rsidRPr="00452E2E">
        <w:instrText>ADDIN CSL_CITATION { "citationItems" : [ { "id" : "ITEM-1", "itemData" : { "author" : [ { "dropping-particle" : "", "family" : "Saunders", "given" : "M", "non-dropping-particle" : "", "parse-names" : false, "suffix" : "" }, { "dropping-particle" : "", "family" : "Lewis", "given" : "P", "non-dropping-particle" : "", "parse-names" : false, "suffix" : "" }, { "dropping-particle" : "", "family" : "Thornhill", "given" : "A", "non-dropping-particle" : "", "parse-names" : false, "suffix" : "" } ], "edition" : "6th", "id" : "ITEM-1", "issued" : { "date-parts" : [ [ "2012" ] ] }, "publisher" : "Pearson", "publisher-place" : "Harlow", "title" : "Research methods for business students", "type" : "book" }, "uris" : [ "http://www.mendeley.com/documents/?uuid=c6d2391b-4404-4f3f-a63b-3c03cd7b2137" ] } ], "mendeley" : { "formattedCitation" : "(Saunders et al. 2012)", "manualFormatting" : "(Saunders et al., 2012)", "plainTextFormattedCitation" : "(Saunders et al. 2012)", "previouslyFormattedCitation" : "(Saunders et al. 2012)" }, "properties" : { "noteIndex" : 0 }, "schema" : "https://github.com/citation-style-language/schema/raw/master/csl-citation.json" }</w:instrText>
      </w:r>
      <w:r w:rsidRPr="00452E2E">
        <w:fldChar w:fldCharType="separate"/>
      </w:r>
      <w:r w:rsidRPr="00452E2E">
        <w:rPr>
          <w:noProof/>
        </w:rPr>
        <w:t xml:space="preserve">(Saunders </w:t>
      </w:r>
      <w:r w:rsidRPr="00452E2E">
        <w:rPr>
          <w:i/>
          <w:noProof/>
        </w:rPr>
        <w:t>et al</w:t>
      </w:r>
      <w:r w:rsidRPr="00452E2E">
        <w:rPr>
          <w:noProof/>
        </w:rPr>
        <w:t>., 2012)</w:t>
      </w:r>
      <w:r w:rsidRPr="00452E2E">
        <w:fldChar w:fldCharType="end"/>
      </w:r>
      <w:r w:rsidRPr="00452E2E">
        <w:t xml:space="preserve">. Hence, through the use of appropriate theory, hypotheses are stated which provide guidance on the variables that need to be measured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"id" : "ITEM-2", "itemData" : { "author" : [ { "dropping-particle" : "", "family" : "Saunders", "given" : "M", "non-dropping-particle" : "", "parse-names" : false, "suffix" : "" }, { "dropping-particle" : "", "family" : "Lewis", "given" : "P", "non-dropping-particle" : "", "parse-names" : false, "suffix" : "" }, { "dropping-particle" : "", "family" : "Thornhill", "given" : "A", "non-dropping-particle" : "", "parse-names" : false, "suffix" : "" } ], "edition" : "6th", "id" : "ITEM-2", "issued" : { "date-parts" : [ [ "2012" ] ] }, "publisher" : "Pearson", "publisher-place" : "Harlow", "title" : "Research methods for business students", "type" : "book" }, "uris" : [ "http://www.mendeley.com/documents/?uuid=c6d2391b-4404-4f3f-a63b-3c03cd7b2137" ] } ], "mendeley" : { "formattedCitation" : "(Hair et al. 2007; Saunders et al. 2012)", "manualFormatting" : "(Hair et al., 2007; Saunders et al., 2012)", "plainTextFormattedCitation" : "(Hair et al. 2007; Saunders et al. 2012)", "previouslyFormattedCitation" : "(Hair et al. 2007; Saunders et al. 2012)"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xml:space="preserve">., 2007; Saunders </w:t>
      </w:r>
      <w:r w:rsidRPr="00452E2E">
        <w:rPr>
          <w:i/>
          <w:noProof/>
        </w:rPr>
        <w:t>et al</w:t>
      </w:r>
      <w:r w:rsidRPr="00452E2E">
        <w:rPr>
          <w:noProof/>
        </w:rPr>
        <w:t>., 2012)</w:t>
      </w:r>
      <w:r w:rsidRPr="00452E2E">
        <w:fldChar w:fldCharType="end"/>
      </w:r>
      <w:r w:rsidRPr="00452E2E">
        <w:t xml:space="preserve">. In addition, a structured approach is used for the collection of data on the variables of interest to the researcher. Descriptive research may be either cross-sectional or longitudinal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w:t>
      </w:r>
    </w:p>
    <w:p w:rsidR="00D03A8E" w:rsidRPr="00452E2E" w:rsidRDefault="00D03A8E" w:rsidP="00D03A8E">
      <w:pPr>
        <w:spacing w:line="360" w:lineRule="auto"/>
        <w:jc w:val="both"/>
      </w:pPr>
      <w:r w:rsidRPr="00452E2E">
        <w:t xml:space="preserve">In a </w:t>
      </w:r>
      <w:r w:rsidRPr="00452E2E">
        <w:rPr>
          <w:i/>
        </w:rPr>
        <w:t xml:space="preserve">cross-sectional design </w:t>
      </w:r>
      <w:r w:rsidRPr="00452E2E">
        <w:t>(also known as survey design),</w:t>
      </w:r>
      <w:r w:rsidRPr="00452E2E">
        <w:rPr>
          <w:i/>
        </w:rPr>
        <w:t xml:space="preserve"> </w:t>
      </w:r>
      <w:r w:rsidRPr="00452E2E">
        <w:t xml:space="preserve">data is collected at a particular point in time from a sample that is drawn from a large population whilst data collected is then statistically summarised and generalised to the entire population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"id" : "ITEM-2", "itemData" : { "author" : [ { "dropping-particle" : "", "family" : "Bryman", "given" : "A", "non-dropping-particle" : "", "parse-names" : false, "suffix" : "" }, { "dropping-particle" : "", "family" : "Bell", "given" : "E", "non-dropping-particle" : "", "parse-names" : false, "suffix" : "" } ], "edition" : "3rd", "id" : "ITEM-2", "issued" : { "date-parts" : [ [ "2011" ] ] }, "publisher" : "Oxford University Press", "publisher-place" : "Oxford", "title" : "Business research methods", "type" : "book" }, "uris" : [ "http://www.mendeley.com/documents/?uuid=4cae4e90-dc5a-4453-b76d-3ba238dca132" ] } ], "mendeley" : { "formattedCitation" : "(Hair et al. 2007; Bryman &amp; Bell 2011)", "manualFormatting" : "(Hair et al., 2007; Bryman &amp; Bell, 2011)", "plainTextFormattedCitation" : "(Hair et al. 2007; Bryman &amp; Bell 2011)", "previouslyFormattedCitation" : "(Hair et al. 2007; Bryman &amp; Bell 2011)"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 Bryman &amp; Bell, 2011)</w:t>
      </w:r>
      <w:r w:rsidRPr="00452E2E">
        <w:fldChar w:fldCharType="end"/>
      </w:r>
      <w:r w:rsidRPr="00452E2E">
        <w:t xml:space="preserve">. It is therefore expected that the sample should be representative of, and comparable to the entire population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Among the forms of descriptive research, cross-sectional design is commonly adopted by researchers since it enables the researcher to collect data from a large sample only once, which suggests that this type of research can </w:t>
      </w:r>
      <w:r w:rsidR="00E56899" w:rsidRPr="00452E2E">
        <w:t xml:space="preserve">be </w:t>
      </w:r>
      <w:r w:rsidRPr="00452E2E">
        <w:t xml:space="preserve">easily conducted within time and cost constraints </w:t>
      </w:r>
      <w:r w:rsidRPr="00452E2E">
        <w:fldChar w:fldCharType="begin" w:fldLock="1"/>
      </w:r>
      <w:r w:rsidRPr="00452E2E">
        <w:instrText>ADDIN CSL_CITATION { "citationItems" : [ { "id" : "ITEM-1", "itemData" : { "author" : [ { "dropping-particle" : "", "family" : "Collis", "given" : "J", "non-dropping-particle" : "", "parse-names" : false, "suffix" : "" }, { "dropping-particle" : "", "family" : "Hussey", "given" : "R", "non-dropping-particle" : "", "parse-names" : false, "suffix" : "" } ], "edition" : "2nd", "id" : "ITEM-1", "issued" : { "date-parts" : [ [ "2003" ] ] }, "publisher" : "Palgrave Macmillan", "publisher-place" : "Basingstoke", "title" : "Business research: A practical guide for undergraduate and postgraduate students", "type" : "book" }, "uris" : [ "http://www.mendeley.com/documents/?uuid=80379da1-5965-4a70-8c75-69c507ccbeb0" ] }, { "id" : "ITEM-2",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"ITEM-2", "issued" : { "date-parts" : [ [ "2007" ] ] }, "publisher" : "John Wiley and Sons", "publisher-place" : "Chichester", "title" : "Research methods for business", "type" : "book" }, "uris" : [ "http://www.mendeley.com/documents/?uuid=89614995-9f01-44fe-b443-32e7b942c934" ] }, { "id" : "ITEM-3", "itemData" : { "author" : [ { "dropping-particle" : "", "family" : "Bryman", "given" : "A", "non-dropping-particle" : "", "parse-names" : false, "suffix" : "" }, { "dropping-particle" : "", "family" : "Bell", "given" : "E", "non-dropping-particle" : "", "parse-names" : false, "suffix" : "" } ], "edition" : "3rd", "id" : "ITEM-3", "issued" : { "date-parts" : [ [ "2011" ] ] }, "publisher" : "Oxford University Press", "publisher-place" : "Oxford", "title" : "Business research methods", "type" : "book" }, "uris" : [ "http://www.mendeley.com/documents/?uuid=4cae4e90-dc5a-4453-b76d-3ba238dca132" ] } ], "mendeley" : { "formattedCitation" : "(Collis &amp; Hussey 2003; Hair et al. 2007; Bryman &amp; Bell 2011)", "manualFormatting" : "(Collis &amp; Hussey, 2003; Hair et al., 2007; Bryman &amp; Bell, 2011)", "plainTextFormattedCitation" : "(Collis &amp; Hussey 2003; Hair et al. 2007; Bryman &amp; Bell 2011)", "previouslyFormattedCitation" : "(Collis &amp; Hussey 2003; Hair et al. 2007; Bryman &amp; Bell 2011)" }, "properties" : { "noteIndex" : 0 }, "schema" : "https://github.com/citation-style-language/schema/raw/master/csl-citation.json" }</w:instrText>
      </w:r>
      <w:r w:rsidRPr="00452E2E">
        <w:fldChar w:fldCharType="separate"/>
      </w:r>
      <w:r w:rsidRPr="00452E2E">
        <w:rPr>
          <w:noProof/>
        </w:rPr>
        <w:t xml:space="preserve">(Collis &amp; Hussey, 2003; Hair </w:t>
      </w:r>
      <w:r w:rsidRPr="00452E2E">
        <w:rPr>
          <w:i/>
          <w:noProof/>
        </w:rPr>
        <w:t>et al</w:t>
      </w:r>
      <w:r w:rsidRPr="00452E2E">
        <w:rPr>
          <w:noProof/>
        </w:rPr>
        <w:t>., 2007; Bryman &amp; Bell, 2011)</w:t>
      </w:r>
      <w:r w:rsidRPr="00452E2E">
        <w:fldChar w:fldCharType="end"/>
      </w:r>
      <w:r w:rsidRPr="00452E2E">
        <w:t xml:space="preserve">. </w:t>
      </w:r>
    </w:p>
    <w:p w:rsidR="00D03A8E" w:rsidRPr="00452E2E" w:rsidRDefault="00D03A8E" w:rsidP="00D03A8E">
      <w:pPr>
        <w:spacing w:line="360" w:lineRule="auto"/>
        <w:jc w:val="both"/>
      </w:pPr>
      <w:r w:rsidRPr="00452E2E">
        <w:t xml:space="preserve">In contrast, a </w:t>
      </w:r>
      <w:r w:rsidRPr="00452E2E">
        <w:rPr>
          <w:i/>
        </w:rPr>
        <w:t>longitudinal design</w:t>
      </w:r>
      <w:r w:rsidRPr="00452E2E">
        <w:t xml:space="preserve"> seeks to describe events or phenomena over a period of time. Therefore, instead of collecting data from the research elements once, longitudinal studies collect data from the same research elements multiple times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This type of research design is particularly useful when the variables in the research are affected by time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"mendeley" : { "formattedCitation" : "(Hair et al. 2007)", "manualFormatting" : "(Hair et al., 2007)", "plainTextFormattedCitation" : "(Hair et al. 2007)", "previouslyFormattedCitation" : "(Hair et al. 2007)"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w:t>
      </w:r>
      <w:r w:rsidRPr="00452E2E">
        <w:fldChar w:fldCharType="end"/>
      </w:r>
      <w:r w:rsidRPr="00452E2E">
        <w:t xml:space="preserve">. According to Bryman and Bell (2011), there are two types of longitudinal design known as panel study and cohort study. In a </w:t>
      </w:r>
      <w:r w:rsidRPr="00452E2E">
        <w:rPr>
          <w:i/>
        </w:rPr>
        <w:t xml:space="preserve">panel study, </w:t>
      </w:r>
      <w:r w:rsidRPr="00452E2E">
        <w:t xml:space="preserve">the focus is usually on a sample that is usually nationally drawn for the purposes of data collection on two or more occasions. Thus, in a panel study framework, data may be collected from different elements such as individuals and organizations. In a </w:t>
      </w:r>
      <w:r w:rsidRPr="00452E2E">
        <w:rPr>
          <w:i/>
        </w:rPr>
        <w:t xml:space="preserve">cohort study, </w:t>
      </w:r>
      <w:r w:rsidRPr="00452E2E">
        <w:t xml:space="preserve">the </w:t>
      </w:r>
      <w:r w:rsidRPr="00452E2E">
        <w:lastRenderedPageBreak/>
        <w:t xml:space="preserve">sample is comprised of people with shared characteristics and is rarely used in management research. </w:t>
      </w:r>
    </w:p>
    <w:p w:rsidR="00D03A8E" w:rsidRPr="00452E2E" w:rsidRDefault="00D03A8E" w:rsidP="00D03A8E">
      <w:pPr>
        <w:spacing w:line="360" w:lineRule="auto"/>
        <w:jc w:val="both"/>
      </w:pPr>
      <w:r w:rsidRPr="00452E2E">
        <w:t xml:space="preserve">Whether a longitudinal study adopts a panel study or cohort study approach, the emphasis of a longitudinal design is that data is collected on the same variables and from the same entities at least twice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"id" : "ITEM-2", "itemData" : { "author" : [ { "dropping-particle" : "", "family" : "Bryman", "given" : "A", "non-dropping-particle" : "", "parse-names" : false, "suffix" : "" }, { "dropping-particle" : "", "family" : "Bell", "given" : "E", "non-dropping-particle" : "", "parse-names" : false, "suffix" : "" } ], "edition" : "3rd", "id" : "ITEM-2", "issued" : { "date-parts" : [ [ "2011" ] ] }, "publisher" : "Oxford University Press", "publisher-place" : "Oxford", "title" : "Business research methods", "type" : "book" }, "uris" : [ "http://www.mendeley.com/documents/?uuid=4cae4e90-dc5a-4453-b76d-3ba238dca132" ] } ], "mendeley" : { "formattedCitation" : "(Hair et al. 2007; Bryman &amp; Bell 2011)", "manualFormatting" : "(Hair et al. 2007; Bryman &amp; Bell, 2011)", "plainTextFormattedCitation" : "(Hair et al. 2007; Bryman &amp; Bell 2011)", "previouslyFormattedCitation" : "(Hair et al. 2007; Bryman &amp; Bell 2011)"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 Bryman &amp; Bell, 2011)</w:t>
      </w:r>
      <w:r w:rsidRPr="00452E2E">
        <w:fldChar w:fldCharType="end"/>
      </w:r>
      <w:r w:rsidRPr="00452E2E">
        <w:t xml:space="preserve">. The idea is to keep track of changes in the variables under investigation in the course of time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Nevertheless, due to time constraints and the cost involved in conducting longitudinal studies, this type of descriptive research design is less frequently used compared to cross-sectional research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"id" : "ITEM-2", "itemData" : { "author" : [ { "dropping-particle" : "", "family" : "Bryman", "given" : "A", "non-dropping-particle" : "", "parse-names" : false, "suffix" : "" }, { "dropping-particle" : "", "family" : "Bell", "given" : "E", "non-dropping-particle" : "", "parse-names" : false, "suffix" : "" } ], "edition" : "3rd", "id" : "ITEM-2", "issued" : { "date-parts" : [ [ "2011" ] ] }, "publisher" : "Oxford University Press", "publisher-place" : "Oxford", "title" : "Business research methods", "type" : "book" }, "uris" : [ "http://www.mendeley.com/documents/?uuid=4cae4e90-dc5a-4453-b76d-3ba238dca132" ] } ], "mendeley" : { "formattedCitation" : "(Hair et al. 2007; Bryman &amp; Bell 2011)", "manualFormatting" : "(Hair et al., 2007; Bryman &amp; Bell, 2011)", "plainTextFormattedCitation" : "(Hair et al. 2007; Bryman &amp; Bell 2011)", "previouslyFormattedCitation" : "(Hair et al. 2007; Bryman &amp; Bell 2011)"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 Bryman &amp; Bell, 2011)</w:t>
      </w:r>
      <w:r w:rsidRPr="00452E2E">
        <w:fldChar w:fldCharType="end"/>
      </w:r>
      <w:r w:rsidRPr="00452E2E">
        <w:t>.</w:t>
      </w:r>
    </w:p>
    <w:p w:rsidR="00D03A8E" w:rsidRPr="00452E2E" w:rsidRDefault="00D03A8E" w:rsidP="00D03A8E">
      <w:pPr>
        <w:spacing w:line="360" w:lineRule="auto"/>
        <w:jc w:val="both"/>
      </w:pPr>
      <w:r w:rsidRPr="00452E2E">
        <w:t xml:space="preserve">A third type of research design is causal research design which is appropriate when the researcher is concerned with the issue of causality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"mendeley" : { "formattedCitation" : "(Hair et al. 2007)", "manualFormatting" : "(Hair et al., 2007)", "plainTextFormattedCitation" : "(Hair et al. 2007)", "previouslyFormattedCitation" : "(Hair et al. 2007)"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w:t>
      </w:r>
      <w:r w:rsidRPr="00452E2E">
        <w:fldChar w:fldCharType="end"/>
      </w:r>
      <w:r w:rsidRPr="00452E2E">
        <w:t xml:space="preserve">. Causality entails that a change in one variable results to a corresponding change in another variable. This type of research design usually takes the form of experiments and involves the manipulation of the independent variable in order to establish whether it has effect on the dependent variable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Similar to descriptive research, causal design is adopted in circumstances where the research issue at hand is clearly understood and well-structured since there exist theories that the researcher can use to determine the direction of the cause and effect of variables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"mendeley" : { "formattedCitation" : "(Hair et al. 2007)", "manualFormatting" : "(Hair et al., 2007)", "plainTextFormattedCitation" : "(Hair et al. 2007)", "previouslyFormattedCitation" : "(Hair et al. 2007)"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w:t>
      </w:r>
      <w:r w:rsidRPr="00452E2E">
        <w:fldChar w:fldCharType="end"/>
      </w:r>
      <w:r w:rsidRPr="00452E2E">
        <w:t xml:space="preserve">. It should be noted that though the three types of research design discussed above are distinct, it does not preclude the use of multiple designs in a single research project. </w:t>
      </w:r>
    </w:p>
    <w:p w:rsidR="00D03A8E" w:rsidRPr="00452E2E" w:rsidRDefault="00D03A8E" w:rsidP="00D03A8E">
      <w:pPr>
        <w:spacing w:line="360" w:lineRule="auto"/>
        <w:jc w:val="both"/>
      </w:pPr>
      <w:r w:rsidRPr="00452E2E">
        <w:t>This research is comprised of two studies that are labelled study 1 and study 2.</w:t>
      </w:r>
      <w:r w:rsidRPr="00452E2E">
        <w:rPr>
          <w:i/>
        </w:rPr>
        <w:t xml:space="preserve"> </w:t>
      </w:r>
      <w:r w:rsidRPr="00452E2E">
        <w:t xml:space="preserve">The aim of study 1 is (a) to explore the influence of institutions on HRM in public and private sector in Nigeria and (b) to examine the specific techniques of HRM used in public and private sector in Nigeria whilst study 2 seeks to examine the effects of HR practices on employee attitudes in public and private sector in Nigeria. The underlying nature of the 2 studies required the researcher to approach each of the studies in a different way. Hence different research designs were adopted to guide the conduct of each of these studies. In </w:t>
      </w:r>
      <w:r w:rsidRPr="00452E2E">
        <w:rPr>
          <w:i/>
        </w:rPr>
        <w:t xml:space="preserve">study 1, </w:t>
      </w:r>
      <w:r w:rsidRPr="00452E2E">
        <w:t xml:space="preserve">an exploratory research design was adopted in order to enable the researcher have more understanding of the nature of HRM in public and private sector in Nigeria. </w:t>
      </w:r>
      <w:r w:rsidRPr="00452E2E">
        <w:lastRenderedPageBreak/>
        <w:t xml:space="preserve">Specifically, the issues that were of concern in study 1 were to have a clear understanding of how institutions influence HRM in both sectors as well as the particular techniques used in different HRM domains. </w:t>
      </w:r>
    </w:p>
    <w:p w:rsidR="00D03A8E" w:rsidRPr="00452E2E" w:rsidRDefault="00D03A8E" w:rsidP="00D03A8E">
      <w:pPr>
        <w:spacing w:line="360" w:lineRule="auto"/>
        <w:jc w:val="both"/>
      </w:pPr>
      <w:r w:rsidRPr="00452E2E">
        <w:t xml:space="preserve">Study 1 is considered exploratory in nature because there is no previous research that has explored the influence of institutions on HRM in the context of </w:t>
      </w:r>
      <w:r w:rsidR="00420FA8" w:rsidRPr="00452E2E">
        <w:t xml:space="preserve">the </w:t>
      </w:r>
      <w:r w:rsidRPr="00452E2E">
        <w:t xml:space="preserve">public and private sector in Nigeria. Since the influence of institutions is known to be context-dependent </w:t>
      </w:r>
      <w:r w:rsidRPr="00452E2E">
        <w:fldChar w:fldCharType="begin" w:fldLock="1"/>
      </w:r>
      <w:r w:rsidRPr="00452E2E">
        <w:instrText>ADDIN CSL_CITATION { "citationItems" : [ { "id" : "ITEM-1",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"1-23", "publisher" : "Edward Elgar", "publisher-place" : "Cheltenham, UK", "title" : "Comparative human resource management: An introduction", "type" : "chapter" }, "uris" : [ "http://www.mendeley.com/documents/?uuid=3c9bc995-b399-4f2b-920d-18cfbc74a1c0" ] } ], "mendeley" : { "formattedCitation" : "(Brewster &amp; Mayrhofer 2012)", "manualFormatting" : "(Brewster &amp; Mayrhofer, 2012)", "plainTextFormattedCitation" : "(Brewster &amp; Mayrhofer 2012)", "previouslyFormattedCitation" : "(Brewster &amp; Mayrhofer 2012)" }, "properties" : { "noteIndex" : 0 }, "schema" : "https://github.com/citation-style-language/schema/raw/master/csl-citation.json" }</w:instrText>
      </w:r>
      <w:r w:rsidRPr="00452E2E">
        <w:fldChar w:fldCharType="separate"/>
      </w:r>
      <w:r w:rsidRPr="00452E2E">
        <w:rPr>
          <w:noProof/>
        </w:rPr>
        <w:t>(Brewster &amp; Mayrhofer, 2012)</w:t>
      </w:r>
      <w:r w:rsidRPr="00452E2E">
        <w:fldChar w:fldCharType="end"/>
      </w:r>
      <w:r w:rsidRPr="00452E2E">
        <w:t xml:space="preserve">, it was necessary to explore this area of research in order to gain more insights for conducting the second study. Again, whilst previous studies have examined the presence of HR practices in organizations in Nigeria </w:t>
      </w:r>
      <w:r w:rsidRPr="00452E2E">
        <w:fldChar w:fldCharType="begin" w:fldLock="1"/>
      </w:r>
      <w:r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"ITEM-2", "issue" : "1", "issued" : { "date-parts" : [ [ "2008" ] ] }, "page" : "57-76", "title" : "Human resource management practices in a transition economy: Challenges and prospects", "type" : "article-journal", "volume" : "31" }, "uris" : [ "http://www.mendeley.com/documents/?uuid=43a2fbd4-6640-46db-bd96-9c0c4ca42d50" ] }, { "id" : "ITEM-3", "itemData" : { "abstract" : "Purpose \u2013 The purpose of this paper is to examine managerial opinion regarding human resource management (HRM) practices in eastern Nigeria (western Africa). Design/methodology/approach \u2013 This paper is informed by a survey administered to a small sample of Nigerian HR practitioners (n = 50 usable responses, 25 per cent response rate), replicating earlier work in different regions of the same country. Findings \u2013 Nigerian HR practitioners appear open to people management practices under the HRM rubric. But rather than predicting convergence with western-inspired approaches, evidence suggests that cultural and institutional influences on how normative HRM may be interpreted and acted on may result in a blend of transplanted and indigenous managerial behaviour. Practical implications \u2013 Sensitivity to individuals\u2019 socialization as well as economic, historical, political, and social contexts may enable multinational organizations to capitalize on the potential to transplant forms of HRM from parent country cultures to developing countries such as Nigeria, at least among managerial employees. Originality/value \u2013 The paper augments and builds on limited empirically informed research to date on people management issues in African country contexts, helping to ground consideration of abstract debates in the literature around convergence and divergence in culturally and institutionally embedded managerial practice", "author" : [ { "dropping-particle" : "", "family" : "Azolukwam", "given" : "V A", "non-dropping-particle" : "", "parse-names" : false, "suffix" : "" }, { "dropping-particle" : "", "family" : "Perkins", "given" : "S J", "non-dropping-particle" : "", "parse-names" : false, "suffix" : "" } ], "container-title" : "Cross Cultural Management: An International Journal", "id" : "ITEM-3", "issue" : "1", "issued" : { "date-parts" : [ [ "2009" ] ] }, "page" : "62-82", "title" : "Managerial perspectives on HRM in Nigeria: Evolving hybridization?", "type" : "article-journal", "volume" : "16" }, "uris" : [ "http://www.mendeley.com/documents/?uuid=cde70e16-aeda-4832-89c0-f5554c70c93e" ] } ], "mendeley" : { "formattedCitation" : "(Anakwe 2002; Okpara &amp; Wynn 2008; Azolukwam &amp; Perkins 2009)", "manualFormatting" : "(Anakwe, 2002; Okpara &amp; Wynn, 2008; Azolukwam &amp; Perkins, 2009)", "plainTextFormattedCitation" : "(Anakwe 2002; Okpara &amp; Wynn 2008; Azolukwam &amp; Perkins 2009)", "previouslyFormattedCitation" : "(Anakwe 2002; Okpara &amp; Wynn 2008; Azolukwam &amp; Perkins 2009)" }, "properties" : { "noteIndex" : 0 }, "schema" : "https://github.com/citation-style-language/schema/raw/master/csl-citation.json" }</w:instrText>
      </w:r>
      <w:r w:rsidRPr="00452E2E">
        <w:fldChar w:fldCharType="separate"/>
      </w:r>
      <w:r w:rsidRPr="00452E2E">
        <w:rPr>
          <w:noProof/>
        </w:rPr>
        <w:t>(Anakwe, 2002; Okpara &amp; Wynn, 2008; Azolukwam &amp; Perkins, 2009)</w:t>
      </w:r>
      <w:r w:rsidRPr="00452E2E">
        <w:fldChar w:fldCharType="end"/>
      </w:r>
      <w:r w:rsidRPr="00452E2E">
        <w:t xml:space="preserve">, the specific techniques used in the various domains of HRM </w:t>
      </w:r>
      <w:r w:rsidR="00DB6B07" w:rsidRPr="00452E2E">
        <w:t xml:space="preserve">based on organizational type </w:t>
      </w:r>
      <w:r w:rsidRPr="00452E2E">
        <w:t xml:space="preserve">remains an unexplored area. Therefore, it was also expedient to examine the techniques of HRM used in public and private sector organizations in Nigeria because the techniques used in managing human resources may determine how employees perceive such practices and the concomitant effects on employee attitudes </w:t>
      </w:r>
      <w:r w:rsidRPr="00452E2E">
        <w:fldChar w:fldCharType="begin" w:fldLock="1"/>
      </w:r>
      <w:r w:rsidRPr="00452E2E">
        <w:instrText>ADDIN CSL_CITATION { "citationItems" : [ { "id" : "ITEM-1", "itemData" : { "DOI" : "10.1080/09585192.2011.561967", "ISBN" : "0958-5192\\r1466-4399", "ISSN" : "0958-5192", "abstract" : "Studies on the impact of high-performance work systems on employees' well-being are emerging but the underlying theory remains weak. This paper attempts to develop theory of the effects on well-being of four dimensions of high-performance work systems: enriched jobs, high involvement management, employee voice, and motivational supports. Hypothesized associations are tested using multilevel models and data from Britain's Workplace Employment Relations Survey of 2004 (WERS2004). Results show that enriched jobs are positively associated with both measures of well-being: job satisfaction and anxiety-contentment. Voice is positively associated with job satisfaction, and motivational supports with neither measure. The results for high involvement management are not as predicted because it increases anxiety and is independent of job satisfaction.", "author" : [ { "dropping-particle" : "", "family" : "Wood", "given" : "Stephen J.", "non-dropping-particle" : "", "parse-names" : false, "suffix" : "" }, { "dropping-particle" : "", "family" : "Menezes", "given" : "Lillian M", "non-dropping-particle" : "de", "parse-names" : false, "suffix" : "" } ], "container-title" : "The International Journal of Human Resource Management", "id" : "ITEM-1", "issue" : "7", "issued" : { "date-parts" : [ [ "2011" ] ] }, "page" : "1586-1610", "title" : "High involvement management, high-performance work systems and well-being", "type" : "article-journal", "volume" : "22" }, "uris" : [ "http://www.mendeley.com/documents/?uuid=f03e0834-790d-47b4-8abc-ab22f06c3537" ] } ], "mendeley" : { "formattedCitation" : "(Wood &amp; de Menezes 2011)", "manualFormatting" : "(Wood &amp; de Menezes, 2011)", "plainTextFormattedCitation" : "(Wood &amp; de Menezes 2011)", "previouslyFormattedCitation" : "(Wood &amp; de Menezes 2011)" }, "properties" : { "noteIndex" : 0 }, "schema" : "https://github.com/citation-style-language/schema/raw/master/csl-citation.json" }</w:instrText>
      </w:r>
      <w:r w:rsidRPr="00452E2E">
        <w:fldChar w:fldCharType="separate"/>
      </w:r>
      <w:r w:rsidRPr="00452E2E">
        <w:rPr>
          <w:noProof/>
        </w:rPr>
        <w:t>(Wood &amp; de Menezes, 2011)</w:t>
      </w:r>
      <w:r w:rsidRPr="00452E2E">
        <w:fldChar w:fldCharType="end"/>
      </w:r>
      <w:r w:rsidRPr="00452E2E">
        <w:t xml:space="preserve">. Therefore, since study 1 was conducted essentially to feed into the second study, it is appropriate to classify it as an exploratory study. </w:t>
      </w:r>
    </w:p>
    <w:p w:rsidR="00D03A8E" w:rsidRPr="00452E2E" w:rsidRDefault="00D03A8E" w:rsidP="00D03A8E">
      <w:pPr>
        <w:spacing w:line="360" w:lineRule="auto"/>
        <w:jc w:val="both"/>
      </w:pPr>
      <w:r w:rsidRPr="00452E2E">
        <w:t xml:space="preserve">On the other hand, </w:t>
      </w:r>
      <w:r w:rsidRPr="00452E2E">
        <w:rPr>
          <w:i/>
        </w:rPr>
        <w:t xml:space="preserve">study 2 </w:t>
      </w:r>
      <w:r w:rsidRPr="00452E2E">
        <w:t xml:space="preserve">of </w:t>
      </w:r>
      <w:r w:rsidR="00861CCC" w:rsidRPr="00452E2E">
        <w:t>this research can described as</w:t>
      </w:r>
      <w:r w:rsidRPr="00452E2E">
        <w:t xml:space="preserve"> descriptive research. This is because the aim was to collect data in order to test the effect</w:t>
      </w:r>
      <w:r w:rsidR="00972E98" w:rsidRPr="00452E2E">
        <w:t>s</w:t>
      </w:r>
      <w:r w:rsidRPr="00452E2E">
        <w:t xml:space="preserve"> of independent variables (HR practices) on dependent variables (employee attitudes) that were of interest to the researcher. Therefore the knowledge from existing research and insights from study 1 enabled the researcher to develop testable hypotheses for this study. As a descriptive research, the cross-sectional research design was considered appropriate for study 2 since it allowed the researcher to collect data from a sample that was drawn from a large population on just one occasion. Moreover, since the aim of this study was not to establish causality whilst at the same time the researcher had no control over the research entities, the cross-sectional research design was deemed appropriate. Indeed, this is the type of research design that is commonly used in previous studies examining the effect of HR practices on employee attitudes (see chapter 3). </w:t>
      </w:r>
    </w:p>
    <w:p w:rsidR="00D03A8E" w:rsidRPr="00452E2E" w:rsidRDefault="00D03A8E" w:rsidP="00D03A8E">
      <w:pPr>
        <w:spacing w:line="360" w:lineRule="auto"/>
        <w:jc w:val="both"/>
      </w:pPr>
      <w:r w:rsidRPr="00452E2E">
        <w:lastRenderedPageBreak/>
        <w:t xml:space="preserve">As noted by Bryman </w:t>
      </w:r>
      <w:r w:rsidR="00786C50" w:rsidRPr="00452E2E">
        <w:t>&amp;</w:t>
      </w:r>
      <w:r w:rsidRPr="00452E2E">
        <w:t xml:space="preserve"> Bell (2011), an important aspect of research design relates to the level of analysis. In management research, the principal unit of analysis can be individual, groups, organizations, and societies. In </w:t>
      </w:r>
      <w:r w:rsidRPr="00452E2E">
        <w:rPr>
          <w:i/>
        </w:rPr>
        <w:t xml:space="preserve">study 1 </w:t>
      </w:r>
      <w:r w:rsidRPr="00452E2E">
        <w:t>of this research, the unit of analysis is the organization and involves the collection of data from the HR manager in each organization studied who provided responses on behalf of their organization</w:t>
      </w:r>
      <w:r w:rsidR="007B77FD" w:rsidRPr="00452E2E">
        <w:t>.</w:t>
      </w:r>
      <w:r w:rsidRPr="00452E2E">
        <w:t xml:space="preserve"> </w:t>
      </w:r>
      <w:r w:rsidR="007B77FD" w:rsidRPr="00452E2E">
        <w:t>I</w:t>
      </w:r>
      <w:r w:rsidRPr="00452E2E">
        <w:t xml:space="preserve">n </w:t>
      </w:r>
      <w:r w:rsidRPr="00452E2E">
        <w:rPr>
          <w:i/>
        </w:rPr>
        <w:t xml:space="preserve">study 2 </w:t>
      </w:r>
      <w:r w:rsidRPr="00452E2E">
        <w:t>of this research, the unit of analysis is the individual which enabled the researcher to collect data from employees within public and private sector organizations that were considered for this research. The specific details of how each of the two studies were conducted in terms of sampling, methods and data analysis shall form the discussions in the subsequent sections. Meanwhile, the ethical issues that were considered in the course of the research are presented after the research designs for the two studies are discussed.</w:t>
      </w:r>
    </w:p>
    <w:p w:rsidR="00D03A8E" w:rsidRPr="00452E2E" w:rsidRDefault="00D03A8E" w:rsidP="00170224">
      <w:pPr>
        <w:pStyle w:val="Heading3"/>
      </w:pPr>
      <w:bookmarkStart w:id="85" w:name="_Toc465271184"/>
      <w:bookmarkStart w:id="86" w:name="_Toc473808140"/>
      <w:r w:rsidRPr="00452E2E">
        <w:t>4.4 How I conducted Study 1</w:t>
      </w:r>
      <w:bookmarkEnd w:id="85"/>
      <w:bookmarkEnd w:id="86"/>
    </w:p>
    <w:p w:rsidR="00D03A8E" w:rsidRPr="00452E2E" w:rsidRDefault="00D03A8E" w:rsidP="00D03A8E">
      <w:pPr>
        <w:spacing w:line="360" w:lineRule="auto"/>
        <w:jc w:val="both"/>
      </w:pPr>
      <w:r w:rsidRPr="00452E2E">
        <w:rPr>
          <w:b/>
        </w:rPr>
        <w:t xml:space="preserve"> </w:t>
      </w:r>
      <w:r w:rsidRPr="00452E2E">
        <w:t>In this section, the procedures that were followed to conduct study 1 are presented. This include a discussion on sampling, participants, data collection methods and the analysis of data. Each of these topics shall be covered in the sub-sections below.</w:t>
      </w:r>
    </w:p>
    <w:p w:rsidR="00D03A8E" w:rsidRPr="00452E2E" w:rsidRDefault="00D03A8E" w:rsidP="00D03A8E">
      <w:pPr>
        <w:pStyle w:val="Heading4"/>
      </w:pPr>
      <w:bookmarkStart w:id="87" w:name="_Toc473808141"/>
      <w:r w:rsidRPr="00452E2E">
        <w:t>4.4.1 The Sample for Study 1</w:t>
      </w:r>
      <w:bookmarkEnd w:id="87"/>
    </w:p>
    <w:p w:rsidR="00D03A8E" w:rsidRPr="00452E2E" w:rsidRDefault="00D03A8E" w:rsidP="00D03A8E">
      <w:pPr>
        <w:spacing w:line="360" w:lineRule="auto"/>
        <w:jc w:val="both"/>
      </w:pPr>
      <w:r w:rsidRPr="00452E2E">
        <w:t xml:space="preserve">It is usually not possible for researchers to study an entire population in a piece of research. This is especially when the target population of the study is so large that time and cost constraints would not permit the researcher to cover the whole population. As a result, sampling becomes necessary as it allows the researcher to select units of the population that will form part of the research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"mendeley" : { "formattedCitation" : "(Hair et al. 2007)", "manualFormatting" : "(Hair et al., 2007)", "plainTextFormattedCitation" : "(Hair et al. 2007)", "previouslyFormattedCitation" : "(Hair et al. 2007)"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w:t>
      </w:r>
      <w:r w:rsidRPr="00452E2E">
        <w:fldChar w:fldCharType="end"/>
      </w:r>
      <w:r w:rsidRPr="00452E2E">
        <w:t xml:space="preserve">. In this study, a stratified sampling technique based on the size of the organization, location, industry and sector was adopted. The target population in this study comprised of public and private sector organizations in Nigeria. However, since it was not possible to study all public and private organizations in Nigeria, the study was limited to organizations employing at least 50 employees. This criteria was based on the expectation that organizations employing at least 50 employees in Nigeria would have formal HR practices and policies as opposed to smaller ones that operate strictly based on informal practices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In addition, based on the context of the study which is characterised by the dominance of small enterprises </w:t>
      </w:r>
      <w:r w:rsidRPr="00452E2E">
        <w:fldChar w:fldCharType="begin" w:fldLock="1"/>
      </w:r>
      <w:r w:rsidRPr="00452E2E">
        <w:instrText>ADDIN CSL_CITATION { "citationItems" : [ { "id" : "ITEM-1", "itemData" : { "DOI" : "10.1080/09585192.2015.1033640", "ISSN" : "0958-5192", "author" : [ { "dropping-particle" : "", "family" : "Ogunyomi", "given" : "Paul", "non-dropping-particle" : "", "parse-names" : false, "suffix" : "" }, { "dropping-particle" : "", "family" : "Bruning", "given" : "Nealia S.", "non-dropping-particle" : "", "parse-names" : false, "suffix" : "" } ], "container-title" : "The International Journal of Human Resource Management", "id" : "ITEM-1", "issue" : "6", "issued" : { "date-parts" : [ [ "2016" ] ] }, "page" : "612-634", "title" : "Human resource management and organizational performance of small and medium enterprises (SMEs) in Nigeria", "type" : "article-journal", "volume" : "27" }, "uris" : [ "http://www.mendeley.com/documents/?uuid=3f75d857-4028-4bc3-af16-6eeea4af4239" ] } ], "mendeley" : { "formattedCitation" : "(Ogunyomi &amp; Bruning 2016)", "manualFormatting" : "(Ogunyomi &amp; Bruning, 2015)", "plainTextFormattedCitation" : "(Ogunyomi &amp; Bruning 2016)", "previouslyFormattedCitation" : "(Ogunyomi &amp; Bruning 2015)" }, "properties" : { "noteIndex" : 0 }, "schema" : "https://github.com/citation-style-language/schema/raw/master/csl-citation.json" }</w:instrText>
      </w:r>
      <w:r w:rsidRPr="00452E2E">
        <w:fldChar w:fldCharType="separate"/>
      </w:r>
      <w:r w:rsidRPr="00452E2E">
        <w:rPr>
          <w:noProof/>
        </w:rPr>
        <w:t xml:space="preserve">(Ogunyomi </w:t>
      </w:r>
      <w:r w:rsidR="001C5488" w:rsidRPr="00452E2E">
        <w:rPr>
          <w:noProof/>
        </w:rPr>
        <w:lastRenderedPageBreak/>
        <w:t>&amp; Bruning, 2016</w:t>
      </w:r>
      <w:r w:rsidRPr="00452E2E">
        <w:rPr>
          <w:noProof/>
        </w:rPr>
        <w:t>)</w:t>
      </w:r>
      <w:r w:rsidRPr="00452E2E">
        <w:fldChar w:fldCharType="end"/>
      </w:r>
      <w:r w:rsidRPr="00452E2E">
        <w:t xml:space="preserve">, sampling organizations with 50 employees was considered appropriate in order to cover medium-sized enterprises.  </w:t>
      </w:r>
    </w:p>
    <w:p w:rsidR="00D03A8E" w:rsidRPr="00452E2E" w:rsidRDefault="00D03A8E" w:rsidP="00D03A8E">
      <w:pPr>
        <w:spacing w:line="360" w:lineRule="auto"/>
        <w:jc w:val="both"/>
      </w:pPr>
      <w:r w:rsidRPr="00452E2E">
        <w:t xml:space="preserve">Once this criteria was set, it was up to the researcher to define another criteria for sampling based on location. This was useful because it was practically impossible for the researcher to include all organizations in Nigeria with up to 50 employees in the study. Therefore, the study was limited to organizations located in 5 geo-political zones in Nigeria and the federal capital territory. Although there are 6 geo-political zones in Nigeria, at the time the research was conducted, there were cases of terrorist attacks in one of the geo-political zones which posed a security threat to researcher. Thus, only 5 geo-political zones and the federal capital territory were considered as research sites for the study. The researcher then selected 2 major cities in each zone to feature in the study. Whilst these cities have a concentration of industries in each zone and by extension in Nigeria, the federal capital (Abuja) has a concentration of government ministries, departments and agencies. </w:t>
      </w:r>
    </w:p>
    <w:p w:rsidR="00D03A8E" w:rsidRPr="00452E2E" w:rsidRDefault="00D03A8E" w:rsidP="00D03A8E">
      <w:pPr>
        <w:spacing w:line="360" w:lineRule="auto"/>
        <w:jc w:val="both"/>
      </w:pPr>
      <w:r w:rsidRPr="00452E2E">
        <w:t>Hence, the cities in Nigeria where the research was conducted include: Lagos and Abeokuta (South-West); Port Harcourt and Asaba (South-South); Enugu and Owerri (South-East); Jos and Makurdi (North-Central); Kano and Gusau (North-West); and Abuja which is the federal capital territory. Therefore, in total, the research was conducted in 11 cities in Nigeria. The cities in each zone are in close proximity to each other and linked with transportation network which helped in reducing the logistical problems associated with conducting research in Nigeria (Okpara &amp; Wynn, 2008). Most importantly, by selecting the major cities in different parts of Nigeria, it was expected that the results generated from the study shall be a truer reflection of the Nigerian context. This sampling procedure has been considered appropriate by other researchers when researching HRM in Nigeria (Okpara &amp; Wynn, 2008).</w:t>
      </w:r>
    </w:p>
    <w:p w:rsidR="00086553" w:rsidRPr="00452E2E" w:rsidRDefault="00D03A8E" w:rsidP="00D03A8E">
      <w:pPr>
        <w:spacing w:line="360" w:lineRule="auto"/>
        <w:jc w:val="both"/>
      </w:pPr>
      <w:r w:rsidRPr="00452E2E">
        <w:t xml:space="preserve">The next stage in the sampling process was to identify organizations in the 11 cities that met the criteria for participation in the study with a view to inviting them to participate in the research. Consequently, a national directory of organizations containing the telephone numbers of public and private organizations in Nigeria was used to obtain contact details of organizations </w:t>
      </w:r>
      <w:r w:rsidRPr="00452E2E">
        <w:lastRenderedPageBreak/>
        <w:t xml:space="preserve">located in these cities. The focus was on key industries in Nigeria: banking/financial services, education, health, manufacturing, ICT/media, hotels, transport, as well as government ministries, departments and agencies. </w:t>
      </w:r>
    </w:p>
    <w:p w:rsidR="00D03A8E" w:rsidRPr="00452E2E" w:rsidRDefault="00D03A8E" w:rsidP="00D03A8E">
      <w:pPr>
        <w:spacing w:line="360" w:lineRule="auto"/>
        <w:jc w:val="both"/>
      </w:pPr>
      <w:r w:rsidRPr="00452E2E">
        <w:t xml:space="preserve">Nevertheless, only indigenous private organizations were considered for the study which means that subsidiaries of multinational companies were excluded from the study. This is because the practices of multinational companies are usually a reflection of their parent-company practices and may not be comparable with those of local organizations </w:t>
      </w:r>
      <w:r w:rsidRPr="00452E2E">
        <w:fldChar w:fldCharType="begin" w:fldLock="1"/>
      </w:r>
      <w:r w:rsidRPr="00452E2E">
        <w:instrText>ADDIN CSL_CITATION { "citationItems" : [ { "id" : "ITEM-1", "itemData" : { "author" : [ { "dropping-particle" : "", "family" : "Kostova", "given" : "Tatiana", "non-dropping-particle" : "", "parse-names" : false, "suffix" : "" }, { "dropping-particle" : "", "family" : "Roth", "given" : "Kendall", "non-dropping-particle" : "", "parse-names" : false, "suffix" : "" } ], "container-title" : "The Academy of Management Journal", "id" : "ITEM-1", "issue" : "1", "issued" : { "date-parts" : [ [ "2002" ] ] }, "page" : "215-233", "title" : "Adoption of an organizational practice by subsidiaries of multinational corporations : Institutional and relational effects", "type" : "article-journal", "volume" : "45" }, "uris" : [ "http://www.mendeley.com/documents/?uuid=4d4f8532-086b-4179-970f-7d831f364e8b" ] }, { "id" : "ITEM-2", "itemData" : { "author" : [ { "dropping-particle" : "", "family" : "Bj\u00f6rkman", "given" : "Ingmar", "non-dropping-particle" : "", "parse-names" : false, "suffix" : "" }, { "dropping-particle" : "", "family" : "Fey", "given" : "C.F.", "non-dropping-particle" : "", "parse-names" : false, "suffix" : "" }, { "dropping-particle" : "", "family" : "Park", "given" : "H.J.", "non-dropping-particle" : "", "parse-names" : false, "suffix" : "" } ], "container-title" : "Journal of International Business Studies", "id" : "ITEM-2", "issue" : "3", "issued" : { "date-parts" : [ [ "2007" ] ] }, "page" : "430-446", "title" : "Institutional theory and MNC subsidiary HRM practices : Evidence from a three-country study", "type" : "article-journal", "volume" : "38" }, "uris" : [ "http://www.mendeley.com/documents/?uuid=e07de43c-9a6e-4e75-bc28-565616c8d2cf" ] } ], "mendeley" : { "formattedCitation" : "(Kostova &amp; Roth 2002; Bj\u00f6rkman et al. 2007)", "manualFormatting" : "(Kostova &amp; Roth, 2002; Bj\u00f6rkman et al., 2007)", "plainTextFormattedCitation" : "(Kostova &amp; Roth 2002; Bj\u00f6rkman et al. 2007)", "previouslyFormattedCitation" : "(Kostova &amp; Roth 2002; Bj\u00f6rkman et al. 2007)" }, "properties" : { "noteIndex" : 0 }, "schema" : "https://github.com/citation-style-language/schema/raw/master/csl-citation.json" }</w:instrText>
      </w:r>
      <w:r w:rsidRPr="00452E2E">
        <w:fldChar w:fldCharType="separate"/>
      </w:r>
      <w:r w:rsidRPr="00452E2E">
        <w:rPr>
          <w:noProof/>
        </w:rPr>
        <w:t xml:space="preserve">(Kostova &amp; Roth, 2002; Björkman </w:t>
      </w:r>
      <w:r w:rsidRPr="00452E2E">
        <w:rPr>
          <w:i/>
          <w:noProof/>
        </w:rPr>
        <w:t>et al</w:t>
      </w:r>
      <w:r w:rsidRPr="00452E2E">
        <w:rPr>
          <w:noProof/>
        </w:rPr>
        <w:t>., 2007)</w:t>
      </w:r>
      <w:r w:rsidRPr="00452E2E">
        <w:fldChar w:fldCharType="end"/>
      </w:r>
      <w:r w:rsidRPr="00452E2E">
        <w:t xml:space="preserve">. </w:t>
      </w:r>
      <w:r w:rsidR="003C750B" w:rsidRPr="00452E2E">
        <w:t xml:space="preserve">Moreover, the literature on the segmented business system suggests the existence of diversity in practices between indigenous private firms and public sector organizations in African contexts (Wood &amp; Frynas, 2006; Bischoff &amp; Wood, 2012). Therefore, it was considered important to test this assumption within the context of Nigeria. </w:t>
      </w:r>
      <w:r w:rsidR="00E1289F" w:rsidRPr="00452E2E">
        <w:t>Meanwhile</w:t>
      </w:r>
      <w:r w:rsidR="009B2D2A" w:rsidRPr="00452E2E">
        <w:t xml:space="preserve">, non-governmental organizations (NGOs) were not included in the research since the </w:t>
      </w:r>
      <w:r w:rsidR="00EC01CD" w:rsidRPr="00452E2E">
        <w:t xml:space="preserve">focus of the </w:t>
      </w:r>
      <w:r w:rsidR="009B2D2A" w:rsidRPr="00452E2E">
        <w:t xml:space="preserve">research was </w:t>
      </w:r>
      <w:r w:rsidR="00674CE4" w:rsidRPr="00452E2E">
        <w:t>to examine</w:t>
      </w:r>
      <w:r w:rsidR="009B2D2A" w:rsidRPr="00452E2E">
        <w:t xml:space="preserve"> the nature of HRM in the public and private sector</w:t>
      </w:r>
      <w:r w:rsidR="004E1286" w:rsidRPr="00452E2E">
        <w:t xml:space="preserve">. Indeed, NGOs are </w:t>
      </w:r>
      <w:r w:rsidR="00E565E9" w:rsidRPr="00452E2E">
        <w:t>neither public nor</w:t>
      </w:r>
      <w:r w:rsidR="004E1286" w:rsidRPr="00452E2E">
        <w:t xml:space="preserve"> private sector organizations and are usually classified under what</w:t>
      </w:r>
      <w:r w:rsidR="009B2D2A" w:rsidRPr="00452E2E">
        <w:t xml:space="preserve"> </w:t>
      </w:r>
      <w:r w:rsidR="004E1286" w:rsidRPr="00452E2E">
        <w:t>is known as the third sector</w:t>
      </w:r>
      <w:r w:rsidR="006E6C3B" w:rsidRPr="00452E2E">
        <w:t xml:space="preserve"> (Courtney, 2013)</w:t>
      </w:r>
      <w:r w:rsidR="004E1286" w:rsidRPr="00452E2E">
        <w:t xml:space="preserve">. </w:t>
      </w:r>
      <w:r w:rsidR="007C0FD6" w:rsidRPr="00452E2E">
        <w:t xml:space="preserve">Thus, based on the working definition of the public and private sector adopted in this research (see section 1.3 in chapter one), NGOs were excluded. </w:t>
      </w:r>
    </w:p>
    <w:p w:rsidR="00D03A8E" w:rsidRPr="00452E2E" w:rsidRDefault="00D03A8E" w:rsidP="00D03A8E">
      <w:pPr>
        <w:spacing w:line="360" w:lineRule="auto"/>
        <w:jc w:val="both"/>
      </w:pPr>
      <w:r w:rsidRPr="00452E2E">
        <w:t xml:space="preserve">For the public sector organizations, only those owned by the federal government were considered for the study. This is due to the fact that organizations owned by the federal government are more likely to have a national outlook and therefore typical of </w:t>
      </w:r>
      <w:r w:rsidR="007B5ADC" w:rsidRPr="00452E2E">
        <w:t xml:space="preserve">the </w:t>
      </w:r>
      <w:r w:rsidRPr="00452E2E">
        <w:t>public sector in Nigeria. Moreover, states and local governments may have influence on how state and local government owned organizations operate respectively, which may not provide a uniform level of analysis. Accordingly, the public organizations considered for this research were those established by via an Act of the National Assembly of Nigeria and therefore owned by the federal government.</w:t>
      </w:r>
    </w:p>
    <w:p w:rsidR="00D03A8E" w:rsidRPr="00452E2E" w:rsidRDefault="00D03A8E" w:rsidP="00D03A8E">
      <w:pPr>
        <w:spacing w:line="360" w:lineRule="auto"/>
        <w:jc w:val="both"/>
      </w:pPr>
      <w:r w:rsidRPr="00452E2E">
        <w:t xml:space="preserve"> In sum, in order to participate in the study, organizations were expected to meet five main conditions which include: (i) must be either a public organization owned by the federal government or an indigenous-private organization (ii) must have up to 50 employees (iii) be located within the 11 cities selected for the </w:t>
      </w:r>
      <w:r w:rsidRPr="00452E2E">
        <w:lastRenderedPageBreak/>
        <w:t xml:space="preserve">research (iv) the organization should be listed on the directory and with an active telephone number (v) the organization should accept to participate in the study.  Thus, organizations that </w:t>
      </w:r>
      <w:r w:rsidR="001E7BA7" w:rsidRPr="00452E2E">
        <w:t xml:space="preserve">met all </w:t>
      </w:r>
      <w:r w:rsidRPr="00452E2E">
        <w:t>five criteria stood an equal chance of participating in the study. Based on these criteria, organizations were invited via telephone to participate in the study. These organizations were informed of the objectives of the research as well as how the research would be conducted in order for them to determine whether or not they were willing to participate in the research.  Out of 344 organizations invited to participate in the stud</w:t>
      </w:r>
      <w:r w:rsidR="005107E5" w:rsidRPr="00452E2E">
        <w:t>y, 22</w:t>
      </w:r>
      <w:r w:rsidRPr="00452E2E">
        <w:t>8 accepted to participate in the study</w:t>
      </w:r>
      <w:r w:rsidR="00396ABE" w:rsidRPr="00452E2E">
        <w:t>,</w:t>
      </w:r>
      <w:r w:rsidRPr="00452E2E">
        <w:t xml:space="preserve"> representing an acceptance rate of </w:t>
      </w:r>
      <w:r w:rsidR="005107E5" w:rsidRPr="00452E2E">
        <w:t>66.3</w:t>
      </w:r>
      <w:r w:rsidRPr="00452E2E">
        <w:t>%</w:t>
      </w:r>
      <w:r w:rsidR="005107E5" w:rsidRPr="00452E2E">
        <w:t>. This number (22</w:t>
      </w:r>
      <w:r w:rsidRPr="00452E2E">
        <w:t>8) therefore represents the sample size for the study</w:t>
      </w:r>
      <w:r w:rsidRPr="00BE5AF1">
        <w:rPr>
          <w:rStyle w:val="FootnoteReference"/>
        </w:rPr>
        <w:footnoteReference w:id="5"/>
      </w:r>
      <w:r w:rsidRPr="00452E2E">
        <w:t>.</w:t>
      </w:r>
    </w:p>
    <w:p w:rsidR="00D03A8E" w:rsidRPr="00452E2E" w:rsidRDefault="00D03A8E" w:rsidP="00D03A8E">
      <w:pPr>
        <w:pStyle w:val="Heading4"/>
      </w:pPr>
      <w:bookmarkStart w:id="88" w:name="_Toc473808142"/>
      <w:r w:rsidRPr="00452E2E">
        <w:t>4.4.2 Participants for study 1</w:t>
      </w:r>
      <w:bookmarkEnd w:id="88"/>
    </w:p>
    <w:p w:rsidR="00D03A8E" w:rsidRPr="00452E2E" w:rsidRDefault="00D03A8E" w:rsidP="00D03A8E">
      <w:pPr>
        <w:spacing w:line="360" w:lineRule="auto"/>
        <w:jc w:val="both"/>
      </w:pPr>
      <w:r w:rsidRPr="00452E2E">
        <w:t>The participants for the study comprised of HR managers or man</w:t>
      </w:r>
      <w:r w:rsidR="00263283" w:rsidRPr="00452E2E">
        <w:t>a</w:t>
      </w:r>
      <w:r w:rsidRPr="00452E2E">
        <w:t xml:space="preserve">gers occupying similar positions. In each organization, the HR manager (or their equivalent; hereafter referred to as HR managers) participated in the study on behalf of their organization. This is because the issues under consideration in the study were under the purview of HR managers </w:t>
      </w:r>
      <w:r w:rsidR="00440DB8" w:rsidRPr="00452E2E">
        <w:t>who</w:t>
      </w:r>
      <w:r w:rsidRPr="00452E2E">
        <w:t xml:space="preserve"> were in a better position to provide answers to them. In the field of HRM, it is common for researchers to seek information from HR managers on the influence of institutions on HRM </w:t>
      </w:r>
      <w:r w:rsidRPr="00452E2E">
        <w:fldChar w:fldCharType="begin" w:fldLock="1"/>
      </w:r>
      <w:r w:rsidRPr="00452E2E">
        <w:instrText>ADDIN CSL_CITATION { "citationItems" : [ { "id" : "ITEM-1", "itemData" : { "author" : [ { "dropping-particle" : "", "family" : "Budhwar", "given" : "Pawan",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"75-90", "publisher" : "Routledge", "publisher-place" : "London", "title" : "Human resource management in India", "type" : "chapter" }, "uris" : [ "http://www.mendeley.com/documents/?uuid=f3126a42-1c4e-459f-bd09-965394c93d7c" ] }, { "id" : "ITEM-2", "itemData" : { "abstract" : "Purpose \u2013 Research in strategic human resource management (HRM) has focused mainly on the effects of HRM practices or systems on organizational effectiveness. However, institutional theory argues that besides being financially successful, organizations also need legitimacy to survive.Owingto the tension between competitive and institutional pressures, organizations balance between the degree of conformity and the degree of differentiation from competitors regarding HRM. The purpose of this paper is to address how institutional pressures help shape HRM. Design/methodology/approach \u2013 Using the concepts of leeway, human agency and strategic choice, differences in three types of institutional fit are highlighted: innovative, conformist and deviant. A comparative case study approach is used in order to illustrate the framework, using document analysis and 43 interviews in three organizations in The Netherlands. Findings \u2013 This paper shows how balancing competitive and institutional pressures in organizations affects HRM. The cases illustrate the proposed theoretical framework, showing leeway, human agency, strategic choice and the nature of institutional fit.Theorganizations each illustrate a type of institutional fit. Moreover, not the institutional context itself, but the organization\u2019s response seems to make a difference for the nature of institutional fit. Originality/value \u2013 While previous studies focus on the effects of HRM on organizational effectiveness, this paper examines how the balance between competitive and institutional pressures affectsHRMand aims toshow that institutional fit can contribute to strategicHRMby providing insight in this more balanced goal setting of organizations.", "author" : [ { "dropping-particle" : "", "family" : "Boon", "given" : "Corine", "non-dropping-particle" : "", "parse-names" : false, "suffix" : "" }, { "dropping-particle" : "", "family" : "Paauwe", "given" : "Jaap", "non-dropping-particle" : "", "parse-names" : false, "suffix" : "" }, { "dropping-particle" : "", "family" : "Boselie", "given" : "Paul", "non-dropping-particle" : "", "parse-names" : false, "suffix" : "" }, { "dropping-particle" : "", "family" : "Hartog", "given" : "Deane", "non-dropping-particle" : "Den", "parse-names" : false, "suffix" : "" } ], "container-title" : "Personnel Review", "id" : "ITEM-2", "issue" : "5", "issued" : { "date-parts" : [ [ "2009" ] ] }, "page" : "492-508", "title" : "Institutional pressures and HRM: Developing institutional fit", "type" : "article-journal", "volume" : "38" }, "uris" : [ "http://www.mendeley.com/documents/?uuid=d7f5441f-2750-48bc-ac06-5b21ceb45e58" ] } ], "mendeley" : { "formattedCitation" : "(Budhwar 2001; Boon et al. 2009)", "manualFormatting" : "(Budhwar, 2001; Boon et al., 2009)", "plainTextFormattedCitation" : "(Budhwar 2001; Boon et al. 2009)", "previouslyFormattedCitation" : "(Budhwar 2001; Boon et al. 2009)" }, "properties" : { "noteIndex" : 0 }, "schema" : "https://github.com/citation-style-language/schema/raw/master/csl-citation.json" }</w:instrText>
      </w:r>
      <w:r w:rsidRPr="00452E2E">
        <w:fldChar w:fldCharType="separate"/>
      </w:r>
      <w:r w:rsidRPr="00452E2E">
        <w:rPr>
          <w:noProof/>
        </w:rPr>
        <w:t xml:space="preserve">(Budhwar, 2001; Boon </w:t>
      </w:r>
      <w:r w:rsidRPr="00452E2E">
        <w:rPr>
          <w:i/>
          <w:noProof/>
        </w:rPr>
        <w:t>et al</w:t>
      </w:r>
      <w:r w:rsidRPr="00452E2E">
        <w:rPr>
          <w:noProof/>
        </w:rPr>
        <w:t>., 2009)</w:t>
      </w:r>
      <w:r w:rsidRPr="00452E2E">
        <w:fldChar w:fldCharType="end"/>
      </w:r>
      <w:r w:rsidRPr="00452E2E">
        <w:t xml:space="preserve"> or on the specific techniques of HRM adopted in their organizations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"id" : "ITEM-3",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"ITEM-3", "issue" : "6", "issued" : { "date-parts" : [ [ "2014" ] ] }, "page" : "795-809", "title" : "Direct involvement, partnership and setting: A study in bounded diversity", "type" : "article-journal", "volume" : "25" }, "uris" : [ "http://www.mendeley.com/documents/?uuid=e20c0258-4a3f-4b03-bcbb-2f7953a311a9" ] } ], "mendeley" : { "formattedCitation" : "(Webster &amp; Wood 2005; Wood et al. 2011; Brewster et al. 2014)", "manualFormatting" : "(Webster &amp; Wood, 2005; Wood et al., 2011; Brewster et al., 2014)", "plainTextFormattedCitation" : "(Webster &amp; Wood 2005; Wood et al. 2011; Brewster et al. 2014)", "previouslyFormattedCitation" : "(Webster &amp; Wood 2005; Wood et al. 2011; Brewster et al. 2014)" }, "properties" : { "noteIndex" : 0 }, "schema" : "https://github.com/citation-style-language/schema/raw/master/csl-citation.json" }</w:instrText>
      </w:r>
      <w:r w:rsidRPr="00452E2E">
        <w:fldChar w:fldCharType="separate"/>
      </w:r>
      <w:r w:rsidRPr="00452E2E">
        <w:rPr>
          <w:noProof/>
        </w:rPr>
        <w:t xml:space="preserve">(Webster &amp; Wood, 2005; Wood </w:t>
      </w:r>
      <w:r w:rsidRPr="00452E2E">
        <w:rPr>
          <w:i/>
          <w:noProof/>
        </w:rPr>
        <w:t>et al</w:t>
      </w:r>
      <w:r w:rsidRPr="00452E2E">
        <w:rPr>
          <w:noProof/>
        </w:rPr>
        <w:t xml:space="preserve">., 2011; Brewster </w:t>
      </w:r>
      <w:r w:rsidRPr="00452E2E">
        <w:rPr>
          <w:i/>
          <w:noProof/>
        </w:rPr>
        <w:t>et al</w:t>
      </w:r>
      <w:r w:rsidRPr="00452E2E">
        <w:rPr>
          <w:noProof/>
        </w:rPr>
        <w:t>., 2014)</w:t>
      </w:r>
      <w:r w:rsidRPr="00452E2E">
        <w:fldChar w:fldCharType="end"/>
      </w:r>
      <w:r w:rsidRPr="00452E2E">
        <w:t xml:space="preserve">. Therefore, it was expedient for this study to adopt the approach used by other researchers in conducting similar studies. Although the researcher was granted access to the various organizations, it was necessary to request the consent of those who were actually participating in the research. </w:t>
      </w:r>
    </w:p>
    <w:p w:rsidR="00D03A8E" w:rsidRPr="00452E2E" w:rsidRDefault="00D03A8E" w:rsidP="00D03A8E">
      <w:pPr>
        <w:spacing w:line="360" w:lineRule="auto"/>
        <w:jc w:val="both"/>
      </w:pPr>
      <w:r w:rsidRPr="00452E2E">
        <w:t xml:space="preserve">Consequently, after gaining access to the research sites, the next stage was to embark on visits to these research sites in order to meet with the participants. The aim of these visits were to explain to the participants what the research was all about, after which the information sheet with details of the research was </w:t>
      </w:r>
      <w:r w:rsidRPr="00452E2E">
        <w:lastRenderedPageBreak/>
        <w:t xml:space="preserve">handed to them to study and make up their minds about participation in the research. A follow-up visit was undertaken after 2-3 days to find out if the prospective participants had decided to participate in the research. In all the organizations that had accepted to participate in the research, the HR managers in these organizations also accepted to participate in the research on behalf of their organizations. </w:t>
      </w:r>
    </w:p>
    <w:p w:rsidR="00D03A8E" w:rsidRPr="00452E2E" w:rsidRDefault="00D03A8E" w:rsidP="00D03A8E">
      <w:pPr>
        <w:spacing w:line="360" w:lineRule="auto"/>
        <w:jc w:val="both"/>
      </w:pPr>
      <w:r w:rsidRPr="00452E2E">
        <w:t>Since the field work involved much travel throughout the length and breadth of the country, it was impossible for the researcher to personally visit each research site. Consequently, Research Assistants (RA’s) were recruited to assist in the field work. Therefore, as part of the field work, the RA’s assisted the researcher in recruiting the participants for the study. These research assistants were recruited through a reputable research agency in Nigeria. The essence was to recruit RA’s that had prior knowledge about conducting research and who understood the terrain that the research was conducted in order to make it easier for them to identify the organizations. In total, 14 RA’s were recruited to assist in the field work. Although the RA’s recruited were experienced, the researcher provided them training to enable them perform their job effectively. Specifically, the training focused on issues such as the purpose of the research; the contact person in each organization they visited; the potential participants; how to approach participants. Since the RA’s were to also assist in data collection, it was necessary to train them on how to handle data, among other issues. It is worth stating that the RA’s were remunerated by the researcher.</w:t>
      </w:r>
      <w:r w:rsidRPr="00452E2E">
        <w:rPr>
          <w:b/>
        </w:rPr>
        <w:t xml:space="preserve"> </w:t>
      </w:r>
    </w:p>
    <w:p w:rsidR="00D03A8E" w:rsidRPr="00452E2E" w:rsidRDefault="00D03A8E" w:rsidP="00D03A8E">
      <w:pPr>
        <w:pStyle w:val="Heading4"/>
      </w:pPr>
      <w:bookmarkStart w:id="89" w:name="_Toc473808143"/>
      <w:r w:rsidRPr="00452E2E">
        <w:t>4.4.3 Data Collection for study 1</w:t>
      </w:r>
      <w:bookmarkEnd w:id="89"/>
    </w:p>
    <w:p w:rsidR="00D03A8E" w:rsidRPr="00452E2E" w:rsidRDefault="00D03A8E" w:rsidP="00D03A8E">
      <w:pPr>
        <w:spacing w:line="360" w:lineRule="auto"/>
        <w:jc w:val="both"/>
      </w:pPr>
      <w:r w:rsidRPr="00452E2E">
        <w:t>Two methods of data collection used for this study were questionnaires and interviews. Each of the methods shall be discussed in the next sections; with the discussion focused on the aspect of the study in which each method was used, why it was considered appropriate and how the method was used. I shall begin with the questionnaire method and then the interview method shall follow.</w:t>
      </w:r>
    </w:p>
    <w:p w:rsidR="00D03A8E" w:rsidRPr="00452E2E" w:rsidRDefault="00D03A8E" w:rsidP="00D03A8E">
      <w:pPr>
        <w:pStyle w:val="Heading5"/>
      </w:pPr>
      <w:bookmarkStart w:id="90" w:name="_Toc473808144"/>
      <w:r w:rsidRPr="00452E2E">
        <w:t>4.4.3.1 Questionnaire</w:t>
      </w:r>
      <w:bookmarkEnd w:id="90"/>
    </w:p>
    <w:p w:rsidR="00D03A8E" w:rsidRPr="00452E2E" w:rsidRDefault="00D03A8E" w:rsidP="00D03A8E">
      <w:pPr>
        <w:spacing w:line="360" w:lineRule="auto"/>
        <w:jc w:val="both"/>
      </w:pPr>
      <w:r w:rsidRPr="00452E2E">
        <w:t xml:space="preserve">The questionnaire method was used for collecting data on the influence of institutions on HRM and on the specific techniques of HRM used in public and private organizations. This method of data collection was considered appropriate </w:t>
      </w:r>
      <w:r w:rsidRPr="00452E2E">
        <w:lastRenderedPageBreak/>
        <w:t>because it allowed the researcher to collect data from many participants within a short period of time and in a cost effective manner. This method was very easy to use; especially with the involvement of RA’s in the data collection process. This meant that the researcher was not necessarily required to personally visit all the research sites for the purpose of data collection. This method was also convenient for the respondents as it enabled them to go through the questions at their convenient time before answering them. They could also answer part of the questions and return later to continue with the remaining questions.</w:t>
      </w:r>
    </w:p>
    <w:p w:rsidR="00D03A8E" w:rsidRPr="00452E2E" w:rsidRDefault="00D03A8E" w:rsidP="00D03A8E">
      <w:pPr>
        <w:pStyle w:val="Heading6"/>
        <w:rPr>
          <w:rFonts w:ascii="Cambria" w:hAnsi="Cambria"/>
          <w:b/>
          <w:color w:val="auto"/>
        </w:rPr>
      </w:pPr>
      <w:bookmarkStart w:id="91" w:name="_Toc473808145"/>
      <w:r w:rsidRPr="00452E2E">
        <w:rPr>
          <w:rFonts w:ascii="Cambria" w:hAnsi="Cambria"/>
          <w:b/>
          <w:color w:val="auto"/>
        </w:rPr>
        <w:t>4.4.3.1.1 Structure of Questionnaire for Study 1</w:t>
      </w:r>
      <w:bookmarkEnd w:id="91"/>
    </w:p>
    <w:p w:rsidR="00D03A8E" w:rsidRPr="00452E2E" w:rsidRDefault="00D03A8E" w:rsidP="00D03A8E">
      <w:pPr>
        <w:spacing w:line="360" w:lineRule="auto"/>
        <w:jc w:val="both"/>
      </w:pPr>
      <w:r w:rsidRPr="00452E2E">
        <w:t xml:space="preserve">The questionnaire used for the study was a self-completion questionnaire which means that respondents were expected to answer the questions in the questionnaire themselves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The cover page of the questionnaire contained the information and instructions on who and how to complete the questionnaire. The various sections of the questionnaire were described together with the information required from the respondents. In order to ensure informed consent from the respondents, it was boldly printed on the questionnaire that participation in the study was voluntary and that by completing and returning the questionnaire, respondents were consenting to participate. </w:t>
      </w:r>
    </w:p>
    <w:p w:rsidR="00D03A8E" w:rsidRPr="00452E2E" w:rsidRDefault="00D03A8E" w:rsidP="00D03A8E">
      <w:pPr>
        <w:spacing w:line="360" w:lineRule="auto"/>
        <w:jc w:val="both"/>
      </w:pPr>
      <w:r w:rsidRPr="00452E2E">
        <w:t>The questionnaire sought information from respondents on 3 main issues. Part 1 required background information on the participating organizations in which the respondents were expected to indi</w:t>
      </w:r>
      <w:r w:rsidR="00E46D8B" w:rsidRPr="00452E2E">
        <w:t>cate the</w:t>
      </w:r>
      <w:r w:rsidRPr="00452E2E">
        <w:t xml:space="preserve"> industry, sector and size of the </w:t>
      </w:r>
      <w:r w:rsidR="00E46D8B" w:rsidRPr="00452E2E">
        <w:t xml:space="preserve">participating </w:t>
      </w:r>
      <w:r w:rsidRPr="00452E2E">
        <w:t xml:space="preserve">organization. Industry in this research was defined in terms of the activities performed by the organization such as manufacturing or banking/financial services. In addition, respondents were required to indicate whether their organization was a private sector or public sector organization by selecting one of these options. The size of the organization was measured in terms of the number of employees. The options provided ranged from ‘50-99’ employees to ‘above 500’ employees, from which the respondents were expected to select one option. In line with the objectives of the study, the remaining parts of the questionnaire sought information on the specific techniques of HRM used </w:t>
      </w:r>
      <w:r w:rsidRPr="00452E2E">
        <w:lastRenderedPageBreak/>
        <w:t>in their organizations and the institutional influences on HRM policies in their organizations.</w:t>
      </w:r>
    </w:p>
    <w:p w:rsidR="00A2662B" w:rsidRPr="00452E2E" w:rsidRDefault="00A2662B" w:rsidP="00D03A8E">
      <w:pPr>
        <w:spacing w:line="360" w:lineRule="auto"/>
        <w:jc w:val="both"/>
      </w:pPr>
    </w:p>
    <w:p w:rsidR="00D03A8E" w:rsidRPr="00452E2E" w:rsidRDefault="00D03A8E" w:rsidP="00D03A8E">
      <w:pPr>
        <w:spacing w:line="360" w:lineRule="auto"/>
        <w:jc w:val="both"/>
        <w:rPr>
          <w:i/>
        </w:rPr>
      </w:pPr>
      <w:r w:rsidRPr="00452E2E">
        <w:rPr>
          <w:i/>
        </w:rPr>
        <w:t>Questions on Specific Techniques of HRM</w:t>
      </w:r>
    </w:p>
    <w:p w:rsidR="00D03A8E" w:rsidRPr="00452E2E" w:rsidRDefault="00D03A8E" w:rsidP="00D03A8E">
      <w:pPr>
        <w:spacing w:line="360" w:lineRule="auto"/>
        <w:jc w:val="both"/>
      </w:pPr>
      <w:r w:rsidRPr="00452E2E">
        <w:t>In order to examine the specific techniques of HRM used in public and private organizations in Nigeria, the questionnaire required respondents</w:t>
      </w:r>
      <w:r w:rsidR="00082204" w:rsidRPr="00452E2E">
        <w:t xml:space="preserve"> to indicate whether or not their organization</w:t>
      </w:r>
      <w:r w:rsidRPr="00452E2E">
        <w:t xml:space="preserve"> used particular techniques in each of the four HRM domains that are of interest in this study. These were recruitment and selection, training, employee benefits and employee participation. In each of these HRM domains, respondents were expected to provide responses to questions regarding the use of specific techniques in their organization. The response options for each question were ‘Yes’, ‘No’ and ‘Don’t know’. Respondents were expected to pick only one response that reflected their response to each question. The questions used in this section were taken from the questionnaire used by Wood and colleagues (Webster &amp; Wood, 2005; Wood </w:t>
      </w:r>
      <w:r w:rsidRPr="00452E2E">
        <w:rPr>
          <w:i/>
        </w:rPr>
        <w:t>et al</w:t>
      </w:r>
      <w:r w:rsidRPr="00452E2E">
        <w:t>., 2011) to study the specific techniques of HRM in Mozambique</w:t>
      </w:r>
      <w:r w:rsidRPr="00BE5AF1">
        <w:rPr>
          <w:rStyle w:val="FootnoteReference"/>
        </w:rPr>
        <w:footnoteReference w:id="6"/>
      </w:r>
      <w:r w:rsidRPr="00452E2E">
        <w:t xml:space="preserve">. </w:t>
      </w:r>
    </w:p>
    <w:p w:rsidR="00D03A8E" w:rsidRPr="00452E2E" w:rsidRDefault="00D03A8E" w:rsidP="00D03A8E">
      <w:pPr>
        <w:spacing w:line="360" w:lineRule="auto"/>
        <w:jc w:val="both"/>
      </w:pPr>
      <w:r w:rsidRPr="00452E2E">
        <w:t>Details of the questions asked in each HRM domain are provided below.</w:t>
      </w:r>
    </w:p>
    <w:p w:rsidR="00992088" w:rsidRPr="00452E2E" w:rsidRDefault="00D03A8E" w:rsidP="00992088">
      <w:pPr>
        <w:pStyle w:val="ListParagraph"/>
        <w:numPr>
          <w:ilvl w:val="0"/>
          <w:numId w:val="8"/>
        </w:numPr>
        <w:spacing w:line="360" w:lineRule="auto"/>
        <w:ind w:left="0" w:firstLine="0"/>
        <w:jc w:val="both"/>
      </w:pPr>
      <w:r w:rsidRPr="00452E2E">
        <w:rPr>
          <w:i/>
        </w:rPr>
        <w:t xml:space="preserve">Recruitment and Selection: </w:t>
      </w:r>
      <w:r w:rsidRPr="00452E2E">
        <w:t xml:space="preserve">In order to examine the techniques of recruitment in public and private organizations, respondents were expected to provide answers to questions on how different categories of staff – management, technical, clerical, and manual staff – were recruited. For instance, questions on the recruitment of management staff include: ‘Are management staff recruited internally?’; ‘Are management staff recruited by word of mouth?’; ‘Are management staff recruited via recruitment agencies?’; ‘Are management staff recruited via advertisement?’ and ‘Are management staff recruited via other systems?’ These questions were repeated for each category staff to enable the researcher obtain information on how recruitment was done for each category of staff. This same approach was used to ask questions on selection for different categories of staff. For instance, the questions on the selection of management </w:t>
      </w:r>
      <w:r w:rsidRPr="00452E2E">
        <w:lastRenderedPageBreak/>
        <w:t>staff were: ‘Are management staff selected without interview?’; ‘Are management staff selected by filling in an application form?’; ‘Are management staff selected by filling in an application form and interview?’; ‘Are psychometric tests used in selecting management staff?’ and ‘Are management staff selected via other systems?’ Again, these questions were repeated for the different category of staff to enable the researcher gain information on how staff were selected in different categories.</w:t>
      </w:r>
    </w:p>
    <w:p w:rsidR="000C6CB4" w:rsidRPr="00452E2E" w:rsidRDefault="000C6CB4" w:rsidP="000C6CB4">
      <w:pPr>
        <w:pStyle w:val="ListParagraph"/>
        <w:spacing w:line="360" w:lineRule="auto"/>
        <w:ind w:left="0"/>
        <w:jc w:val="both"/>
      </w:pPr>
    </w:p>
    <w:p w:rsidR="003F098A" w:rsidRPr="00452E2E" w:rsidRDefault="00D03A8E" w:rsidP="003F098A">
      <w:pPr>
        <w:pStyle w:val="ListParagraph"/>
        <w:numPr>
          <w:ilvl w:val="0"/>
          <w:numId w:val="8"/>
        </w:numPr>
        <w:spacing w:line="360" w:lineRule="auto"/>
        <w:ind w:left="0" w:firstLine="0"/>
        <w:jc w:val="both"/>
      </w:pPr>
      <w:r w:rsidRPr="00452E2E">
        <w:rPr>
          <w:i/>
        </w:rPr>
        <w:t>Training:</w:t>
      </w:r>
      <w:r w:rsidRPr="00452E2E">
        <w:t xml:space="preserve"> The questions on training focused on the types of training the organization offered to employees. These questions include: ‘Do you make use of informal workplace based training?’; ‘Do you make use of formal workplace based training (uncertified)?’; ‘Do you make use of formal workplace based training?’; ‘Do you make use of sponsored courses with outside training body (technical)?’; ‘Do you make use of sponsored courses with outside training body (administrative)?’; ‘Do you make use of sponsored courses with outside training body (managerial)?’ and ‘Do you make use of other system of training?’.</w:t>
      </w:r>
    </w:p>
    <w:p w:rsidR="000C6CB4" w:rsidRPr="00452E2E" w:rsidRDefault="000C6CB4" w:rsidP="000C6CB4">
      <w:pPr>
        <w:pStyle w:val="ListParagraph"/>
        <w:spacing w:line="360" w:lineRule="auto"/>
        <w:ind w:left="0"/>
        <w:jc w:val="both"/>
      </w:pPr>
    </w:p>
    <w:p w:rsidR="00D03A8E" w:rsidRPr="00452E2E" w:rsidRDefault="00D03A8E" w:rsidP="00D03A8E">
      <w:pPr>
        <w:pStyle w:val="ListParagraph"/>
        <w:numPr>
          <w:ilvl w:val="0"/>
          <w:numId w:val="8"/>
        </w:numPr>
        <w:spacing w:line="360" w:lineRule="auto"/>
        <w:ind w:left="0" w:firstLine="0"/>
        <w:jc w:val="both"/>
      </w:pPr>
      <w:r w:rsidRPr="00452E2E">
        <w:rPr>
          <w:i/>
        </w:rPr>
        <w:t>Employee Benefits:</w:t>
      </w:r>
      <w:r w:rsidRPr="00452E2E">
        <w:t xml:space="preserve"> To gain insights on the types of employee benefits offered in public and private organizations in Nigeria, respondents were expected to provide answers to questions on the specific benefits provided. These questions include: ‘Are productivity awards provided in your organization?’; ‘Is overtime paid in your organization?’; ‘Is severance package provided in your organization?’; ‘Are breaks during workday available in your organization?’; ‘Is paid vacation available in your organization?’; ‘Is paid sick leave available in your organization?’; ‘Is health insurance available in your organization?’ and ‘Are there other employee benefits available in your organization?’</w:t>
      </w:r>
    </w:p>
    <w:p w:rsidR="00A2662B" w:rsidRPr="00452E2E" w:rsidRDefault="00A2662B" w:rsidP="00A2662B">
      <w:pPr>
        <w:pStyle w:val="ListParagraph"/>
        <w:spacing w:line="360" w:lineRule="auto"/>
        <w:ind w:left="0"/>
        <w:jc w:val="both"/>
      </w:pPr>
    </w:p>
    <w:p w:rsidR="00D03A8E" w:rsidRPr="00452E2E" w:rsidRDefault="00D03A8E" w:rsidP="00D03A8E">
      <w:pPr>
        <w:pStyle w:val="ListParagraph"/>
        <w:numPr>
          <w:ilvl w:val="0"/>
          <w:numId w:val="8"/>
        </w:numPr>
        <w:spacing w:line="360" w:lineRule="auto"/>
        <w:ind w:left="0" w:firstLine="0"/>
        <w:jc w:val="both"/>
      </w:pPr>
      <w:r w:rsidRPr="00452E2E">
        <w:rPr>
          <w:i/>
        </w:rPr>
        <w:t>Employee Participation:</w:t>
      </w:r>
      <w:r w:rsidRPr="00452E2E">
        <w:t xml:space="preserve"> Questions on employee participation focused on two forms of participation namely, information sharing and employee consultation (Wood </w:t>
      </w:r>
      <w:r w:rsidRPr="00452E2E">
        <w:rPr>
          <w:i/>
        </w:rPr>
        <w:t>et al</w:t>
      </w:r>
      <w:r w:rsidRPr="00452E2E">
        <w:t xml:space="preserve">., 2011) that were of interest to this research. To gain insights on the techniques of information sharing in public and private organizations, the following questions were asked: ‘Does your organization make </w:t>
      </w:r>
      <w:r w:rsidRPr="00452E2E">
        <w:lastRenderedPageBreak/>
        <w:t>use of notice boards?’; ‘Does your organization make use of team briefing/cascade briefing?’; ‘Does your organization make use of shop steward/representative briefing?’; ‘Does your organization make use of organizational newsletter?’ and ‘Does your organization use other systems of information sharing?’ In order to obtain information on the methods of employee consultation, the following questions were asked: ‘Does your organization make use of suggestion boxes?’; ‘Does your organization make use of workplace surveys?’; ‘Does your organization make use of briefings where feedback is solicited?’ and ‘Does your organization make use of other system of employee consultation?’</w:t>
      </w:r>
    </w:p>
    <w:p w:rsidR="00D03A8E" w:rsidRPr="00452E2E" w:rsidRDefault="00D03A8E" w:rsidP="00D03A8E">
      <w:pPr>
        <w:pStyle w:val="ListParagraph"/>
        <w:spacing w:line="360" w:lineRule="auto"/>
        <w:ind w:left="0"/>
        <w:jc w:val="both"/>
        <w:rPr>
          <w:i/>
        </w:rPr>
      </w:pPr>
    </w:p>
    <w:p w:rsidR="00D03A8E" w:rsidRPr="00452E2E" w:rsidRDefault="00D03A8E" w:rsidP="00A2662B">
      <w:pPr>
        <w:pStyle w:val="ListParagraph"/>
        <w:spacing w:before="240" w:line="360" w:lineRule="auto"/>
        <w:ind w:left="0"/>
        <w:jc w:val="both"/>
        <w:rPr>
          <w:i/>
          <w:lang w:val="fr-FR"/>
        </w:rPr>
      </w:pPr>
      <w:r w:rsidRPr="00452E2E">
        <w:rPr>
          <w:i/>
          <w:lang w:val="fr-FR"/>
        </w:rPr>
        <w:t>Questions on institutional influences on HRM</w:t>
      </w:r>
    </w:p>
    <w:p w:rsidR="00D03A8E" w:rsidRPr="00452E2E" w:rsidRDefault="00D03A8E" w:rsidP="00D03A8E">
      <w:pPr>
        <w:pStyle w:val="ListParagraph"/>
        <w:spacing w:line="360" w:lineRule="auto"/>
        <w:ind w:left="0"/>
        <w:jc w:val="both"/>
      </w:pPr>
      <w:r w:rsidRPr="00452E2E">
        <w:t xml:space="preserve">To gain insights on the influence of institutions on HRM, managers were expected to indicate the extent to which each of ‘national labour laws’, ‘trade unions’, ‘professional bodies’, ‘vocational education set-up’, ‘international institutions’ and ‘government policy’ influenced HRM policies and practices in their organizations. These institutional factors were drawn from the literature on institutional influence on HRM in developing countries generally (Budhwar &amp; Debrah, 2001) and Nigeria in particular (Ovadje &amp; Ankomah, 2001). The responses to these questions were measured on a 5-point Likert scale ranging from 1-Not at all influential to 5-Extremely influential. As </w:t>
      </w:r>
      <w:r w:rsidR="002523C3" w:rsidRPr="00452E2E">
        <w:t>I</w:t>
      </w:r>
      <w:r w:rsidRPr="00452E2E">
        <w:t xml:space="preserve"> shall show in later sections, qualitative interviews were also conducted with managers in order to have a better understanding of the influence of institutions on HRM policies in public and private sector.</w:t>
      </w:r>
    </w:p>
    <w:p w:rsidR="00D03A8E" w:rsidRPr="00452E2E" w:rsidRDefault="00D03A8E" w:rsidP="00D03A8E">
      <w:pPr>
        <w:pStyle w:val="Heading6"/>
        <w:rPr>
          <w:rFonts w:ascii="Cambria" w:hAnsi="Cambria"/>
          <w:b/>
          <w:color w:val="auto"/>
        </w:rPr>
      </w:pPr>
      <w:bookmarkStart w:id="92" w:name="_Toc473808146"/>
      <w:r w:rsidRPr="00452E2E">
        <w:rPr>
          <w:rFonts w:ascii="Cambria" w:hAnsi="Cambria"/>
          <w:b/>
          <w:color w:val="auto"/>
        </w:rPr>
        <w:t>4.4.3.1.2 Questionnaire Administration for Study 1</w:t>
      </w:r>
      <w:bookmarkEnd w:id="92"/>
    </w:p>
    <w:p w:rsidR="00D03A8E" w:rsidRPr="00452E2E" w:rsidRDefault="00D03A8E" w:rsidP="00D03A8E">
      <w:pPr>
        <w:spacing w:line="360" w:lineRule="auto"/>
        <w:jc w:val="both"/>
      </w:pPr>
      <w:r w:rsidRPr="00452E2E">
        <w:t xml:space="preserve">Prior to administering the questionnaires on the entire sample, the questionnaires were initially piloted on a small sample of HR managers that were part of the larger sample. The essence was to get feedback from them on whether the wording of the questionnaire was appropriate for the Nigerian context. If this was not the case, the researcher would restructure the questionnaire as appropriate. The researcher got feedback from the respondents indicating that the wording and structure of the questionnaire was appropriate. Therefore, the questionnaires were administered to the respondents in its original form as there </w:t>
      </w:r>
      <w:r w:rsidRPr="00452E2E">
        <w:lastRenderedPageBreak/>
        <w:t xml:space="preserve">was no need to alter it. Because there were no changes to the version of the questionnaire piloted and the fact that the sample was drawn from the larger sample of the study, the responses to the piloted questionnaires formed part of the data collected for the study. It is worth stating that the researcher compared these initial responses with the subsequent responses and found nothing to suggest that the questions were answered differently and neither was there anything to suggest that the respondents did not understand the wording of the questionnaire. </w:t>
      </w:r>
    </w:p>
    <w:p w:rsidR="00D03A8E" w:rsidRPr="00452E2E" w:rsidRDefault="00D03A8E" w:rsidP="00D03A8E">
      <w:pPr>
        <w:spacing w:line="360" w:lineRule="auto"/>
        <w:jc w:val="both"/>
      </w:pPr>
      <w:r w:rsidRPr="00452E2E">
        <w:t xml:space="preserve">There are many ways of administering questionnaires ranging from postal to self-administration where the researcher hands the questionnaire directly to the respondents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fldChar w:fldCharType="separate"/>
      </w:r>
      <w:r w:rsidRPr="00452E2E">
        <w:rPr>
          <w:noProof/>
        </w:rPr>
        <w:t>(Bryman &amp; Bell, 2011)</w:t>
      </w:r>
      <w:r w:rsidRPr="00452E2E">
        <w:fldChar w:fldCharType="end"/>
      </w:r>
      <w:r w:rsidRPr="00452E2E">
        <w:t xml:space="preserve">. Given the context of the research, particularly the poor postal service in Nigeria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"(Okpara &amp; Wynn 2008)", "manualFormatting" : "(Okpara &amp; Wynn, 2008)", "plainTextFormattedCitation" : "(Okpara &amp; Wynn 2008)", "previouslyFormattedCitation" : "(Okpara &amp; Wynn 2008)" }, "properties" : { "noteIndex" : 0 }, "schema" : "https://github.com/citation-style-language/schema/raw/master/csl-citation.json" }</w:instrText>
      </w:r>
      <w:r w:rsidRPr="00452E2E">
        <w:fldChar w:fldCharType="separate"/>
      </w:r>
      <w:r w:rsidRPr="00452E2E">
        <w:rPr>
          <w:noProof/>
        </w:rPr>
        <w:t>(Okpara &amp; Wynn, 2008)</w:t>
      </w:r>
      <w:r w:rsidRPr="00452E2E">
        <w:fldChar w:fldCharType="end"/>
      </w:r>
      <w:r w:rsidRPr="00452E2E">
        <w:t xml:space="preserve">, the most feasible way to administer the questionnaires was via the drop-off and pick-up method </w:t>
      </w:r>
      <w:r w:rsidRPr="00452E2E">
        <w:fldChar w:fldCharType="begin" w:fldLock="1"/>
      </w:r>
      <w:r w:rsidRPr="00452E2E">
        <w:instrText>ADDIN CSL_CITATION { "citationItems" : [ { "id" : "ITEM-1", "itemData" : { "DOI" : "10.1080/15575330109489680", "ISBN" : "0010-3829", "ISSN" : "0010-3829", "abstract" : "The hand delivery of self-administered questionnaires has been presented as an alternative for reducing non-coverage error associated with the mail method at lower cost than face-to-face interviews. This research note draws from experiences using the hand delivery technique (combined with hand retrieval) in rural and small community studies to address practical issues associated with improving coverage, and its relationships with sampling, response, and administrative considerations. It is suggested that while this technique provides needed flexibility in relation to household enumeration options, logistical issues limit its applicability where settlement patterns are dispersed and resources to supplement sampling frames are inadequate. Time and cost outlays are required to maximize its potential. When place-related and administrative conditions can be met, the technique offers promise for reducing non-coverage error and possible sample bias without saerificing response rates. In addition, it provides opportunities to gain experiential insights not possible with other survey methods.\\nThe hand delivery of self-administered questionnaires has been presented as an alternative for reducing non-coverage error associated with the mail method at lower cost than face-to-face interviews. This research note draws from experiences using the hand delivery technique (combined with hand retrieval) in rural and small community studies to address practical issues associated with improving coverage, and its relationships with sampling, response, and administrative considerations. It is suggested that while this technique provides needed flexibility in relation to household enumeration options, logistical issues limit its applicability where settlement patterns are dispersed and resources to supplement sampling frames are inadequate. Time and cost outlays are required to maximize its potential. When place-related and administrative conditions can be met, the technique offers promise for reducing non-coverage error and possible sample bias without saerificing response rates. In addition, it provides opportunities to gain experiential insights not possible with other survey methods.", "author" : [ { "dropping-particle" : "", "family" : "Steele", "given" : "Jennifer", "non-dropping-particle" : "", "parse-names" : false, "suffix" : "" }, { "dropping-particle" : "", "family" : "Bourke", "given" : "Lisa", "non-dropping-particle" : "", "parse-names" : false, "suffix" : "" }, { "dropping-particle" : "", "family" : "Luloff", "given" : "A.E.", "non-dropping-particle" : "", "parse-names" : false, "suffix" : "" }, { "dropping-particle" : "", "family" : "Liao", "given" : "Pei-Shan", "non-dropping-particle" : "", "parse-names" : false, "suffix" : "" }, { "dropping-particle" : "", "family" : "Theodori", "given" : "Gene L.", "non-dropping-particle" : "", "parse-names" : false, "suffix" : "" }, { "dropping-particle" : "", "family" : "Krannich", "given" : "Richard S.", "non-dropping-particle" : "", "parse-names" : false, "suffix" : "" } ], "container-title" : "Journal of Community Development Society", "id" : "ITEM-1", "issue" : "2", "issued" : { "date-parts" : [ [ "2001" ] ] }, "page" : "238-250", "title" : "The drop-off/pick-up method for household survey research", "type" : "article-journal", "volume" : "32" }, "uris" : [ "http://www.mendeley.com/documents/?uuid=569ac711-5d12-4f9f-a06d-d636a7626625" ] } ], "mendeley" : { "formattedCitation" : "(Steele et al. 2001)", "manualFormatting" : "(Steele et al., 2001)", "plainTextFormattedCitation" : "(Steele et al. 2001)", "previouslyFormattedCitation" : "(Steele et al. 2001)" }, "properties" : { "noteIndex" : 0 }, "schema" : "https://github.com/citation-style-language/schema/raw/master/csl-citation.json" }</w:instrText>
      </w:r>
      <w:r w:rsidRPr="00452E2E">
        <w:fldChar w:fldCharType="separate"/>
      </w:r>
      <w:r w:rsidRPr="00452E2E">
        <w:rPr>
          <w:noProof/>
        </w:rPr>
        <w:t xml:space="preserve">(Steele </w:t>
      </w:r>
      <w:r w:rsidRPr="00452E2E">
        <w:rPr>
          <w:i/>
          <w:noProof/>
        </w:rPr>
        <w:t>et al</w:t>
      </w:r>
      <w:r w:rsidRPr="00452E2E">
        <w:rPr>
          <w:noProof/>
        </w:rPr>
        <w:t>., 2001)</w:t>
      </w:r>
      <w:r w:rsidRPr="00452E2E">
        <w:fldChar w:fldCharType="end"/>
      </w:r>
      <w:r w:rsidRPr="00452E2E">
        <w:t xml:space="preserve">. This method of questionnaire administration is common when conducting research in Nigeria </w:t>
      </w:r>
      <w:r w:rsidRPr="00452E2E">
        <w:fldChar w:fldCharType="begin" w:fldLock="1"/>
      </w:r>
      <w:r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"ITEM-2",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"(Anakwe 2002; Okpara &amp; Wynn 2008)", "manualFormatting" : "(Anakwe, 2002; Okpara &amp; Wynn, 2008)", "plainTextFormattedCitation" : "(Anakwe 2002; Okpara &amp; Wynn 2008)", "previouslyFormattedCitation" : "(Anakwe 2002; Okpara &amp; Wynn 2008)" }, "properties" : { "noteIndex" : 0 }, "schema" : "https://github.com/citation-style-language/schema/raw/master/csl-citation.json" }</w:instrText>
      </w:r>
      <w:r w:rsidRPr="00452E2E">
        <w:fldChar w:fldCharType="separate"/>
      </w:r>
      <w:r w:rsidRPr="00452E2E">
        <w:rPr>
          <w:noProof/>
        </w:rPr>
        <w:t>(Anakwe, 2002; Okpara &amp; Wynn, 2008)</w:t>
      </w:r>
      <w:r w:rsidRPr="00452E2E">
        <w:fldChar w:fldCharType="end"/>
      </w:r>
      <w:r w:rsidRPr="00452E2E">
        <w:t xml:space="preserve">. Questionnaires were administered by RA’s who visited research sites to meet with the participants during breaks or at </w:t>
      </w:r>
      <w:r w:rsidR="00400AED" w:rsidRPr="00452E2E">
        <w:t>an</w:t>
      </w:r>
      <w:r w:rsidRPr="00452E2E">
        <w:t xml:space="preserve"> appropriate time scheduled with them. </w:t>
      </w:r>
    </w:p>
    <w:p w:rsidR="00D03A8E" w:rsidRPr="00452E2E" w:rsidRDefault="00D03A8E" w:rsidP="00D03A8E">
      <w:pPr>
        <w:spacing w:line="360" w:lineRule="auto"/>
        <w:jc w:val="both"/>
      </w:pPr>
      <w:r w:rsidRPr="00452E2E">
        <w:t>The participants were given a period of one week to complete the questionnaires after which the RA’s returned to the organization to pick them up. In order to enhance a high response rate, the period of completing the questionnaires, where necessary, was extended to two weeks to give the participants more time to complete and return them. Whilst the researcher could not be in every site at the same time, the work of the RA’s was monitored via telephone communication with them in order to be abreast with the progress they were making whilst challenges encountered were identified and tackled promptly. In addition, where it was possible, the researcher undertook random visits to the research sites to monitor the work of the RA’s</w:t>
      </w:r>
      <w:r w:rsidRPr="00BE5AF1">
        <w:rPr>
          <w:rStyle w:val="FootnoteReference"/>
        </w:rPr>
        <w:footnoteReference w:id="7"/>
      </w:r>
      <w:r w:rsidRPr="00452E2E">
        <w:t>. Further, as part of the job description of the RA’s, they were required to submit a weekly report of their activities to the researcher.</w:t>
      </w:r>
    </w:p>
    <w:p w:rsidR="00D03A8E" w:rsidRPr="00452E2E" w:rsidRDefault="00D03A8E" w:rsidP="00D03A8E">
      <w:pPr>
        <w:spacing w:line="360" w:lineRule="auto"/>
        <w:jc w:val="both"/>
      </w:pPr>
      <w:r w:rsidRPr="00452E2E">
        <w:lastRenderedPageBreak/>
        <w:t xml:space="preserve">In order to enhance confidentiality of the responses, all completed questionnaires were returned to the RA’s in a sealed envelope that was earlier provided to the participants together with the questionnaire. The returned questionnaires were then initially kept by the RA’s in a box-like bag that was provided to them by the researcher for use during the field work. These bags had locks and a small opening that could only be used to drop the sealed questionnaires. This means that once the sealed questionnaires were dropped in the bag, only the researcher who had keys to the locks could have access to the questionnaires. These questionnaires were in turn handed over to the researcher who kept records of the questionnaires returned and subsequently stored them in a safe place at a base the researcher maintained whilst on field work in Nigeria. The questionnaires were then taken to Sheffield by the researcher for coding into SPSS computer programme for the purpose of data analysis. The computer onto which the questionnaires were coded was password-protected such that only the researcher had access to the data. Meanwhile, the hard copies of the questionnaires were destroyed once the coding of responses was completed (see section 4.6 for a detailed discussion of ethical considerations for the research). </w:t>
      </w:r>
    </w:p>
    <w:p w:rsidR="00D03A8E" w:rsidRPr="00452E2E" w:rsidRDefault="00D03A8E" w:rsidP="00D03A8E">
      <w:pPr>
        <w:pStyle w:val="Heading5"/>
      </w:pPr>
      <w:bookmarkStart w:id="93" w:name="_Toc473808147"/>
      <w:r w:rsidRPr="00452E2E">
        <w:t>4.4.3.2 Interviews for Study 1</w:t>
      </w:r>
      <w:bookmarkEnd w:id="93"/>
    </w:p>
    <w:p w:rsidR="00D03A8E" w:rsidRPr="00452E2E" w:rsidRDefault="00D03A8E" w:rsidP="00D03A8E">
      <w:pPr>
        <w:spacing w:line="360" w:lineRule="auto"/>
        <w:jc w:val="both"/>
      </w:pPr>
      <w:r w:rsidRPr="00452E2E">
        <w:t xml:space="preserve">A second method of data collection that was used for study 1 was qualitative interviews. These interviews were aimed at gaining a deeper understanding of how institutional mechanisms influence HRM in public and private sector in Nigeria. Interviews were focused on HR managers in public and private sector banks and hospitals. The HR managers who participated in the interviews were among those who responded to the questionnaires. </w:t>
      </w:r>
      <w:r w:rsidR="00964198" w:rsidRPr="00452E2E">
        <w:t>Banks and hospitals</w:t>
      </w:r>
      <w:r w:rsidRPr="00452E2E">
        <w:t xml:space="preserve"> were considered for this part of the research because </w:t>
      </w:r>
      <w:r w:rsidR="00F12B28" w:rsidRPr="00452E2E">
        <w:t xml:space="preserve">there was </w:t>
      </w:r>
      <w:r w:rsidR="00B51BD9" w:rsidRPr="00452E2E">
        <w:t xml:space="preserve">the </w:t>
      </w:r>
      <w:r w:rsidR="00F12B28" w:rsidRPr="00452E2E">
        <w:t xml:space="preserve">need to </w:t>
      </w:r>
      <w:r w:rsidR="00B51BD9" w:rsidRPr="00452E2E">
        <w:t>include</w:t>
      </w:r>
      <w:r w:rsidR="00F44716" w:rsidRPr="00452E2E">
        <w:t xml:space="preserve"> those</w:t>
      </w:r>
      <w:r w:rsidR="00F12B28" w:rsidRPr="00452E2E">
        <w:t xml:space="preserve"> industries with both public and private sector organizations so that any differences found between the </w:t>
      </w:r>
      <w:r w:rsidR="00F44716" w:rsidRPr="00452E2E">
        <w:t>organizations</w:t>
      </w:r>
      <w:r w:rsidR="00F12B28" w:rsidRPr="00452E2E">
        <w:t xml:space="preserve"> would not be </w:t>
      </w:r>
      <w:r w:rsidR="00F44716" w:rsidRPr="00452E2E">
        <w:t>due to</w:t>
      </w:r>
      <w:r w:rsidR="00F12B28" w:rsidRPr="00452E2E">
        <w:t xml:space="preserve"> </w:t>
      </w:r>
      <w:r w:rsidR="00F44716" w:rsidRPr="00452E2E">
        <w:t xml:space="preserve">differences in the </w:t>
      </w:r>
      <w:r w:rsidR="00F12B28" w:rsidRPr="00452E2E">
        <w:t xml:space="preserve">industry but as a result of the public or private sector status of the organizations. Moreover, the </w:t>
      </w:r>
      <w:r w:rsidRPr="00452E2E">
        <w:t xml:space="preserve">strategic importance </w:t>
      </w:r>
      <w:r w:rsidR="00F12B28" w:rsidRPr="00452E2E">
        <w:t xml:space="preserve">of banks and hospitals </w:t>
      </w:r>
      <w:r w:rsidRPr="00452E2E">
        <w:t>to the Nigerian economy</w:t>
      </w:r>
      <w:r w:rsidR="00F12B28" w:rsidRPr="00452E2E">
        <w:t xml:space="preserve"> was another reason for focusing on these </w:t>
      </w:r>
      <w:r w:rsidR="00F44716" w:rsidRPr="00452E2E">
        <w:t xml:space="preserve">two </w:t>
      </w:r>
      <w:r w:rsidR="00F12B28" w:rsidRPr="00452E2E">
        <w:t>industries</w:t>
      </w:r>
      <w:r w:rsidRPr="00452E2E">
        <w:t xml:space="preserve">. The banking industry is considered as one of the most developed industries in Nigeria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and is at the heart of economic development of the </w:t>
      </w:r>
      <w:r w:rsidRPr="00452E2E">
        <w:lastRenderedPageBreak/>
        <w:t xml:space="preserve">country by mobilising financial resources for industrial development of Nigeria </w:t>
      </w:r>
      <w:r w:rsidRPr="00452E2E">
        <w:fldChar w:fldCharType="begin" w:fldLock="1"/>
      </w:r>
      <w:r w:rsidRPr="00452E2E">
        <w:instrText>ADDIN CSL_CITATION { "citationItems" : [ { "id" : "ITEM-1", "itemData" : { "author" : [ { "dropping-particle" : "", "family" : "Nzotta", "given" : "Samuel Mbadike", "non-dropping-particle" : "", "parse-names" : false, "suffix" : "" }, { "dropping-particle" : "", "family" : "Okereke", "given" : "E.J", "non-dropping-particle" : "", "parse-names" : false, "suffix" : "" } ], "container-title" : "African Journal of Accounting, Economics, Finance and Banking Research", "id" : "ITEM-1", "issue" : "5", "issued" : { "date-parts" : [ [ "2009" ] ] }, "page" : "52-66", "title" : "Financial deepening and economic development of Nigeria: an empirical investigation", "type" : "article-journal", "volume" : "5" }, "uris" : [ "http://www.mendeley.com/documents/?uuid=6d511b5e-1791-47db-b4fc-90b77bb40f74" ] } ], "mendeley" : { "formattedCitation" : "(Nzotta &amp; Okereke 2009)", "manualFormatting" : "(Nzotta &amp; Okereke, 2009)", "plainTextFormattedCitation" : "(Nzotta &amp; Okereke 2009)", "previouslyFormattedCitation" : "(Nzotta &amp; Okereke 2009)" }, "properties" : { "noteIndex" : 0 }, "schema" : "https://github.com/citation-style-language/schema/raw/master/csl-citation.json" }</w:instrText>
      </w:r>
      <w:r w:rsidRPr="00452E2E">
        <w:fldChar w:fldCharType="separate"/>
      </w:r>
      <w:r w:rsidRPr="00452E2E">
        <w:rPr>
          <w:noProof/>
        </w:rPr>
        <w:t>(Nzotta &amp; Okereke, 2009)</w:t>
      </w:r>
      <w:r w:rsidRPr="00452E2E">
        <w:fldChar w:fldCharType="end"/>
      </w:r>
      <w:r w:rsidRPr="00452E2E">
        <w:t xml:space="preserve">. </w:t>
      </w:r>
    </w:p>
    <w:p w:rsidR="00D03A8E" w:rsidRPr="00452E2E" w:rsidRDefault="00D03A8E" w:rsidP="00D03A8E">
      <w:pPr>
        <w:spacing w:line="360" w:lineRule="auto"/>
        <w:jc w:val="both"/>
      </w:pPr>
      <w:r w:rsidRPr="00452E2E">
        <w:t xml:space="preserve">The health industry is equally important as it caters for the healthcare needs of the teeming population of Nigeria </w:t>
      </w:r>
      <w:r w:rsidRPr="00452E2E">
        <w:fldChar w:fldCharType="begin" w:fldLock="1"/>
      </w:r>
      <w:r w:rsidRPr="00452E2E">
        <w:instrText>ADDIN CSL_CITATION { "citationItems" : [ { "id" : "ITEM-1", "itemData" : { "author" : [ { "dropping-particle" : "", "family" : "Amaghionyeodiwe", "given" : "L.A", "non-dropping-particle" : "", "parse-names" : false, "suffix" : "" } ], "container-title" : "Healthcare Management Science", "id" : "ITEM-1", "issue" : "3", "issued" : { "date-parts" : [ [ "2008" ] ] }, "page" : "215-227", "title" : "Determinants of the choice of healthcare providers in Nigeria", "type" : "article-journal", "volume" : "11" }, "uris" : [ "http://www.mendeley.com/documents/?uuid=86247535-fa58-4aae-b926-29b36ebca36e" ] } ], "mendeley" : { "formattedCitation" : "(Amaghionyeodiwe 2008)", "manualFormatting" : "(Amaghionyeodiwe, 2008)", "plainTextFormattedCitation" : "(Amaghionyeodiwe 2008)", "previouslyFormattedCitation" : "(Amaghionyeodiwe 2008)" }, "properties" : { "noteIndex" : 0 }, "schema" : "https://github.com/citation-style-language/schema/raw/master/csl-citation.json" }</w:instrText>
      </w:r>
      <w:r w:rsidRPr="00452E2E">
        <w:fldChar w:fldCharType="separate"/>
      </w:r>
      <w:r w:rsidRPr="00452E2E">
        <w:rPr>
          <w:noProof/>
        </w:rPr>
        <w:t>(Amaghionyeodiwe, 2008)</w:t>
      </w:r>
      <w:r w:rsidRPr="00452E2E">
        <w:fldChar w:fldCharType="end"/>
      </w:r>
      <w:r w:rsidRPr="00452E2E">
        <w:t xml:space="preserve"> since development cannot take place effectively in the face of ill-health </w:t>
      </w:r>
      <w:r w:rsidRPr="00452E2E">
        <w:fldChar w:fldCharType="begin" w:fldLock="1"/>
      </w:r>
      <w:r w:rsidRPr="00452E2E">
        <w:instrText>ADDIN CSL_CITATION { "citationItems" : [ { "id" : "ITEM-1", "itemData" : { "author" : [ { "dropping-particle" : "", "family" : "Asuzu", "given" : "M.C", "non-dropping-particle" : "", "parse-names" : false, "suffix" : "" } ], "container-title" : "Journal of Community Medicine and Primary Healthcare", "id" : "ITEM-1", "issue" : "1", "issued" : { "date-parts" : [ [ "2004" ] ] }, "page" : "1-3", "title" : "The necessity of healthcare systems reform in Nigeria", "type" : "article-journal", "volume" : "16" }, "uris" : [ "http://www.mendeley.com/documents/?uuid=b70bdca0-b5eb-42cc-ace2-66aed31ee69a" ] } ], "mendeley" : { "formattedCitation" : "(Asuzu 2004)", "manualFormatting" : "(Asuzu, 2004)", "plainTextFormattedCitation" : "(Asuzu 2004)", "previouslyFormattedCitation" : "(Asuzu 2004)" }, "properties" : { "noteIndex" : 0 }, "schema" : "https://github.com/citation-style-language/schema/raw/master/csl-citation.json" }</w:instrText>
      </w:r>
      <w:r w:rsidRPr="00452E2E">
        <w:fldChar w:fldCharType="separate"/>
      </w:r>
      <w:r w:rsidRPr="00452E2E">
        <w:rPr>
          <w:noProof/>
        </w:rPr>
        <w:t>(Asuzu, 2004)</w:t>
      </w:r>
      <w:r w:rsidRPr="00452E2E">
        <w:fldChar w:fldCharType="end"/>
      </w:r>
      <w:r w:rsidRPr="00452E2E">
        <w:t xml:space="preserve">. The prevalence of disease in many African countries, underscores the need for strong and vibrant health institutions </w:t>
      </w:r>
      <w:r w:rsidRPr="00452E2E">
        <w:fldChar w:fldCharType="begin" w:fldLock="1"/>
      </w:r>
      <w:r w:rsidRPr="00452E2E">
        <w:instrText>ADDIN CSL_CITATION { "citationItems" : [ { "id" : "ITEM-1", "itemData" : { "author" : [ { "dropping-particle" : "", "family" : "Asuzu", "given" : "M.C", "non-dropping-particle" : "", "parse-names" : false, "suffix" : "" } ], "container-title" : "Journal of Community Medicine and Primary Healthcare", "id" : "ITEM-1", "issue" : "1", "issued" : { "date-parts" : [ [ "2004" ] ] }, "page" : "1-3", "title" : "The necessity of healthcare systems reform in Nigeria", "type" : "article-journal", "volume" : "16" }, "uris" : [ "http://www.mendeley.com/documents/?uuid=b70bdca0-b5eb-42cc-ace2-66aed31ee69a" ] } ], "mendeley" : { "formattedCitation" : "(Asuzu 2004)", "manualFormatting" : "(Asuzu, 2004)", "plainTextFormattedCitation" : "(Asuzu 2004)", "previouslyFormattedCitation" : "(Asuzu 2004)" }, "properties" : { "noteIndex" : 0 }, "schema" : "https://github.com/citation-style-language/schema/raw/master/csl-citation.json" }</w:instrText>
      </w:r>
      <w:r w:rsidRPr="00452E2E">
        <w:fldChar w:fldCharType="separate"/>
      </w:r>
      <w:r w:rsidRPr="00452E2E">
        <w:rPr>
          <w:noProof/>
        </w:rPr>
        <w:t>(Asuzu, 2004)</w:t>
      </w:r>
      <w:r w:rsidRPr="00452E2E">
        <w:fldChar w:fldCharType="end"/>
      </w:r>
      <w:r w:rsidRPr="00452E2E">
        <w:t xml:space="preserve">. Thus, research involving the health industry is especially important in such contexts if the cliché that ‘health is wealth’ is true. Theoretically, banks and hospitals operate in industries that are identified as being highly institutionalized </w:t>
      </w:r>
      <w:r w:rsidRPr="00452E2E">
        <w:fldChar w:fldCharType="begin" w:fldLock="1"/>
      </w:r>
      <w:r w:rsidRPr="00452E2E">
        <w:instrText>ADDIN CSL_CITATION { "citationItems" : [ { "id" : "ITEM-1", "itemData" : { "author" : [ { "dropping-particle" : "", "family" : "Deephouse", "given" : "D.L.", "non-dropping-particle" : "", "parse-names" : false, "suffix" : "" } ], "container-title" : "Strategic Management Journal", "id" : "ITEM-1", "issue" : "2", "issued" : { "date-parts" : [ [ "1999" ] ] }, "page" : "147-66", "title" : "To be different, or to be the same? It's a question (and theory) of strategic balance", "type" : "article-journal", "volume" : "20" }, "uris" : [ "http://www.mendeley.com/documents/?uuid=6dcfbecd-dbc0-4e4e-879c-2205933158f6" ] }, { "id" : "ITEM-2", "itemData" : { "DOI" : "10.1007/s11186-008-9067-z", "ISBN" : "0304242115737853", "ISSN" : "03042421", "abstract" : "I summarize seven general trends in the institutional analysis of organizations which I view as constructive and provide evidence of progress in the development of this perspective. I emphasize corrections in early theoretical limitations as well as improvements in the use of empirical indicators and an expansion of the types of organizations included and issues addressed by institutional theorists. CR - Copyright &amp;#169; 2008 Springer", "author" : [ { "dropping-particle" : "", "family" : "Scott", "given" : "W. Richard", "non-dropping-particle" : "", "parse-names" : false, "suffix" : "" } ], "container-title" : "Theory and Society", "id" : "ITEM-2", "issue" : "5", "issued" : { "date-parts" : [ [ "2008" ] ] }, "page" : "427-442", "title" : "Approaching adulthood: The maturing of institutional theory", "type" : "article-journal", "volume" : "37" }, "uris" : [ "http://www.mendeley.com/documents/?uuid=b2295cea-ddd9-4568-8369-9157709bfb3b" ] } ], "mendeley" : { "formattedCitation" : "(Deephouse 1999; Scott 2008)", "manualFormatting" : "(Deephouse, 1999; Scott, 2008)", "plainTextFormattedCitation" : "(Deephouse 1999; Scott 2008)", "previouslyFormattedCitation" : "(Deephouse 1999; Scott 2008)" }, "properties" : { "noteIndex" : 0 }, "schema" : "https://github.com/citation-style-language/schema/raw/master/csl-citation.json" }</w:instrText>
      </w:r>
      <w:r w:rsidRPr="00452E2E">
        <w:fldChar w:fldCharType="separate"/>
      </w:r>
      <w:r w:rsidRPr="00452E2E">
        <w:rPr>
          <w:noProof/>
        </w:rPr>
        <w:t>(Deephouse, 1999; Scott, 2008)</w:t>
      </w:r>
      <w:r w:rsidRPr="00452E2E">
        <w:fldChar w:fldCharType="end"/>
      </w:r>
      <w:r w:rsidRPr="00452E2E">
        <w:t>; therefore, it was expected that any differences in the influence of institutions on HRM amongst them should be largely as a result of their public or private status rather than the industry in which they operate.</w:t>
      </w:r>
    </w:p>
    <w:p w:rsidR="00D03A8E" w:rsidRPr="00452E2E" w:rsidRDefault="00D03A8E" w:rsidP="00D03A8E">
      <w:pPr>
        <w:spacing w:line="360" w:lineRule="auto"/>
        <w:jc w:val="both"/>
      </w:pPr>
      <w:r w:rsidRPr="00452E2E">
        <w:t xml:space="preserve">There are public and private sector banks </w:t>
      </w:r>
      <w:r w:rsidRPr="00452E2E">
        <w:fldChar w:fldCharType="begin" w:fldLock="1"/>
      </w:r>
      <w:r w:rsidRPr="00452E2E">
        <w:instrText>ADDIN CSL_CITATION { "citationItems" : [ { "id" : "ITEM-1", "itemData" : { "author" : [ { "dropping-particle" : "", "family" : "Adesoye", "given" : "AB", "non-dropping-particle" : "", "parse-names" : false, "suffix" : "" }, { "dropping-particle" : "", "family" : "Atanda", "given" : "AA", "non-dropping-particle" : "", "parse-names" : false, "suffix" : "" } ], "container-title" : "MPRA Paper No. 35839", "id" : "ITEM-1", "issued" : { "date-parts" : [ [ "2012" ] ] }, "page" : "1-15", "title" : "Development finance institutions in Nigeria: Structure, roles and assessment", "type" : "article" }, "uris" : [ "http://www.mendeley.com/documents/?uuid=cf5a4729-7915-4f51-84dc-61b35eb839a6" ] }, { "id" : "ITEM-2", "itemData" : { "DOI" : "10.1080/09585192.2012.671509", "ISSN" : "0958-5192", "abstract" : "Despite the increasing number of mergers and acquisitions (M&amp;A) taking place in Africa, research of this phenomenon, particularly in this continent, is extremely scarce. There is also growing awareness amongst researchers of the importance of human resource management (HRM) practices in general throughout the merger process. This makes an enquiry into its role in this context opportune. By analysing the recent M&amp;A wave in the Nigerian banking sector, this paper explores HRM practices throughout the M&amp;A process. Through interviews of key informants in each merging bank, key HRM practices are identified and conclusions drawn about their contribution to overall M&amp;A outcomes. Implications for theory and practice are discussed and future research directions offered.", "author" : [ { "dropping-particle" : "", "family" : "Gomes", "given" : "Emanuel", "non-dropping-particle" : "", "parse-names" : false, "suffix" : "" }, { "dropping-particle" : "", "family" : "Angwin", "given" : "Duncan", "non-dropping-particle" : "", "parse-names" : false, "suffix" : "" }, { "dropping-particle" : "", "family" : "Peter", "given" : "Emmanuel", "non-dropping-particle" : "", "parse-names" : false, "suffix" : "" }, { "dropping-particle" : "", "family" : "Mellahi", "given" : "Kamel", "non-dropping-particle" : "", "parse-names" : false, "suffix" : "" } ], "container-title" : "The International Journal of Human Resource Management", "id" : "ITEM-2", "issue" : "14", "issued" : { "date-parts" : [ [ "2012" ] ] }, "page" : "2874-2900", "title" : "HRM issues and outcomes in African mergers and acquisitions: a study of the Nigerian banking sector", "type" : "article-journal", "volume" : "23" }, "uris" : [ "http://www.mendeley.com/documents/?uuid=69ccc193-98e0-431f-b3eb-13317953acf8" ] } ], "mendeley" : { "formattedCitation" : "(Adesoye &amp; Atanda 2012; Gomes et al. 2012)", "manualFormatting" : "(Adesoye &amp; Atanda, 2012; Gomes et al., 2012)", "plainTextFormattedCitation" : "(Adesoye &amp; Atanda 2012; Gomes et al. 2012)", "previouslyFormattedCitation" : "(Adesoye &amp; Atanda 2012; Gomes et al. 2012)" }, "properties" : { "noteIndex" : 0 }, "schema" : "https://github.com/citation-style-language/schema/raw/master/csl-citation.json" }</w:instrText>
      </w:r>
      <w:r w:rsidRPr="00452E2E">
        <w:fldChar w:fldCharType="separate"/>
      </w:r>
      <w:r w:rsidRPr="00452E2E">
        <w:rPr>
          <w:noProof/>
        </w:rPr>
        <w:t xml:space="preserve">(Adesoye &amp; Atanda, 2012; Gomes </w:t>
      </w:r>
      <w:r w:rsidRPr="00452E2E">
        <w:rPr>
          <w:i/>
          <w:noProof/>
        </w:rPr>
        <w:t>et al</w:t>
      </w:r>
      <w:r w:rsidRPr="00452E2E">
        <w:rPr>
          <w:noProof/>
        </w:rPr>
        <w:t>., 2012)</w:t>
      </w:r>
      <w:r w:rsidRPr="00452E2E">
        <w:fldChar w:fldCharType="end"/>
      </w:r>
      <w:r w:rsidRPr="00452E2E">
        <w:t xml:space="preserve"> and hospitals </w:t>
      </w:r>
      <w:r w:rsidRPr="00452E2E">
        <w:fldChar w:fldCharType="begin" w:fldLock="1"/>
      </w:r>
      <w:r w:rsidRPr="00452E2E">
        <w:instrText>ADDIN CSL_CITATION { "citationItems" : [ { "id" : "ITEM-1", "itemData" : { "author" : [ { "dropping-particle" : "", "family" : "Polsa", "given" : "Pia", "non-dropping-particle" : "", "parse-names" : false, "suffix" : "" }, { "dropping-particle" : "", "family" : "Spens", "given" : "Karen", "non-dropping-particle" : "", "parse-names" : false, "suffix" : "" }, { "dropping-particle" : "", "family" : "Soneye", "given" : "Alabi", "non-dropping-particle" : "", "parse-names" : false, "suffix" : "" }, { "dropping-particle" : "", "family" : "Antai", "given" : "Imoh", "non-dropping-particle" : "", "parse-names" : false, "suffix" : "" } ], "container-title" : "Journal of Management Policy and Practice", "id" : "ITEM-1", "issue" : "7", "issued" : { "date-parts" : [ [ "2011" ] ] }, "page" : "18-26", "title" : "Comparing the perceived quality of private and public health services in Nigeria", "type" : "article-journal", "volume" : "12" }, "uris" : [ "http://www.mendeley.com/documents/?uuid=c9f90600-d8e1-4906-9228-28a1c15d2e73" ] } ], "mendeley" : { "formattedCitation" : "(Polsa et al. 2011)", "manualFormatting" : "(Polsa et al., 2011)", "plainTextFormattedCitation" : "(Polsa et al. 2011)", "previouslyFormattedCitation" : "(Polsa et al. 2011)" }, "properties" : { "noteIndex" : 0 }, "schema" : "https://github.com/citation-style-language/schema/raw/master/csl-citation.json" }</w:instrText>
      </w:r>
      <w:r w:rsidRPr="00452E2E">
        <w:fldChar w:fldCharType="separate"/>
      </w:r>
      <w:r w:rsidRPr="00452E2E">
        <w:rPr>
          <w:noProof/>
        </w:rPr>
        <w:t xml:space="preserve">(Polsa </w:t>
      </w:r>
      <w:r w:rsidRPr="00452E2E">
        <w:rPr>
          <w:i/>
          <w:noProof/>
        </w:rPr>
        <w:t>et al</w:t>
      </w:r>
      <w:r w:rsidRPr="00452E2E">
        <w:rPr>
          <w:noProof/>
        </w:rPr>
        <w:t>., 2011)</w:t>
      </w:r>
      <w:r w:rsidRPr="00452E2E">
        <w:fldChar w:fldCharType="end"/>
      </w:r>
      <w:r w:rsidRPr="00452E2E">
        <w:t xml:space="preserve"> in Nigeria that can provide the basis for comparison in a research such as the present one. Hence, in selecting the particular banks and hospitals to participate in this part of the research, the underlying criteria was to select in each industry public and private organizations that were comparable in terms of structure and the nature of services provided. For the public sector banks</w:t>
      </w:r>
      <w:r w:rsidRPr="00BE5AF1">
        <w:rPr>
          <w:rStyle w:val="FootnoteReference"/>
        </w:rPr>
        <w:footnoteReference w:id="8"/>
      </w:r>
      <w:r w:rsidRPr="00452E2E">
        <w:t xml:space="preserve">, the focus was on those that offered retail banking services to both private and institutional customers as opposed to those whose services were offered to only institutional customers. This is because since HRM is important for achieving customer satisfaction </w:t>
      </w:r>
      <w:r w:rsidRPr="00452E2E">
        <w:fldChar w:fldCharType="begin" w:fldLock="1"/>
      </w:r>
      <w:r w:rsidRPr="00452E2E">
        <w:instrText>ADDIN CSL_CITATION { "citationItems" : [ { "id" : "ITEM-1", "itemData" : { "abstract" : "ISSN: 0958-5192 (Print) 1466-4399 (Online) Journal homepage: http://www.tandfonline.com/loi/rijh20 The impact of HRM practices on service quality, customer satisfaction and performance in the Indian hotel industry Mohinder Chand To cite this article: Mohinder Chand (2010) The impact of HRM practices on service quality, customer satisfaction and performance in the The paper investigates the effects of HRM practices on service quality, customer satisfaction and performance in the hotel industry. A conceptual model is developed and four research hypotheses are empirically examined using structural equation modelling. The data were collected via a survey of Indian based hotels. 52 hotels in India responded to questionnaires pooling 52 HR managers 260 employees (5 from each hotel) and 260 customers (5 from each hotel). The results indicate that HRM practices have a positive influence on the improvement of service quality as well as on customer satisfaction and hotel performance. The study further testified the relationship among them, and provides useful information for future hotel management needs. The findings indicate that creation of customer satisfactionnvalue in the hotel can be achieved via increasing responsiveness to customers' needs and that the creation of customer value which have a positive impact in the firm's profitability. The results suggest that HRM practices improve hotel service effectiveness and in consequence firm performance replicates and extends in a HRM context research. The study also suggests that management should emphasis on the development of intra-departmental learning and relational capabilities. The findings of this study are important for the hotel industry as the sector is faced with increasing competitive pressures in a highly fragmented, high growth market, and challenges that threaten its viability as evidenced by recent consolidations, merger &amp; acquisition, franchising and foreign collaboration, etc. Further, in terms of theoretical contributions, this research suggests that HRM improvements are as much an outcome of technical and operational measures as they are of managerial, organizational and inter-organizational capabilities. Finally, the study paves the way for further research that would integrate HRM practices and operational factors in the context of analysing improvements in service quality, retaining customers and hotel performance. Introduction The hotel industry is the largest and most rapidly growing ind\u2026", "author" : [ { "dropping-particle" : "", "family" : "Chand", "given" : "Mohinder", "non-dropping-particle" : "", "parse-names" : false, "suffix" : "" } ], "container-title" : "The International Journal of Human Resource Management", "id" : "ITEM-1", "issue" : "4", "issued" : { "date-parts" : [ [ "2010" ] ] }, "page" : "551-566", "title" : "The impact of HRM practices on service quality, customer satisfaction and performance in the Indian hotel industry", "type" : "article-journal", "volume" : "21" }, "uris" : [ "http://www.mendeley.com/documents/?uuid=64e8400f-1e4b-4fa0-8205-9635d510cba4" ] } ], "mendeley" : { "formattedCitation" : "(Chand 2010)", "manualFormatting" : "(Chand, 2010)", "plainTextFormattedCitation" : "(Chand 2010)", "previouslyFormattedCitation" : "(Chand 2010)" }, "properties" : { "noteIndex" : 0 }, "schema" : "https://github.com/citation-style-language/schema/raw/master/csl-citation.json" }</w:instrText>
      </w:r>
      <w:r w:rsidRPr="00452E2E">
        <w:fldChar w:fldCharType="separate"/>
      </w:r>
      <w:r w:rsidRPr="00452E2E">
        <w:rPr>
          <w:noProof/>
        </w:rPr>
        <w:t>(Chand, 2010)</w:t>
      </w:r>
      <w:r w:rsidRPr="00452E2E">
        <w:fldChar w:fldCharType="end"/>
      </w:r>
      <w:r w:rsidRPr="00452E2E">
        <w:t xml:space="preserve">, the nature of HRM may reflect the kind of customers organizations serve. Moreover, selecting public sector banks on the basis of this criteria was to ensure that they were comparable to the conventional private commercial banks in Nigeria. </w:t>
      </w:r>
    </w:p>
    <w:p w:rsidR="00D03A8E" w:rsidRPr="00452E2E" w:rsidRDefault="00D03A8E" w:rsidP="00D03A8E">
      <w:pPr>
        <w:spacing w:line="360" w:lineRule="auto"/>
        <w:jc w:val="both"/>
      </w:pPr>
      <w:r w:rsidRPr="00452E2E">
        <w:t xml:space="preserve">The selection of private sector banks was based on those that provided both retail and investment banking services that served both private and institutional customers just as the public sector ones selected for the research. But beyond the </w:t>
      </w:r>
      <w:r w:rsidRPr="00452E2E">
        <w:lastRenderedPageBreak/>
        <w:t xml:space="preserve">nature of services provided, other criteria for selecting private sector banks were based on stability and longevity in order for them to be comparable with those in the public sector. Based on these criteria, 3 public and private sector banks were each selected to participate in this part of the study; which means that the HR managers in each of these organizations participated in these interviews. </w:t>
      </w:r>
    </w:p>
    <w:p w:rsidR="00D03A8E" w:rsidRPr="00452E2E" w:rsidRDefault="00D03A8E" w:rsidP="00D03A8E">
      <w:pPr>
        <w:spacing w:line="360" w:lineRule="auto"/>
        <w:jc w:val="both"/>
      </w:pPr>
      <w:r w:rsidRPr="00452E2E">
        <w:t xml:space="preserve">Efforts were also made to ensure that there were commonalities between the public and private sector hospitals that participated in these interviews. There are three classes of federal government-owned public hospitals in Nigeria namely teaching hospitals, specialist hospitals and federal medical centres </w:t>
      </w:r>
      <w:r w:rsidRPr="00452E2E">
        <w:fldChar w:fldCharType="begin" w:fldLock="1"/>
      </w:r>
      <w:r w:rsidRPr="00452E2E">
        <w:instrText>ADDIN CSL_CITATION { "citationItems" : [ { "id" : "ITEM-1", "itemData" : { "author" : [ { "dropping-particle" : "", "family" : "Polsa", "given" : "Pia", "non-dropping-particle" : "", "parse-names" : false, "suffix" : "" }, { "dropping-particle" : "", "family" : "Spens", "given" : "Karen", "non-dropping-particle" : "", "parse-names" : false, "suffix" : "" }, { "dropping-particle" : "", "family" : "Soneye", "given" : "Alabi", "non-dropping-particle" : "", "parse-names" : false, "suffix" : "" }, { "dropping-particle" : "", "family" : "Antai", "given" : "Imoh", "non-dropping-particle" : "", "parse-names" : false, "suffix" : "" } ], "container-title" : "Journal of Management Policy and Practice", "id" : "ITEM-1", "issue" : "7", "issued" : { "date-parts" : [ [ "2011" ] ] }, "page" : "18-26", "title" : "Comparing the perceived quality of private and public health services in Nigeria", "type" : "article-journal", "volume" : "12" }, "uris" : [ "http://www.mendeley.com/documents/?uuid=c9f90600-d8e1-4906-9228-28a1c15d2e73" ] } ], "mendeley" : { "formattedCitation" : "(Polsa et al. 2011)", "manualFormatting" : "(Polsa et al., 2011)", "plainTextFormattedCitation" : "(Polsa et al. 2011)", "previouslyFormattedCitation" : "(Polsa et al. 2011)" }, "properties" : { "noteIndex" : 0 }, "schema" : "https://github.com/citation-style-language/schema/raw/master/csl-citation.json" }</w:instrText>
      </w:r>
      <w:r w:rsidRPr="00452E2E">
        <w:fldChar w:fldCharType="separate"/>
      </w:r>
      <w:r w:rsidRPr="00452E2E">
        <w:rPr>
          <w:noProof/>
        </w:rPr>
        <w:t xml:space="preserve">(Polsa </w:t>
      </w:r>
      <w:r w:rsidRPr="00452E2E">
        <w:rPr>
          <w:i/>
          <w:noProof/>
        </w:rPr>
        <w:t>et al</w:t>
      </w:r>
      <w:r w:rsidRPr="00452E2E">
        <w:rPr>
          <w:noProof/>
        </w:rPr>
        <w:t>., 2011)</w:t>
      </w:r>
      <w:r w:rsidRPr="00452E2E">
        <w:fldChar w:fldCharType="end"/>
      </w:r>
      <w:r w:rsidRPr="00452E2E">
        <w:t xml:space="preserve">. However, it was the latter that was the focus of this research. This is because whilst teaching hospitals combine healthcare, research and teaching in one institution and may not be considered as conventional hospitals that can be comparable to private hospitals in Nigeria, the specialist hospitals operate on a niche-basis by specialising in only a particular area of healthcare such as psychiatry or orthopaedics </w:t>
      </w:r>
      <w:r w:rsidRPr="00452E2E">
        <w:fldChar w:fldCharType="begin" w:fldLock="1"/>
      </w:r>
      <w:r w:rsidRPr="00452E2E">
        <w:instrText>ADDIN CSL_CITATION { "citationItems" : [ { "id" : "ITEM-1", "itemData" : { "author" : [ { "dropping-particle" : "", "family" : "Polsa", "given" : "Pia", "non-dropping-particle" : "", "parse-names" : false, "suffix" : "" }, { "dropping-particle" : "", "family" : "Spens", "given" : "Karen", "non-dropping-particle" : "", "parse-names" : false, "suffix" : "" }, { "dropping-particle" : "", "family" : "Soneye", "given" : "Alabi", "non-dropping-particle" : "", "parse-names" : false, "suffix" : "" }, { "dropping-particle" : "", "family" : "Antai", "given" : "Imoh", "non-dropping-particle" : "", "parse-names" : false, "suffix" : "" } ], "container-title" : "Journal of Management Policy and Practice", "id" : "ITEM-1", "issue" : "7", "issued" : { "date-parts" : [ [ "2011" ] ] }, "page" : "18-26", "title" : "Comparing the perceived quality of private and public health services in Nigeria", "type" : "article-journal", "volume" : "12" }, "uris" : [ "http://www.mendeley.com/documents/?uuid=c9f90600-d8e1-4906-9228-28a1c15d2e73" ] } ], "mendeley" : { "formattedCitation" : "(Polsa et al. 2011)", "manualFormatting" : "(Polsa et al., 2011)", "plainTextFormattedCitation" : "(Polsa et al. 2011)", "previouslyFormattedCitation" : "(Polsa et al. 2011)" }, "properties" : { "noteIndex" : 0 }, "schema" : "https://github.com/citation-style-language/schema/raw/master/csl-citation.json" }</w:instrText>
      </w:r>
      <w:r w:rsidRPr="00452E2E">
        <w:fldChar w:fldCharType="separate"/>
      </w:r>
      <w:r w:rsidRPr="00452E2E">
        <w:rPr>
          <w:noProof/>
        </w:rPr>
        <w:t xml:space="preserve">(Polsa </w:t>
      </w:r>
      <w:r w:rsidRPr="00452E2E">
        <w:rPr>
          <w:i/>
          <w:noProof/>
        </w:rPr>
        <w:t>et al</w:t>
      </w:r>
      <w:r w:rsidRPr="00452E2E">
        <w:rPr>
          <w:noProof/>
        </w:rPr>
        <w:t>., 2011)</w:t>
      </w:r>
      <w:r w:rsidRPr="00452E2E">
        <w:fldChar w:fldCharType="end"/>
      </w:r>
      <w:r w:rsidRPr="00452E2E">
        <w:t xml:space="preserve">. The federal medical centres on the other hand provide services in all major areas of healthcare and can be better comparable to the private sector ones </w:t>
      </w:r>
      <w:r w:rsidRPr="00452E2E">
        <w:fldChar w:fldCharType="begin" w:fldLock="1"/>
      </w:r>
      <w:r w:rsidRPr="00452E2E">
        <w:instrText>ADDIN CSL_CITATION { "citationItems" : [ { "id" : "ITEM-1", "itemData" : { "author" : [ { "dropping-particle" : "", "family" : "Amaghionyeodiwe", "given" : "L.A", "non-dropping-particle" : "", "parse-names" : false, "suffix" : "" } ], "container-title" : "Healthcare Management Science", "id" : "ITEM-1", "issue" : "3", "issued" : { "date-parts" : [ [ "2008" ] ] }, "page" : "215-227", "title" : "Determinants of the choice of healthcare providers in Nigeria", "type" : "article-journal", "volume" : "11" }, "uris" : [ "http://www.mendeley.com/documents/?uuid=86247535-fa58-4aae-b926-29b36ebca36e" ] }, { "id" : "ITEM-2", "itemData" : { "author" : [ { "dropping-particle" : "", "family" : "Polsa", "given" : "Pia", "non-dropping-particle" : "", "parse-names" : false, "suffix" : "" }, { "dropping-particle" : "", "family" : "Spens", "given" : "Karen", "non-dropping-particle" : "", "parse-names" : false, "suffix" : "" }, { "dropping-particle" : "", "family" : "Soneye", "given" : "Alabi", "non-dropping-particle" : "", "parse-names" : false, "suffix" : "" }, { "dropping-particle" : "", "family" : "Antai", "given" : "Imoh", "non-dropping-particle" : "", "parse-names" : false, "suffix" : "" } ], "container-title" : "Journal of Management Policy and Practice", "id" : "ITEM-2", "issue" : "7", "issued" : { "date-parts" : [ [ "2011" ] ] }, "page" : "18-26", "title" : "Comparing the perceived quality of private and public health services in Nigeria", "type" : "article-journal", "volume" : "12" }, "uris" : [ "http://www.mendeley.com/documents/?uuid=c9f90600-d8e1-4906-9228-28a1c15d2e73" ] } ], "mendeley" : { "formattedCitation" : "(Amaghionyeodiwe 2008; Polsa et al. 2011)", "manualFormatting" : "(Amaghionyeodiwe, 2008; Polsa et al., 2011)", "plainTextFormattedCitation" : "(Amaghionyeodiwe 2008; Polsa et al. 2011)", "previouslyFormattedCitation" : "(Amaghionyeodiwe 2008; Polsa et al. 2011)" }, "properties" : { "noteIndex" : 0 }, "schema" : "https://github.com/citation-style-language/schema/raw/master/csl-citation.json" }</w:instrText>
      </w:r>
      <w:r w:rsidRPr="00452E2E">
        <w:fldChar w:fldCharType="separate"/>
      </w:r>
      <w:r w:rsidRPr="00452E2E">
        <w:rPr>
          <w:noProof/>
        </w:rPr>
        <w:t xml:space="preserve">(Amaghionyeodiwe, 2008; Polsa </w:t>
      </w:r>
      <w:r w:rsidRPr="00452E2E">
        <w:rPr>
          <w:i/>
          <w:noProof/>
        </w:rPr>
        <w:t>et al</w:t>
      </w:r>
      <w:r w:rsidRPr="00452E2E">
        <w:rPr>
          <w:noProof/>
        </w:rPr>
        <w:t>., 2011)</w:t>
      </w:r>
      <w:r w:rsidRPr="00452E2E">
        <w:fldChar w:fldCharType="end"/>
      </w:r>
      <w:r w:rsidRPr="00452E2E">
        <w:t xml:space="preserve">. Accordingly, 3 federal medical centres were selected for participation in this part of research. The selection of these 3 was based on degree of the geographical coverage of the services they provide. Because there are no federal medical centres in each state in Nigeria, some of these centres were established to cater for the health needs of multiple states </w:t>
      </w:r>
      <w:r w:rsidRPr="00452E2E">
        <w:fldChar w:fldCharType="begin" w:fldLock="1"/>
      </w:r>
      <w:r w:rsidRPr="00452E2E">
        <w:instrText>ADDIN CSL_CITATION { "citationItems" : [ { "id" : "ITEM-1", "itemData" : { "URL" : "http://www.health.gov.ng/index.php/department/hospital-services", "accessed" : { "date-parts" : [ [ "2014", "8", "4" ] ] }, "author" : [ { "dropping-particle" : "", "family" : "FMOH", "given" : "", "non-dropping-particle" : "", "parse-names" : false, "suffix" : "" } ], "id" : "ITEM-1", "issued" : { "date-parts" : [ [ "2014" ] ] }, "title" : "Department of hospital services", "type" : "webpage" }, "uris" : [ "http://www.mendeley.com/documents/?uuid=79f36239-dab7-4df8-bb04-683d8a6a573e" ] } ], "mendeley" : { "formattedCitation" : "(FMOH 2014)", "manualFormatting" : "(FMOH, 2014)", "plainTextFormattedCitation" : "(FMOH 2014)", "previouslyFormattedCitation" : "(FMOH 2014)" }, "properties" : { "noteIndex" : 0 }, "schema" : "https://github.com/citation-style-language/schema/raw/master/csl-citation.json" }</w:instrText>
      </w:r>
      <w:r w:rsidRPr="00452E2E">
        <w:fldChar w:fldCharType="separate"/>
      </w:r>
      <w:r w:rsidRPr="00452E2E">
        <w:rPr>
          <w:noProof/>
        </w:rPr>
        <w:t>(FMOH, 2014)</w:t>
      </w:r>
      <w:r w:rsidRPr="00452E2E">
        <w:fldChar w:fldCharType="end"/>
      </w:r>
      <w:r w:rsidRPr="00452E2E">
        <w:t xml:space="preserve">. Therefore, the 3 selected were those whose services serve the healthcare needs of different states in Nigeria. </w:t>
      </w:r>
    </w:p>
    <w:p w:rsidR="00D03A8E" w:rsidRPr="00452E2E" w:rsidRDefault="00D03A8E" w:rsidP="00D03A8E">
      <w:pPr>
        <w:spacing w:line="360" w:lineRule="auto"/>
        <w:jc w:val="both"/>
      </w:pPr>
      <w:r w:rsidRPr="00452E2E">
        <w:t>In terms of the private hospitals, the criteria was to ensure that they were comparable to the public sector ones in terms of structure. Therefore, private hospitals considered for this part of the research were those that operated a divisionalized, compartmentalized and decentralized structure as is the case with the public hospitals and whose staff strength was up to 200 employees. On this basis, 4 private hospitals</w:t>
      </w:r>
      <w:r w:rsidRPr="00BE5AF1">
        <w:rPr>
          <w:rStyle w:val="FootnoteReference"/>
        </w:rPr>
        <w:footnoteReference w:id="9"/>
      </w:r>
      <w:r w:rsidRPr="00452E2E">
        <w:t xml:space="preserve"> were selected for participation in the qualitative </w:t>
      </w:r>
      <w:r w:rsidRPr="00452E2E">
        <w:lastRenderedPageBreak/>
        <w:t xml:space="preserve">interviews. Altogether, HR managers in 13 organizations participated in the qualitative interviews comprising of 6 in the public sector and 7 in the private sector. Since HR managers in these organizations also responded to questionnaires in this research, the access negotiated in these organizations covered this aspect of the research as well whilst the information sheet distributed to HR managers in these organizations also requested their participation in interviews in addition to completing the questionnaires. It is worthy to state that it was in these 13 organizations that </w:t>
      </w:r>
      <w:r w:rsidRPr="00452E2E">
        <w:rPr>
          <w:i/>
        </w:rPr>
        <w:t>study 2</w:t>
      </w:r>
      <w:r w:rsidR="009C6E95" w:rsidRPr="00452E2E">
        <w:t xml:space="preserve"> (to be described in lat</w:t>
      </w:r>
      <w:r w:rsidRPr="00452E2E">
        <w:t xml:space="preserve">er sections) was conducted. </w:t>
      </w:r>
      <w:r w:rsidR="00231F76" w:rsidRPr="00452E2E">
        <w:t xml:space="preserve">The characteristics of these 13 organizations are provided in table 4.1 below. </w:t>
      </w:r>
    </w:p>
    <w:p w:rsidR="0041590B" w:rsidRPr="00452E2E" w:rsidRDefault="0041590B" w:rsidP="0041590B">
      <w:pPr>
        <w:pStyle w:val="Caption"/>
        <w:keepNext/>
      </w:pPr>
      <w:r w:rsidRPr="00452E2E">
        <w:t xml:space="preserve">Table 4. </w:t>
      </w:r>
      <w:r w:rsidR="00B26571">
        <w:fldChar w:fldCharType="begin"/>
      </w:r>
      <w:r w:rsidR="00B26571">
        <w:instrText xml:space="preserve"> SEQ Table_4. \* ARABIC </w:instrText>
      </w:r>
      <w:r w:rsidR="00B26571">
        <w:fldChar w:fldCharType="separate"/>
      </w:r>
      <w:r w:rsidR="00F020BB" w:rsidRPr="00452E2E">
        <w:rPr>
          <w:noProof/>
        </w:rPr>
        <w:t>1</w:t>
      </w:r>
      <w:r w:rsidR="00B26571">
        <w:rPr>
          <w:noProof/>
        </w:rPr>
        <w:fldChar w:fldCharType="end"/>
      </w:r>
      <w:r w:rsidRPr="00452E2E">
        <w:t xml:space="preserve"> Characteristics of Organizations Participating in Managerial Interviews and Employee Surveys</w:t>
      </w:r>
    </w:p>
    <w:tbl>
      <w:tblPr>
        <w:tblStyle w:val="TableGrid"/>
        <w:tblW w:w="0" w:type="auto"/>
        <w:tblLook w:val="04A0" w:firstRow="1" w:lastRow="0" w:firstColumn="1" w:lastColumn="0" w:noHBand="0" w:noVBand="1"/>
      </w:tblPr>
      <w:tblGrid>
        <w:gridCol w:w="1064"/>
        <w:gridCol w:w="1096"/>
        <w:gridCol w:w="1745"/>
        <w:gridCol w:w="1579"/>
        <w:gridCol w:w="1309"/>
        <w:gridCol w:w="1395"/>
      </w:tblGrid>
      <w:tr w:rsidR="00452E2E" w:rsidRPr="00452E2E" w:rsidTr="0041590B">
        <w:tc>
          <w:tcPr>
            <w:tcW w:w="1151" w:type="dxa"/>
            <w:tcBorders>
              <w:top w:val="single" w:sz="12" w:space="0" w:color="auto"/>
              <w:left w:val="single" w:sz="4" w:space="0" w:color="FFFFFF" w:themeColor="background1"/>
              <w:bottom w:val="single" w:sz="4" w:space="0" w:color="auto"/>
              <w:right w:val="single" w:sz="4" w:space="0" w:color="FFFFFF" w:themeColor="background1"/>
            </w:tcBorders>
          </w:tcPr>
          <w:p w:rsidR="008F2A6A" w:rsidRPr="00452E2E" w:rsidRDefault="008F2A6A" w:rsidP="000200A3">
            <w:pPr>
              <w:rPr>
                <w:b/>
                <w:sz w:val="18"/>
                <w:szCs w:val="18"/>
              </w:rPr>
            </w:pPr>
            <w:r w:rsidRPr="00452E2E">
              <w:rPr>
                <w:b/>
                <w:sz w:val="18"/>
                <w:szCs w:val="18"/>
              </w:rPr>
              <w:t>S/No</w:t>
            </w:r>
          </w:p>
        </w:tc>
        <w:tc>
          <w:tcPr>
            <w:tcW w:w="1176" w:type="dxa"/>
            <w:tcBorders>
              <w:top w:val="single" w:sz="12" w:space="0" w:color="auto"/>
              <w:left w:val="single" w:sz="4" w:space="0" w:color="FFFFFF" w:themeColor="background1"/>
              <w:bottom w:val="single" w:sz="4" w:space="0" w:color="auto"/>
              <w:right w:val="single" w:sz="4" w:space="0" w:color="FFFFFF" w:themeColor="background1"/>
            </w:tcBorders>
          </w:tcPr>
          <w:p w:rsidR="008F2A6A" w:rsidRPr="00452E2E" w:rsidRDefault="008F2A6A" w:rsidP="000200A3">
            <w:pPr>
              <w:rPr>
                <w:b/>
                <w:sz w:val="18"/>
                <w:szCs w:val="18"/>
              </w:rPr>
            </w:pPr>
            <w:r w:rsidRPr="00452E2E">
              <w:rPr>
                <w:b/>
                <w:sz w:val="18"/>
                <w:szCs w:val="18"/>
              </w:rPr>
              <w:t>Name</w:t>
            </w:r>
          </w:p>
        </w:tc>
        <w:tc>
          <w:tcPr>
            <w:tcW w:w="1745" w:type="dxa"/>
            <w:tcBorders>
              <w:top w:val="single" w:sz="12" w:space="0" w:color="auto"/>
              <w:left w:val="single" w:sz="4" w:space="0" w:color="FFFFFF" w:themeColor="background1"/>
              <w:bottom w:val="single" w:sz="4" w:space="0" w:color="auto"/>
              <w:right w:val="single" w:sz="4" w:space="0" w:color="FFFFFF" w:themeColor="background1"/>
            </w:tcBorders>
          </w:tcPr>
          <w:p w:rsidR="008F2A6A" w:rsidRPr="00452E2E" w:rsidRDefault="008F2A6A" w:rsidP="000200A3">
            <w:pPr>
              <w:rPr>
                <w:b/>
                <w:sz w:val="18"/>
                <w:szCs w:val="18"/>
              </w:rPr>
            </w:pPr>
            <w:r w:rsidRPr="00452E2E">
              <w:rPr>
                <w:b/>
                <w:sz w:val="18"/>
                <w:szCs w:val="18"/>
              </w:rPr>
              <w:t>Industry</w:t>
            </w:r>
          </w:p>
          <w:p w:rsidR="008F2A6A" w:rsidRPr="00452E2E" w:rsidRDefault="008F2A6A" w:rsidP="000200A3">
            <w:pPr>
              <w:rPr>
                <w:b/>
                <w:sz w:val="18"/>
                <w:szCs w:val="18"/>
              </w:rPr>
            </w:pPr>
            <w:r w:rsidRPr="00452E2E">
              <w:rPr>
                <w:b/>
                <w:sz w:val="18"/>
                <w:szCs w:val="18"/>
              </w:rPr>
              <w:t>(Banks/Hospitals)</w:t>
            </w:r>
          </w:p>
        </w:tc>
        <w:tc>
          <w:tcPr>
            <w:tcW w:w="1579" w:type="dxa"/>
            <w:tcBorders>
              <w:top w:val="single" w:sz="12" w:space="0" w:color="auto"/>
              <w:left w:val="single" w:sz="4" w:space="0" w:color="FFFFFF" w:themeColor="background1"/>
              <w:bottom w:val="single" w:sz="4" w:space="0" w:color="auto"/>
              <w:right w:val="single" w:sz="4" w:space="0" w:color="FFFFFF" w:themeColor="background1"/>
            </w:tcBorders>
          </w:tcPr>
          <w:p w:rsidR="008F2A6A" w:rsidRPr="00452E2E" w:rsidRDefault="008F2A6A" w:rsidP="000200A3">
            <w:pPr>
              <w:rPr>
                <w:b/>
                <w:sz w:val="18"/>
                <w:szCs w:val="18"/>
              </w:rPr>
            </w:pPr>
            <w:r w:rsidRPr="00452E2E">
              <w:rPr>
                <w:b/>
                <w:sz w:val="18"/>
                <w:szCs w:val="18"/>
              </w:rPr>
              <w:t>Sector</w:t>
            </w:r>
          </w:p>
          <w:p w:rsidR="008F2A6A" w:rsidRPr="00452E2E" w:rsidRDefault="008F2A6A" w:rsidP="000200A3">
            <w:pPr>
              <w:rPr>
                <w:b/>
                <w:sz w:val="18"/>
                <w:szCs w:val="18"/>
              </w:rPr>
            </w:pPr>
            <w:r w:rsidRPr="00452E2E">
              <w:rPr>
                <w:b/>
                <w:sz w:val="18"/>
                <w:szCs w:val="18"/>
              </w:rPr>
              <w:t>(Public/Private)</w:t>
            </w:r>
          </w:p>
        </w:tc>
        <w:tc>
          <w:tcPr>
            <w:tcW w:w="1347" w:type="dxa"/>
            <w:tcBorders>
              <w:top w:val="single" w:sz="12" w:space="0" w:color="auto"/>
              <w:left w:val="single" w:sz="4" w:space="0" w:color="FFFFFF" w:themeColor="background1"/>
              <w:right w:val="single" w:sz="4" w:space="0" w:color="FFFFFF" w:themeColor="background1"/>
            </w:tcBorders>
          </w:tcPr>
          <w:p w:rsidR="008F2A6A" w:rsidRPr="00452E2E" w:rsidRDefault="008F2A6A" w:rsidP="000200A3">
            <w:pPr>
              <w:rPr>
                <w:b/>
                <w:sz w:val="18"/>
                <w:szCs w:val="18"/>
              </w:rPr>
            </w:pPr>
            <w:r w:rsidRPr="00452E2E">
              <w:rPr>
                <w:b/>
                <w:sz w:val="18"/>
                <w:szCs w:val="18"/>
              </w:rPr>
              <w:t>Approx</w:t>
            </w:r>
            <w:r w:rsidR="00DE684E" w:rsidRPr="00452E2E">
              <w:rPr>
                <w:b/>
                <w:sz w:val="18"/>
                <w:szCs w:val="18"/>
              </w:rPr>
              <w:t>.</w:t>
            </w:r>
            <w:r w:rsidRPr="00452E2E">
              <w:rPr>
                <w:b/>
                <w:sz w:val="18"/>
                <w:szCs w:val="18"/>
              </w:rPr>
              <w:t xml:space="preserve"> Number of Employees</w:t>
            </w:r>
          </w:p>
        </w:tc>
        <w:tc>
          <w:tcPr>
            <w:tcW w:w="1416" w:type="dxa"/>
            <w:tcBorders>
              <w:top w:val="single" w:sz="12" w:space="0" w:color="auto"/>
              <w:left w:val="single" w:sz="4" w:space="0" w:color="FFFFFF" w:themeColor="background1"/>
              <w:right w:val="single" w:sz="4" w:space="0" w:color="FFFFFF" w:themeColor="background1"/>
            </w:tcBorders>
          </w:tcPr>
          <w:p w:rsidR="008F2A6A" w:rsidRPr="00452E2E" w:rsidRDefault="008F2A6A" w:rsidP="000200A3">
            <w:pPr>
              <w:rPr>
                <w:b/>
                <w:sz w:val="18"/>
                <w:szCs w:val="18"/>
              </w:rPr>
            </w:pPr>
            <w:r w:rsidRPr="00452E2E">
              <w:rPr>
                <w:b/>
                <w:sz w:val="18"/>
                <w:szCs w:val="18"/>
              </w:rPr>
              <w:t>Presence of Unionization</w:t>
            </w:r>
          </w:p>
        </w:tc>
      </w:tr>
      <w:tr w:rsidR="00452E2E" w:rsidRPr="00452E2E" w:rsidTr="0041590B">
        <w:tc>
          <w:tcPr>
            <w:tcW w:w="115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1</w:t>
            </w:r>
          </w:p>
        </w:tc>
        <w:tc>
          <w:tcPr>
            <w:tcW w:w="1176"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PRB1</w:t>
            </w:r>
          </w:p>
        </w:tc>
        <w:tc>
          <w:tcPr>
            <w:tcW w:w="1745"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Bank</w:t>
            </w:r>
          </w:p>
        </w:tc>
        <w:tc>
          <w:tcPr>
            <w:tcW w:w="1579"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Private</w:t>
            </w:r>
          </w:p>
        </w:tc>
        <w:tc>
          <w:tcPr>
            <w:tcW w:w="1347" w:type="dxa"/>
            <w:tcBorders>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2,061</w:t>
            </w:r>
          </w:p>
        </w:tc>
        <w:tc>
          <w:tcPr>
            <w:tcW w:w="1416" w:type="dxa"/>
            <w:tcBorders>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None</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PRB2</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Bank</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Private</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2,974</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None</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3</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PRB3</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Bank</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Private</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1,886</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None</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4</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PUB1</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Bank</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Public</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D1566B" w:rsidP="000200A3">
            <w:pPr>
              <w:rPr>
                <w:sz w:val="18"/>
                <w:szCs w:val="18"/>
              </w:rPr>
            </w:pPr>
            <w:r w:rsidRPr="00452E2E">
              <w:rPr>
                <w:sz w:val="18"/>
                <w:szCs w:val="18"/>
              </w:rPr>
              <w:t>1,107</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Yes</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5</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PUB2</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Bank</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Public</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210</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Yes</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6</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PUB3</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Bank</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Public</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6025CD" w:rsidP="000200A3">
            <w:pPr>
              <w:rPr>
                <w:sz w:val="18"/>
                <w:szCs w:val="18"/>
              </w:rPr>
            </w:pPr>
            <w:r w:rsidRPr="00452E2E">
              <w:rPr>
                <w:sz w:val="18"/>
                <w:szCs w:val="18"/>
              </w:rPr>
              <w:t>9</w:t>
            </w:r>
            <w:r w:rsidR="005A1C75" w:rsidRPr="00452E2E">
              <w:rPr>
                <w:sz w:val="18"/>
                <w:szCs w:val="18"/>
              </w:rPr>
              <w:t>14</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Yes</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7</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PRH1</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Hospital</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Private</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AA4E6A" w:rsidP="000200A3">
            <w:pPr>
              <w:rPr>
                <w:sz w:val="18"/>
                <w:szCs w:val="18"/>
              </w:rPr>
            </w:pPr>
            <w:r w:rsidRPr="00452E2E">
              <w:rPr>
                <w:sz w:val="18"/>
                <w:szCs w:val="18"/>
              </w:rPr>
              <w:t>24</w:t>
            </w:r>
            <w:r w:rsidR="008F2A6A" w:rsidRPr="00452E2E">
              <w:rPr>
                <w:sz w:val="18"/>
                <w:szCs w:val="18"/>
              </w:rPr>
              <w:t>2</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None</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8</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PRH2</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Hospital</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Private</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AA4E6A" w:rsidP="000200A3">
            <w:pPr>
              <w:rPr>
                <w:sz w:val="18"/>
                <w:szCs w:val="18"/>
              </w:rPr>
            </w:pPr>
            <w:r w:rsidRPr="00452E2E">
              <w:rPr>
                <w:sz w:val="18"/>
                <w:szCs w:val="18"/>
              </w:rPr>
              <w:t>3</w:t>
            </w:r>
            <w:r w:rsidR="008F2A6A" w:rsidRPr="00452E2E">
              <w:rPr>
                <w:sz w:val="18"/>
                <w:szCs w:val="18"/>
              </w:rPr>
              <w:t>05</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None</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9</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PRH3</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Hospital</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Private</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218</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None</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10</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PRH4</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Hospital</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Private</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AA4E6A" w:rsidP="000200A3">
            <w:pPr>
              <w:rPr>
                <w:sz w:val="18"/>
                <w:szCs w:val="18"/>
              </w:rPr>
            </w:pPr>
            <w:r w:rsidRPr="00452E2E">
              <w:rPr>
                <w:sz w:val="18"/>
                <w:szCs w:val="18"/>
              </w:rPr>
              <w:t>25</w:t>
            </w:r>
            <w:r w:rsidR="008F2A6A" w:rsidRPr="00452E2E">
              <w:rPr>
                <w:sz w:val="18"/>
                <w:szCs w:val="18"/>
              </w:rPr>
              <w:t>3</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None</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11</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PUH1</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Hospital</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Public</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A1158E" w:rsidP="000200A3">
            <w:pPr>
              <w:rPr>
                <w:sz w:val="18"/>
                <w:szCs w:val="18"/>
              </w:rPr>
            </w:pPr>
            <w:r w:rsidRPr="00452E2E">
              <w:rPr>
                <w:sz w:val="18"/>
                <w:szCs w:val="18"/>
              </w:rPr>
              <w:t>1,356</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Yes</w:t>
            </w:r>
          </w:p>
        </w:tc>
      </w:tr>
      <w:tr w:rsidR="00452E2E" w:rsidRPr="00452E2E" w:rsidTr="0041590B">
        <w:tc>
          <w:tcPr>
            <w:tcW w:w="11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12</w:t>
            </w:r>
          </w:p>
        </w:tc>
        <w:tc>
          <w:tcPr>
            <w:tcW w:w="11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PUH2</w:t>
            </w:r>
          </w:p>
        </w:tc>
        <w:tc>
          <w:tcPr>
            <w:tcW w:w="1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Hospital</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Public</w:t>
            </w:r>
          </w:p>
        </w:tc>
        <w:tc>
          <w:tcPr>
            <w:tcW w:w="13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A1158E" w:rsidP="000200A3">
            <w:pPr>
              <w:rPr>
                <w:sz w:val="18"/>
                <w:szCs w:val="18"/>
              </w:rPr>
            </w:pPr>
            <w:r w:rsidRPr="00452E2E">
              <w:rPr>
                <w:sz w:val="18"/>
                <w:szCs w:val="18"/>
              </w:rPr>
              <w:t>863</w:t>
            </w:r>
          </w:p>
        </w:tc>
        <w:tc>
          <w:tcPr>
            <w:tcW w:w="14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F2A6A" w:rsidRPr="00452E2E" w:rsidRDefault="008F2A6A" w:rsidP="000200A3">
            <w:pPr>
              <w:rPr>
                <w:sz w:val="18"/>
                <w:szCs w:val="18"/>
              </w:rPr>
            </w:pPr>
            <w:r w:rsidRPr="00452E2E">
              <w:rPr>
                <w:sz w:val="18"/>
                <w:szCs w:val="18"/>
              </w:rPr>
              <w:t>Yes</w:t>
            </w:r>
          </w:p>
        </w:tc>
      </w:tr>
      <w:tr w:rsidR="00452E2E" w:rsidRPr="00452E2E" w:rsidTr="0041590B">
        <w:tc>
          <w:tcPr>
            <w:tcW w:w="1151"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8F2A6A" w:rsidRPr="00452E2E" w:rsidRDefault="008F2A6A" w:rsidP="000200A3">
            <w:pPr>
              <w:rPr>
                <w:sz w:val="18"/>
                <w:szCs w:val="18"/>
              </w:rPr>
            </w:pPr>
            <w:r w:rsidRPr="00452E2E">
              <w:rPr>
                <w:sz w:val="18"/>
                <w:szCs w:val="18"/>
              </w:rPr>
              <w:t>13</w:t>
            </w:r>
          </w:p>
        </w:tc>
        <w:tc>
          <w:tcPr>
            <w:tcW w:w="117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8F2A6A" w:rsidRPr="00452E2E" w:rsidRDefault="008F2A6A" w:rsidP="000200A3">
            <w:pPr>
              <w:rPr>
                <w:sz w:val="18"/>
                <w:szCs w:val="18"/>
              </w:rPr>
            </w:pPr>
            <w:r w:rsidRPr="00452E2E">
              <w:rPr>
                <w:sz w:val="18"/>
                <w:szCs w:val="18"/>
              </w:rPr>
              <w:t>PUH3</w:t>
            </w:r>
          </w:p>
        </w:tc>
        <w:tc>
          <w:tcPr>
            <w:tcW w:w="174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8F2A6A" w:rsidRPr="00452E2E" w:rsidRDefault="008F2A6A" w:rsidP="000200A3">
            <w:pPr>
              <w:rPr>
                <w:sz w:val="18"/>
                <w:szCs w:val="18"/>
              </w:rPr>
            </w:pPr>
            <w:r w:rsidRPr="00452E2E">
              <w:rPr>
                <w:sz w:val="18"/>
                <w:szCs w:val="18"/>
              </w:rPr>
              <w:t>Hospital</w:t>
            </w:r>
          </w:p>
        </w:tc>
        <w:tc>
          <w:tcPr>
            <w:tcW w:w="1579"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8F2A6A" w:rsidRPr="00452E2E" w:rsidRDefault="008F2A6A" w:rsidP="000200A3">
            <w:pPr>
              <w:rPr>
                <w:sz w:val="18"/>
                <w:szCs w:val="18"/>
              </w:rPr>
            </w:pPr>
            <w:r w:rsidRPr="00452E2E">
              <w:rPr>
                <w:sz w:val="18"/>
                <w:szCs w:val="18"/>
              </w:rPr>
              <w:t>Public</w:t>
            </w:r>
          </w:p>
        </w:tc>
        <w:tc>
          <w:tcPr>
            <w:tcW w:w="1347"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8F2A6A" w:rsidRPr="00452E2E" w:rsidRDefault="00A1158E" w:rsidP="000200A3">
            <w:pPr>
              <w:rPr>
                <w:sz w:val="18"/>
                <w:szCs w:val="18"/>
              </w:rPr>
            </w:pPr>
            <w:r w:rsidRPr="00452E2E">
              <w:rPr>
                <w:sz w:val="18"/>
                <w:szCs w:val="18"/>
              </w:rPr>
              <w:t>1</w:t>
            </w:r>
            <w:r w:rsidR="00AA4E6A" w:rsidRPr="00452E2E">
              <w:rPr>
                <w:sz w:val="18"/>
                <w:szCs w:val="18"/>
              </w:rPr>
              <w:t>,</w:t>
            </w:r>
            <w:r w:rsidRPr="00452E2E">
              <w:rPr>
                <w:sz w:val="18"/>
                <w:szCs w:val="18"/>
              </w:rPr>
              <w:t>473</w:t>
            </w:r>
          </w:p>
        </w:tc>
        <w:tc>
          <w:tcPr>
            <w:tcW w:w="141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8F2A6A" w:rsidRPr="00452E2E" w:rsidRDefault="008F2A6A" w:rsidP="000200A3">
            <w:pPr>
              <w:rPr>
                <w:sz w:val="18"/>
                <w:szCs w:val="18"/>
              </w:rPr>
            </w:pPr>
            <w:r w:rsidRPr="00452E2E">
              <w:rPr>
                <w:sz w:val="18"/>
                <w:szCs w:val="18"/>
              </w:rPr>
              <w:t>Yes</w:t>
            </w:r>
          </w:p>
        </w:tc>
      </w:tr>
    </w:tbl>
    <w:p w:rsidR="008F2A6A" w:rsidRPr="00452E2E" w:rsidRDefault="00630607" w:rsidP="008F2A6A">
      <w:pPr>
        <w:rPr>
          <w:sz w:val="18"/>
          <w:szCs w:val="18"/>
        </w:rPr>
      </w:pPr>
      <w:r w:rsidRPr="00452E2E">
        <w:rPr>
          <w:sz w:val="18"/>
          <w:szCs w:val="18"/>
        </w:rPr>
        <w:t>Source: Based on information from</w:t>
      </w:r>
      <w:r w:rsidR="008F2A6A" w:rsidRPr="00452E2E">
        <w:rPr>
          <w:sz w:val="18"/>
          <w:szCs w:val="18"/>
        </w:rPr>
        <w:t xml:space="preserve"> HR managers</w:t>
      </w:r>
    </w:p>
    <w:p w:rsidR="008F2A6A" w:rsidRPr="00452E2E" w:rsidRDefault="008F2A6A" w:rsidP="00D03A8E">
      <w:pPr>
        <w:spacing w:line="360" w:lineRule="auto"/>
        <w:jc w:val="both"/>
      </w:pPr>
    </w:p>
    <w:p w:rsidR="00D03A8E" w:rsidRPr="00452E2E" w:rsidRDefault="00D03A8E" w:rsidP="00D03A8E">
      <w:pPr>
        <w:spacing w:line="360" w:lineRule="auto"/>
        <w:jc w:val="both"/>
      </w:pPr>
      <w:r w:rsidRPr="00452E2E">
        <w:t xml:space="preserve">The qualitative interviews were semi-structured which provided the researcher an initial template to follow in asking questions to the respondents but at the same time allowed the researcher the flexibility to ask follow-up questions on issues that arose in the course of the interview. At the same time, it allowed the respondents the freedom to digress to other issues they considered important whilst providing answers to the questions asked. The questions for the semi-structured interviews revolved around DiMaggio </w:t>
      </w:r>
      <w:r w:rsidR="00E45B9D" w:rsidRPr="00452E2E">
        <w:t>&amp;</w:t>
      </w:r>
      <w:r w:rsidRPr="00452E2E">
        <w:t xml:space="preserve"> Powell’s (1983) coercive, mimetic and normative institutional mechanisms and their influence on HRM </w:t>
      </w:r>
      <w:r w:rsidRPr="00452E2E">
        <w:lastRenderedPageBreak/>
        <w:t xml:space="preserve">(Paauwe &amp; Boselie, 2003). The aim was to find out if HRM in public and private sector organizations in Nigeria was influenced by similar isomorphic pressures and how organizations in these sectors responded to such pressures. Example of interview questions that were reflective of coercive, mimetic and normative institutional mechanisms respectively include: ‘how do labour laws influence HRM policies in your organization?’; ‘does your organization adopt HRM policies and practices because others in the industry have adopted same?’ and ‘does your organization insist on recruiting HRM personnel with specific educational background?’ (Boselie </w:t>
      </w:r>
      <w:r w:rsidRPr="00452E2E">
        <w:rPr>
          <w:i/>
        </w:rPr>
        <w:t>et al</w:t>
      </w:r>
      <w:r w:rsidRPr="00452E2E">
        <w:t xml:space="preserve">., 2003; Paauwe &amp; Boselie, 2007). </w:t>
      </w:r>
    </w:p>
    <w:p w:rsidR="00D03A8E" w:rsidRPr="00452E2E" w:rsidRDefault="00D03A8E" w:rsidP="00D03A8E">
      <w:pPr>
        <w:spacing w:line="360" w:lineRule="auto"/>
        <w:jc w:val="both"/>
      </w:pPr>
      <w:r w:rsidRPr="00452E2E">
        <w:t xml:space="preserve">These interviews were conducted by the researcher mainly on a face-to-face basis with the HR managers in their work environments. However, where it was not possible to use the face-to-face approach due to logistical reasons, the telephone method was used for conducting some of the interviews. </w:t>
      </w:r>
      <w:r w:rsidR="00E76567" w:rsidRPr="00452E2E">
        <w:t xml:space="preserve">Thus, </w:t>
      </w:r>
      <w:r w:rsidR="0022214D" w:rsidRPr="00452E2E">
        <w:t xml:space="preserve">out of the 13 semi-structured interviews conducted, </w:t>
      </w:r>
      <w:r w:rsidR="00E76567" w:rsidRPr="00452E2E">
        <w:t>9 interviews were conducted via</w:t>
      </w:r>
      <w:r w:rsidR="00737A37" w:rsidRPr="00452E2E">
        <w:t xml:space="preserve"> the</w:t>
      </w:r>
      <w:r w:rsidR="00E76567" w:rsidRPr="00452E2E">
        <w:t xml:space="preserve"> face-to-face method whilst the telephone method was used to conduct </w:t>
      </w:r>
      <w:r w:rsidR="00AD6C8F" w:rsidRPr="00452E2E">
        <w:t xml:space="preserve">the remaining </w:t>
      </w:r>
      <w:r w:rsidR="00E76567" w:rsidRPr="00452E2E">
        <w:t xml:space="preserve">4 interviews. </w:t>
      </w:r>
      <w:r w:rsidRPr="00452E2E">
        <w:t>Nevertheless, the responses to the interviews conducted face-to-face were compared with those conducted via telephone and there was no indication to suggest that the interview method influenced the responses. Thus, the advantages of using both methods were harnessed in this research. Finally, the time for each interview was between 45 minutes to 1 hour. Of course, this time was enough in each case to tap the views of interviewees on the issues of interest in the research.</w:t>
      </w:r>
    </w:p>
    <w:p w:rsidR="00D03A8E" w:rsidRPr="00452E2E" w:rsidRDefault="00D03A8E" w:rsidP="00D03A8E">
      <w:pPr>
        <w:pStyle w:val="Heading4"/>
      </w:pPr>
      <w:bookmarkStart w:id="94" w:name="_Toc473808148"/>
      <w:r w:rsidRPr="00452E2E">
        <w:t>4.4.4 Data Analysis for Study 1</w:t>
      </w:r>
      <w:bookmarkEnd w:id="94"/>
    </w:p>
    <w:p w:rsidR="00D03A8E" w:rsidRPr="00452E2E" w:rsidRDefault="00D03A8E" w:rsidP="00D03A8E">
      <w:pPr>
        <w:spacing w:line="360" w:lineRule="auto"/>
        <w:jc w:val="both"/>
      </w:pPr>
      <w:r w:rsidRPr="00452E2E">
        <w:t>Due to the objectives of the study and the nature of the data collected for the study, the data analysis was divided into quantitative data analysis and qualitative data analysis</w:t>
      </w:r>
      <w:r w:rsidR="00DA41C3" w:rsidRPr="00452E2E">
        <w:t xml:space="preserve"> (see the next chapter for details)</w:t>
      </w:r>
      <w:r w:rsidRPr="00452E2E">
        <w:t xml:space="preserve">. Whilst the quantitative aspect dealt with analysing whether there were differences in the influence of institutions on HRM in </w:t>
      </w:r>
      <w:r w:rsidR="00F20108" w:rsidRPr="00452E2E">
        <w:t xml:space="preserve">the </w:t>
      </w:r>
      <w:r w:rsidRPr="00452E2E">
        <w:t xml:space="preserve">public and private sector and whether there were differences in the specific techniques of HR practices used in </w:t>
      </w:r>
      <w:r w:rsidR="00F646D4" w:rsidRPr="00452E2E">
        <w:t xml:space="preserve">the </w:t>
      </w:r>
      <w:r w:rsidRPr="00452E2E">
        <w:t>public and private sector, the qualitative bit dealt with gaining a deeper understanding of how institutions influence HRM in public and private sector. Details of the methods of data analysis are presented below.</w:t>
      </w:r>
    </w:p>
    <w:p w:rsidR="00D03A8E" w:rsidRPr="00452E2E" w:rsidRDefault="00D03A8E" w:rsidP="00D03A8E">
      <w:pPr>
        <w:pStyle w:val="Heading5"/>
      </w:pPr>
      <w:bookmarkStart w:id="95" w:name="_Toc473808149"/>
      <w:r w:rsidRPr="00452E2E">
        <w:lastRenderedPageBreak/>
        <w:t>4.4.4.1 Quantitative Data Analysis for Study 1</w:t>
      </w:r>
      <w:bookmarkEnd w:id="95"/>
    </w:p>
    <w:p w:rsidR="00D03A8E" w:rsidRPr="00452E2E" w:rsidRDefault="00D03A8E" w:rsidP="00D03A8E">
      <w:pPr>
        <w:spacing w:line="360" w:lineRule="auto"/>
        <w:jc w:val="both"/>
      </w:pPr>
      <w:r w:rsidRPr="00452E2E">
        <w:t xml:space="preserve">In order to examine the influence of institutions on HRM in public and private sector, the analysis of covariance (ANCOVA) was used. This method of analysis is appropriate when the aim is to test for differences between two or more groups when the dependent variable is a continuous variable </w:t>
      </w:r>
      <w:r w:rsidRPr="00452E2E">
        <w:fldChar w:fldCharType="begin" w:fldLock="1"/>
      </w:r>
      <w:r w:rsidRPr="00452E2E">
        <w:instrText>ADDIN CSL_CITATION { "citationItems" : [ { "id" : "ITEM-1", "itemData" : { "author" : [ { "dropping-particle" : "", "family" : "Dawson", "given" : "Jeremy", "non-dropping-particle" : "", "parse-names" : false, "suffix" : "" } ], "id" : "ITEM-1", "issued" : { "date-parts" : [ [ "2016" ] ] }, "publisher" : "SAGE", "publisher-place" : "London", "title" : "Analysing quantitative survey data for business and management students", "type" : "book" }, "uris" : [ "http://www.mendeley.com/documents/?uuid=3997b67d-6377-402f-89ef-9ec0e010082b" ] } ], "mendeley" : { "formattedCitation" : "(Dawson 2016)", "manualFormatting" : "(Dawson, 2016)", "plainTextFormattedCitation" : "(Dawson 2016)", "previouslyFormattedCitation" : "(Dawson 2016)" }, "properties" : { "noteIndex" : 0 }, "schema" : "https://github.com/citation-style-language/schema/raw/master/csl-citation.json" }</w:instrText>
      </w:r>
      <w:r w:rsidRPr="00452E2E">
        <w:fldChar w:fldCharType="separate"/>
      </w:r>
      <w:r w:rsidRPr="00452E2E">
        <w:rPr>
          <w:noProof/>
        </w:rPr>
        <w:t>(Dawson, 2016)</w:t>
      </w:r>
      <w:r w:rsidRPr="00452E2E">
        <w:fldChar w:fldCharType="end"/>
      </w:r>
      <w:r w:rsidRPr="00452E2E">
        <w:t xml:space="preserve">. In this study, the dependent variables (institutional variables) were measured on a 5-point Likert scale whilst sector, industry and size were categorical variables and the aim was to test for differences in the influence of institutions on HRM in </w:t>
      </w:r>
      <w:r w:rsidR="005C7E1D" w:rsidRPr="00452E2E">
        <w:t>the public and private sector. Therefore,</w:t>
      </w:r>
      <w:r w:rsidRPr="00452E2E">
        <w:t xml:space="preserve"> ANCOVA was considered appropriate.</w:t>
      </w:r>
    </w:p>
    <w:p w:rsidR="00A4249D" w:rsidRPr="00452E2E" w:rsidRDefault="00D03A8E" w:rsidP="00D03A8E">
      <w:pPr>
        <w:spacing w:line="360" w:lineRule="auto"/>
        <w:jc w:val="both"/>
      </w:pPr>
      <w:r w:rsidRPr="00452E2E">
        <w:t xml:space="preserve">To examine the specific techniques of HRM used in public and private sector organizations, the analysis procedure used by Wood </w:t>
      </w:r>
      <w:r w:rsidRPr="00452E2E">
        <w:rPr>
          <w:i/>
        </w:rPr>
        <w:t>et al</w:t>
      </w:r>
      <w:r w:rsidR="007366FA" w:rsidRPr="00452E2E">
        <w:rPr>
          <w:i/>
        </w:rPr>
        <w:t>.</w:t>
      </w:r>
      <w:r w:rsidRPr="00452E2E">
        <w:t xml:space="preserve"> (2011) in their Mozambican study was adopted for this research. This involved the use of descriptive statistics to examine the specific techniques used in each domain of HRM across the whole sample and within each industry and sector. Quantitative content analysis </w:t>
      </w:r>
      <w:r w:rsidRPr="00452E2E">
        <w:fldChar w:fldCharType="begin" w:fldLock="1"/>
      </w:r>
      <w:r w:rsidRPr="00452E2E">
        <w:instrText>ADDIN CSL_CITATION { "citationItems" : [ { "id" : "ITEM-1", "itemData" : { "author" : [ { "dropping-particle" : "", "family" : "Krippendorff", "given" : "Klaus", "non-dropping-particle" : "", "parse-names" : false, "suffix" : "" } ], "edition" : "2nd", "id" : "ITEM-1", "issued" : { "date-parts" : [ [ "2004" ] ] }, "publisher" : "SAGE", "publisher-place" : "Thousand Oaks", "title" : "Content analysis: an introduction to its methodology", "type" : "book" }, "uris" : [ "http://www.mendeley.com/documents/?uuid=ac282ef0-afde-40c5-aedf-e5db2a9fa96d" ] } ], "mendeley" : { "formattedCitation" : "(Krippendorff 2004)", "manualFormatting" : "(Krippendorff, 2004)", "plainTextFormattedCitation" : "(Krippendorff 2004)", "previouslyFormattedCitation" : "(Krippendorff 2004)" }, "properties" : { "noteIndex" : 0 }, "schema" : "https://github.com/citation-style-language/schema/raw/master/csl-citation.json" }</w:instrText>
      </w:r>
      <w:r w:rsidRPr="00452E2E">
        <w:fldChar w:fldCharType="separate"/>
      </w:r>
      <w:r w:rsidRPr="00452E2E">
        <w:rPr>
          <w:noProof/>
        </w:rPr>
        <w:t>(Krippendorff, 2004)</w:t>
      </w:r>
      <w:r w:rsidRPr="00452E2E">
        <w:fldChar w:fldCharType="end"/>
      </w:r>
      <w:r w:rsidRPr="00452E2E">
        <w:t xml:space="preserve"> was used for analysing the open-ended responses on the techniques of HRM used. Meanwhile, logistic regression was used to examine the effect of industry, sector and size on each technique of HRM. </w:t>
      </w:r>
    </w:p>
    <w:p w:rsidR="00D03A8E" w:rsidRPr="00452E2E" w:rsidRDefault="00D03A8E" w:rsidP="00D03A8E">
      <w:pPr>
        <w:spacing w:line="360" w:lineRule="auto"/>
        <w:jc w:val="both"/>
      </w:pPr>
      <w:r w:rsidRPr="00452E2E">
        <w:t xml:space="preserve">Logistic regression was found appropriate as a method of analysis since it is used for testing for differences between two or more groups when the dependent variable is a binary variable </w:t>
      </w:r>
      <w:r w:rsidRPr="00452E2E">
        <w:fldChar w:fldCharType="begin" w:fldLock="1"/>
      </w:r>
      <w:r w:rsidRPr="00452E2E">
        <w:instrText>ADDIN CSL_CITATION { "citationItems" : [ { "id" : "ITEM-1", "itemData" : { "author" : [ { "dropping-particle" : "", "family" : "Dawson", "given" : "Jeremy", "non-dropping-particle" : "", "parse-names" : false, "suffix" : "" } ], "id" : "ITEM-1", "issued" : { "date-parts" : [ [ "2016" ] ] }, "publisher" : "SAGE", "publisher-place" : "London", "title" : "Analysing quantitative survey data for business and management students", "type" : "book" }, "uris" : [ "http://www.mendeley.com/documents/?uuid=3997b67d-6377-402f-89ef-9ec0e010082b" ] } ], "mendeley" : { "formattedCitation" : "(Dawson 2016)", "manualFormatting" : "(Dawson, 2016)", "plainTextFormattedCitation" : "(Dawson 2016)", "previouslyFormattedCitation" : "(Dawson 2016)" }, "properties" : { "noteIndex" : 0 }, "schema" : "https://github.com/citation-style-language/schema/raw/master/csl-citation.json" }</w:instrText>
      </w:r>
      <w:r w:rsidRPr="00452E2E">
        <w:fldChar w:fldCharType="separate"/>
      </w:r>
      <w:r w:rsidRPr="00452E2E">
        <w:rPr>
          <w:noProof/>
        </w:rPr>
        <w:t>(Dawson, 2016)</w:t>
      </w:r>
      <w:r w:rsidRPr="00452E2E">
        <w:fldChar w:fldCharType="end"/>
      </w:r>
      <w:r w:rsidRPr="00452E2E">
        <w:t xml:space="preserve">. In this study, since responses to the questions on the specific techniques of HRM were based on ‘Yes’ or ‘No’ options, and the aim was to test for differences in the use of HRM techniques between </w:t>
      </w:r>
      <w:r w:rsidR="00DB3E4F" w:rsidRPr="00452E2E">
        <w:t xml:space="preserve">the </w:t>
      </w:r>
      <w:r w:rsidRPr="00452E2E">
        <w:t xml:space="preserve">public and private sector, logistic regression was considered appropriate as a method of data analysis. Meanwhile, following the example in Wood </w:t>
      </w:r>
      <w:r w:rsidRPr="00452E2E">
        <w:rPr>
          <w:i/>
        </w:rPr>
        <w:t>et al</w:t>
      </w:r>
      <w:r w:rsidRPr="00452E2E">
        <w:t>. (2011), only valid responses were included in the data analysis, meaning that missing data and ‘Don’t Know’ responses were excluded.</w:t>
      </w:r>
      <w:r w:rsidR="00A23FEB" w:rsidRPr="00452E2E">
        <w:t xml:space="preserve"> Details of quantitative data analysis for </w:t>
      </w:r>
      <w:r w:rsidR="00A23FEB" w:rsidRPr="00452E2E">
        <w:rPr>
          <w:i/>
        </w:rPr>
        <w:t>study 1</w:t>
      </w:r>
      <w:r w:rsidR="00A23FEB" w:rsidRPr="00452E2E">
        <w:t xml:space="preserve"> are provided in chapter 5.</w:t>
      </w:r>
    </w:p>
    <w:p w:rsidR="00D03A8E" w:rsidRPr="00452E2E" w:rsidRDefault="00D03A8E" w:rsidP="00D03A8E">
      <w:pPr>
        <w:pStyle w:val="Heading5"/>
      </w:pPr>
      <w:bookmarkStart w:id="96" w:name="_Toc473808150"/>
      <w:r w:rsidRPr="00452E2E">
        <w:t>4.4.4.2 Qualitative Data Analysis for Study 1</w:t>
      </w:r>
      <w:bookmarkEnd w:id="96"/>
    </w:p>
    <w:p w:rsidR="00D03A8E" w:rsidRPr="00452E2E" w:rsidRDefault="00D03A8E" w:rsidP="00D03A8E">
      <w:pPr>
        <w:spacing w:line="360" w:lineRule="auto"/>
        <w:jc w:val="both"/>
      </w:pPr>
      <w:r w:rsidRPr="00452E2E">
        <w:t xml:space="preserve">The method of data analysis used for analysing qualitative data for </w:t>
      </w:r>
      <w:r w:rsidRPr="00452E2E">
        <w:rPr>
          <w:i/>
        </w:rPr>
        <w:t xml:space="preserve">study 1 </w:t>
      </w:r>
      <w:r w:rsidRPr="00452E2E">
        <w:t xml:space="preserve">in this research was thematic analysis. This method of qualitative data analysis entails identifying, examining and recording patterns from the data that describe the issues that are important in answering the research question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"id" : "ITEM-2", "itemData" : { "author" : [ { "dropping-particle" : "", "family" : "Bryman", "given" : "A", "non-dropping-particle" : "", "parse-names" : false, "suffix" : "" }, { "dropping-particle" : "", "family" : "Bell", "given" : "E", "non-dropping-particle" : "", "parse-names" : false, "suffix" : "" } ], "edition" : "3rd", "id" : "ITEM-2", "issued" : { "date-parts" : [ [ "2011" ] ] }, "publisher" : "Oxford University Press", "publisher-place" : "Oxford", "title" : "Business research methods", "type" : "book" }, "uris" : [ "http://www.mendeley.com/documents/?uuid=4cae4e90-dc5a-4453-b76d-3ba238dca132" ] } ], "mendeley" : { "formattedCitation" : "(Braun &amp; Clarke 2006; Bryman &amp; Bell 2011)", "manualFormatting" : "(Braun &amp; Clarke, 2006; Bryman &amp; Bell, 2011)", "plainTextFormattedCitation" : "(Braun &amp; Clarke 2006; Bryman &amp; Bell 2011)", "previouslyFormattedCitation" : "(Braun &amp; Clarke 2006; Bryman &amp; Bell 2011)" }, "properties" : { "noteIndex" : 0 }, "schema" : "https://github.com/citation-style-language/schema/raw/master/csl-citation.json" }</w:instrText>
      </w:r>
      <w:r w:rsidRPr="00452E2E">
        <w:fldChar w:fldCharType="separate"/>
      </w:r>
      <w:r w:rsidRPr="00452E2E">
        <w:rPr>
          <w:noProof/>
        </w:rPr>
        <w:t xml:space="preserve">(Braun &amp; Clarke, </w:t>
      </w:r>
      <w:r w:rsidRPr="00452E2E">
        <w:rPr>
          <w:noProof/>
        </w:rPr>
        <w:lastRenderedPageBreak/>
        <w:t>2006; Bryman &amp; Bell, 2011)</w:t>
      </w:r>
      <w:r w:rsidRPr="00452E2E">
        <w:fldChar w:fldCharType="end"/>
      </w:r>
      <w:r w:rsidRPr="00452E2E">
        <w:t xml:space="preserve">. The method provides the foundation for much of qualitative data analysis and helps in presenting findings from qualitative research in a simplified manner </w:t>
      </w:r>
      <w:r w:rsidRPr="00452E2E">
        <w:fldChar w:fldCharType="begin" w:fldLock="1"/>
      </w:r>
      <w:r w:rsidRPr="00452E2E">
        <w:instrText>ADDIN CSL_CITATION { "citationItems" : [ { "id" : "ITEM-1", "itemData" : { "author" : [ { "dropping-particle" : "", "family" : "Miles", "given" : "M.B", "non-dropping-particle" : "", "parse-names" : false, "suffix" : "" }, { "dropping-particle" : "", "family" : "Huberman", "given" : "M.A", "non-dropping-particle" : "", "parse-names" : false, "suffix" : "" } ], "id" : "ITEM-1", "issued" : { "date-parts" : [ [ "1994" ] ] }, "publisher" : "SAGE", "publisher-place" : "Thousand Oaks, CA", "title" : "Qualitative data analysis", "type" : "book" }, "uris" : [ "http://www.mendeley.com/documents/?uuid=3260afd6-3a6f-4646-b504-6cf424d79481" ] } ], "mendeley" : { "formattedCitation" : "(Miles &amp; Huberman 1994)", "manualFormatting" : "(Miles &amp; Huberman, 1994)", "plainTextFormattedCitation" : "(Miles &amp; Huberman 1994)", "previouslyFormattedCitation" : "(Miles &amp; Huberman 1994)" }, "properties" : { "noteIndex" : 0 }, "schema" : "https://github.com/citation-style-language/schema/raw/master/csl-citation.json" }</w:instrText>
      </w:r>
      <w:r w:rsidRPr="00452E2E">
        <w:fldChar w:fldCharType="separate"/>
      </w:r>
      <w:r w:rsidRPr="00452E2E">
        <w:rPr>
          <w:noProof/>
        </w:rPr>
        <w:t>(Miles &amp; Huberman, 1994)</w:t>
      </w:r>
      <w:r w:rsidRPr="00452E2E">
        <w:fldChar w:fldCharType="end"/>
      </w:r>
      <w:r w:rsidRPr="00452E2E">
        <w:t xml:space="preserve">. It is a transparent procedure of qualitative data analysis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xml:space="preserve"> that is amenable to the use of computer software in qualitative data analysis. In this research, the six-stage procedure for conducting thematic analysis proposed by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xml:space="preserve"> was used. This procedure is described below.</w:t>
      </w:r>
    </w:p>
    <w:p w:rsidR="00D03A8E" w:rsidRPr="00452E2E" w:rsidRDefault="00D03A8E" w:rsidP="00D03A8E">
      <w:pPr>
        <w:pStyle w:val="ListParagraph"/>
        <w:numPr>
          <w:ilvl w:val="0"/>
          <w:numId w:val="9"/>
        </w:numPr>
        <w:spacing w:line="360" w:lineRule="auto"/>
        <w:ind w:left="0" w:firstLine="0"/>
        <w:jc w:val="both"/>
      </w:pPr>
      <w:r w:rsidRPr="00452E2E">
        <w:rPr>
          <w:b/>
        </w:rPr>
        <w:t>Familiarization with the data:</w:t>
      </w:r>
      <w:r w:rsidRPr="00452E2E">
        <w:t xml:space="preserve"> This is the first stage of thematic analysis and requires the researcher to be acquainted with the data they are analysing. The stage involves taking note of the salient issues in the data in order to identify patterns that are likely to emerge from the data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xml:space="preserve">. Since the interviews were personally conducted by the researcher, it enabled the researcher </w:t>
      </w:r>
      <w:r w:rsidR="005356EE" w:rsidRPr="00452E2E">
        <w:t xml:space="preserve">to </w:t>
      </w:r>
      <w:r w:rsidRPr="00452E2E">
        <w:t xml:space="preserve">gain initial knowledge of the data.  Additionally, through the process of transcription, the researcher took note of the patterns that emerged from the data and was followed by another phase where the researcher read the transcripts severally and became immersed with the data. </w:t>
      </w:r>
    </w:p>
    <w:p w:rsidR="00D03A8E" w:rsidRPr="00452E2E" w:rsidRDefault="00D03A8E" w:rsidP="00D03A8E">
      <w:pPr>
        <w:spacing w:line="360" w:lineRule="auto"/>
        <w:jc w:val="both"/>
      </w:pPr>
    </w:p>
    <w:p w:rsidR="00D03A8E" w:rsidRPr="00452E2E" w:rsidRDefault="00D03A8E" w:rsidP="00D03A8E">
      <w:pPr>
        <w:pStyle w:val="ListParagraph"/>
        <w:numPr>
          <w:ilvl w:val="0"/>
          <w:numId w:val="9"/>
        </w:numPr>
        <w:spacing w:line="360" w:lineRule="auto"/>
        <w:ind w:left="0" w:firstLine="0"/>
        <w:jc w:val="both"/>
      </w:pPr>
      <w:r w:rsidRPr="00452E2E">
        <w:rPr>
          <w:b/>
        </w:rPr>
        <w:t>Generation of codes:</w:t>
      </w:r>
      <w:r w:rsidRPr="00452E2E">
        <w:t xml:space="preserve"> After familiarizing with the data and identifying interesting areas from the data, the next stage was to generate codes in order to enhance data reduction </w:t>
      </w:r>
      <w:r w:rsidRPr="00452E2E">
        <w:fldChar w:fldCharType="begin" w:fldLock="1"/>
      </w:r>
      <w:r w:rsidRPr="00452E2E">
        <w:instrText>ADDIN CSL_CITATION { "citationItems" : [ { "id" : "ITEM-1", "itemData" : { "author" : [ { "dropping-particle" : "", "family" : "Miles", "given" : "M.B", "non-dropping-particle" : "", "parse-names" : false, "suffix" : "" }, { "dropping-particle" : "", "family" : "Huberman", "given" : "M.A", "non-dropping-particle" : "", "parse-names" : false, "suffix" : "" } ], "id" : "ITEM-1", "issued" : { "date-parts" : [ [ "1994" ] ] }, "publisher" : "SAGE", "publisher-place" : "Thousand Oaks, CA", "title" : "Qualitative data analysis", "type" : "book" }, "uris" : [ "http://www.mendeley.com/documents/?uuid=3260afd6-3a6f-4646-b504-6cf424d79481" ] }, { "id" : "ITEM-2",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"ITEM-2", "issue" : "2", "issued" : { "date-parts" : [ [ "2006" ] ] }, "page" : "77-101", "title" : "Using thematic analysis in psychology", "type" : "article-journal", "volume" : "3" }, "uris" : [ "http://www.mendeley.com/documents/?uuid=512cfd77-7228-40c1-b0ab-5520770de0bc" ] } ], "mendeley" : { "formattedCitation" : "(Miles &amp; Huberman 1994; Braun &amp; Clarke 2006)", "manualFormatting" : "(Miles &amp; Huberman, 1994; Braun &amp; Clarke, 2006)", "plainTextFormattedCitation" : "(Miles &amp; Huberman 1994; Braun &amp; Clarke 2006)", "previouslyFormattedCitation" : "(Miles &amp; Huberman 1994; Braun &amp; Clarke 2006)" }, "properties" : { "noteIndex" : 0 }, "schema" : "https://github.com/citation-style-language/schema/raw/master/csl-citation.json" }</w:instrText>
      </w:r>
      <w:r w:rsidRPr="00452E2E">
        <w:fldChar w:fldCharType="separate"/>
      </w:r>
      <w:r w:rsidRPr="00452E2E">
        <w:rPr>
          <w:noProof/>
        </w:rPr>
        <w:t>(Miles &amp; Huberman, 1994; Braun &amp; Clarke, 2006)</w:t>
      </w:r>
      <w:r w:rsidRPr="00452E2E">
        <w:fldChar w:fldCharType="end"/>
      </w:r>
      <w:r w:rsidRPr="00452E2E">
        <w:t xml:space="preserve">. This process can be done manually via colour coding or through the use of software in order to highlight patterns in the data. The latter approach was adopted for this study whereby the transcribed data was uploaded onto Nvivo 11 software in order to aid data analysis. Through open coding </w:t>
      </w:r>
      <w:r w:rsidRPr="00452E2E">
        <w:fldChar w:fldCharType="begin" w:fldLock="1"/>
      </w:r>
      <w:r w:rsidRPr="00452E2E">
        <w:instrText>ADDIN CSL_CITATION { "citationItems" : [ { "id" : "ITEM-1", "itemData" : { "author" : [ { "dropping-particle" : "", "family" : "Corbin", "given" : "J", "non-dropping-particle" : "", "parse-names" : false, "suffix" : "" }, { "dropping-particle" : "", "family" : "Strauss", "given" : "A", "non-dropping-particle" : "", "parse-names" : false, "suffix" : "" } ], "id" : "ITEM-1", "issued" : { "date-parts" : [ [ "2006" ] ] }, "publisher" : "SAGE", "publisher-place" : "Thousand Oaks, CA", "title" : "Basics of qualitative: Techniques and procedures for developing grounded theory", "type" : "book" }, "uris" : [ "http://www.mendeley.com/documents/?uuid=64cfa48f-117b-4e6f-8ad0-98486d17d130" ] } ], "mendeley" : { "formattedCitation" : "(Corbin &amp; Strauss 2006)", "manualFormatting" : "(Corbin &amp; Strauss, 2006)", "plainTextFormattedCitation" : "(Corbin &amp; Strauss 2006)", "previouslyFormattedCitation" : "(Corbin &amp; Strauss 2006)" }, "properties" : { "noteIndex" : 0 }, "schema" : "https://github.com/citation-style-language/schema/raw/master/csl-citation.json" }</w:instrText>
      </w:r>
      <w:r w:rsidRPr="00452E2E">
        <w:fldChar w:fldCharType="separate"/>
      </w:r>
      <w:r w:rsidRPr="00452E2E">
        <w:rPr>
          <w:noProof/>
        </w:rPr>
        <w:t>(Corbin &amp; Strauss, 2006)</w:t>
      </w:r>
      <w:r w:rsidRPr="00452E2E">
        <w:fldChar w:fldCharType="end"/>
      </w:r>
      <w:r w:rsidRPr="00452E2E">
        <w:t>, the researcher searched for and coded concepts that reflect</w:t>
      </w:r>
      <w:r w:rsidR="00A135B8" w:rsidRPr="00452E2E">
        <w:t>ed</w:t>
      </w:r>
      <w:r w:rsidRPr="00452E2E">
        <w:t xml:space="preserve"> the phenomena under investigation whilst axial coding </w:t>
      </w:r>
      <w:r w:rsidRPr="00452E2E">
        <w:fldChar w:fldCharType="begin" w:fldLock="1"/>
      </w:r>
      <w:r w:rsidRPr="00452E2E">
        <w:instrText>ADDIN CSL_CITATION { "citationItems" : [ { "id" : "ITEM-1", "itemData" : { "author" : [ { "dropping-particle" : "", "family" : "Corbin", "given" : "J", "non-dropping-particle" : "", "parse-names" : false, "suffix" : "" }, { "dropping-particle" : "", "family" : "Strauss", "given" : "A", "non-dropping-particle" : "", "parse-names" : false, "suffix" : "" } ], "id" : "ITEM-1", "issued" : { "date-parts" : [ [ "2006" ] ] }, "publisher" : "SAGE", "publisher-place" : "Thousand Oaks, CA", "title" : "Basics of qualitative: Techniques and procedures for developing grounded theory", "type" : "book" }, "uris" : [ "http://www.mendeley.com/documents/?uuid=64cfa48f-117b-4e6f-8ad0-98486d17d130" ] } ], "mendeley" : { "formattedCitation" : "(Corbin &amp; Strauss 2006)", "manualFormatting" : "(Corbin &amp; Strauss, 2006)", "plainTextFormattedCitation" : "(Corbin &amp; Strauss 2006)", "previouslyFormattedCitation" : "(Corbin &amp; Strauss 2006)" }, "properties" : { "noteIndex" : 0 }, "schema" : "https://github.com/citation-style-language/schema/raw/master/csl-citation.json" }</w:instrText>
      </w:r>
      <w:r w:rsidRPr="00452E2E">
        <w:fldChar w:fldCharType="separate"/>
      </w:r>
      <w:r w:rsidRPr="00452E2E">
        <w:rPr>
          <w:noProof/>
        </w:rPr>
        <w:t>(Corbin &amp; Strauss, 2006)</w:t>
      </w:r>
      <w:r w:rsidRPr="00452E2E">
        <w:fldChar w:fldCharType="end"/>
      </w:r>
      <w:r w:rsidRPr="00452E2E">
        <w:t xml:space="preserve"> enabled the researcher to establish some linkages among the initial codes. Indeed, the process of coding was guided by sensitizing concepts derived from the literature as an initial point of departure</w:t>
      </w:r>
      <w:r w:rsidR="00A135B8" w:rsidRPr="00452E2E">
        <w:t xml:space="preserve">, </w:t>
      </w:r>
      <w:r w:rsidRPr="00452E2E">
        <w:t xml:space="preserve">suggesting that the knowledge of a priori theory provided the researcher </w:t>
      </w:r>
      <w:r w:rsidR="00D02D91" w:rsidRPr="00452E2E">
        <w:t xml:space="preserve">with </w:t>
      </w:r>
      <w:r w:rsidRPr="00452E2E">
        <w:t xml:space="preserve">the direction in which to look </w:t>
      </w:r>
      <w:r w:rsidRPr="00452E2E">
        <w:fldChar w:fldCharType="begin" w:fldLock="1"/>
      </w:r>
      <w:r w:rsidRPr="00452E2E">
        <w:instrText>ADDIN CSL_CITATION { "citationItems" : [ { "id" : "ITEM-1",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"ITEM-1", "issue" : "4", "issued" : { "date-parts" : [ [ "2015" ] ] }, "page" : "760-776", "title" : "Inductive praxis and management research: towards a reflexive framework", "type" : "article-journal", "volume" : "26" }, "uris" : [ "http://www.mendeley.com/documents/?uuid=f9176601-aa58-4266-aecd-97878aa30f90" ] } ], "mendeley" : { "formattedCitation" : "(Johnson &amp; Duberley 2015)", "manualFormatting" : "(Johnson &amp; Duberley, 2015)", "plainTextFormattedCitation" : "(Johnson &amp; Duberley 2015)", "previouslyFormattedCitation" : "(Johnson &amp; Duberley 2015)" }, "properties" : { "noteIndex" : 0 }, "schema" : "https://github.com/citation-style-language/schema/raw/master/csl-citation.json" }</w:instrText>
      </w:r>
      <w:r w:rsidRPr="00452E2E">
        <w:fldChar w:fldCharType="separate"/>
      </w:r>
      <w:r w:rsidRPr="00452E2E">
        <w:rPr>
          <w:noProof/>
        </w:rPr>
        <w:t>(Johnson &amp; Duberley, 2015)</w:t>
      </w:r>
      <w:r w:rsidRPr="00452E2E">
        <w:fldChar w:fldCharType="end"/>
      </w:r>
      <w:r w:rsidRPr="00452E2E">
        <w:t>.</w:t>
      </w:r>
    </w:p>
    <w:p w:rsidR="00A2662B" w:rsidRPr="00452E2E" w:rsidRDefault="00A2662B" w:rsidP="00A2662B">
      <w:pPr>
        <w:pStyle w:val="ListParagraph"/>
        <w:spacing w:line="360" w:lineRule="auto"/>
        <w:ind w:left="0"/>
        <w:jc w:val="both"/>
      </w:pPr>
    </w:p>
    <w:p w:rsidR="00D03A8E" w:rsidRPr="00452E2E" w:rsidRDefault="00D03A8E" w:rsidP="00D03A8E">
      <w:pPr>
        <w:pStyle w:val="ListParagraph"/>
        <w:numPr>
          <w:ilvl w:val="0"/>
          <w:numId w:val="9"/>
        </w:numPr>
        <w:spacing w:line="360" w:lineRule="auto"/>
        <w:ind w:left="0" w:firstLine="0"/>
        <w:jc w:val="both"/>
      </w:pPr>
      <w:r w:rsidRPr="00452E2E">
        <w:rPr>
          <w:b/>
        </w:rPr>
        <w:lastRenderedPageBreak/>
        <w:t>Identification of themes:</w:t>
      </w:r>
      <w:r w:rsidRPr="00452E2E">
        <w:t xml:space="preserve"> After codes were generated, the next stage was to organize the coded expressions in order to form themes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xml:space="preserve">. This required the researcher to analyse the link among codes so that themes </w:t>
      </w:r>
      <w:r w:rsidR="002D68FA" w:rsidRPr="00452E2E">
        <w:t>would</w:t>
      </w:r>
      <w:r w:rsidRPr="00452E2E">
        <w:t xml:space="preserve"> be created. Thus, the codes were sorted whilst latent themes </w:t>
      </w:r>
      <w:r w:rsidRPr="00452E2E">
        <w:fldChar w:fldCharType="begin" w:fldLock="1"/>
      </w:r>
      <w:r w:rsidRPr="00452E2E">
        <w:instrText>ADDIN CSL_CITATION { "citationItems" : [ { "id" : "ITEM-1", "itemData" : { "author" : [ { "dropping-particle" : "", "family" : "Miles", "given" : "M.B", "non-dropping-particle" : "", "parse-names" : false, "suffix" : "" }, { "dropping-particle" : "", "family" : "Huberman", "given" : "M.A", "non-dropping-particle" : "", "parse-names" : false, "suffix" : "" } ], "id" : "ITEM-1", "issued" : { "date-parts" : [ [ "1994" ] ] }, "publisher" : "SAGE", "publisher-place" : "Thousand Oaks, CA", "title" : "Qualitative data analysis", "type" : "book" }, "uris" : [ "http://www.mendeley.com/documents/?uuid=3260afd6-3a6f-4646-b504-6cf424d79481" ] } ], "mendeley" : { "formattedCitation" : "(Miles &amp; Huberman 1994)", "manualFormatting" : "(Miles &amp; Huberman, 1994)", "plainTextFormattedCitation" : "(Miles &amp; Huberman 1994)", "previouslyFormattedCitation" : "(Miles &amp; Huberman 1994)" }, "properties" : { "noteIndex" : 0 }, "schema" : "https://github.com/citation-style-language/schema/raw/master/csl-citation.json" }</w:instrText>
      </w:r>
      <w:r w:rsidRPr="00452E2E">
        <w:fldChar w:fldCharType="separate"/>
      </w:r>
      <w:r w:rsidRPr="00452E2E">
        <w:rPr>
          <w:noProof/>
        </w:rPr>
        <w:t>(Miles &amp; Huberman, 1994)</w:t>
      </w:r>
      <w:r w:rsidRPr="00452E2E">
        <w:fldChar w:fldCharType="end"/>
      </w:r>
      <w:r w:rsidRPr="00452E2E">
        <w:t xml:space="preserve"> were created that reflected both existing and emerging themes.</w:t>
      </w:r>
    </w:p>
    <w:p w:rsidR="00A2662B" w:rsidRPr="00452E2E" w:rsidRDefault="00A2662B" w:rsidP="00A2662B">
      <w:pPr>
        <w:pStyle w:val="ListParagraph"/>
        <w:spacing w:line="360" w:lineRule="auto"/>
        <w:ind w:left="0"/>
        <w:jc w:val="both"/>
      </w:pPr>
    </w:p>
    <w:p w:rsidR="00D03A8E" w:rsidRPr="00452E2E" w:rsidRDefault="00D03A8E" w:rsidP="00D03A8E">
      <w:pPr>
        <w:pStyle w:val="ListParagraph"/>
        <w:numPr>
          <w:ilvl w:val="0"/>
          <w:numId w:val="9"/>
        </w:numPr>
        <w:spacing w:line="360" w:lineRule="auto"/>
        <w:ind w:left="0" w:firstLine="0"/>
        <w:jc w:val="both"/>
      </w:pPr>
      <w:r w:rsidRPr="00452E2E">
        <w:rPr>
          <w:b/>
        </w:rPr>
        <w:t>Reviewing themes:</w:t>
      </w:r>
      <w:r w:rsidRPr="00452E2E">
        <w:t xml:space="preserve"> This stage involved reviewing and refining the identified themes in order to come up with more meaningful themes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Hence, the themes earlier identified were carefully analysed such that themes without sufficient supporting data were discarded whilst other themes were merged to produce themes that were more meaningful.</w:t>
      </w:r>
    </w:p>
    <w:p w:rsidR="00A2662B" w:rsidRPr="00452E2E" w:rsidRDefault="00A2662B" w:rsidP="00A2662B">
      <w:pPr>
        <w:pStyle w:val="ListParagraph"/>
        <w:spacing w:line="360" w:lineRule="auto"/>
        <w:ind w:left="0"/>
        <w:jc w:val="both"/>
      </w:pPr>
    </w:p>
    <w:p w:rsidR="00D03A8E" w:rsidRPr="00452E2E" w:rsidRDefault="00D03A8E" w:rsidP="00D03A8E">
      <w:pPr>
        <w:pStyle w:val="ListParagraph"/>
        <w:numPr>
          <w:ilvl w:val="0"/>
          <w:numId w:val="9"/>
        </w:numPr>
        <w:spacing w:line="360" w:lineRule="auto"/>
        <w:ind w:left="0" w:firstLine="0"/>
        <w:jc w:val="both"/>
      </w:pPr>
      <w:r w:rsidRPr="00452E2E">
        <w:rPr>
          <w:b/>
        </w:rPr>
        <w:t>Defining and renaming themes:</w:t>
      </w:r>
      <w:r w:rsidRPr="00452E2E">
        <w:t xml:space="preserve"> This stage involved providing meaning to the themes identified and indicating how the themes were relevant to the research question at hand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The themes were then linked to the theoretical constructs of institutional theory whilst emerging themes were defined based on the context of the study. Since thi</w:t>
      </w:r>
      <w:r w:rsidR="00DB54AC" w:rsidRPr="00452E2E">
        <w:t xml:space="preserve">s study involved </w:t>
      </w:r>
      <w:r w:rsidRPr="00452E2E">
        <w:t>a comparison of institutional influences on HRM in public and private sector, the defined themes were then group</w:t>
      </w:r>
      <w:r w:rsidR="00067DDA" w:rsidRPr="00452E2E">
        <w:t>ed</w:t>
      </w:r>
      <w:r w:rsidRPr="00452E2E">
        <w:t xml:space="preserve"> into public and private sector whilst industry – banks and hospitals – provided a sub-category for analysis. This enabled the researcher to compare the responses from both sectors using a contrast matrix </w:t>
      </w:r>
      <w:r w:rsidRPr="00452E2E">
        <w:fldChar w:fldCharType="begin" w:fldLock="1"/>
      </w:r>
      <w:r w:rsidRPr="00452E2E">
        <w:instrText>ADDIN CSL_CITATION { "citationItems" : [ { "id" : "ITEM-1", "itemData" : { "author" : [ { "dropping-particle" : "", "family" : "Miles", "given" : "M.B", "non-dropping-particle" : "", "parse-names" : false, "suffix" : "" }, { "dropping-particle" : "", "family" : "Huberman", "given" : "M.A", "non-dropping-particle" : "", "parse-names" : false, "suffix" : "" } ], "id" : "ITEM-1", "issued" : { "date-parts" : [ [ "1994" ] ] }, "publisher" : "SAGE", "publisher-place" : "Thousand Oaks, CA", "title" : "Qualitative data analysis", "type" : "book" }, "uris" : [ "http://www.mendeley.com/documents/?uuid=3260afd6-3a6f-4646-b504-6cf424d79481" ] } ], "mendeley" : { "formattedCitation" : "(Miles &amp; Huberman 1994)", "manualFormatting" : "(Miles &amp; Huberman, 1994)", "plainTextFormattedCitation" : "(Miles &amp; Huberman 1994)", "previouslyFormattedCitation" : "(Miles &amp; Huberman 1994)" }, "properties" : { "noteIndex" : 0 }, "schema" : "https://github.com/citation-style-language/schema/raw/master/csl-citation.json" }</w:instrText>
      </w:r>
      <w:r w:rsidRPr="00452E2E">
        <w:fldChar w:fldCharType="separate"/>
      </w:r>
      <w:r w:rsidRPr="00452E2E">
        <w:rPr>
          <w:noProof/>
        </w:rPr>
        <w:t>(Miles &amp; Huberman, 1994)</w:t>
      </w:r>
      <w:r w:rsidRPr="00452E2E">
        <w:fldChar w:fldCharType="end"/>
      </w:r>
      <w:r w:rsidRPr="00452E2E">
        <w:t xml:space="preserve"> in order to identify areas of convergence and divergence based on views expressed by the interviewees.</w:t>
      </w:r>
    </w:p>
    <w:p w:rsidR="00A2662B" w:rsidRPr="00452E2E" w:rsidRDefault="00A2662B" w:rsidP="00A2662B">
      <w:pPr>
        <w:pStyle w:val="ListParagraph"/>
        <w:spacing w:line="360" w:lineRule="auto"/>
        <w:ind w:left="0"/>
        <w:jc w:val="both"/>
      </w:pPr>
    </w:p>
    <w:p w:rsidR="005B6F5B" w:rsidRPr="00452E2E" w:rsidRDefault="00D03A8E" w:rsidP="00D07D22">
      <w:pPr>
        <w:pStyle w:val="ListParagraph"/>
        <w:numPr>
          <w:ilvl w:val="0"/>
          <w:numId w:val="9"/>
        </w:numPr>
        <w:spacing w:line="360" w:lineRule="auto"/>
        <w:ind w:left="0" w:firstLine="0"/>
        <w:jc w:val="both"/>
      </w:pPr>
      <w:r w:rsidRPr="00452E2E">
        <w:rPr>
          <w:b/>
        </w:rPr>
        <w:t>Producing final report:</w:t>
      </w:r>
      <w:r w:rsidRPr="00452E2E">
        <w:t xml:space="preserve"> After the themes </w:t>
      </w:r>
      <w:r w:rsidR="000E4598" w:rsidRPr="00452E2E">
        <w:t>had</w:t>
      </w:r>
      <w:r w:rsidRPr="00452E2E">
        <w:t xml:space="preserve"> been defined, the final stage </w:t>
      </w:r>
      <w:r w:rsidR="000E4598" w:rsidRPr="00452E2E">
        <w:t>was</w:t>
      </w:r>
      <w:r w:rsidRPr="00452E2E">
        <w:t xml:space="preserve"> to produce the report of the analysis in line with the r</w:t>
      </w:r>
      <w:r w:rsidR="003327D7" w:rsidRPr="00452E2E">
        <w:t>esearch objectives. This entailed</w:t>
      </w:r>
      <w:r w:rsidRPr="00452E2E">
        <w:t xml:space="preserve"> providing a coherent narrative of the results obtained from the thematic analysis in a manner that w</w:t>
      </w:r>
      <w:r w:rsidR="003327D7" w:rsidRPr="00452E2E">
        <w:t>ould</w:t>
      </w:r>
      <w:r w:rsidRPr="00452E2E">
        <w:t xml:space="preserve"> be easy for the reader to comprehend </w:t>
      </w:r>
      <w:r w:rsidRPr="00452E2E">
        <w:fldChar w:fldCharType="begin" w:fldLock="1"/>
      </w:r>
      <w:r w:rsidRPr="00452E2E">
        <w:instrText>ADDIN CSL_CITATION { "citationItems" : [ { "id" : "ITEM-1", "itemData" : {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xml:space="preserve">. Hence, in presenting the results of this analysis in chapter 5, efforts were made to present the views of public and private sector HR managers side by side in order to enhance ease of comparison of their </w:t>
      </w:r>
      <w:r w:rsidRPr="00452E2E">
        <w:lastRenderedPageBreak/>
        <w:t>views whilst quotes that were typical of the views expressed by these managers were presented in order to link their responses to the research question.</w:t>
      </w:r>
      <w:bookmarkStart w:id="97" w:name="_Toc465271185"/>
    </w:p>
    <w:p w:rsidR="00D03A8E" w:rsidRPr="00452E2E" w:rsidRDefault="00D03A8E" w:rsidP="00170224">
      <w:pPr>
        <w:pStyle w:val="Heading3"/>
      </w:pPr>
      <w:bookmarkStart w:id="98" w:name="_Toc473808151"/>
      <w:r w:rsidRPr="00452E2E">
        <w:t>4.5 How I conducted Study 2</w:t>
      </w:r>
      <w:bookmarkEnd w:id="97"/>
      <w:bookmarkEnd w:id="98"/>
    </w:p>
    <w:p w:rsidR="00D03A8E" w:rsidRPr="00452E2E" w:rsidRDefault="00D03A8E" w:rsidP="00D03A8E">
      <w:pPr>
        <w:spacing w:line="360" w:lineRule="auto"/>
        <w:jc w:val="both"/>
      </w:pPr>
      <w:r w:rsidRPr="00452E2E">
        <w:rPr>
          <w:b/>
        </w:rPr>
        <w:t xml:space="preserve"> </w:t>
      </w:r>
      <w:r w:rsidRPr="00452E2E">
        <w:t>In this section, the procedures that were followed to conduct study 2 are presented. This include</w:t>
      </w:r>
      <w:r w:rsidR="003327D7" w:rsidRPr="00452E2E">
        <w:t>s</w:t>
      </w:r>
      <w:r w:rsidRPr="00452E2E">
        <w:t xml:space="preserve"> a discussion o</w:t>
      </w:r>
      <w:r w:rsidR="003327D7" w:rsidRPr="00452E2E">
        <w:t>f</w:t>
      </w:r>
      <w:r w:rsidRPr="00452E2E">
        <w:t xml:space="preserve"> sampling, participants, data collection methods and the analysis of data. Each of these issues </w:t>
      </w:r>
      <w:r w:rsidR="003327D7" w:rsidRPr="00452E2E">
        <w:t>will</w:t>
      </w:r>
      <w:r w:rsidRPr="00452E2E">
        <w:t xml:space="preserve"> be covered in the sub-sections below.</w:t>
      </w:r>
    </w:p>
    <w:p w:rsidR="00D03A8E" w:rsidRPr="00452E2E" w:rsidRDefault="00D03A8E" w:rsidP="00D03A8E">
      <w:pPr>
        <w:pStyle w:val="Heading4"/>
      </w:pPr>
      <w:bookmarkStart w:id="99" w:name="_Toc473808152"/>
      <w:r w:rsidRPr="00452E2E">
        <w:t>4.5.1 The Sample for Study 2</w:t>
      </w:r>
      <w:bookmarkEnd w:id="99"/>
    </w:p>
    <w:p w:rsidR="00D03A8E" w:rsidRPr="00452E2E" w:rsidRDefault="00D03A8E" w:rsidP="00D03A8E">
      <w:pPr>
        <w:spacing w:line="360" w:lineRule="auto"/>
        <w:jc w:val="both"/>
      </w:pPr>
      <w:r w:rsidRPr="00452E2E">
        <w:t>This study was conducted in the 13 organizations comprising of public and private banks and hospitals described in section 4.4.3.2</w:t>
      </w:r>
      <w:r w:rsidRPr="00452E2E">
        <w:rPr>
          <w:b/>
        </w:rPr>
        <w:t xml:space="preserve"> </w:t>
      </w:r>
      <w:r w:rsidRPr="00452E2E">
        <w:t xml:space="preserve">above. Therefore, the population of the study </w:t>
      </w:r>
      <w:r w:rsidR="00475E5C" w:rsidRPr="00452E2E">
        <w:t xml:space="preserve">was </w:t>
      </w:r>
      <w:r w:rsidRPr="00452E2E">
        <w:t xml:space="preserve">comprised of employees in these organizations. Since it was not possible to study all employees in these organizations, a sample size of 1000 employees was drawn from these organizations. The idea was to sample 250 employees from each category of public banks, private banks, public hospitals, and private hospitals respectively, in order to ensure that each category had </w:t>
      </w:r>
      <w:r w:rsidR="00475E5C" w:rsidRPr="00452E2E">
        <w:t xml:space="preserve">an </w:t>
      </w:r>
      <w:r w:rsidRPr="00452E2E">
        <w:t xml:space="preserve">equal number of employees sampled. The decision to set the sample size at 1000 employees was based on the method of data analysis to be employed in analysing data from the study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"Money", "given" : "A.H", "non-dropping-particle" : "", "parse-names" : false, "suffix" : "" }, { "dropping-particle" : "", "family" : "Samouel", "given" : "P", "non-dropping-particle" : "", "parse-names" : false, "suffix" : "" }, { "dropping-particle" : "", "family" : "Page", "given" : "M", "non-dropping-particle" : "", "parse-names" : false, "suffix" : "" } ], "id" : "ITEM-1", "issued" : { "date-parts" : [ [ "2007" ] ] }, "publisher" : "John Wiley and Sons", "publisher-place" : "Chichester", "title" : "Research methods for business", "type" : "book" }, "uris" : [ "http://www.mendeley.com/documents/?uuid=89614995-9f01-44fe-b443-32e7b942c934" ] } ], "mendeley" : { "formattedCitation" : "(Hair et al. 2007)", "manualFormatting" : "(Hair et al., 2007)", "plainTextFormattedCitation" : "(Hair et al. 2007)", "previouslyFormattedCitation" : "(Hair et al. 2007)"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2007)</w:t>
      </w:r>
      <w:r w:rsidRPr="00452E2E">
        <w:fldChar w:fldCharType="end"/>
      </w:r>
      <w:r w:rsidRPr="00452E2E">
        <w:t xml:space="preserve">. Indeed, Bryman &amp; Bell (2011) suggest that researchers should take cognisance of </w:t>
      </w:r>
      <w:r w:rsidR="006759A4" w:rsidRPr="00452E2E">
        <w:t xml:space="preserve">the </w:t>
      </w:r>
      <w:r w:rsidRPr="00452E2E">
        <w:t xml:space="preserve">non-response rate whilst setting the sample size for a study. Therefore, it was expected that a response rate of at least 40% </w:t>
      </w:r>
      <w:r w:rsidR="00854058" w:rsidRPr="00452E2E">
        <w:t>would</w:t>
      </w:r>
      <w:r w:rsidRPr="00452E2E">
        <w:t xml:space="preserve"> be achieved thereby resulting </w:t>
      </w:r>
      <w:r w:rsidR="00854058" w:rsidRPr="00452E2E">
        <w:t>in</w:t>
      </w:r>
      <w:r w:rsidRPr="00452E2E">
        <w:t xml:space="preserve"> 400 useable responses that would be used for data analysis. </w:t>
      </w:r>
    </w:p>
    <w:p w:rsidR="00D03A8E" w:rsidRPr="00452E2E" w:rsidRDefault="00D03A8E" w:rsidP="00D03A8E">
      <w:pPr>
        <w:spacing w:line="360" w:lineRule="auto"/>
        <w:jc w:val="both"/>
      </w:pPr>
      <w:r w:rsidRPr="00452E2E">
        <w:t>Since this study s</w:t>
      </w:r>
      <w:r w:rsidR="003A2413" w:rsidRPr="00452E2E">
        <w:t>ought</w:t>
      </w:r>
      <w:r w:rsidRPr="00452E2E">
        <w:t xml:space="preserve"> to test the mediation effect of procedural justice and HR attribution on the relationship between HR practices and employee attitudes as well as the moderation effect of sector, moderated mediation analysis was considered as the appropriate method of data analysis </w:t>
      </w:r>
      <w:r w:rsidRPr="00452E2E">
        <w:fldChar w:fldCharType="begin" w:fldLock="1"/>
      </w:r>
      <w:r w:rsidRPr="00452E2E">
        <w:instrText>ADDIN CSL_CITATION { "citationItems" : [ { "id" : "ITEM-1", "itemData" : { "DOI" : "10.1080/00273170701341316", "ISBN" : "0027-3171", "ISSN" : "0027-3171", "PMID" : "25552966", "abstract" : "This article provides researchers with a guide to properly construe and conduct analyses of conditional indirect effects, commonly known as moderated media- tion effects. We disentangle conflicting definitions of moderated mediation and describe approaches for estimating and testing a variety of hypotheses involving conditional indirect effects.We introduce standard errors for hypothesis testing and construction of confidence intervals in large samples but advocate that researchers use bootstrapping whenever possible. We also describe methods for probing sig- nificant conditional indirect effects by employing direct extensions of the simple slopes method and Johnson-Neyman technique for probing significant interactions. Finally, we provide an SPSS macro to facilitate the implementation of the recom- mended asymptotic and bootstrapping methods. We illustrate the application of these methods with an example drawn from the Michigan Study of Adolescent Life Transitions, showing that the indirect effect of intrinsic student interest on mathematics performance through teacher perceptions of talent is moderated by student math self-concept.", "author" : [ { "dropping-particle" : "", "family" : "Preacher", "given" : "Kristopher J.", "non-dropping-particle" : "", "parse-names" : false, "suffix" : "" }, { "dropping-particle" : "", "family" : "Rucker", "given" : "Derek D.", "non-dropping-particle" : "", "parse-names" : false, "suffix" : "" }, { "dropping-particle" : "", "family" : "Hayes", "given" : "Andrew F.", "non-dropping-particle" : "", "parse-names" : false, "suffix" : "" } ], "container-title" : "Multivariate Behavioral Research", "id" : "ITEM-1", "issue" : "1", "issued" : { "date-parts" : [ [ "2007" ] ] }, "page" : "185-227", "title" : "Addressing moderated mediation hypotheses: theory, methods, and prescriptions", "type" : "article-journal", "volume" : "42" }, "uris" : [ "http://www.mendeley.com/documents/?uuid=1c4ce467-5df1-4973-b1c3-c3e63da27338" ] }, { "id" : "ITEM-2", "itemData" : { "author" : [ { "dropping-particle" : "", "family" : "Dawson", "given" : "Jeremy", "non-dropping-particle" : "", "parse-names" : false, "suffix" : "" } ], "container-title" : "Journal of Business and Psychology", "id" : "ITEM-2", "issue" : "1", "issued" : { "date-parts" : [ [ "2014" ] ] }, "page" : "1-19", "title" : "Moderation in management research: what, why, when and how", "type" : "article-journal", "volume" : "29" }, "uris" : [ "http://www.mendeley.com/documents/?uuid=c94ff390-e5f1-4a7d-9389-4983e139f53c" ] } ], "mendeley" : { "formattedCitation" : "(Preacher et al. 2007; Dawson 2014)", "manualFormatting" : "(Preacher et al., 2007; Dawson, 2014)", "plainTextFormattedCitation" : "(Preacher et al. 2007; Dawson 2014)", "previouslyFormattedCitation" : "(Preacher et al. 2007; Dawson 2014)" }, "properties" : { "noteIndex" : 0 }, "schema" : "https://github.com/citation-style-language/schema/raw/master/csl-citation.json" }</w:instrText>
      </w:r>
      <w:r w:rsidRPr="00452E2E">
        <w:fldChar w:fldCharType="separate"/>
      </w:r>
      <w:r w:rsidRPr="00452E2E">
        <w:rPr>
          <w:noProof/>
        </w:rPr>
        <w:t xml:space="preserve">(Preacher </w:t>
      </w:r>
      <w:r w:rsidRPr="00452E2E">
        <w:rPr>
          <w:i/>
          <w:noProof/>
        </w:rPr>
        <w:t>et al</w:t>
      </w:r>
      <w:r w:rsidRPr="00452E2E">
        <w:rPr>
          <w:noProof/>
        </w:rPr>
        <w:t>., 2007; Dawson, 2014)</w:t>
      </w:r>
      <w:r w:rsidRPr="00452E2E">
        <w:fldChar w:fldCharType="end"/>
      </w:r>
      <w:r w:rsidRPr="00452E2E">
        <w:t xml:space="preserve">. Based on this method of data analysis, a sample size of 400 is suggested in order to detect high statistical power </w:t>
      </w:r>
      <w:r w:rsidRPr="00452E2E">
        <w:fldChar w:fldCharType="begin" w:fldLock="1"/>
      </w:r>
      <w:r w:rsidRPr="00452E2E">
        <w:instrText>ADDIN CSL_CITATION { "citationItems" : [ { "id" : "ITEM-1", "itemData" : { "author" : [ { "dropping-particle" : "", "family" : "Dawson", "given" : "Jeremy", "non-dropping-particle" : "", "parse-names" : false, "suffix" : "" } ], "container-title" : "Journal of Business and Psychology", "id" : "ITEM-1", "issue" : "1", "issued" : { "date-parts" : [ [ "2014" ] ] }, "page" : "1-19", "title" : "Moderation in management research: what, why, when and how", "type" : "article-journal", "volume" : "29" }, "uris" : [ "http://www.mendeley.com/documents/?uuid=c94ff390-e5f1-4a7d-9389-4983e139f53c" ] } ], "mendeley" : { "formattedCitation" : "(Dawson 2014)", "manualFormatting" : "(Dawson, 2014)", "plainTextFormattedCitation" : "(Dawson 2014)", "previouslyFormattedCitation" : "(Dawson 2014)" }, "properties" : { "noteIndex" : 0 }, "schema" : "https://github.com/citation-style-language/schema/raw/master/csl-citation.json" }</w:instrText>
      </w:r>
      <w:r w:rsidRPr="00452E2E">
        <w:fldChar w:fldCharType="separate"/>
      </w:r>
      <w:r w:rsidRPr="00452E2E">
        <w:rPr>
          <w:noProof/>
        </w:rPr>
        <w:t>(Dawson, 2014)</w:t>
      </w:r>
      <w:r w:rsidRPr="00452E2E">
        <w:fldChar w:fldCharType="end"/>
      </w:r>
      <w:r w:rsidRPr="00452E2E">
        <w:t xml:space="preserve">. Through the use of simple random sampling method </w:t>
      </w:r>
      <w:r w:rsidRPr="00452E2E">
        <w:fldChar w:fldCharType="begin" w:fldLock="1"/>
      </w:r>
      <w:r w:rsidRPr="00452E2E">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"id" : "ITEM-2", "itemData" : { "author" : [ { "dropping-particle" : "", "family" : "Saunders", "given" : "M", "non-dropping-particle" : "", "parse-names" : false, "suffix" : "" }, { "dropping-particle" : "", "family" : "Lewis", "given" : "P", "non-dropping-particle" : "", "parse-names" : false, "suffix" : "" }, { "dropping-particle" : "", "family" : "Thornhill", "given" : "A", "non-dropping-particle" : "", "parse-names" : false, "suffix" : "" } ], "edition" : "6th", "id" : "ITEM-2", "issued" : { "date-parts" : [ [ "2012" ] ] }, "publisher" : "Pearson", "publisher-place" : "Harlow", "title" : "Research methods for business students", "type" : "book" }, "uris" : [ "http://www.mendeley.com/documents/?uuid=c6d2391b-4404-4f3f-a63b-3c03cd7b2137" ] } ], "mendeley" : { "formattedCitation" : "(Bryman &amp; Bell 2011; Saunders et al. 2012)", "manualFormatting" : "(Bryman &amp; Bell, 2011; Saunders et al., 2012)", "plainTextFormattedCitation" : "(Bryman &amp; Bell 2011; Saunders et al. 2012)", "previouslyFormattedCitation" : "(Bryman &amp; Bell 2011; Saunders et al. 2012)" }, "properties" : { "noteIndex" : 0 }, "schema" : "https://github.com/citation-style-language/schema/raw/master/csl-citation.json" }</w:instrText>
      </w:r>
      <w:r w:rsidRPr="00452E2E">
        <w:fldChar w:fldCharType="separate"/>
      </w:r>
      <w:r w:rsidRPr="00452E2E">
        <w:rPr>
          <w:noProof/>
        </w:rPr>
        <w:t xml:space="preserve">(Bryman &amp; Bell, 2011; Saunders </w:t>
      </w:r>
      <w:r w:rsidRPr="00452E2E">
        <w:rPr>
          <w:i/>
          <w:noProof/>
        </w:rPr>
        <w:t>et al</w:t>
      </w:r>
      <w:r w:rsidRPr="00452E2E">
        <w:rPr>
          <w:noProof/>
        </w:rPr>
        <w:t>., 2012)</w:t>
      </w:r>
      <w:r w:rsidRPr="00452E2E">
        <w:fldChar w:fldCharType="end"/>
      </w:r>
      <w:r w:rsidRPr="00452E2E">
        <w:t xml:space="preserve">, employees in the participating organizations were selected to participate in the study. This sampling method was feasible in the context of the study </w:t>
      </w:r>
      <w:r w:rsidRPr="00452E2E">
        <w:lastRenderedPageBreak/>
        <w:t xml:space="preserve">through the cooperation of HR managers who were also participants in </w:t>
      </w:r>
      <w:r w:rsidRPr="00452E2E">
        <w:rPr>
          <w:i/>
        </w:rPr>
        <w:t xml:space="preserve">study 1 </w:t>
      </w:r>
      <w:r w:rsidRPr="00452E2E">
        <w:t xml:space="preserve">of this research. </w:t>
      </w:r>
    </w:p>
    <w:p w:rsidR="00D03A8E" w:rsidRPr="00452E2E" w:rsidRDefault="00D03A8E" w:rsidP="00D03A8E">
      <w:pPr>
        <w:pStyle w:val="Heading4"/>
      </w:pPr>
      <w:bookmarkStart w:id="100" w:name="_Toc473808153"/>
      <w:r w:rsidRPr="00452E2E">
        <w:t>4.5.2 Participants for Study 2</w:t>
      </w:r>
      <w:bookmarkEnd w:id="100"/>
    </w:p>
    <w:p w:rsidR="00D03A8E" w:rsidRPr="00452E2E" w:rsidRDefault="00D03A8E" w:rsidP="00D03A8E">
      <w:pPr>
        <w:spacing w:line="360" w:lineRule="auto"/>
        <w:jc w:val="both"/>
      </w:pPr>
      <w:r w:rsidRPr="00452E2E">
        <w:t xml:space="preserve">The participants </w:t>
      </w:r>
      <w:r w:rsidR="006A696B" w:rsidRPr="00452E2E">
        <w:t>for</w:t>
      </w:r>
      <w:r w:rsidRPr="00452E2E">
        <w:t xml:space="preserve"> this study consisted of non-managerial employees in 13 organizations in Nigeria comprising of public and private sector banks and hospitals. The participants in banks comprised of employees in banking operations and marketing whilst the participants in hospitals comprised of clinical staff and hospital administration staff. </w:t>
      </w:r>
      <w:r w:rsidR="001D6F32" w:rsidRPr="00452E2E">
        <w:t>These participants were comprised of</w:t>
      </w:r>
      <w:r w:rsidR="00EC6E35" w:rsidRPr="00452E2E">
        <w:t xml:space="preserve"> non-managerial employees, which means that managers were excluded from this part of the research. P</w:t>
      </w:r>
      <w:r w:rsidRPr="00452E2E">
        <w:t xml:space="preserve">articipants in each organization were accessed through the HR managers who also assisted the researcher in identifying the participants. Once access to the participants was granted, the RA’s who conducted field work in </w:t>
      </w:r>
      <w:r w:rsidRPr="00452E2E">
        <w:rPr>
          <w:i/>
        </w:rPr>
        <w:t xml:space="preserve">study 1 </w:t>
      </w:r>
      <w:r w:rsidRPr="00452E2E">
        <w:t>approached the participants during break on behalf of the researcher. An information sheet with details of the research was given to each participant whilst requesting them to voluntarily participate in the study. The participants were given 2-3 days to make up their minds on whether or not they were willing to participate in the research, after which the RA’s returned to collect data from the participants.</w:t>
      </w:r>
    </w:p>
    <w:p w:rsidR="00D03A8E" w:rsidRPr="00452E2E" w:rsidRDefault="00D03A8E" w:rsidP="00D03A8E">
      <w:pPr>
        <w:pStyle w:val="Heading4"/>
      </w:pPr>
      <w:bookmarkStart w:id="101" w:name="_Toc473808154"/>
      <w:r w:rsidRPr="00452E2E">
        <w:t>4.5.3 Data Collection for Study 2</w:t>
      </w:r>
      <w:bookmarkEnd w:id="101"/>
    </w:p>
    <w:p w:rsidR="00D03A8E" w:rsidRPr="00452E2E" w:rsidRDefault="00D03A8E" w:rsidP="00D03A8E">
      <w:pPr>
        <w:spacing w:line="360" w:lineRule="auto"/>
        <w:jc w:val="both"/>
      </w:pPr>
      <w:r w:rsidRPr="00452E2E">
        <w:t xml:space="preserve">The method of data collection for this research was the questionnaire. The cover page of the questionnaire contained instructions on how to complete the questionnaire. It was stated explicitly on the cover page that participation in the study was voluntary and that by completing and returning questionnaires, respondents were consenting to participate in the study. Just like in </w:t>
      </w:r>
      <w:r w:rsidRPr="00452E2E">
        <w:rPr>
          <w:i/>
        </w:rPr>
        <w:t xml:space="preserve">study 1, </w:t>
      </w:r>
      <w:r w:rsidRPr="00452E2E">
        <w:t xml:space="preserve">these questionnaires were printed and administered to the participants in their workplaces via the drop-off and pick-up method </w:t>
      </w:r>
      <w:r w:rsidRPr="00452E2E">
        <w:fldChar w:fldCharType="begin" w:fldLock="1"/>
      </w:r>
      <w:r w:rsidRPr="00452E2E">
        <w:instrText>ADDIN CSL_CITATION { "citationItems" : [ { "id" : "ITEM-1", "itemData" : { "DOI" : "10.1080/15575330109489680", "ISBN" : "0010-3829", "ISSN" : "0010-3829", "abstract" : "The hand delivery of self-administered questionnaires has been presented as an alternative for reducing non-coverage error associated with the mail method at lower cost than face-to-face interviews. This research note draws from experiences using the hand delivery technique (combined with hand retrieval) in rural and small community studies to address practical issues associated with improving coverage, and its relationships with sampling, response, and administrative considerations. It is suggested that while this technique provides needed flexibility in relation to household enumeration options, logistical issues limit its applicability where settlement patterns are dispersed and resources to supplement sampling frames are inadequate. Time and cost outlays are required to maximize its potential. When place-related and administrative conditions can be met, the technique offers promise for reducing non-coverage error and possible sample bias without saerificing response rates. In addition, it provides opportunities to gain experiential insights not possible with other survey methods.\\nThe hand delivery of self-administered questionnaires has been presented as an alternative for reducing non-coverage error associated with the mail method at lower cost than face-to-face interviews. This research note draws from experiences using the hand delivery technique (combined with hand retrieval) in rural and small community studies to address practical issues associated with improving coverage, and its relationships with sampling, response, and administrative considerations. It is suggested that while this technique provides needed flexibility in relation to household enumeration options, logistical issues limit its applicability where settlement patterns are dispersed and resources to supplement sampling frames are inadequate. Time and cost outlays are required to maximize its potential. When place-related and administrative conditions can be met, the technique offers promise for reducing non-coverage error and possible sample bias without saerificing response rates. In addition, it provides opportunities to gain experiential insights not possible with other survey methods.", "author" : [ { "dropping-particle" : "", "family" : "Steele", "given" : "Jennifer", "non-dropping-particle" : "", "parse-names" : false, "suffix" : "" }, { "dropping-particle" : "", "family" : "Bourke", "given" : "Lisa", "non-dropping-particle" : "", "parse-names" : false, "suffix" : "" }, { "dropping-particle" : "", "family" : "Luloff", "given" : "A.E.", "non-dropping-particle" : "", "parse-names" : false, "suffix" : "" }, { "dropping-particle" : "", "family" : "Liao", "given" : "Pei-Shan", "non-dropping-particle" : "", "parse-names" : false, "suffix" : "" }, { "dropping-particle" : "", "family" : "Theodori", "given" : "Gene L.", "non-dropping-particle" : "", "parse-names" : false, "suffix" : "" }, { "dropping-particle" : "", "family" : "Krannich", "given" : "Richard S.", "non-dropping-particle" : "", "parse-names" : false, "suffix" : "" } ], "container-title" : "Journal of Community Development Society", "id" : "ITEM-1", "issue" : "2", "issued" : { "date-parts" : [ [ "2001" ] ] }, "page" : "238-250", "title" : "The drop-off/pick-up method for household survey research", "type" : "article-journal", "volume" : "32" }, "uris" : [ "http://www.mendeley.com/documents/?uuid=569ac711-5d12-4f9f-a06d-d636a7626625" ] } ], "mendeley" : { "formattedCitation" : "(Steele et al. 2001)", "manualFormatting" : "(Steele et al., 2001)", "plainTextFormattedCitation" : "(Steele et al. 2001)", "previouslyFormattedCitation" : "(Steele et al. 2001)" }, "properties" : { "noteIndex" : 0 }, "schema" : "https://github.com/citation-style-language/schema/raw/master/csl-citation.json" }</w:instrText>
      </w:r>
      <w:r w:rsidRPr="00452E2E">
        <w:fldChar w:fldCharType="separate"/>
      </w:r>
      <w:r w:rsidRPr="00452E2E">
        <w:rPr>
          <w:noProof/>
        </w:rPr>
        <w:t xml:space="preserve">(Steele </w:t>
      </w:r>
      <w:r w:rsidRPr="00452E2E">
        <w:rPr>
          <w:i/>
          <w:noProof/>
        </w:rPr>
        <w:t>et al</w:t>
      </w:r>
      <w:r w:rsidRPr="00452E2E">
        <w:rPr>
          <w:noProof/>
        </w:rPr>
        <w:t>., 2001)</w:t>
      </w:r>
      <w:r w:rsidRPr="00452E2E">
        <w:fldChar w:fldCharType="end"/>
      </w:r>
      <w:r w:rsidRPr="00452E2E">
        <w:t xml:space="preserve">. This method of questionnaire administration was considered appropriate based on the context of the study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"http://www.mendeley.com/documents/?uuid=43a2fbd4-6640-46db-bd96-9c0c4ca42d50" ] } ], "mendeley" : { "formattedCitation" : "(Okpara &amp; Wynn 2008)", "manualFormatting" : "(Okpara &amp; Wynn, 2008)", "plainTextFormattedCitation" : "(Okpara &amp; Wynn 2008)", "previouslyFormattedCitation" : "(Okpara &amp; Wynn 2008)" }, "properties" : { "noteIndex" : 0 }, "schema" : "https://github.com/citation-style-language/schema/raw/master/csl-citation.json" }</w:instrText>
      </w:r>
      <w:r w:rsidRPr="00452E2E">
        <w:fldChar w:fldCharType="separate"/>
      </w:r>
      <w:r w:rsidRPr="00452E2E">
        <w:rPr>
          <w:noProof/>
        </w:rPr>
        <w:t>(Okpara &amp; Wynn, 2008)</w:t>
      </w:r>
      <w:r w:rsidRPr="00452E2E">
        <w:fldChar w:fldCharType="end"/>
      </w:r>
      <w:r w:rsidRPr="00452E2E">
        <w:t xml:space="preserve">. For ease of identification and coding, questionnaires for public banks, private banks, public hospitals and private hospitals were coded as PRB, PUB, PUH and PRH respectively. Since the questionnaires were self-completion in nature, respondents were given at least one week to complete them whilst RA’s returned to collect completed questionnaires from the respondents. Completed questionnaires were returned </w:t>
      </w:r>
      <w:r w:rsidRPr="00452E2E">
        <w:lastRenderedPageBreak/>
        <w:t xml:space="preserve">to the RA’s in sealed envelopes that were distributed alongside the questionnaires whilst the method of handling returned questionnaires was the same as those described in </w:t>
      </w:r>
      <w:r w:rsidRPr="00452E2E">
        <w:rPr>
          <w:i/>
        </w:rPr>
        <w:t>study 1.</w:t>
      </w:r>
      <w:r w:rsidRPr="00452E2E">
        <w:t xml:space="preserve"> </w:t>
      </w:r>
    </w:p>
    <w:p w:rsidR="00D03A8E" w:rsidRPr="00452E2E" w:rsidRDefault="00D03A8E" w:rsidP="00D03A8E">
      <w:pPr>
        <w:pStyle w:val="Heading4"/>
      </w:pPr>
      <w:bookmarkStart w:id="102" w:name="_Toc473808155"/>
      <w:r w:rsidRPr="00452E2E">
        <w:t>4.5.4 Measures for Study 2</w:t>
      </w:r>
      <w:bookmarkEnd w:id="102"/>
    </w:p>
    <w:p w:rsidR="00D03A8E" w:rsidRPr="00452E2E" w:rsidRDefault="00D03A8E" w:rsidP="00D03A8E">
      <w:pPr>
        <w:spacing w:line="360" w:lineRule="auto"/>
        <w:jc w:val="both"/>
      </w:pPr>
      <w:r w:rsidRPr="00452E2E">
        <w:t>The constructs for this study were training, employee benefits, employee participation, HR attribution</w:t>
      </w:r>
      <w:r w:rsidR="00C867A9" w:rsidRPr="00452E2E">
        <w:t>s</w:t>
      </w:r>
      <w:r w:rsidRPr="00452E2E">
        <w:t>, organizational commitment, job satisfaction and procedural justice. The measures for each construct are described below.</w:t>
      </w:r>
    </w:p>
    <w:p w:rsidR="00D03A8E" w:rsidRPr="00452E2E" w:rsidRDefault="00D03A8E" w:rsidP="00D03A8E">
      <w:pPr>
        <w:spacing w:line="360" w:lineRule="auto"/>
        <w:jc w:val="both"/>
      </w:pPr>
      <w:r w:rsidRPr="00452E2E">
        <w:rPr>
          <w:i/>
        </w:rPr>
        <w:t xml:space="preserve">Training: </w:t>
      </w:r>
      <w:r w:rsidRPr="00452E2E">
        <w:t xml:space="preserve">Training was measured using an 8-item measure of training taken from </w:t>
      </w:r>
      <w:r w:rsidRPr="00452E2E">
        <w:fldChar w:fldCharType="begin" w:fldLock="1"/>
      </w:r>
      <w:r w:rsidRPr="00452E2E">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&amp; Smith (2000)", "plainTextFormattedCitation" : "(Meyer &amp; Smith 2000)", "previouslyFormattedCitation" : "(Meyer &amp; Smith 2000)" }, "properties" : { "noteIndex" : 0 }, "schema" : "https://github.com/citation-style-language/schema/raw/master/csl-citation.json" }</w:instrText>
      </w:r>
      <w:r w:rsidRPr="00452E2E">
        <w:fldChar w:fldCharType="separate"/>
      </w:r>
      <w:r w:rsidRPr="00452E2E">
        <w:rPr>
          <w:noProof/>
        </w:rPr>
        <w:t>Meyer &amp; Smith (2000)</w:t>
      </w:r>
      <w:r w:rsidRPr="00452E2E">
        <w:fldChar w:fldCharType="end"/>
      </w:r>
      <w:r w:rsidR="00AC70FF" w:rsidRPr="00BE5AF1">
        <w:rPr>
          <w:rStyle w:val="FootnoteReference"/>
        </w:rPr>
        <w:footnoteReference w:id="10"/>
      </w:r>
      <w:r w:rsidRPr="00452E2E">
        <w:t>. This measure of training has high reliability and is aimed at tapping employee perceptions of training offered in their organization. Responses range from 1 (strongly disagree) to 7 (strongly agree). Example of items include: “the training I received when I joined the organization was sufficient”; “my further training was sufficient or appropriate for that time”; I think my organization places the right amount of emphasis or importance on training”.</w:t>
      </w:r>
    </w:p>
    <w:p w:rsidR="00D03A8E" w:rsidRPr="00452E2E" w:rsidRDefault="00D03A8E" w:rsidP="00D03A8E">
      <w:pPr>
        <w:spacing w:line="360" w:lineRule="auto"/>
        <w:jc w:val="both"/>
      </w:pPr>
      <w:r w:rsidRPr="00452E2E">
        <w:rPr>
          <w:i/>
        </w:rPr>
        <w:t xml:space="preserve">Employee Benefits: </w:t>
      </w:r>
      <w:r w:rsidRPr="00452E2E">
        <w:t xml:space="preserve">This was measured using a 7-item measure of employee benefits taken from </w:t>
      </w:r>
      <w:r w:rsidRPr="00452E2E">
        <w:fldChar w:fldCharType="begin" w:fldLock="1"/>
      </w:r>
      <w:r w:rsidRPr="00452E2E">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&amp; Smith (2000)", "plainTextFormattedCitation" : "(Meyer &amp; Smith 2000)", "previouslyFormattedCitation" : "(Meyer &amp; Smith 2000)" }, "properties" : { "noteIndex" : 0 }, "schema" : "https://github.com/citation-style-language/schema/raw/master/csl-citation.json" }</w:instrText>
      </w:r>
      <w:r w:rsidRPr="00452E2E">
        <w:fldChar w:fldCharType="separate"/>
      </w:r>
      <w:r w:rsidRPr="00452E2E">
        <w:rPr>
          <w:noProof/>
        </w:rPr>
        <w:t>Meyer &amp; Smith (2000)</w:t>
      </w:r>
      <w:r w:rsidRPr="00452E2E">
        <w:fldChar w:fldCharType="end"/>
      </w:r>
      <w:r w:rsidR="00AC70FF" w:rsidRPr="00BE5AF1">
        <w:rPr>
          <w:rStyle w:val="FootnoteReference"/>
        </w:rPr>
        <w:footnoteReference w:id="11"/>
      </w:r>
      <w:r w:rsidRPr="00452E2E">
        <w:t xml:space="preserve">. This measure of employee benefits has high reliability and is aimed at tapping employee perceptions </w:t>
      </w:r>
      <w:r w:rsidR="003F2557" w:rsidRPr="00452E2E">
        <w:t xml:space="preserve">of </w:t>
      </w:r>
      <w:r w:rsidRPr="00452E2E">
        <w:t>employee benefits offered by their organization. Responses range from 1 (strongly disagree) to 7 (strongly agree). Example of items include: “I am satisfied with the amount or value of the benefits my organization offers”; “the benefits at my organization are much better than those at other similar organizations, in terms of value or amount”; “In general, the benefits at my organization are much better than those at other similar organization”.</w:t>
      </w:r>
    </w:p>
    <w:p w:rsidR="00D03A8E" w:rsidRPr="00452E2E" w:rsidRDefault="00D03A8E" w:rsidP="00D03A8E">
      <w:pPr>
        <w:spacing w:line="360" w:lineRule="auto"/>
        <w:jc w:val="both"/>
      </w:pPr>
      <w:r w:rsidRPr="00452E2E">
        <w:rPr>
          <w:i/>
        </w:rPr>
        <w:t xml:space="preserve">Employee Participation: </w:t>
      </w:r>
      <w:r w:rsidRPr="00452E2E">
        <w:t xml:space="preserve">Employee participation was measured using a 4-item measure of participation taken from </w:t>
      </w:r>
      <w:r w:rsidRPr="00452E2E">
        <w:fldChar w:fldCharType="begin" w:fldLock="1"/>
      </w:r>
      <w:r w:rsidRPr="00452E2E">
        <w:instrText>ADDIN CSL_CITATION { "citationItems" : [ { "id" : "ITEM-1", "itemData" : { "DOI" : "10.5465/AMJ.2007.25525821", "ISBN" : "10.5465/AMJ.2007.25525821", "ISSN" : "0001-4273", "abstract" : "Taking a relational perspective on the employment relationship, we examined processes (mediation and moderation) linking high-performance human resource practices and productivity and turnover, two indicators of organizational performance. Multilevel analysis of data from hotels in the People's Republic of China revealed that service-oriented organizational citizenship behavior (OCB) partially mediated the relationships between high-performance human resource practices and both performance indicators. Unemployment rate moderated the service-oriented OCB--turnover relationship, and business strategy (service quality) moderated the service-oriented OCB--productivity relationship. TS - CrossRef", "author" : [ { "dropping-particle" : "", "family" : "Sun", "given" : "L-Y.", "non-dropping-particle" : "", "parse-names" : false, "suffix" : "" }, { "dropping-particle" : "", "family" : "Aryee", "given" : "S.", "non-dropping-particle" : "", "parse-names" : false, "suffix" : "" }, { "dropping-particle" : "", "family" : "Law", "given" : "K. S.", "non-dropping-particle" : "", "parse-names" : false, "suffix" : "" } ], "container-title" : "Academy of Management Journal", "id" : "ITEM-1", "issue" : "3", "issued" : { "date-parts" : [ [ "2007" ] ] }, "page" : "558-577", "title" : "High-Performance human resource practices, citizenship behavior, and organizational performance: A relational perspective.", "type" : "article-journal", "volume" : "50" }, "uris" : [ "http://www.mendeley.com/documents/?uuid=b2543fd4-42aa-401a-b61f-bd1893207c4c" ] } ], "mendeley" : { "formattedCitation" : "(Sun et al. 2007)", "manualFormatting" : "(Sun et al., 2007)", "plainTextFormattedCitation" : "(Sun et al. 2007)", "previouslyFormattedCitation" : "(Sun et al. 2007)" }, "properties" : { "noteIndex" : 0 }, "schema" : "https://github.com/citation-style-language/schema/raw/master/csl-citation.json" }</w:instrText>
      </w:r>
      <w:r w:rsidRPr="00452E2E">
        <w:fldChar w:fldCharType="separate"/>
      </w:r>
      <w:r w:rsidRPr="00452E2E">
        <w:rPr>
          <w:noProof/>
        </w:rPr>
        <w:t xml:space="preserve">Sun </w:t>
      </w:r>
      <w:r w:rsidRPr="00452E2E">
        <w:rPr>
          <w:i/>
          <w:noProof/>
        </w:rPr>
        <w:t>et al</w:t>
      </w:r>
      <w:r w:rsidR="00056C56" w:rsidRPr="00452E2E">
        <w:rPr>
          <w:noProof/>
        </w:rPr>
        <w:t>.</w:t>
      </w:r>
      <w:r w:rsidRPr="00452E2E">
        <w:rPr>
          <w:noProof/>
        </w:rPr>
        <w:t xml:space="preserve"> </w:t>
      </w:r>
      <w:r w:rsidR="00056C56" w:rsidRPr="00452E2E">
        <w:rPr>
          <w:noProof/>
        </w:rPr>
        <w:t>(</w:t>
      </w:r>
      <w:r w:rsidRPr="00452E2E">
        <w:rPr>
          <w:noProof/>
        </w:rPr>
        <w:t>2007)</w:t>
      </w:r>
      <w:r w:rsidRPr="00452E2E">
        <w:fldChar w:fldCharType="end"/>
      </w:r>
      <w:r w:rsidRPr="00452E2E">
        <w:t xml:space="preserve">. This measures employee perceptions of direct participation in their organization. Responses range from 1 (strongly disagree) to 5 (strongly agree). Items include: “employees are often asked by their superiors to participate in decisions affecting their work”; “individuals are often asked to make decisions concerning their work”; </w:t>
      </w:r>
      <w:r w:rsidRPr="00452E2E">
        <w:lastRenderedPageBreak/>
        <w:t>“employees are often provided the opportunity to make suggestions about the way work is done”; “superiors often keep open communication with employees”.</w:t>
      </w:r>
    </w:p>
    <w:p w:rsidR="00D03A8E" w:rsidRPr="00452E2E" w:rsidRDefault="00D03A8E" w:rsidP="00D03A8E">
      <w:pPr>
        <w:spacing w:line="360" w:lineRule="auto"/>
        <w:jc w:val="both"/>
      </w:pPr>
      <w:r w:rsidRPr="00452E2E">
        <w:rPr>
          <w:i/>
        </w:rPr>
        <w:t>HR Attribution:</w:t>
      </w:r>
      <w:r w:rsidRPr="00452E2E">
        <w:t xml:space="preserve"> This is a measure of employees’ perception of why their organization provides the HR practices that they do. This measure was taken from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al's. (2008)", "plainTextFormattedCitation" : "(Nishii et al. 2008)", "previouslyFormattedCitation" : "(Nishii et al. 2008)" }, "properties" : { "noteIndex" : 0 }, "schema" : "https://github.com/citation-style-language/schema/raw/master/csl-citation.json" }</w:instrText>
      </w:r>
      <w:r w:rsidRPr="00452E2E">
        <w:fldChar w:fldCharType="separate"/>
      </w:r>
      <w:r w:rsidRPr="00452E2E">
        <w:rPr>
          <w:noProof/>
        </w:rPr>
        <w:t xml:space="preserve">Nishii </w:t>
      </w:r>
      <w:r w:rsidRPr="00452E2E">
        <w:rPr>
          <w:i/>
          <w:noProof/>
        </w:rPr>
        <w:t>et al</w:t>
      </w:r>
      <w:r w:rsidRPr="00452E2E">
        <w:rPr>
          <w:noProof/>
        </w:rPr>
        <w:t>'s. (2008)</w:t>
      </w:r>
      <w:r w:rsidRPr="00452E2E">
        <w:fldChar w:fldCharType="end"/>
      </w:r>
      <w:r w:rsidRPr="00452E2E">
        <w:t xml:space="preserve"> 5-item measure of HR attribution. These attributions for the ‘’why’’ of HR practices include: (1) “my present organization provides </w:t>
      </w:r>
      <w:r w:rsidRPr="00452E2E">
        <w:rPr>
          <w:i/>
        </w:rPr>
        <w:t>HR practices</w:t>
      </w:r>
      <w:r w:rsidRPr="00452E2E">
        <w:t xml:space="preserve"> in order to help employees deliver quality services to customers”; (2) “my present organization provides </w:t>
      </w:r>
      <w:r w:rsidRPr="00452E2E">
        <w:rPr>
          <w:i/>
        </w:rPr>
        <w:t>HR practices</w:t>
      </w:r>
      <w:r w:rsidRPr="00452E2E">
        <w:t xml:space="preserve"> so that employees will feel valued and respected – improve employee well-being”; (3) “my present organization provides </w:t>
      </w:r>
      <w:r w:rsidRPr="00452E2E">
        <w:rPr>
          <w:i/>
        </w:rPr>
        <w:t>HR practices</w:t>
      </w:r>
      <w:r w:rsidRPr="00452E2E">
        <w:t xml:space="preserve"> in order to try to keep cost down”; (4) “my present organization provides </w:t>
      </w:r>
      <w:r w:rsidRPr="00452E2E">
        <w:rPr>
          <w:i/>
        </w:rPr>
        <w:t>HR practices</w:t>
      </w:r>
      <w:r w:rsidRPr="00452E2E">
        <w:t xml:space="preserve"> in order to get the most out of workers”; (5) “my present organization provides </w:t>
      </w:r>
      <w:r w:rsidRPr="00452E2E">
        <w:rPr>
          <w:i/>
        </w:rPr>
        <w:t>HR practices</w:t>
      </w:r>
      <w:r w:rsidRPr="00452E2E">
        <w:t xml:space="preserve"> in order to comply with demands from trade unions”. Because employees may have different attributions for different HR practices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Pr="00452E2E">
        <w:fldChar w:fldCharType="separate"/>
      </w:r>
      <w:r w:rsidRPr="00452E2E">
        <w:rPr>
          <w:noProof/>
        </w:rPr>
        <w:t xml:space="preserve">(Nishii </w:t>
      </w:r>
      <w:r w:rsidRPr="00452E2E">
        <w:rPr>
          <w:i/>
          <w:noProof/>
        </w:rPr>
        <w:t>et al</w:t>
      </w:r>
      <w:r w:rsidRPr="00452E2E">
        <w:rPr>
          <w:noProof/>
        </w:rPr>
        <w:t>., 2008)</w:t>
      </w:r>
      <w:r w:rsidRPr="00452E2E">
        <w:fldChar w:fldCharType="end"/>
      </w:r>
      <w:r w:rsidRPr="00452E2E">
        <w:t xml:space="preserve">, these five HR attributions were measured against each of training, employee benefits and employee participation. In doing so, the term </w:t>
      </w:r>
      <w:r w:rsidRPr="00452E2E">
        <w:rPr>
          <w:i/>
        </w:rPr>
        <w:t>HR practices</w:t>
      </w:r>
      <w:r w:rsidRPr="00452E2E">
        <w:t xml:space="preserve"> was replaced with the particular HR practice in question. Whilst attribution 1 &amp; 2 measured “commitment-focused HR attribution”</w:t>
      </w:r>
      <w:r w:rsidRPr="00452E2E">
        <w:rPr>
          <w:i/>
        </w:rPr>
        <w:t xml:space="preserve">, </w:t>
      </w:r>
      <w:r w:rsidRPr="00452E2E">
        <w:t xml:space="preserve">attribution 3 &amp; 4 measured “control-focused HR attribution” whilst attribution 5 measured “union compliance HR attribution” (Nishii </w:t>
      </w:r>
      <w:r w:rsidRPr="00452E2E">
        <w:rPr>
          <w:i/>
        </w:rPr>
        <w:t>et al</w:t>
      </w:r>
      <w:r w:rsidRPr="00452E2E">
        <w:t xml:space="preserve">., 2008). It is the aggregation of the various attributions across the 3 HR practices that form each construct of HR attribution (Nishii </w:t>
      </w:r>
      <w:r w:rsidRPr="00452E2E">
        <w:rPr>
          <w:i/>
        </w:rPr>
        <w:t>et al</w:t>
      </w:r>
      <w:r w:rsidRPr="00452E2E">
        <w:t>., 2008).</w:t>
      </w:r>
    </w:p>
    <w:p w:rsidR="00D03A8E" w:rsidRPr="00452E2E" w:rsidRDefault="00D03A8E" w:rsidP="00D03A8E">
      <w:pPr>
        <w:spacing w:line="360" w:lineRule="auto"/>
        <w:jc w:val="both"/>
      </w:pPr>
      <w:r w:rsidRPr="00452E2E">
        <w:rPr>
          <w:i/>
        </w:rPr>
        <w:t xml:space="preserve">Organizational Commitment: </w:t>
      </w:r>
      <w:r w:rsidRPr="00452E2E">
        <w:t xml:space="preserve">Organizational commitment was measured using a three-component measure of organizational commitment developed by </w:t>
      </w:r>
      <w:r w:rsidRPr="00452E2E">
        <w:fldChar w:fldCharType="begin" w:fldLock="1"/>
      </w:r>
      <w:r w:rsidRPr="00452E2E">
        <w:instrText>ADDIN CSL_CITATION { "citationItems" : [ { "id" : "ITEM-1", "itemData" : { "author" : [ { "dropping-particle" : "", "family" : "Meyer", "given" : "John P.", "non-dropping-particle" : "", "parse-names" : false, "suffix" : "" }, { "dropping-particle" : "", "family" : "Allen", "given" : "Natalie J.", "non-dropping-particle" : "", "parse-names" : false, "suffix" : "" }, { "dropping-particle" : "", "family" : "Smith", "given" : "C. A.", "non-dropping-particle" : "", "parse-names" : false, "suffix" : "" } ], "container-title" : "Journal of Applied Psychology", "id" : "ITEM-1", "issue" : "4", "issued" : { "date-parts" : [ [ "1993" ] ] }, "page" : "538-551", "title" : "Commitment to organizations and occupations: Extension and test of a three-component conceptualization", "type" : "article-journal", "volume" : "78" }, "uris" : [ "http://www.mendeley.com/documents/?uuid=e0abe2df-7603-4404-bea4-e4cb529615c7" ] } ], "mendeley" : { "formattedCitation" : "(Meyer et al. 1993)", "manualFormatting" : "Meyer et al. (1993)", "plainTextFormattedCitation" : "(Meyer et al. 1993)", "previouslyFormattedCitation" : "(Meyer et al. 1993)" }, "properties" : { "noteIndex" : 0 }, "schema" : "https://github.com/citation-style-language/schema/raw/master/csl-citation.json" }</w:instrText>
      </w:r>
      <w:r w:rsidRPr="00452E2E">
        <w:fldChar w:fldCharType="separate"/>
      </w:r>
      <w:r w:rsidRPr="00452E2E">
        <w:rPr>
          <w:noProof/>
        </w:rPr>
        <w:t xml:space="preserve">Meyer </w:t>
      </w:r>
      <w:r w:rsidRPr="00452E2E">
        <w:rPr>
          <w:i/>
          <w:noProof/>
        </w:rPr>
        <w:t>et al</w:t>
      </w:r>
      <w:r w:rsidRPr="00452E2E">
        <w:rPr>
          <w:noProof/>
        </w:rPr>
        <w:t>. (1993)</w:t>
      </w:r>
      <w:r w:rsidRPr="00452E2E">
        <w:fldChar w:fldCharType="end"/>
      </w:r>
      <w:r w:rsidRPr="00452E2E">
        <w:t>. The instrument has 6 items measuring each of affective, normative and continuance commitment. Responses range from 1 (strongly disagree) to 7 (strongly agree). Example of items reflecting the three forms of commitment respectively include: “I would be happy to spend the rest of my career with this organization”; “this organization deserves my loyalty”; “right now staying with my organization is a matter of necessity as much as desire”.</w:t>
      </w:r>
    </w:p>
    <w:p w:rsidR="00D03A8E" w:rsidRPr="00452E2E" w:rsidRDefault="00D03A8E" w:rsidP="00D03A8E">
      <w:pPr>
        <w:spacing w:line="360" w:lineRule="auto"/>
        <w:jc w:val="both"/>
      </w:pPr>
      <w:r w:rsidRPr="00452E2E">
        <w:rPr>
          <w:i/>
        </w:rPr>
        <w:t xml:space="preserve">Job Satisfaction: </w:t>
      </w:r>
      <w:r w:rsidRPr="00452E2E">
        <w:t xml:space="preserve">Job satisfaction was measured using a short version of </w:t>
      </w:r>
      <w:r w:rsidRPr="00452E2E">
        <w:fldChar w:fldCharType="begin" w:fldLock="1"/>
      </w:r>
      <w:r w:rsidRPr="00452E2E">
        <w:instrText>ADDIN CSL_CITATION { "citationItems" : [ { "id" : "ITEM-1", "itemData" : { "abstract" : "An attitude scale to give an index of job satisfaction was constructed by a combination of Thurstone and Likert scaling methods. A corrected odd-even reliability coefficient of .87 was computed from scores obtained from a sample of 231 female office employees. Validity was investigated by comparing job satisfaction scores of two groups: (1) 40 students who had personnel jobs, and (2) 51 persons who did not. The mean for the personnel group was 76.9, and for the Non-Personnel group was 65.4. Correlation with the Hoppock Job Satisfaction Blank was r = .92. (PsycINFO Database Record (c) 2012 APA, all rights reserved)", "author" : [ { "dropping-particle" : "", "family" : "Brayfield", "given" : "Arthur H.", "non-dropping-particle" : "", "parse-names" : false, "suffix" : "" }, { "dropping-particle" : "", "family" : "Rothe", "given" : "Harold F.", "non-dropping-particle" : "", "parse-names" : false, "suffix" : "" } ], "container-title" : "Journal of Applied Psychology", "id" : "ITEM-1", "issue" : "5", "issued" : { "date-parts" : [ [ "1951" ] ] }, "page" : "307-311", "title" : "An index of job satisfaction", "type" : "article-journal", "volume" : "35" }, "uris" : [ "http://www.mendeley.com/documents/?uuid=db7fc512-c01e-4dbb-9d01-862301f59ff6" ] } ], "mendeley" : { "formattedCitation" : "(Brayfield &amp; Rothe 1951)", "manualFormatting" : "Brayfield &amp; Rothe's (1951)", "plainTextFormattedCitation" : "(Brayfield &amp; Rothe 1951)", "previouslyFormattedCitation" : "(Brayfield &amp; Rothe 1951)" }, "properties" : { "noteIndex" : 0 }, "schema" : "https://github.com/citation-style-language/schema/raw/master/csl-citation.json" }</w:instrText>
      </w:r>
      <w:r w:rsidRPr="00452E2E">
        <w:fldChar w:fldCharType="separate"/>
      </w:r>
      <w:r w:rsidRPr="00452E2E">
        <w:rPr>
          <w:noProof/>
        </w:rPr>
        <w:t>Brayfield &amp; Rothe's (1951)</w:t>
      </w:r>
      <w:r w:rsidRPr="00452E2E">
        <w:fldChar w:fldCharType="end"/>
      </w:r>
      <w:r w:rsidRPr="00452E2E">
        <w:t xml:space="preserve"> measure of job satisfaction. This measure of job satisfaction is </w:t>
      </w:r>
      <w:r w:rsidRPr="00452E2E">
        <w:lastRenderedPageBreak/>
        <w:t xml:space="preserve">short, easy to complete and provides an index of job satisfaction. As noted by </w:t>
      </w:r>
      <w:r w:rsidRPr="00452E2E">
        <w:fldChar w:fldCharType="begin" w:fldLock="1"/>
      </w:r>
      <w:r w:rsidRPr="00452E2E">
        <w:instrText>ADDIN CSL_CITATION { "citationItems" : [ { "id" : "ITEM-1", "itemData" : { "author" : [ { "dropping-particle" : "", "family" : "Judge", "given" : "Timothy A", "non-dropping-particle" : "", "parse-names" : false, "suffix" : "" }, { "dropping-particle" : "", "family" : "Klinger", "given" : "R", "non-dropping-particle" : "", "parse-names" : false, "suffix" : "" } ], "container-title" : "The science of subjective well-being", "editor" : [ { "dropping-particle" : "", "family" : "Eid", "given" : "M", "non-dropping-particle" : "", "parse-names" : false, "suffix" : "" }, { "dropping-particle" : "", "family" : "Larsen", "given" : "R", "non-dropping-particle" : "", "parse-names" : false, "suffix" : "" } ], "id" : "ITEM-1", "issued" : { "date-parts" : [ [ "2007" ] ] }, "page" : "393-413", "publisher" : "Guildford Publication", "publisher-place" : "New York", "title" : "Job satisfaction: Subjective well-being at work", "type" : "chapter" }, "uris" : [ "http://www.mendeley.com/documents/?uuid=3bd0e217-3f61-479a-b58a-1fb1445f420f" ] } ], "mendeley" : { "formattedCitation" : "(Judge &amp; Klinger 2007)", "manualFormatting" : "Judge &amp; Klinger (2007)", "plainTextFormattedCitation" : "(Judge &amp; Klinger 2007)", "previouslyFormattedCitation" : "(Judge &amp; Klinger 2007)" }, "properties" : { "noteIndex" : 0 }, "schema" : "https://github.com/citation-style-language/schema/raw/master/csl-citation.json" }</w:instrText>
      </w:r>
      <w:r w:rsidRPr="00452E2E">
        <w:fldChar w:fldCharType="separate"/>
      </w:r>
      <w:r w:rsidRPr="00452E2E">
        <w:rPr>
          <w:noProof/>
        </w:rPr>
        <w:t>Judge &amp; Klinger (2007)</w:t>
      </w:r>
      <w:r w:rsidRPr="00452E2E">
        <w:fldChar w:fldCharType="end"/>
      </w:r>
      <w:r w:rsidRPr="00452E2E">
        <w:t>, it has been widely used in previous research with high reliability and anchored from 1 (strongly disagree) to 5 (strongly agree). Example of items include: “most days I am enthusiastic about my work; “I feel fairly satisfied with my present job”.</w:t>
      </w:r>
    </w:p>
    <w:p w:rsidR="00D03A8E" w:rsidRPr="00452E2E" w:rsidRDefault="00D03A8E" w:rsidP="00D03A8E">
      <w:pPr>
        <w:spacing w:line="360" w:lineRule="auto"/>
        <w:jc w:val="both"/>
      </w:pPr>
      <w:r w:rsidRPr="00452E2E">
        <w:rPr>
          <w:i/>
        </w:rPr>
        <w:t xml:space="preserve">Procedural Justice: </w:t>
      </w:r>
      <w:r w:rsidRPr="00452E2E">
        <w:t xml:space="preserve">This was measured using a 7-item of procedural justice developed by </w:t>
      </w:r>
      <w:r w:rsidRPr="00452E2E">
        <w:fldChar w:fldCharType="begin" w:fldLock="1"/>
      </w:r>
      <w:r w:rsidRPr="00452E2E">
        <w:instrText>ADDIN CSL_CITATION { "citationItems" : [ { "id" : "ITEM-1", "itemData" : { "author" : [ { "dropping-particle" : "", "family" : "Moorman", "given" : "Robert H", "non-dropping-particle" : "", "parse-names" : false, "suffix" : "" } ], "container-title" : "Journal of Applied Psychology", "id" : "ITEM-1", "issue" : "6", "issued" : { "date-parts" : [ [ "1991" ] ] }, "page" : "845-855", "title" : "Relationship between organizational justice and organizational citizenship behaviors : Do fairness perceptions influence employee citizenship?", "type" : "article-journal", "volume" : "76" }, "uris" : [ "http://www.mendeley.com/documents/?uuid=f6bc80b6-d493-40f6-8f3d-7e39d4a3d62c" ] } ], "mendeley" : { "formattedCitation" : "(Moorman 1991)", "manualFormatting" : "Moorman (1991)", "plainTextFormattedCitation" : "(Moorman 1991)", "previouslyFormattedCitation" : "(Moorman 1991)" }, "properties" : { "noteIndex" : 0 }, "schema" : "https://github.com/citation-style-language/schema/raw/master/csl-citation.json" }</w:instrText>
      </w:r>
      <w:r w:rsidRPr="00452E2E">
        <w:fldChar w:fldCharType="separate"/>
      </w:r>
      <w:r w:rsidRPr="00452E2E">
        <w:rPr>
          <w:noProof/>
        </w:rPr>
        <w:t>Moorman (1991)</w:t>
      </w:r>
      <w:r w:rsidRPr="00452E2E">
        <w:fldChar w:fldCharType="end"/>
      </w:r>
      <w:r w:rsidRPr="00452E2E">
        <w:t xml:space="preserve">. This measure of procedural justice is very easy to understand and has been validated across different contexts </w:t>
      </w:r>
      <w:r w:rsidRPr="00452E2E">
        <w:fldChar w:fldCharType="begin" w:fldLock="1"/>
      </w:r>
      <w:r w:rsidRPr="00452E2E">
        <w:instrText>ADDIN CSL_CITATION { "citationItems" : [ { "id" : "ITEM-1", "itemData" : { "abstract" : "Data obtained from a manufacturing firm and a newspaper firm in India were used to examine the relationship between organizational politics and procedural justice in three separate studies. Study 1 constructively replicated research on the distinctiveness of the two constructs. Confirmatory factor analyses in which data from the manufacturing firm served as the development sample and data from the newspaper firm served as the validation sample demonstrated the distinctiveness of organizational politics and procedural justice. Study 2 examined the antecedents of the two constructs using data from the manufacturing firm. Structural equation modeling (SEM) results revealed formalization and participation in decision making to be positively related to procedural justice but negatively related to organizational politics. Further, authority hierarchy and spatial distance were positively related to organizational politics but unrelated to procedural justice. Study 3 examined the consequences of the two constructs in terms of task and contextual performance using data from the newspaper firm. Results of SEM analysis revealed procedural justice but not organizational politics to be related to task performance and the contextual performance dimensions of interpersonal facilitation and job dedication. \u00a9 2004 Elsevier Inc. All rights reserved.", "author" : [ { "dropping-particle" : "", "family" : "Aryee", "given" : "Samuel", "non-dropping-particle" : "", "parse-names" : false, "suffix" : "" }, { "dropping-particle" : "", "family" : "Chen", "given" : "Zhen Xiong", "non-dropping-particle" : "", "parse-names" : false, "suffix" : "" }, { "dropping-particle" : "", "family" : "Budhwar", "given" : "Pawan S.", "non-dropping-particle" : "", "parse-names" : false, "suffix" : "" } ], "container-title" : "Organizational Behavior and Human Decision Processes", "id" : "ITEM-1", "issue" : "1", "issued" : { "date-parts" : [ [ "2004" ] ] }, "page" : "1-14", "title" : "Exchange fairness and employee performance: An examination of the relationship between organizational politics and procedural justice", "type" : "article-journal", "volume" : "94" }, "uris" : [ "http://www.mendeley.com/documents/?uuid=359cf47c-0c25-4a4c-87ab-34521dbecea5" ] } ], "mendeley" : { "formattedCitation" : "(Aryee et al. 2004)", "manualFormatting" : "(Aryee et al., 2004)", "plainTextFormattedCitation" : "(Aryee et al. 2004)", "previouslyFormattedCitation" : "(Aryee et al. 2004)" }, "properties" : { "noteIndex" : 0 }, "schema" : "https://github.com/citation-style-language/schema/raw/master/csl-citation.json" }</w:instrText>
      </w:r>
      <w:r w:rsidRPr="00452E2E">
        <w:fldChar w:fldCharType="separate"/>
      </w:r>
      <w:r w:rsidRPr="00452E2E">
        <w:rPr>
          <w:noProof/>
        </w:rPr>
        <w:t xml:space="preserve">(Aryee </w:t>
      </w:r>
      <w:r w:rsidRPr="00452E2E">
        <w:rPr>
          <w:i/>
          <w:noProof/>
        </w:rPr>
        <w:t>et al</w:t>
      </w:r>
      <w:r w:rsidRPr="00452E2E">
        <w:rPr>
          <w:noProof/>
        </w:rPr>
        <w:t>., 2004)</w:t>
      </w:r>
      <w:r w:rsidRPr="00452E2E">
        <w:fldChar w:fldCharType="end"/>
      </w:r>
      <w:r w:rsidRPr="00452E2E">
        <w:t>. The responses to this measure range from 1 (strongly disagree) to 7 (strongly agree). Example of items include: “my present organization has procedures designed to collect accurate information necessary for decision making”; “my present organization has procedures designed to have all the sides affected by decisions represented”; “my present organization has procedures designed to hear concerns of all those affected by decisions”.</w:t>
      </w:r>
    </w:p>
    <w:p w:rsidR="00D03A8E" w:rsidRPr="00452E2E" w:rsidRDefault="00D03A8E" w:rsidP="00D03A8E">
      <w:pPr>
        <w:pStyle w:val="Heading4"/>
      </w:pPr>
      <w:bookmarkStart w:id="103" w:name="_Toc473808156"/>
      <w:r w:rsidRPr="00452E2E">
        <w:t>4.5.5 Data Analysis for study 2</w:t>
      </w:r>
      <w:bookmarkEnd w:id="103"/>
    </w:p>
    <w:p w:rsidR="00A0212B" w:rsidRPr="00452E2E" w:rsidRDefault="00D03A8E" w:rsidP="00D03A8E">
      <w:pPr>
        <w:spacing w:line="360" w:lineRule="auto"/>
        <w:jc w:val="both"/>
      </w:pPr>
      <w:r w:rsidRPr="00452E2E">
        <w:t xml:space="preserve">In order to test hypotheses for this study, multiple regression analysis was used to test the direct relationship between HR practices and employee attitudes whilst mediation analysis was used to test the mediation effect of procedural justice and HR attribution on the relationship between HR practices and employee attitudes. On the other hand, moderated mediation analysis was used to test the moderation effect of sector on the mediation effect of procedural justice and HR attribution on the relationship between HR practices and employee attitudes. Details of data analysis for </w:t>
      </w:r>
      <w:r w:rsidRPr="00452E2E">
        <w:rPr>
          <w:i/>
        </w:rPr>
        <w:t xml:space="preserve">study 2 </w:t>
      </w:r>
      <w:r w:rsidRPr="00452E2E">
        <w:t>are provided in chapter 7.</w:t>
      </w:r>
      <w:r w:rsidR="00D24D5A" w:rsidRPr="00452E2E">
        <w:t xml:space="preserve"> Meanwhile, table 4.2 </w:t>
      </w:r>
      <w:r w:rsidR="009220EB" w:rsidRPr="00452E2E">
        <w:t>overleaf</w:t>
      </w:r>
      <w:r w:rsidR="00D24D5A" w:rsidRPr="00452E2E">
        <w:t xml:space="preserve"> presents the summary of data sources, showing the samples and the response rates and how the data sources are linked, followed by a discussion of the ethical considerations for the research in the subsequent section. </w:t>
      </w:r>
    </w:p>
    <w:p w:rsidR="00DC5AC6" w:rsidRPr="00452E2E" w:rsidRDefault="00DC5AC6" w:rsidP="00D03A8E">
      <w:pPr>
        <w:spacing w:line="360" w:lineRule="auto"/>
        <w:jc w:val="both"/>
      </w:pPr>
    </w:p>
    <w:p w:rsidR="00DC5AC6" w:rsidRPr="00452E2E" w:rsidRDefault="00DC5AC6" w:rsidP="00D03A8E">
      <w:pPr>
        <w:spacing w:line="360" w:lineRule="auto"/>
        <w:jc w:val="both"/>
      </w:pPr>
    </w:p>
    <w:p w:rsidR="00DC5AC6" w:rsidRPr="00452E2E" w:rsidRDefault="00DC5AC6" w:rsidP="00D03A8E">
      <w:pPr>
        <w:spacing w:line="360" w:lineRule="auto"/>
        <w:jc w:val="both"/>
      </w:pPr>
    </w:p>
    <w:p w:rsidR="00F020BB" w:rsidRPr="00452E2E" w:rsidRDefault="00F020BB" w:rsidP="00F020BB">
      <w:pPr>
        <w:pStyle w:val="Caption"/>
        <w:keepNext/>
      </w:pPr>
      <w:r w:rsidRPr="00452E2E">
        <w:lastRenderedPageBreak/>
        <w:t xml:space="preserve">Table 4. </w:t>
      </w:r>
      <w:r w:rsidR="00B26571">
        <w:fldChar w:fldCharType="begin"/>
      </w:r>
      <w:r w:rsidR="00B26571">
        <w:instrText xml:space="preserve"> SEQ Table_4. \* ARABIC </w:instrText>
      </w:r>
      <w:r w:rsidR="00B26571">
        <w:fldChar w:fldCharType="separate"/>
      </w:r>
      <w:r w:rsidRPr="00452E2E">
        <w:rPr>
          <w:noProof/>
        </w:rPr>
        <w:t>2</w:t>
      </w:r>
      <w:r w:rsidR="00B26571">
        <w:rPr>
          <w:noProof/>
        </w:rPr>
        <w:fldChar w:fldCharType="end"/>
      </w:r>
      <w:r w:rsidRPr="00452E2E">
        <w:t xml:space="preserve"> Summary of Data Sources</w:t>
      </w:r>
    </w:p>
    <w:tbl>
      <w:tblPr>
        <w:tblW w:w="9180" w:type="dxa"/>
        <w:tblLayout w:type="fixed"/>
        <w:tblCellMar>
          <w:left w:w="10" w:type="dxa"/>
          <w:right w:w="10" w:type="dxa"/>
        </w:tblCellMar>
        <w:tblLook w:val="04A0" w:firstRow="1" w:lastRow="0" w:firstColumn="1" w:lastColumn="0" w:noHBand="0" w:noVBand="1"/>
      </w:tblPr>
      <w:tblGrid>
        <w:gridCol w:w="1060"/>
        <w:gridCol w:w="6986"/>
        <w:gridCol w:w="1134"/>
      </w:tblGrid>
      <w:tr w:rsidR="00452E2E" w:rsidRPr="00452E2E" w:rsidTr="000200A3">
        <w:trPr>
          <w:trHeight w:val="367"/>
        </w:trPr>
        <w:tc>
          <w:tcPr>
            <w:tcW w:w="1060" w:type="dxa"/>
            <w:tcBorders>
              <w:top w:val="single" w:sz="12" w:space="0" w:color="auto"/>
              <w:bottom w:val="single" w:sz="12" w:space="0" w:color="auto"/>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b/>
                <w:bCs/>
                <w:sz w:val="20"/>
                <w:szCs w:val="20"/>
              </w:rPr>
            </w:pPr>
          </w:p>
        </w:tc>
        <w:tc>
          <w:tcPr>
            <w:tcW w:w="6986" w:type="dxa"/>
            <w:tcBorders>
              <w:top w:val="single" w:sz="12" w:space="0" w:color="auto"/>
              <w:left w:val="nil"/>
              <w:bottom w:val="single" w:sz="12" w:space="0" w:color="auto"/>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b/>
                <w:bCs/>
                <w:sz w:val="20"/>
                <w:szCs w:val="20"/>
              </w:rPr>
            </w:pPr>
            <w:r w:rsidRPr="00452E2E">
              <w:rPr>
                <w:b/>
                <w:bCs/>
                <w:sz w:val="20"/>
                <w:szCs w:val="20"/>
              </w:rPr>
              <w:t>Description</w:t>
            </w:r>
          </w:p>
        </w:tc>
        <w:tc>
          <w:tcPr>
            <w:tcW w:w="1134" w:type="dxa"/>
            <w:tcBorders>
              <w:top w:val="single" w:sz="12" w:space="0" w:color="auto"/>
              <w:left w:val="single" w:sz="4" w:space="0" w:color="FFFFFF"/>
              <w:bottom w:val="single" w:sz="12" w:space="0" w:color="auto"/>
            </w:tcBorders>
            <w:shd w:val="clear" w:color="auto" w:fill="FFFFFF" w:themeFill="background1"/>
            <w:tcMar>
              <w:top w:w="0" w:type="dxa"/>
              <w:left w:w="108" w:type="dxa"/>
              <w:bottom w:w="0" w:type="dxa"/>
              <w:right w:w="108" w:type="dxa"/>
            </w:tcMar>
            <w:hideMark/>
          </w:tcPr>
          <w:p w:rsidR="00A0212B" w:rsidRPr="00452E2E" w:rsidRDefault="00A0212B" w:rsidP="000200A3">
            <w:pPr>
              <w:spacing w:line="240" w:lineRule="auto"/>
              <w:rPr>
                <w:b/>
                <w:bCs/>
                <w:sz w:val="20"/>
                <w:szCs w:val="20"/>
              </w:rPr>
            </w:pPr>
            <w:r w:rsidRPr="00452E2E">
              <w:rPr>
                <w:b/>
                <w:bCs/>
                <w:sz w:val="20"/>
                <w:szCs w:val="20"/>
              </w:rPr>
              <w:t>Number</w:t>
            </w:r>
          </w:p>
        </w:tc>
      </w:tr>
      <w:tr w:rsidR="00452E2E" w:rsidRPr="00452E2E" w:rsidTr="000200A3">
        <w:tc>
          <w:tcPr>
            <w:tcW w:w="8046" w:type="dxa"/>
            <w:gridSpan w:val="2"/>
            <w:tcBorders>
              <w:top w:val="single" w:sz="12" w:space="0" w:color="auto"/>
              <w:left w:val="single" w:sz="4" w:space="0" w:color="FFFFFF" w:themeColor="background1"/>
              <w:right w:val="single" w:sz="4" w:space="0" w:color="FFFFFF"/>
            </w:tcBorders>
            <w:shd w:val="clear" w:color="auto" w:fill="FFFFFF" w:themeFill="background1"/>
            <w:tcMar>
              <w:top w:w="0" w:type="dxa"/>
              <w:left w:w="108" w:type="dxa"/>
              <w:bottom w:w="0" w:type="dxa"/>
              <w:right w:w="108" w:type="dxa"/>
            </w:tcMar>
          </w:tcPr>
          <w:p w:rsidR="00A0212B" w:rsidRPr="00452E2E" w:rsidRDefault="00A0212B" w:rsidP="000200A3">
            <w:pPr>
              <w:spacing w:after="0" w:line="240" w:lineRule="auto"/>
              <w:rPr>
                <w:b/>
                <w:bCs/>
                <w:sz w:val="20"/>
                <w:szCs w:val="20"/>
              </w:rPr>
            </w:pPr>
            <w:r w:rsidRPr="00452E2E">
              <w:rPr>
                <w:b/>
                <w:bCs/>
                <w:sz w:val="20"/>
                <w:szCs w:val="20"/>
              </w:rPr>
              <w:t>Study 1</w:t>
            </w:r>
          </w:p>
        </w:tc>
        <w:tc>
          <w:tcPr>
            <w:tcW w:w="1134" w:type="dxa"/>
            <w:tcBorders>
              <w:top w:val="single" w:sz="12" w:space="0" w:color="auto"/>
              <w:left w:val="single" w:sz="4" w:space="0" w:color="FFFFFF"/>
              <w:right w:val="single" w:sz="4" w:space="0" w:color="FFFFFF" w:themeColor="background1"/>
            </w:tcBorders>
            <w:shd w:val="clear" w:color="auto" w:fill="FFFFFF" w:themeFill="background1"/>
            <w:tcMar>
              <w:top w:w="0" w:type="dxa"/>
              <w:left w:w="108" w:type="dxa"/>
              <w:bottom w:w="0" w:type="dxa"/>
              <w:right w:w="108" w:type="dxa"/>
            </w:tcMar>
          </w:tcPr>
          <w:p w:rsidR="00A0212B" w:rsidRPr="00452E2E" w:rsidRDefault="00A0212B" w:rsidP="000200A3">
            <w:pPr>
              <w:spacing w:after="0" w:line="240" w:lineRule="auto"/>
              <w:rPr>
                <w:sz w:val="20"/>
                <w:szCs w:val="20"/>
              </w:rPr>
            </w:pPr>
          </w:p>
        </w:tc>
      </w:tr>
      <w:tr w:rsidR="00452E2E" w:rsidRPr="00452E2E" w:rsidTr="000200A3">
        <w:tc>
          <w:tcPr>
            <w:tcW w:w="1060" w:type="dxa"/>
            <w:tcBorders>
              <w:left w:val="single" w:sz="4" w:space="0" w:color="FFFFFF" w:themeColor="background1"/>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1</w:t>
            </w:r>
          </w:p>
        </w:tc>
        <w:tc>
          <w:tcPr>
            <w:tcW w:w="6986" w:type="dxa"/>
            <w:tcBorders>
              <w:left w:val="single" w:sz="4" w:space="0" w:color="FFFFFF"/>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b/>
                <w:bCs/>
                <w:sz w:val="20"/>
                <w:szCs w:val="20"/>
              </w:rPr>
            </w:pPr>
            <w:r w:rsidRPr="00452E2E">
              <w:rPr>
                <w:b/>
                <w:bCs/>
                <w:sz w:val="20"/>
                <w:szCs w:val="20"/>
              </w:rPr>
              <w:t xml:space="preserve">Number of questionnaires administered </w:t>
            </w:r>
            <w:r w:rsidRPr="00452E2E">
              <w:rPr>
                <w:bCs/>
                <w:sz w:val="20"/>
                <w:szCs w:val="20"/>
              </w:rPr>
              <w:t>(1 HR managers each from public and private organisations)</w:t>
            </w:r>
          </w:p>
        </w:tc>
        <w:tc>
          <w:tcPr>
            <w:tcW w:w="1134" w:type="dxa"/>
            <w:tcBorders>
              <w:left w:val="single" w:sz="4" w:space="0" w:color="FFFFFF"/>
              <w:bottom w:val="single" w:sz="4" w:space="0" w:color="FFFFFF" w:themeColor="background1"/>
              <w:right w:val="single" w:sz="4" w:space="0" w:color="FFFFFF" w:themeColor="background1"/>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228</w:t>
            </w:r>
          </w:p>
        </w:tc>
      </w:tr>
      <w:tr w:rsidR="00452E2E" w:rsidRPr="00452E2E" w:rsidTr="000200A3">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tcPr>
          <w:p w:rsidR="00A0212B" w:rsidRPr="00452E2E" w:rsidRDefault="00A0212B" w:rsidP="000200A3">
            <w:pPr>
              <w:spacing w:after="0" w:line="240" w:lineRule="auto"/>
              <w:rPr>
                <w:sz w:val="20"/>
                <w:szCs w:val="20"/>
              </w:rPr>
            </w:pPr>
          </w:p>
        </w:tc>
        <w:tc>
          <w:tcPr>
            <w:tcW w:w="698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A0212B">
            <w:pPr>
              <w:pStyle w:val="ListParagraph"/>
              <w:numPr>
                <w:ilvl w:val="0"/>
                <w:numId w:val="27"/>
              </w:numPr>
              <w:suppressAutoHyphens/>
              <w:autoSpaceDN w:val="0"/>
              <w:spacing w:after="0" w:line="240" w:lineRule="auto"/>
              <w:contextualSpacing w:val="0"/>
              <w:rPr>
                <w:sz w:val="20"/>
                <w:szCs w:val="20"/>
              </w:rPr>
            </w:pPr>
            <w:r w:rsidRPr="00452E2E">
              <w:rPr>
                <w:sz w:val="20"/>
                <w:szCs w:val="20"/>
              </w:rPr>
              <w:t>Number of questionnaire returned</w:t>
            </w:r>
          </w:p>
        </w:tc>
        <w:tc>
          <w:tcPr>
            <w:tcW w:w="1134"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126</w:t>
            </w:r>
          </w:p>
        </w:tc>
      </w:tr>
      <w:tr w:rsidR="00452E2E" w:rsidRPr="00452E2E" w:rsidTr="000200A3">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tcPr>
          <w:p w:rsidR="00A0212B" w:rsidRPr="00452E2E" w:rsidRDefault="00A0212B" w:rsidP="000200A3">
            <w:pPr>
              <w:spacing w:after="0" w:line="240" w:lineRule="auto"/>
              <w:rPr>
                <w:sz w:val="20"/>
                <w:szCs w:val="20"/>
              </w:rPr>
            </w:pPr>
          </w:p>
        </w:tc>
        <w:tc>
          <w:tcPr>
            <w:tcW w:w="698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A0212B">
            <w:pPr>
              <w:pStyle w:val="ListParagraph"/>
              <w:numPr>
                <w:ilvl w:val="0"/>
                <w:numId w:val="27"/>
              </w:numPr>
              <w:suppressAutoHyphens/>
              <w:autoSpaceDN w:val="0"/>
              <w:spacing w:after="0" w:line="240" w:lineRule="auto"/>
              <w:contextualSpacing w:val="0"/>
              <w:rPr>
                <w:sz w:val="20"/>
                <w:szCs w:val="20"/>
              </w:rPr>
            </w:pPr>
            <w:r w:rsidRPr="00452E2E">
              <w:rPr>
                <w:sz w:val="20"/>
                <w:szCs w:val="20"/>
              </w:rPr>
              <w:t>Number of questionnaire with complete information</w:t>
            </w:r>
          </w:p>
        </w:tc>
        <w:tc>
          <w:tcPr>
            <w:tcW w:w="1134"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122</w:t>
            </w:r>
          </w:p>
        </w:tc>
      </w:tr>
      <w:tr w:rsidR="00452E2E" w:rsidRPr="00452E2E" w:rsidTr="000200A3">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tcPr>
          <w:p w:rsidR="00A0212B" w:rsidRPr="00452E2E" w:rsidRDefault="00A0212B" w:rsidP="000200A3">
            <w:pPr>
              <w:spacing w:after="0" w:line="240" w:lineRule="auto"/>
              <w:rPr>
                <w:sz w:val="20"/>
                <w:szCs w:val="20"/>
              </w:rPr>
            </w:pPr>
          </w:p>
        </w:tc>
        <w:tc>
          <w:tcPr>
            <w:tcW w:w="698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tcPr>
          <w:p w:rsidR="00A0212B" w:rsidRPr="00452E2E" w:rsidRDefault="00A0212B" w:rsidP="00A0212B">
            <w:pPr>
              <w:pStyle w:val="ListParagraph"/>
              <w:numPr>
                <w:ilvl w:val="0"/>
                <w:numId w:val="27"/>
              </w:numPr>
              <w:suppressAutoHyphens/>
              <w:autoSpaceDN w:val="0"/>
              <w:spacing w:after="0" w:line="240" w:lineRule="auto"/>
              <w:contextualSpacing w:val="0"/>
              <w:rPr>
                <w:sz w:val="20"/>
                <w:szCs w:val="20"/>
              </w:rPr>
            </w:pPr>
            <w:r w:rsidRPr="00452E2E">
              <w:rPr>
                <w:bCs/>
                <w:sz w:val="20"/>
                <w:szCs w:val="20"/>
              </w:rPr>
              <w:t>Number of firms providing incomplete data</w:t>
            </w:r>
          </w:p>
        </w:tc>
        <w:tc>
          <w:tcPr>
            <w:tcW w:w="1134"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FF" w:themeFill="background1"/>
            <w:tcMar>
              <w:top w:w="0" w:type="dxa"/>
              <w:left w:w="108" w:type="dxa"/>
              <w:bottom w:w="0" w:type="dxa"/>
              <w:right w:w="108" w:type="dxa"/>
            </w:tcMar>
          </w:tcPr>
          <w:p w:rsidR="00A0212B" w:rsidRPr="00452E2E" w:rsidRDefault="00A0212B" w:rsidP="000200A3">
            <w:pPr>
              <w:spacing w:after="0" w:line="240" w:lineRule="auto"/>
              <w:rPr>
                <w:sz w:val="20"/>
                <w:szCs w:val="20"/>
              </w:rPr>
            </w:pPr>
            <w:r w:rsidRPr="00452E2E">
              <w:rPr>
                <w:sz w:val="20"/>
                <w:szCs w:val="20"/>
              </w:rPr>
              <w:t>4</w:t>
            </w:r>
          </w:p>
        </w:tc>
      </w:tr>
      <w:tr w:rsidR="00452E2E" w:rsidRPr="00452E2E" w:rsidTr="000200A3">
        <w:tc>
          <w:tcPr>
            <w:tcW w:w="1060" w:type="dxa"/>
            <w:tcBorders>
              <w:top w:val="single" w:sz="4" w:space="0" w:color="FFFFFF" w:themeColor="background1"/>
              <w:left w:val="single" w:sz="4" w:space="0" w:color="FFFFFF" w:themeColor="background1"/>
              <w:bottom w:val="single" w:sz="12" w:space="0" w:color="auto"/>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2</w:t>
            </w:r>
          </w:p>
        </w:tc>
        <w:tc>
          <w:tcPr>
            <w:tcW w:w="6986" w:type="dxa"/>
            <w:tcBorders>
              <w:top w:val="single" w:sz="4" w:space="0" w:color="FFFFFF" w:themeColor="background1"/>
              <w:left w:val="single" w:sz="4" w:space="0" w:color="FFFFFF"/>
              <w:bottom w:val="single" w:sz="12" w:space="0" w:color="auto"/>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uppressAutoHyphens/>
              <w:autoSpaceDN w:val="0"/>
              <w:spacing w:after="0" w:line="240" w:lineRule="auto"/>
              <w:rPr>
                <w:sz w:val="20"/>
                <w:szCs w:val="20"/>
              </w:rPr>
            </w:pPr>
            <w:r w:rsidRPr="00452E2E">
              <w:rPr>
                <w:b/>
                <w:sz w:val="20"/>
                <w:szCs w:val="20"/>
              </w:rPr>
              <w:t xml:space="preserve">Interviews </w:t>
            </w:r>
            <w:r w:rsidRPr="00452E2E">
              <w:rPr>
                <w:sz w:val="20"/>
                <w:szCs w:val="20"/>
              </w:rPr>
              <w:t>(sample drawn from firms above)</w:t>
            </w:r>
          </w:p>
          <w:p w:rsidR="00A0212B" w:rsidRPr="00452E2E" w:rsidRDefault="00A0212B" w:rsidP="00A0212B">
            <w:pPr>
              <w:pStyle w:val="ListParagraph"/>
              <w:numPr>
                <w:ilvl w:val="0"/>
                <w:numId w:val="27"/>
              </w:numPr>
              <w:suppressAutoHyphens/>
              <w:autoSpaceDN w:val="0"/>
              <w:spacing w:after="0" w:line="240" w:lineRule="auto"/>
              <w:contextualSpacing w:val="0"/>
              <w:rPr>
                <w:sz w:val="20"/>
                <w:szCs w:val="20"/>
              </w:rPr>
            </w:pPr>
            <w:r w:rsidRPr="00452E2E">
              <w:rPr>
                <w:sz w:val="20"/>
                <w:szCs w:val="20"/>
              </w:rPr>
              <w:t>Number of HR managers/firms interviewed (banks &amp; hospitals)</w:t>
            </w:r>
          </w:p>
        </w:tc>
        <w:tc>
          <w:tcPr>
            <w:tcW w:w="1134" w:type="dxa"/>
            <w:tcBorders>
              <w:top w:val="single" w:sz="4" w:space="0" w:color="FFFFFF" w:themeColor="background1"/>
              <w:left w:val="single" w:sz="4" w:space="0" w:color="FFFFFF"/>
              <w:bottom w:val="single" w:sz="12" w:space="0" w:color="auto"/>
              <w:right w:val="single" w:sz="4" w:space="0" w:color="FFFFFF" w:themeColor="background1"/>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p>
          <w:p w:rsidR="00A0212B" w:rsidRPr="00452E2E" w:rsidRDefault="00A0212B" w:rsidP="000200A3">
            <w:pPr>
              <w:spacing w:after="0" w:line="240" w:lineRule="auto"/>
              <w:rPr>
                <w:sz w:val="20"/>
                <w:szCs w:val="20"/>
              </w:rPr>
            </w:pPr>
            <w:r w:rsidRPr="00452E2E">
              <w:rPr>
                <w:sz w:val="20"/>
                <w:szCs w:val="20"/>
              </w:rPr>
              <w:t>13</w:t>
            </w:r>
          </w:p>
        </w:tc>
      </w:tr>
      <w:tr w:rsidR="00452E2E" w:rsidRPr="00452E2E" w:rsidTr="000200A3">
        <w:tc>
          <w:tcPr>
            <w:tcW w:w="8046" w:type="dxa"/>
            <w:gridSpan w:val="2"/>
            <w:tcBorders>
              <w:top w:val="single" w:sz="12" w:space="0" w:color="auto"/>
              <w:left w:val="single" w:sz="4" w:space="0" w:color="FFFFFF" w:themeColor="background1"/>
              <w:right w:val="single" w:sz="4" w:space="0" w:color="FFFFFF"/>
            </w:tcBorders>
            <w:shd w:val="clear" w:color="auto" w:fill="FFFFFF" w:themeFill="background1"/>
            <w:tcMar>
              <w:top w:w="0" w:type="dxa"/>
              <w:left w:w="108" w:type="dxa"/>
              <w:bottom w:w="0" w:type="dxa"/>
              <w:right w:w="108" w:type="dxa"/>
            </w:tcMar>
          </w:tcPr>
          <w:p w:rsidR="00A0212B" w:rsidRPr="00452E2E" w:rsidRDefault="00A0212B" w:rsidP="000200A3">
            <w:pPr>
              <w:suppressAutoHyphens/>
              <w:autoSpaceDN w:val="0"/>
              <w:spacing w:after="0" w:line="240" w:lineRule="auto"/>
              <w:rPr>
                <w:b/>
                <w:sz w:val="20"/>
                <w:szCs w:val="20"/>
              </w:rPr>
            </w:pPr>
            <w:r w:rsidRPr="00452E2E">
              <w:rPr>
                <w:b/>
                <w:sz w:val="20"/>
                <w:szCs w:val="20"/>
              </w:rPr>
              <w:t>Study 2</w:t>
            </w:r>
          </w:p>
        </w:tc>
        <w:tc>
          <w:tcPr>
            <w:tcW w:w="1134" w:type="dxa"/>
            <w:tcBorders>
              <w:top w:val="single" w:sz="12" w:space="0" w:color="auto"/>
              <w:left w:val="single" w:sz="4" w:space="0" w:color="FFFFFF"/>
              <w:right w:val="single" w:sz="4" w:space="0" w:color="FFFFFF" w:themeColor="background1"/>
            </w:tcBorders>
            <w:shd w:val="clear" w:color="auto" w:fill="FFFFFF" w:themeFill="background1"/>
            <w:tcMar>
              <w:top w:w="0" w:type="dxa"/>
              <w:left w:w="108" w:type="dxa"/>
              <w:bottom w:w="0" w:type="dxa"/>
              <w:right w:w="108" w:type="dxa"/>
            </w:tcMar>
          </w:tcPr>
          <w:p w:rsidR="00A0212B" w:rsidRPr="00452E2E" w:rsidRDefault="00A0212B" w:rsidP="000200A3">
            <w:pPr>
              <w:spacing w:after="0" w:line="240" w:lineRule="auto"/>
              <w:rPr>
                <w:sz w:val="20"/>
                <w:szCs w:val="20"/>
              </w:rPr>
            </w:pPr>
          </w:p>
        </w:tc>
      </w:tr>
      <w:tr w:rsidR="00452E2E" w:rsidRPr="00452E2E" w:rsidTr="000200A3">
        <w:tc>
          <w:tcPr>
            <w:tcW w:w="1060" w:type="dxa"/>
            <w:tcBorders>
              <w:left w:val="single" w:sz="4" w:space="0" w:color="FFFFFF" w:themeColor="background1"/>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1</w:t>
            </w:r>
          </w:p>
        </w:tc>
        <w:tc>
          <w:tcPr>
            <w:tcW w:w="6986" w:type="dxa"/>
            <w:tcBorders>
              <w:left w:val="single" w:sz="4" w:space="0" w:color="FFFFFF"/>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uppressAutoHyphens/>
              <w:autoSpaceDN w:val="0"/>
              <w:spacing w:after="0" w:line="240" w:lineRule="auto"/>
              <w:rPr>
                <w:sz w:val="20"/>
                <w:szCs w:val="20"/>
              </w:rPr>
            </w:pPr>
            <w:r w:rsidRPr="00452E2E">
              <w:rPr>
                <w:b/>
                <w:sz w:val="20"/>
                <w:szCs w:val="20"/>
              </w:rPr>
              <w:t xml:space="preserve">Number of questionnaires administered to non-managerial employees </w:t>
            </w:r>
            <w:r w:rsidRPr="00452E2E">
              <w:rPr>
                <w:sz w:val="20"/>
                <w:szCs w:val="20"/>
              </w:rPr>
              <w:t>(Sample drawn from 13 banks &amp; hospitals that participated in managerial interviews)</w:t>
            </w:r>
          </w:p>
        </w:tc>
        <w:tc>
          <w:tcPr>
            <w:tcW w:w="1134" w:type="dxa"/>
            <w:tcBorders>
              <w:left w:val="single" w:sz="4" w:space="0" w:color="FFFFFF"/>
              <w:bottom w:val="single" w:sz="4" w:space="0" w:color="FFFFFF" w:themeColor="background1"/>
              <w:right w:val="single" w:sz="4" w:space="0" w:color="FFFFFF" w:themeColor="background1"/>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1000</w:t>
            </w:r>
          </w:p>
        </w:tc>
      </w:tr>
      <w:tr w:rsidR="00452E2E" w:rsidRPr="00452E2E" w:rsidTr="000200A3">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p>
        </w:tc>
        <w:tc>
          <w:tcPr>
            <w:tcW w:w="6986" w:type="dxa"/>
            <w:tcBorders>
              <w:top w:val="single" w:sz="4" w:space="0" w:color="FFFFFF" w:themeColor="background1"/>
              <w:left w:val="single" w:sz="4" w:space="0" w:color="FFFFFF"/>
              <w:bottom w:val="single" w:sz="4" w:space="0" w:color="FFFFFF" w:themeColor="background1"/>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A0212B">
            <w:pPr>
              <w:pStyle w:val="ListParagraph"/>
              <w:numPr>
                <w:ilvl w:val="0"/>
                <w:numId w:val="27"/>
              </w:numPr>
              <w:suppressAutoHyphens/>
              <w:autoSpaceDN w:val="0"/>
              <w:spacing w:after="0" w:line="240" w:lineRule="auto"/>
              <w:contextualSpacing w:val="0"/>
              <w:rPr>
                <w:sz w:val="20"/>
                <w:szCs w:val="20"/>
              </w:rPr>
            </w:pPr>
            <w:r w:rsidRPr="00452E2E">
              <w:rPr>
                <w:sz w:val="20"/>
                <w:szCs w:val="20"/>
              </w:rPr>
              <w:t>Number of questionnaire returned</w:t>
            </w:r>
          </w:p>
          <w:p w:rsidR="00A0212B" w:rsidRPr="00452E2E" w:rsidRDefault="00A0212B" w:rsidP="00A0212B">
            <w:pPr>
              <w:pStyle w:val="ListParagraph"/>
              <w:numPr>
                <w:ilvl w:val="0"/>
                <w:numId w:val="27"/>
              </w:numPr>
              <w:suppressAutoHyphens/>
              <w:autoSpaceDN w:val="0"/>
              <w:spacing w:after="0" w:line="240" w:lineRule="auto"/>
              <w:contextualSpacing w:val="0"/>
              <w:rPr>
                <w:sz w:val="20"/>
                <w:szCs w:val="20"/>
              </w:rPr>
            </w:pPr>
            <w:r w:rsidRPr="00452E2E">
              <w:rPr>
                <w:sz w:val="20"/>
                <w:szCs w:val="20"/>
              </w:rPr>
              <w:t>Number of firms providing complete information</w:t>
            </w:r>
          </w:p>
        </w:tc>
        <w:tc>
          <w:tcPr>
            <w:tcW w:w="1134" w:type="dxa"/>
            <w:tcBorders>
              <w:top w:val="single" w:sz="4" w:space="0" w:color="FFFFFF" w:themeColor="background1"/>
              <w:left w:val="single" w:sz="4" w:space="0" w:color="FFFFFF"/>
              <w:bottom w:val="single" w:sz="4" w:space="0" w:color="FFFFFF" w:themeColor="background1"/>
              <w:right w:val="single" w:sz="4" w:space="0" w:color="FFFFFF" w:themeColor="background1"/>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539</w:t>
            </w:r>
          </w:p>
          <w:p w:rsidR="00A0212B" w:rsidRPr="00452E2E" w:rsidRDefault="00A0212B" w:rsidP="000200A3">
            <w:pPr>
              <w:spacing w:after="0" w:line="240" w:lineRule="auto"/>
              <w:rPr>
                <w:sz w:val="20"/>
                <w:szCs w:val="20"/>
              </w:rPr>
            </w:pPr>
            <w:r w:rsidRPr="00452E2E">
              <w:rPr>
                <w:sz w:val="20"/>
                <w:szCs w:val="20"/>
              </w:rPr>
              <w:t>521</w:t>
            </w:r>
          </w:p>
        </w:tc>
      </w:tr>
      <w:tr w:rsidR="00452E2E" w:rsidRPr="00452E2E" w:rsidTr="000200A3">
        <w:tc>
          <w:tcPr>
            <w:tcW w:w="1060" w:type="dxa"/>
            <w:tcBorders>
              <w:top w:val="single" w:sz="4" w:space="0" w:color="FFFFFF" w:themeColor="background1"/>
              <w:left w:val="single" w:sz="4" w:space="0" w:color="FFFFFF" w:themeColor="background1"/>
              <w:bottom w:val="single" w:sz="12" w:space="0" w:color="auto"/>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p>
        </w:tc>
        <w:tc>
          <w:tcPr>
            <w:tcW w:w="6986" w:type="dxa"/>
            <w:tcBorders>
              <w:top w:val="single" w:sz="4" w:space="0" w:color="FFFFFF" w:themeColor="background1"/>
              <w:left w:val="single" w:sz="4" w:space="0" w:color="FFFFFF"/>
              <w:bottom w:val="single" w:sz="12" w:space="0" w:color="auto"/>
              <w:right w:val="single" w:sz="4" w:space="0" w:color="FFFFFF"/>
            </w:tcBorders>
            <w:shd w:val="clear" w:color="auto" w:fill="FFFFFF" w:themeFill="background1"/>
            <w:tcMar>
              <w:top w:w="0" w:type="dxa"/>
              <w:left w:w="108" w:type="dxa"/>
              <w:bottom w:w="0" w:type="dxa"/>
              <w:right w:w="108" w:type="dxa"/>
            </w:tcMar>
            <w:hideMark/>
          </w:tcPr>
          <w:p w:rsidR="00A0212B" w:rsidRPr="00452E2E" w:rsidRDefault="00A0212B" w:rsidP="00A0212B">
            <w:pPr>
              <w:pStyle w:val="ListParagraph"/>
              <w:numPr>
                <w:ilvl w:val="0"/>
                <w:numId w:val="28"/>
              </w:numPr>
              <w:spacing w:after="0" w:line="240" w:lineRule="auto"/>
              <w:rPr>
                <w:bCs/>
                <w:sz w:val="20"/>
                <w:szCs w:val="20"/>
              </w:rPr>
            </w:pPr>
            <w:r w:rsidRPr="00452E2E">
              <w:rPr>
                <w:bCs/>
                <w:sz w:val="20"/>
                <w:szCs w:val="20"/>
              </w:rPr>
              <w:t>Number of firms providing incomplete data</w:t>
            </w:r>
          </w:p>
        </w:tc>
        <w:tc>
          <w:tcPr>
            <w:tcW w:w="1134" w:type="dxa"/>
            <w:tcBorders>
              <w:top w:val="single" w:sz="4" w:space="0" w:color="FFFFFF" w:themeColor="background1"/>
              <w:left w:val="single" w:sz="4" w:space="0" w:color="FFFFFF"/>
              <w:bottom w:val="single" w:sz="12" w:space="0" w:color="auto"/>
              <w:right w:val="single" w:sz="4" w:space="0" w:color="FFFFFF" w:themeColor="background1"/>
            </w:tcBorders>
            <w:shd w:val="clear" w:color="auto" w:fill="FFFFFF" w:themeFill="background1"/>
            <w:tcMar>
              <w:top w:w="0" w:type="dxa"/>
              <w:left w:w="108" w:type="dxa"/>
              <w:bottom w:w="0" w:type="dxa"/>
              <w:right w:w="108" w:type="dxa"/>
            </w:tcMar>
            <w:hideMark/>
          </w:tcPr>
          <w:p w:rsidR="00A0212B" w:rsidRPr="00452E2E" w:rsidRDefault="00A0212B" w:rsidP="000200A3">
            <w:pPr>
              <w:spacing w:after="0" w:line="240" w:lineRule="auto"/>
              <w:rPr>
                <w:sz w:val="20"/>
                <w:szCs w:val="20"/>
              </w:rPr>
            </w:pPr>
            <w:r w:rsidRPr="00452E2E">
              <w:rPr>
                <w:sz w:val="20"/>
                <w:szCs w:val="20"/>
              </w:rPr>
              <w:t>18</w:t>
            </w:r>
          </w:p>
        </w:tc>
      </w:tr>
    </w:tbl>
    <w:p w:rsidR="00A0212B" w:rsidRPr="00452E2E" w:rsidRDefault="00A0212B" w:rsidP="00A0212B">
      <w:pPr>
        <w:rPr>
          <w:sz w:val="20"/>
          <w:szCs w:val="20"/>
        </w:rPr>
      </w:pPr>
    </w:p>
    <w:p w:rsidR="00D03A8E" w:rsidRPr="00452E2E" w:rsidRDefault="00D24D5A" w:rsidP="00D03A8E">
      <w:pPr>
        <w:spacing w:line="360" w:lineRule="auto"/>
        <w:jc w:val="both"/>
      </w:pPr>
      <w:r w:rsidRPr="00452E2E">
        <w:t xml:space="preserve">  </w:t>
      </w:r>
    </w:p>
    <w:p w:rsidR="00D03A8E" w:rsidRPr="00452E2E" w:rsidRDefault="00D03A8E" w:rsidP="00170224">
      <w:pPr>
        <w:pStyle w:val="Heading3"/>
      </w:pPr>
      <w:bookmarkStart w:id="104" w:name="_Toc465271186"/>
      <w:bookmarkStart w:id="105" w:name="_Toc473808157"/>
      <w:r w:rsidRPr="00452E2E">
        <w:t>4.6 Ethical Considerations</w:t>
      </w:r>
      <w:bookmarkEnd w:id="104"/>
      <w:bookmarkEnd w:id="105"/>
    </w:p>
    <w:p w:rsidR="00D03A8E" w:rsidRPr="00452E2E" w:rsidRDefault="00D03A8E" w:rsidP="00D03A8E">
      <w:pPr>
        <w:spacing w:line="360" w:lineRule="auto"/>
        <w:jc w:val="both"/>
      </w:pPr>
      <w:r w:rsidRPr="00452E2E">
        <w:t xml:space="preserve">Researchers are confronted with ethical considerations and potential ethical dilemmas in the course of conducting research (Hair </w:t>
      </w:r>
      <w:r w:rsidRPr="00452E2E">
        <w:rPr>
          <w:i/>
        </w:rPr>
        <w:t>et al</w:t>
      </w:r>
      <w:r w:rsidRPr="00452E2E">
        <w:t xml:space="preserve">., 2007; Bryman &amp; Bell, 2011). It is incumbent on the researcher to fashion out ways to ensure that research is conducted in an ethical manner. Of course, unethical actions can cause harm to participants and/or undermine the credibility of research findings (Hair </w:t>
      </w:r>
      <w:r w:rsidRPr="00452E2E">
        <w:rPr>
          <w:i/>
        </w:rPr>
        <w:t>et al</w:t>
      </w:r>
      <w:r w:rsidRPr="00452E2E">
        <w:t>., 2007). In this research, the researcher ensured that the entire research process was carried out ethically. The key ethical considerations that relate to this research were: access; informed consent; anonymity of participants; handling of data; and gaining ethical approval. These are discussed in the paragraphs below.</w:t>
      </w:r>
    </w:p>
    <w:p w:rsidR="00D03A8E" w:rsidRPr="00452E2E" w:rsidRDefault="00D03A8E" w:rsidP="00A2662B">
      <w:pPr>
        <w:pStyle w:val="ListParagraph"/>
        <w:numPr>
          <w:ilvl w:val="0"/>
          <w:numId w:val="10"/>
        </w:numPr>
        <w:spacing w:before="240" w:line="360" w:lineRule="auto"/>
        <w:ind w:left="0" w:firstLine="0"/>
        <w:jc w:val="both"/>
      </w:pPr>
      <w:r w:rsidRPr="00452E2E">
        <w:rPr>
          <w:i/>
        </w:rPr>
        <w:t>Access:</w:t>
      </w:r>
      <w:r w:rsidRPr="00452E2E">
        <w:t xml:space="preserve"> The participants in this research do not exist in a vacuum; they exist in organizations by virtue of their employment in those organizations. It is based on their employment and the role they play in these organizations that the researcher was interested in obtaining data from these participants. Therefore, in order to gain access to the participants ethically, the researcher negotiated access with every organization that participated in this research. The various organizations were informed of the aim of the research project and the level of involvement of each organization. Each organization approved that their </w:t>
      </w:r>
      <w:r w:rsidRPr="00452E2E">
        <w:lastRenderedPageBreak/>
        <w:t>organization be used as research sites for the study before the participants were approached. This means that the researcher obtained access in the proper manner rather than approaching the participants ‘through the back door’.</w:t>
      </w:r>
    </w:p>
    <w:p w:rsidR="00A2662B" w:rsidRPr="00452E2E" w:rsidRDefault="00A2662B" w:rsidP="00A2662B">
      <w:pPr>
        <w:pStyle w:val="ListParagraph"/>
        <w:spacing w:before="240" w:line="360" w:lineRule="auto"/>
        <w:ind w:left="0"/>
        <w:jc w:val="both"/>
      </w:pPr>
    </w:p>
    <w:p w:rsidR="00D03A8E" w:rsidRPr="00452E2E" w:rsidRDefault="00D03A8E" w:rsidP="00D03A8E">
      <w:pPr>
        <w:pStyle w:val="ListParagraph"/>
        <w:numPr>
          <w:ilvl w:val="0"/>
          <w:numId w:val="10"/>
        </w:numPr>
        <w:spacing w:line="360" w:lineRule="auto"/>
        <w:ind w:left="0" w:firstLine="0"/>
        <w:jc w:val="both"/>
      </w:pPr>
      <w:r w:rsidRPr="00452E2E">
        <w:rPr>
          <w:i/>
        </w:rPr>
        <w:t>Informed Consent:</w:t>
      </w:r>
      <w:r w:rsidRPr="00452E2E">
        <w:t xml:space="preserve"> Even though the organizations participating this research accepted to participate in this study, it did not translate to consent on the part of the participants. The researcher therefore met with the participants to inform them of the purpose of the study and their level of participation. In each case, an information sheet was provided to the participants based on their level of participation. The information sheet described the details about the research and what was expected of the participants by virtue of their participation in the research. The information she</w:t>
      </w:r>
      <w:r w:rsidRPr="00452E2E">
        <w:rPr>
          <w:i/>
        </w:rPr>
        <w:t>et al</w:t>
      </w:r>
      <w:r w:rsidRPr="00452E2E">
        <w:t xml:space="preserve">so contained information to the effect that participation was voluntary; that their responses would be treated anonymously; and that they could withdraw from the study at any time without any consequences to them. </w:t>
      </w:r>
    </w:p>
    <w:p w:rsidR="00D03A8E" w:rsidRPr="00452E2E" w:rsidRDefault="00D03A8E" w:rsidP="00D03A8E">
      <w:pPr>
        <w:pStyle w:val="ListParagraph"/>
        <w:ind w:left="0"/>
      </w:pPr>
    </w:p>
    <w:p w:rsidR="00D03A8E" w:rsidRPr="00452E2E" w:rsidRDefault="00D03A8E" w:rsidP="00D03A8E">
      <w:pPr>
        <w:pStyle w:val="ListParagraph"/>
        <w:spacing w:line="360" w:lineRule="auto"/>
        <w:ind w:left="0"/>
        <w:jc w:val="both"/>
      </w:pPr>
      <w:r w:rsidRPr="00452E2E">
        <w:t xml:space="preserve">Where interviews were involved, the information sheet contained information to the effect that the interviews would be recorded if the participants so wished; and that they could request for the recording to be stopped at any point during the interview. Also, participants were informed that they were at liberty to decline answering any question in the course of the interview. The essence of distributing the information sheet to the participants was to enable them understand every aspect of their participation in the research in order to reach an informed decision on whether or not they were willing to participate in the research. Participants were given time (usually 2-3 days) to go through the information sheet before they could make up their minds about participating in the research. </w:t>
      </w:r>
    </w:p>
    <w:p w:rsidR="00D03A8E" w:rsidRPr="00452E2E" w:rsidRDefault="00D03A8E" w:rsidP="00D03A8E">
      <w:pPr>
        <w:pStyle w:val="ListParagraph"/>
        <w:spacing w:line="360" w:lineRule="auto"/>
        <w:ind w:left="0"/>
        <w:jc w:val="both"/>
      </w:pPr>
    </w:p>
    <w:p w:rsidR="00D03A8E" w:rsidRPr="00452E2E" w:rsidRDefault="00266AF1" w:rsidP="00A2662B">
      <w:pPr>
        <w:pStyle w:val="ListParagraph"/>
        <w:spacing w:before="240" w:line="360" w:lineRule="auto"/>
        <w:ind w:left="0"/>
        <w:jc w:val="both"/>
      </w:pPr>
      <w:r w:rsidRPr="00452E2E">
        <w:t>Moreover,</w:t>
      </w:r>
      <w:r w:rsidR="00D03A8E" w:rsidRPr="00452E2E">
        <w:t xml:space="preserve"> participation in the research was voluntary as no participant was coerced to participate in the research. Thus, it was after each participant had voluntarily accepted to take part in the study that data collection began with each of them. For the participants completing only questionnaires, it was printed boldly on the questionnaire to reiterate that participation was voluntary and that </w:t>
      </w:r>
      <w:r w:rsidR="00D03A8E" w:rsidRPr="00452E2E">
        <w:lastRenderedPageBreak/>
        <w:t>by completing and returning the questionnaires, they were consenting to participate in the study. For those that participated in the interviews, a consent form was provided for them to sign as evidence that they were consenting to participate in the research.</w:t>
      </w:r>
    </w:p>
    <w:p w:rsidR="00A2662B" w:rsidRPr="00452E2E" w:rsidRDefault="00A2662B" w:rsidP="00A2662B">
      <w:pPr>
        <w:pStyle w:val="ListParagraph"/>
        <w:spacing w:before="240" w:line="360" w:lineRule="auto"/>
        <w:ind w:left="0"/>
        <w:jc w:val="both"/>
      </w:pPr>
    </w:p>
    <w:p w:rsidR="00D03A8E" w:rsidRPr="00452E2E" w:rsidRDefault="00D03A8E" w:rsidP="00A2662B">
      <w:pPr>
        <w:pStyle w:val="ListParagraph"/>
        <w:numPr>
          <w:ilvl w:val="0"/>
          <w:numId w:val="10"/>
        </w:numPr>
        <w:spacing w:before="240" w:line="360" w:lineRule="auto"/>
        <w:ind w:left="0" w:firstLine="0"/>
        <w:jc w:val="both"/>
      </w:pPr>
      <w:r w:rsidRPr="00452E2E">
        <w:rPr>
          <w:i/>
        </w:rPr>
        <w:t>Anonymity of Participants:</w:t>
      </w:r>
      <w:r w:rsidRPr="00452E2E">
        <w:t xml:space="preserve"> Right from the point of negotiating access with the organizations that participated in the research, the researcher made it clear that the identity of the participating organizations would not be disclosed. Equally, the researcher also made it clear to participants that their identity would not be disclosed in the research. Therefore, throughout this thesis, the researcher has not mentioned the name of any of the organizations that participated in this research. At the same time, the respondents’ identity has not being disclosed anywhere in the thesis. Rather, the data collected were analysed collectively and described in a way that the reader would not have any idea of who the participants and their respective organizations were. The essence is to avoid any form of psychological harm to the participants.</w:t>
      </w:r>
    </w:p>
    <w:p w:rsidR="00A2662B" w:rsidRPr="00452E2E" w:rsidRDefault="00A2662B" w:rsidP="00A2662B">
      <w:pPr>
        <w:pStyle w:val="ListParagraph"/>
        <w:spacing w:before="240" w:line="360" w:lineRule="auto"/>
        <w:ind w:left="0"/>
        <w:jc w:val="both"/>
      </w:pPr>
    </w:p>
    <w:p w:rsidR="00D03A8E" w:rsidRPr="00452E2E" w:rsidRDefault="00D03A8E" w:rsidP="00D03A8E">
      <w:pPr>
        <w:pStyle w:val="ListParagraph"/>
        <w:numPr>
          <w:ilvl w:val="0"/>
          <w:numId w:val="10"/>
        </w:numPr>
        <w:spacing w:line="360" w:lineRule="auto"/>
        <w:ind w:left="0" w:firstLine="0"/>
        <w:jc w:val="both"/>
      </w:pPr>
      <w:r w:rsidRPr="00452E2E">
        <w:rPr>
          <w:i/>
        </w:rPr>
        <w:t>Handling of Data:</w:t>
      </w:r>
      <w:r w:rsidRPr="00452E2E">
        <w:t xml:space="preserve"> The data collected for this research was handled in such a way as to guarantee the privacy of the respondents and also to avoid loss of data. Although research assistants (RA’s) assisted in the collection of data for this research, they had no access to the responses of participants. This is because each completed questionnaire was returned to the RA’s in a sealed envelope that was given to the respondents alongside the questionnaires. Equally, whilst the HR managers were instrumental in helping the researcher gain access to, and identify the participants for the employee survey, they had no access to the participants’ responses since completed questionnaires were sealed and returned directly to the RA’s. In turn, the RA’s kept the returned questionnaires safely in a locked bag-like box that had a small opening that allowed completed questionnaires to be dropped in but which enabled the returned questionnaires to be accessed only by the researcher who had keys to the box. Of course, since the researcher was in Nigeria during the field work, the researcher ensured that all returned questionnaires reached him as soon as possible. In addition, the </w:t>
      </w:r>
      <w:r w:rsidRPr="00452E2E">
        <w:lastRenderedPageBreak/>
        <w:t xml:space="preserve">researcher was able to monitor the work of the RA’s through random visits to research sites, communication with them and the HR managers. </w:t>
      </w:r>
    </w:p>
    <w:p w:rsidR="00D03A8E" w:rsidRPr="00452E2E" w:rsidRDefault="00D03A8E" w:rsidP="00D03A8E">
      <w:pPr>
        <w:pStyle w:val="ListParagraph"/>
        <w:spacing w:line="360" w:lineRule="auto"/>
        <w:ind w:left="0"/>
        <w:jc w:val="both"/>
      </w:pPr>
    </w:p>
    <w:p w:rsidR="00D03A8E" w:rsidRPr="00452E2E" w:rsidRDefault="00D03A8E" w:rsidP="00A2662B">
      <w:pPr>
        <w:pStyle w:val="ListParagraph"/>
        <w:spacing w:line="360" w:lineRule="auto"/>
        <w:ind w:left="0"/>
        <w:jc w:val="both"/>
      </w:pPr>
      <w:r w:rsidRPr="00452E2E">
        <w:t>The researcher kept all returned questionnaires safely in his research base in Nigeria prior to returning to Sheffield. Once the field work was over, the researcher travelled with all completed questionnaires to Sheffield and coded the responses in a password-protected computer. This means that only the researcher had access to the data. Once the responses were coded onto SPSS computer programme, the researcher destroyed hard copies of the questionnaires. As for interviews, the researcher conducted each interview personally without the involvement of any third party. These interviews were first of all recorded on a password-protected recorder and transferred onto a password-protected computer. Once these interviews were transcribed and loaded onto Nvivo computer programme, all the recordings were deleted.</w:t>
      </w:r>
    </w:p>
    <w:p w:rsidR="00A2662B" w:rsidRPr="00452E2E" w:rsidRDefault="00A2662B" w:rsidP="00A2662B">
      <w:pPr>
        <w:pStyle w:val="ListParagraph"/>
        <w:spacing w:line="360" w:lineRule="auto"/>
        <w:ind w:left="0"/>
        <w:jc w:val="both"/>
      </w:pPr>
    </w:p>
    <w:p w:rsidR="00D03A8E" w:rsidRPr="00452E2E" w:rsidRDefault="00D03A8E" w:rsidP="00D03A8E">
      <w:pPr>
        <w:pStyle w:val="ListParagraph"/>
        <w:numPr>
          <w:ilvl w:val="0"/>
          <w:numId w:val="10"/>
        </w:numPr>
        <w:spacing w:line="360" w:lineRule="auto"/>
        <w:ind w:left="0" w:firstLine="0"/>
        <w:jc w:val="both"/>
      </w:pPr>
      <w:r w:rsidRPr="00452E2E">
        <w:rPr>
          <w:i/>
        </w:rPr>
        <w:t>Ethics Approval:</w:t>
      </w:r>
      <w:r w:rsidRPr="00452E2E">
        <w:t xml:space="preserve"> As a result of the ethical manner the researcher proposed to conduct this research, the research project was given approval on ethics grounds by Sheffield University Management School’s Ethics Review Committee with reference number </w:t>
      </w:r>
      <w:r w:rsidRPr="00452E2E">
        <w:rPr>
          <w:i/>
        </w:rPr>
        <w:t>001916.</w:t>
      </w:r>
      <w:r w:rsidRPr="00452E2E">
        <w:rPr>
          <w:b/>
        </w:rPr>
        <w:t xml:space="preserve"> </w:t>
      </w:r>
      <w:r w:rsidR="009262A4" w:rsidRPr="00452E2E">
        <w:t>T</w:t>
      </w:r>
      <w:r w:rsidRPr="00452E2E">
        <w:t>his approval was obtained before the researcher commenced the field work. Even in the course of conducting the research, the researcher did not deviate from the proposed ethical considerations upon which the ethics approval was given.</w:t>
      </w:r>
    </w:p>
    <w:p w:rsidR="00A2662B" w:rsidRPr="00452E2E" w:rsidRDefault="00A2662B" w:rsidP="00D03A8E">
      <w:pPr>
        <w:pStyle w:val="ListParagraph"/>
        <w:spacing w:line="360" w:lineRule="auto"/>
        <w:ind w:left="0"/>
        <w:jc w:val="both"/>
      </w:pPr>
    </w:p>
    <w:p w:rsidR="00D03A8E" w:rsidRPr="00452E2E" w:rsidRDefault="00D03A8E" w:rsidP="00170224">
      <w:pPr>
        <w:pStyle w:val="Heading3"/>
      </w:pPr>
      <w:bookmarkStart w:id="106" w:name="_Toc465271187"/>
      <w:bookmarkStart w:id="107" w:name="_Toc473808158"/>
      <w:r w:rsidRPr="00452E2E">
        <w:t>4.7 Summary</w:t>
      </w:r>
      <w:bookmarkEnd w:id="106"/>
      <w:bookmarkEnd w:id="107"/>
    </w:p>
    <w:p w:rsidR="00D03A8E" w:rsidRPr="00452E2E" w:rsidRDefault="00D03A8E" w:rsidP="00D03A8E">
      <w:pPr>
        <w:spacing w:line="360" w:lineRule="auto"/>
        <w:jc w:val="both"/>
      </w:pPr>
      <w:r w:rsidRPr="00452E2E">
        <w:t xml:space="preserve">In this chapter, the methodology for conducting the research was presented. As I have shown, the research is comprised of 2 studies that were labelled as </w:t>
      </w:r>
      <w:r w:rsidRPr="00452E2E">
        <w:rPr>
          <w:i/>
        </w:rPr>
        <w:t>study 1</w:t>
      </w:r>
      <w:r w:rsidRPr="00452E2E">
        <w:t xml:space="preserve"> and </w:t>
      </w:r>
      <w:r w:rsidRPr="00452E2E">
        <w:rPr>
          <w:i/>
        </w:rPr>
        <w:t>study 2</w:t>
      </w:r>
      <w:r w:rsidRPr="00452E2E">
        <w:t xml:space="preserve"> respectively. Whereas </w:t>
      </w:r>
      <w:r w:rsidRPr="00452E2E">
        <w:rPr>
          <w:i/>
        </w:rPr>
        <w:t xml:space="preserve">study 1 </w:t>
      </w:r>
      <w:r w:rsidRPr="00452E2E">
        <w:t xml:space="preserve">was aimed at exploring the institutional influence on HRM in public and private sector as well as examining the specific techniques of HRM in both sectors, </w:t>
      </w:r>
      <w:r w:rsidRPr="00452E2E">
        <w:rPr>
          <w:i/>
        </w:rPr>
        <w:t xml:space="preserve">study 2 </w:t>
      </w:r>
      <w:r w:rsidRPr="00452E2E">
        <w:t xml:space="preserve">was aimed at examining the effects of HR practices on employee attitudes in public and private sector. The underlying nature of these studies means that the participants in </w:t>
      </w:r>
      <w:r w:rsidRPr="00452E2E">
        <w:rPr>
          <w:i/>
        </w:rPr>
        <w:t>study 1</w:t>
      </w:r>
      <w:r w:rsidRPr="00452E2E">
        <w:t xml:space="preserve"> were HR managers who provided data on behalf of their organizations whilst </w:t>
      </w:r>
      <w:r w:rsidRPr="00452E2E">
        <w:rPr>
          <w:i/>
        </w:rPr>
        <w:t>study 2</w:t>
      </w:r>
      <w:r w:rsidRPr="00452E2E">
        <w:t xml:space="preserve"> was focused on non-managerial employees who are usually at the receiving end </w:t>
      </w:r>
      <w:r w:rsidRPr="00452E2E">
        <w:lastRenderedPageBreak/>
        <w:t xml:space="preserve">of HR practices. Whilst quantitative and qualitative methods were employed in </w:t>
      </w:r>
      <w:r w:rsidRPr="00452E2E">
        <w:rPr>
          <w:i/>
        </w:rPr>
        <w:t>study 1</w:t>
      </w:r>
      <w:r w:rsidRPr="00452E2E">
        <w:t xml:space="preserve">, only quantitative methods were utilised in </w:t>
      </w:r>
      <w:r w:rsidRPr="00452E2E">
        <w:rPr>
          <w:i/>
        </w:rPr>
        <w:t>study 2</w:t>
      </w:r>
      <w:r w:rsidRPr="00452E2E">
        <w:t xml:space="preserve">. These two studies however integrate because the findings from </w:t>
      </w:r>
      <w:r w:rsidRPr="00452E2E">
        <w:rPr>
          <w:i/>
        </w:rPr>
        <w:t>study 1</w:t>
      </w:r>
      <w:r w:rsidRPr="00452E2E">
        <w:t xml:space="preserve"> </w:t>
      </w:r>
      <w:r w:rsidR="00E70BC3" w:rsidRPr="00452E2E">
        <w:t>were</w:t>
      </w:r>
      <w:r w:rsidRPr="00452E2E">
        <w:t xml:space="preserve"> used as a basis for providing direction for context-specific hypotheses for </w:t>
      </w:r>
      <w:r w:rsidRPr="00452E2E">
        <w:rPr>
          <w:i/>
        </w:rPr>
        <w:t>study 2</w:t>
      </w:r>
      <w:r w:rsidRPr="00452E2E">
        <w:t xml:space="preserve">. Therefore, </w:t>
      </w:r>
      <w:r w:rsidRPr="00452E2E">
        <w:rPr>
          <w:i/>
        </w:rPr>
        <w:t>study 1</w:t>
      </w:r>
      <w:r w:rsidRPr="00452E2E">
        <w:t xml:space="preserve"> can be described as an exploratory study since the findings </w:t>
      </w:r>
      <w:r w:rsidR="008F36A1" w:rsidRPr="00452E2E">
        <w:t xml:space="preserve">from </w:t>
      </w:r>
      <w:r w:rsidR="008F36A1" w:rsidRPr="00452E2E">
        <w:rPr>
          <w:i/>
        </w:rPr>
        <w:t>study 1</w:t>
      </w:r>
      <w:r w:rsidRPr="00452E2E">
        <w:t xml:space="preserve"> inform</w:t>
      </w:r>
      <w:r w:rsidR="008F36A1" w:rsidRPr="00452E2E">
        <w:t>ed</w:t>
      </w:r>
      <w:r w:rsidRPr="00452E2E">
        <w:t xml:space="preserve"> the hypotheses for </w:t>
      </w:r>
      <w:r w:rsidRPr="00452E2E">
        <w:rPr>
          <w:i/>
        </w:rPr>
        <w:t>study 2</w:t>
      </w:r>
      <w:r w:rsidRPr="00452E2E">
        <w:t xml:space="preserve">. </w:t>
      </w:r>
    </w:p>
    <w:p w:rsidR="00D03A8E" w:rsidRPr="00452E2E" w:rsidRDefault="00D03A8E" w:rsidP="00D03A8E">
      <w:pPr>
        <w:spacing w:line="360" w:lineRule="auto"/>
        <w:jc w:val="both"/>
      </w:pPr>
      <w:r w:rsidRPr="00452E2E">
        <w:t xml:space="preserve">Both studies were conducted in </w:t>
      </w:r>
      <w:r w:rsidR="003D33B2" w:rsidRPr="00452E2E">
        <w:t xml:space="preserve">an </w:t>
      </w:r>
      <w:r w:rsidRPr="00452E2E">
        <w:t xml:space="preserve">ethical manner since the researcher ensured that access was officially granted before the participants were approached whilst participation was voluntary and responses anonymised. </w:t>
      </w:r>
      <w:r w:rsidR="001F7665" w:rsidRPr="00452E2E">
        <w:t>T</w:t>
      </w:r>
      <w:r w:rsidRPr="00452E2E">
        <w:t xml:space="preserve">he data collected was professionally handled in order to guarantee the privacy of respondents and avoid loss of data. Philosophically, a neo-positivist epistemological position </w:t>
      </w:r>
      <w:r w:rsidR="003363AB" w:rsidRPr="00452E2E">
        <w:t>was</w:t>
      </w:r>
      <w:r w:rsidRPr="00452E2E">
        <w:t xml:space="preserve"> adopted for the research since both quantitative and qualitative approaches were employed objectively in the research. </w:t>
      </w:r>
      <w:r w:rsidR="003363AB" w:rsidRPr="00452E2E">
        <w:t>T</w:t>
      </w:r>
      <w:r w:rsidRPr="00452E2E">
        <w:t xml:space="preserve">he data analysis and findings from </w:t>
      </w:r>
      <w:r w:rsidRPr="00452E2E">
        <w:rPr>
          <w:i/>
        </w:rPr>
        <w:t>study 1</w:t>
      </w:r>
      <w:r w:rsidRPr="00452E2E">
        <w:t xml:space="preserve"> are presented in </w:t>
      </w:r>
      <w:r w:rsidR="000F53D5" w:rsidRPr="00452E2E">
        <w:t>the next chapter</w:t>
      </w:r>
      <w:r w:rsidRPr="00452E2E">
        <w:t xml:space="preserve"> whilst the data analysis and findings from </w:t>
      </w:r>
      <w:r w:rsidRPr="00452E2E">
        <w:rPr>
          <w:i/>
        </w:rPr>
        <w:t>study 2</w:t>
      </w:r>
      <w:r w:rsidRPr="00452E2E">
        <w:t xml:space="preserve"> are presented in chapter 7.</w:t>
      </w:r>
      <w:r w:rsidR="000F53D5" w:rsidRPr="00452E2E">
        <w:t xml:space="preserve"> </w:t>
      </w:r>
    </w:p>
    <w:p w:rsidR="00D03A8E" w:rsidRPr="00452E2E" w:rsidRDefault="00D03A8E" w:rsidP="00D03A8E">
      <w:pPr>
        <w:rPr>
          <w:rFonts w:asciiTheme="majorHAnsi" w:eastAsiaTheme="majorEastAsia" w:hAnsiTheme="majorHAnsi" w:cstheme="majorBidi"/>
          <w:sz w:val="32"/>
          <w:szCs w:val="32"/>
        </w:rPr>
      </w:pPr>
    </w:p>
    <w:p w:rsidR="00D03A8E" w:rsidRPr="00452E2E" w:rsidRDefault="00D03A8E" w:rsidP="00D03A8E">
      <w:pPr>
        <w:rPr>
          <w:rFonts w:asciiTheme="majorHAnsi" w:eastAsiaTheme="majorEastAsia" w:hAnsiTheme="majorHAnsi" w:cstheme="majorBidi"/>
          <w:sz w:val="32"/>
          <w:szCs w:val="32"/>
        </w:rPr>
      </w:pPr>
      <w:r w:rsidRPr="00452E2E">
        <w:rPr>
          <w:rFonts w:asciiTheme="majorHAnsi" w:eastAsiaTheme="majorEastAsia" w:hAnsiTheme="majorHAnsi" w:cstheme="majorBidi"/>
          <w:sz w:val="32"/>
          <w:szCs w:val="32"/>
        </w:rPr>
        <w:br w:type="page"/>
      </w:r>
    </w:p>
    <w:p w:rsidR="00D03A8E" w:rsidRPr="00452E2E" w:rsidRDefault="00D03A8E" w:rsidP="00D03A8E">
      <w:pPr>
        <w:pStyle w:val="Heading1"/>
        <w:numPr>
          <w:ilvl w:val="0"/>
          <w:numId w:val="0"/>
        </w:numPr>
      </w:pPr>
      <w:bookmarkStart w:id="108" w:name="_Toc473808159"/>
      <w:r w:rsidRPr="00452E2E">
        <w:lastRenderedPageBreak/>
        <w:t>CHAPTER FIVE</w:t>
      </w:r>
      <w:bookmarkEnd w:id="108"/>
    </w:p>
    <w:p w:rsidR="00D03A8E" w:rsidRPr="00452E2E" w:rsidRDefault="00D03A8E" w:rsidP="00D03A8E">
      <w:pPr>
        <w:pStyle w:val="Heading2"/>
      </w:pPr>
      <w:bookmarkStart w:id="109" w:name="_Toc473808160"/>
      <w:r w:rsidRPr="00452E2E">
        <w:t>DATA ANALYSIS AND FINDINGS FROM STUDY 1</w:t>
      </w:r>
      <w:bookmarkEnd w:id="109"/>
    </w:p>
    <w:p w:rsidR="00D03A8E" w:rsidRPr="00452E2E" w:rsidRDefault="00D03A8E" w:rsidP="00D03A8E">
      <w:pPr>
        <w:spacing w:line="360" w:lineRule="auto"/>
        <w:jc w:val="both"/>
        <w:rPr>
          <w:b/>
        </w:rPr>
      </w:pPr>
    </w:p>
    <w:p w:rsidR="00D03A8E" w:rsidRPr="00452E2E" w:rsidRDefault="00D03A8E" w:rsidP="00170224">
      <w:pPr>
        <w:pStyle w:val="Heading3"/>
      </w:pPr>
      <w:bookmarkStart w:id="110" w:name="_Toc473808161"/>
      <w:r w:rsidRPr="00452E2E">
        <w:t>5.1 Introduction</w:t>
      </w:r>
      <w:bookmarkEnd w:id="110"/>
    </w:p>
    <w:p w:rsidR="002C53BE" w:rsidRPr="00452E2E" w:rsidRDefault="00D03A8E" w:rsidP="00D03A8E">
      <w:pPr>
        <w:spacing w:line="360" w:lineRule="auto"/>
        <w:jc w:val="both"/>
      </w:pPr>
      <w:r w:rsidRPr="00452E2E">
        <w:t xml:space="preserve">In the previous chapter, it was stated that this research was comprised of two studies labelled as study 1 and study 2. The present chapter therefore deals with data analysis and findings from study 1 of the research. The focus is on analysing data collected from HR managers in order to achieve the first two objectives of the </w:t>
      </w:r>
      <w:r w:rsidR="002F3785" w:rsidRPr="00452E2E">
        <w:t>research</w:t>
      </w:r>
      <w:r w:rsidRPr="00452E2E">
        <w:t xml:space="preserve"> which are (1) to explore the influence institutions on HRM in public and private sector in Nigeria; and (2) to examine the specific techniques of HRM used in public and private sector in Nigeria. Apart from achieving these two objectives, the findings from this study </w:t>
      </w:r>
      <w:r w:rsidR="00FF0373" w:rsidRPr="00452E2E">
        <w:t>will</w:t>
      </w:r>
      <w:r w:rsidRPr="00452E2E">
        <w:t xml:space="preserve"> form the basis for some </w:t>
      </w:r>
      <w:r w:rsidR="00FF0373" w:rsidRPr="00452E2E">
        <w:t xml:space="preserve">of the </w:t>
      </w:r>
      <w:r w:rsidRPr="00452E2E">
        <w:t xml:space="preserve">context-specific hypotheses for study 2 whilst also providing the basis for explaining the findings from that study. Thus, study 1 is a precursor of study 2 in this </w:t>
      </w:r>
      <w:r w:rsidR="007F5B76" w:rsidRPr="00452E2E">
        <w:t>research</w:t>
      </w:r>
      <w:r w:rsidRPr="00452E2E">
        <w:t xml:space="preserve">. </w:t>
      </w:r>
    </w:p>
    <w:p w:rsidR="00D03A8E" w:rsidRPr="00452E2E" w:rsidRDefault="00D03A8E" w:rsidP="00D03A8E">
      <w:pPr>
        <w:spacing w:line="360" w:lineRule="auto"/>
        <w:jc w:val="both"/>
      </w:pPr>
      <w:r w:rsidRPr="00452E2E">
        <w:t xml:space="preserve">The chapter begins with a discussion of the response rate and characteristics of the sample. Next is data analysis and results of the influence of institutions on HRM in public and private sector whilst the final section deals with analysis and results of the techniques of HRM in public and private sector in Nigeria. </w:t>
      </w:r>
      <w:r w:rsidR="00873918" w:rsidRPr="00452E2E">
        <w:t>T</w:t>
      </w:r>
      <w:r w:rsidRPr="00452E2E">
        <w:t xml:space="preserve">he last two sections are organized around the two objectives that this study seeks to achieve. Although the main variable of interest in the analysis is </w:t>
      </w:r>
      <w:r w:rsidR="00873918" w:rsidRPr="00452E2E">
        <w:t xml:space="preserve">public and private </w:t>
      </w:r>
      <w:r w:rsidRPr="00452E2E">
        <w:t xml:space="preserve">sector, the researcher is aware that the influence of institutions on HRM and the techniques of HRM adopted by organizations may be equally determined by industry and size </w:t>
      </w:r>
      <w:r w:rsidRPr="00452E2E">
        <w:fldChar w:fldCharType="begin" w:fldLock="1"/>
      </w:r>
      <w:r w:rsidRPr="00452E2E">
        <w:instrText>ADDIN CSL_CITATION { "citationItems" : [ { "id" : "ITEM-1", "itemData" : { "DOI" : "10.1080/09585190701393582", "ISBN" : "0958-5192", "ISSN" : "0958-5192", "PMID" : "26446933",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"http://www.mendeley.com/documents/?uuid=fabc925d-b72e-4858-a01a-77400437b582" ] }, { "id" : "ITEM-2",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"ITEM-2", "issue" : "1", "issued" : { "date-parts" : [ [ "2009" ] ] }, "page" : "37-61", "title" : "The rise of post-bureaucracy: Theorists' fancy or organizational praxis?", "type" : "article-journal", "volume" : "24" }, "uris" : [ "http://www.mendeley.com/documents/?uuid=34301c7c-ab72-4a8c-a149-b61552e4a0db" ] }, { "id" : "ITEM-3",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"ITEM-3", "issue" : "1", "issued" : { "date-parts" : [ [ "2011" ] ] }, "page" : "31-41", "publisher" : "Elsevier Inc.", "title" : "HRM in Mozambique: Homogenization, path dependence or segmented business system?", "type" : "article-journal", "volume" : "46" }, "uris" : [ "http://www.mendeley.com/documents/?uuid=715488db-b5b1-4ac9-8b33-8be3c1beb0c1" ] }, { "id" : "ITEM-4", "itemData" : { "DOI" : "10.1080/09585192.2013.776615", "ISSN" : "0958-5192",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"ITEM-4",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2007; Johnson et al. 2009; Wood et al. 2011; Brewster et al. 2014)", "manualFormatting" : "(Webster &amp; Wood, 2005; Brewster et al., 2007; Johnson et al., 2009; Wood et al., 2011; Brewster et al., 2014)", "plainTextFormattedCitation" : "(Brewster et al. 2007; Johnson et al. 2009; Wood et al. 2011; Brewster et al. 2014)", "previouslyFormattedCitation" : "(Brewster et al. 2007; Johnson et al. 2009; Wood et al. 2011; Brewster et al. 2014)" }, "properties" : { "noteIndex" : 0 }, "schema" : "https://github.com/citation-style-language/schema/raw/master/csl-citation.json" }</w:instrText>
      </w:r>
      <w:r w:rsidRPr="00452E2E">
        <w:fldChar w:fldCharType="separate"/>
      </w:r>
      <w:r w:rsidRPr="00452E2E">
        <w:rPr>
          <w:noProof/>
        </w:rPr>
        <w:t xml:space="preserve">(Webster &amp; Wood, 2005; Brewster </w:t>
      </w:r>
      <w:r w:rsidRPr="00452E2E">
        <w:rPr>
          <w:i/>
          <w:noProof/>
        </w:rPr>
        <w:t>et al</w:t>
      </w:r>
      <w:r w:rsidRPr="00452E2E">
        <w:rPr>
          <w:noProof/>
        </w:rPr>
        <w:t xml:space="preserve">., 2007; Johnson </w:t>
      </w:r>
      <w:r w:rsidRPr="00452E2E">
        <w:rPr>
          <w:i/>
          <w:noProof/>
        </w:rPr>
        <w:t>et al</w:t>
      </w:r>
      <w:r w:rsidRPr="00452E2E">
        <w:rPr>
          <w:noProof/>
        </w:rPr>
        <w:t xml:space="preserve">., 2009; Wood </w:t>
      </w:r>
      <w:r w:rsidRPr="00452E2E">
        <w:rPr>
          <w:i/>
          <w:noProof/>
        </w:rPr>
        <w:t>et al.</w:t>
      </w:r>
      <w:r w:rsidRPr="00452E2E">
        <w:rPr>
          <w:noProof/>
        </w:rPr>
        <w:t xml:space="preserve">, 2011; Brewster </w:t>
      </w:r>
      <w:r w:rsidRPr="00452E2E">
        <w:rPr>
          <w:i/>
          <w:noProof/>
        </w:rPr>
        <w:t>et al.</w:t>
      </w:r>
      <w:r w:rsidRPr="00452E2E">
        <w:rPr>
          <w:noProof/>
        </w:rPr>
        <w:t>, 2014)</w:t>
      </w:r>
      <w:r w:rsidRPr="00452E2E">
        <w:fldChar w:fldCharType="end"/>
      </w:r>
      <w:r w:rsidRPr="00452E2E">
        <w:t>. Therefore, along with sector, industry and size are included in the analysis.</w:t>
      </w:r>
    </w:p>
    <w:p w:rsidR="00D03A8E" w:rsidRPr="00452E2E" w:rsidRDefault="00D03A8E" w:rsidP="00170224">
      <w:pPr>
        <w:pStyle w:val="Heading3"/>
      </w:pPr>
      <w:bookmarkStart w:id="111" w:name="_Toc473808162"/>
      <w:r w:rsidRPr="00452E2E">
        <w:t>5.2 Response Rate and Characteristics of the Sample</w:t>
      </w:r>
      <w:bookmarkEnd w:id="111"/>
    </w:p>
    <w:p w:rsidR="00D03A8E" w:rsidRPr="00452E2E" w:rsidRDefault="00D03A8E" w:rsidP="00D03A8E">
      <w:pPr>
        <w:spacing w:line="360" w:lineRule="auto"/>
        <w:jc w:val="both"/>
      </w:pPr>
      <w:r w:rsidRPr="00452E2E">
        <w:t>A total of 228 questionnaires were administered to HR managers across different industries and sectors in Nigeria who were expected to respond on behalf of their organization</w:t>
      </w:r>
      <w:r w:rsidR="00ED02A6" w:rsidRPr="00452E2E">
        <w:t>s</w:t>
      </w:r>
      <w:r w:rsidRPr="00452E2E">
        <w:t xml:space="preserve">. Out of this number, 126 questionnaires were completed and returned, representing 55.3% response rate. However, in the course of collating the responses, it was discovered that 4 respondents failed to state their sector, </w:t>
      </w:r>
      <w:r w:rsidRPr="00452E2E">
        <w:lastRenderedPageBreak/>
        <w:t>which is a main variable in the analysis. Hence, these 4 responses without sector were excluded from the analysis, which means that the analysis of data was based on 122 valid responses.</w:t>
      </w:r>
    </w:p>
    <w:p w:rsidR="00D03A8E" w:rsidRPr="00452E2E" w:rsidRDefault="00D03A8E" w:rsidP="00881E92">
      <w:pPr>
        <w:spacing w:line="360" w:lineRule="auto"/>
        <w:jc w:val="both"/>
      </w:pPr>
      <w:r w:rsidRPr="00452E2E">
        <w:t xml:space="preserve">The characteristics of the sample which is presented in table 5.1 indicates that out of a sample of 122 participants, 13.1% were from the banking/financial services industry while education and health had 11.5% apiece. The table also shows that manufacturing industry had 18.9% of the total participants, 9.0% were from hotels with 20.5% from government ministries, departments and agencies (MDAs) while 5.7% belonged to ICT/media industry. A further 9.8% of the sample respondents were from the transport industry. </w:t>
      </w:r>
      <w:r w:rsidR="0009374D" w:rsidRPr="00452E2E">
        <w:t xml:space="preserve">The small number of participating organizations in some industries such as hotels, ICT/media and transport constitutes a limitation to this research. </w:t>
      </w:r>
      <w:r w:rsidRPr="00452E2E">
        <w:t>In terms of sector, 58.2% of the sample were from the private sector while 41.8% belonged to the public sector. Finally, as for the size of organizations (measured in terms of number of employees), the table indicates that 31.1% of the organizations in the survey had 50-99 employees, 35.2% had 100-249 employees, 18.0% had 250-500 employees, while 15.6% had above 500 employees. The distribution of size of organizations reflects the predominance of small and medium organizations in Nigeria.</w:t>
      </w:r>
    </w:p>
    <w:p w:rsidR="00D03A8E" w:rsidRPr="00452E2E" w:rsidRDefault="00D03A8E" w:rsidP="00D03A8E">
      <w:pPr>
        <w:pStyle w:val="Caption"/>
        <w:keepNext/>
      </w:pPr>
      <w:bookmarkStart w:id="112" w:name="_Toc465419837"/>
      <w:r w:rsidRPr="00452E2E">
        <w:t>Table 5.</w:t>
      </w:r>
      <w:r w:rsidR="00B26571">
        <w:fldChar w:fldCharType="begin"/>
      </w:r>
      <w:r w:rsidR="00B26571">
        <w:instrText xml:space="preserve"> SEQ Table \* ARABIC \s 1 </w:instrText>
      </w:r>
      <w:r w:rsidR="00B26571">
        <w:fldChar w:fldCharType="separate"/>
      </w:r>
      <w:r w:rsidR="00AE2756" w:rsidRPr="00452E2E">
        <w:rPr>
          <w:noProof/>
        </w:rPr>
        <w:t>1</w:t>
      </w:r>
      <w:r w:rsidR="00B26571">
        <w:rPr>
          <w:noProof/>
        </w:rPr>
        <w:fldChar w:fldCharType="end"/>
      </w:r>
      <w:r w:rsidRPr="00452E2E">
        <w:t>: Characteristics of the Sample</w:t>
      </w:r>
      <w:bookmarkEnd w:id="112"/>
    </w:p>
    <w:tbl>
      <w:tblPr>
        <w:tblStyle w:val="TableGrid"/>
        <w:tblW w:w="0" w:type="auto"/>
        <w:shd w:val="clear" w:color="auto" w:fill="FFFFFF" w:themeFill="background1"/>
        <w:tblLook w:val="04A0" w:firstRow="1" w:lastRow="0" w:firstColumn="1" w:lastColumn="0" w:noHBand="0" w:noVBand="1"/>
      </w:tblPr>
      <w:tblGrid>
        <w:gridCol w:w="4508"/>
        <w:gridCol w:w="2575"/>
      </w:tblGrid>
      <w:tr w:rsidR="00452E2E" w:rsidRPr="00452E2E" w:rsidTr="00B57950">
        <w:trPr>
          <w:trHeight w:val="522"/>
        </w:trPr>
        <w:tc>
          <w:tcPr>
            <w:tcW w:w="4508" w:type="dxa"/>
            <w:tcBorders>
              <w:top w:val="single" w:sz="18" w:space="0" w:color="000000"/>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Variables</w:t>
            </w:r>
          </w:p>
        </w:tc>
        <w:tc>
          <w:tcPr>
            <w:tcW w:w="2575" w:type="dxa"/>
            <w:tcBorders>
              <w:top w:val="single" w:sz="18" w:space="0" w:color="000000"/>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Frequency (%)</w:t>
            </w:r>
          </w:p>
        </w:tc>
      </w:tr>
      <w:tr w:rsidR="00452E2E" w:rsidRPr="00452E2E" w:rsidTr="00B57950">
        <w:tc>
          <w:tcPr>
            <w:tcW w:w="450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i/>
                <w:sz w:val="16"/>
                <w:szCs w:val="16"/>
              </w:rPr>
            </w:pPr>
            <w:r w:rsidRPr="00452E2E">
              <w:rPr>
                <w:b/>
                <w:i/>
                <w:sz w:val="16"/>
                <w:szCs w:val="16"/>
              </w:rPr>
              <w:t>Industry</w:t>
            </w:r>
          </w:p>
        </w:tc>
        <w:tc>
          <w:tcPr>
            <w:tcW w:w="257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Banking/Financial Services</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16 (13.1%)  </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 (11.5%)</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 (11.5%)</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 (18.9%)</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 (9.0%)</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Government MDAs</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 (20.5%)</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ICT/Media</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7 (5.7%)</w:t>
            </w:r>
          </w:p>
        </w:tc>
      </w:tr>
      <w:tr w:rsidR="00452E2E" w:rsidRPr="00452E2E" w:rsidTr="00B57950">
        <w:trPr>
          <w:trHeight w:val="549"/>
        </w:trPr>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Transport</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12 (9.8%)</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i/>
                <w:sz w:val="16"/>
                <w:szCs w:val="16"/>
              </w:rPr>
            </w:pPr>
            <w:r w:rsidRPr="00452E2E">
              <w:rPr>
                <w:b/>
                <w:i/>
                <w:sz w:val="16"/>
                <w:szCs w:val="16"/>
              </w:rPr>
              <w:t>Sector</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 Sector</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71 (58.2%)</w:t>
            </w:r>
          </w:p>
        </w:tc>
      </w:tr>
      <w:tr w:rsidR="00452E2E" w:rsidRPr="00452E2E" w:rsidTr="00B57950">
        <w:trPr>
          <w:trHeight w:val="533"/>
        </w:trPr>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 Sector</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51 (41.8%)</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i/>
                <w:sz w:val="16"/>
                <w:szCs w:val="16"/>
              </w:rPr>
            </w:pPr>
            <w:r w:rsidRPr="00452E2E">
              <w:rPr>
                <w:b/>
                <w:i/>
                <w:sz w:val="16"/>
                <w:szCs w:val="16"/>
              </w:rPr>
              <w:t>Size (No. of employees)</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50-99</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38(31.1%)</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100-249</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43 (35.2%)</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250-500</w:t>
            </w:r>
          </w:p>
        </w:tc>
        <w:tc>
          <w:tcPr>
            <w:tcW w:w="25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22 (18.0%)</w:t>
            </w:r>
          </w:p>
        </w:tc>
      </w:tr>
      <w:tr w:rsidR="00452E2E" w:rsidRPr="00452E2E" w:rsidTr="00B57950">
        <w:tc>
          <w:tcPr>
            <w:tcW w:w="4508" w:type="dxa"/>
            <w:tcBorders>
              <w:top w:val="single" w:sz="4" w:space="0" w:color="FFFFFF" w:themeColor="background1"/>
              <w:left w:val="single" w:sz="4" w:space="0" w:color="FFFFFF" w:themeColor="background1"/>
              <w:bottom w:val="single" w:sz="18" w:space="0" w:color="000000"/>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Above 500</w:t>
            </w:r>
          </w:p>
        </w:tc>
        <w:tc>
          <w:tcPr>
            <w:tcW w:w="2575" w:type="dxa"/>
            <w:tcBorders>
              <w:top w:val="single" w:sz="4" w:space="0" w:color="FFFFFF" w:themeColor="background1"/>
              <w:left w:val="single" w:sz="4" w:space="0" w:color="FFFFFF" w:themeColor="background1"/>
              <w:bottom w:val="single" w:sz="18" w:space="0" w:color="000000"/>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19 (15.6%)</w:t>
            </w:r>
          </w:p>
        </w:tc>
      </w:tr>
    </w:tbl>
    <w:p w:rsidR="00D03A8E" w:rsidRPr="00452E2E" w:rsidRDefault="00D03A8E" w:rsidP="00D03A8E">
      <w:pPr>
        <w:rPr>
          <w:sz w:val="16"/>
          <w:szCs w:val="16"/>
        </w:rPr>
      </w:pPr>
      <w:r w:rsidRPr="00452E2E">
        <w:rPr>
          <w:b/>
          <w:sz w:val="16"/>
          <w:szCs w:val="16"/>
        </w:rPr>
        <w:t xml:space="preserve"> </w:t>
      </w:r>
      <w:r w:rsidRPr="00452E2E">
        <w:rPr>
          <w:sz w:val="16"/>
          <w:szCs w:val="16"/>
        </w:rPr>
        <w:t>N=122</w:t>
      </w:r>
    </w:p>
    <w:p w:rsidR="00D03A8E" w:rsidRPr="00452E2E" w:rsidRDefault="00D03A8E" w:rsidP="00170224">
      <w:pPr>
        <w:pStyle w:val="Heading3"/>
      </w:pPr>
      <w:bookmarkStart w:id="113" w:name="_Toc473808163"/>
      <w:r w:rsidRPr="00452E2E">
        <w:lastRenderedPageBreak/>
        <w:t>5.3 Analysis and Results of the Influence of Institutions on HRM in Public and Private Sector</w:t>
      </w:r>
      <w:bookmarkEnd w:id="113"/>
    </w:p>
    <w:p w:rsidR="00D03A8E" w:rsidRPr="00452E2E" w:rsidRDefault="00D03A8E" w:rsidP="00D03A8E">
      <w:pPr>
        <w:spacing w:line="360" w:lineRule="auto"/>
        <w:jc w:val="both"/>
      </w:pPr>
      <w:r w:rsidRPr="00452E2E">
        <w:t>To examine the influence of institutions on HRM in public and private sector, both quantitative and qualitative analyses methods were employed. The quantitative analysis focused on responses from questionnaires whilst the qualitative analysis which is aimed at supplementing the results from the</w:t>
      </w:r>
      <w:r w:rsidR="00C66222" w:rsidRPr="00452E2E">
        <w:t xml:space="preserve"> quantitative data was based in-</w:t>
      </w:r>
      <w:r w:rsidRPr="00452E2E">
        <w:t xml:space="preserve">depth interviews with managers. The result of the quantitative data is first presented followed by the results of the qualitative data. </w:t>
      </w:r>
    </w:p>
    <w:p w:rsidR="00D03A8E" w:rsidRPr="00452E2E" w:rsidRDefault="00D03A8E" w:rsidP="00D03A8E">
      <w:pPr>
        <w:pStyle w:val="Heading4"/>
      </w:pPr>
      <w:bookmarkStart w:id="114" w:name="_Toc473808164"/>
      <w:r w:rsidRPr="00452E2E">
        <w:t>5.3.1 Quantitative Analysis of the Influence of Institutions on HRM</w:t>
      </w:r>
      <w:bookmarkEnd w:id="114"/>
    </w:p>
    <w:p w:rsidR="00D03A8E" w:rsidRPr="00452E2E" w:rsidRDefault="00D03A8E" w:rsidP="00D03A8E">
      <w:pPr>
        <w:spacing w:line="360" w:lineRule="auto"/>
        <w:jc w:val="both"/>
      </w:pPr>
      <w:r w:rsidRPr="00452E2E">
        <w:t xml:space="preserve">In order to examine the influence of institutions on HRM, managers were expected to indicate the extent to which national labour laws, trade unions, professional bodies, vocational education set-up, international institutions, and government policy influenced HRM policies in their organizations. These factors were drawn from the literature on institutional influence on HRM in developing countries generally (Budhwar &amp; Debrah, 2001) and Nigeria in particular (Ovadje &amp; Ankomah, 2001). The mean and standard deviation of responses on the influence of institutional variables on HRM is presented in table 5.2. </w:t>
      </w:r>
    </w:p>
    <w:p w:rsidR="00D03A8E" w:rsidRPr="00452E2E" w:rsidRDefault="00D03A8E" w:rsidP="00D03A8E">
      <w:pPr>
        <w:pStyle w:val="Caption"/>
        <w:rPr>
          <w:b w:val="0"/>
          <w:sz w:val="16"/>
          <w:szCs w:val="16"/>
        </w:rPr>
      </w:pPr>
      <w:bookmarkStart w:id="115" w:name="_Toc465419838"/>
      <w:r w:rsidRPr="00452E2E">
        <w:t>Table 5.</w:t>
      </w:r>
      <w:r w:rsidR="00B26571">
        <w:fldChar w:fldCharType="begin"/>
      </w:r>
      <w:r w:rsidR="00B26571">
        <w:instrText xml:space="preserve"> SEQ Table \* ARABIC \s 1 </w:instrText>
      </w:r>
      <w:r w:rsidR="00B26571">
        <w:fldChar w:fldCharType="separate"/>
      </w:r>
      <w:r w:rsidR="00AE2756" w:rsidRPr="00452E2E">
        <w:rPr>
          <w:noProof/>
        </w:rPr>
        <w:t>2</w:t>
      </w:r>
      <w:r w:rsidR="00B26571">
        <w:rPr>
          <w:noProof/>
        </w:rPr>
        <w:fldChar w:fldCharType="end"/>
      </w:r>
      <w:r w:rsidRPr="00452E2E">
        <w:t>: Mean and Standard Deviation of Institutional Variables</w:t>
      </w:r>
      <w:bookmarkEnd w:id="115"/>
    </w:p>
    <w:tbl>
      <w:tblPr>
        <w:tblStyle w:val="TableGrid"/>
        <w:tblW w:w="0" w:type="auto"/>
        <w:tblLook w:val="04A0" w:firstRow="1" w:lastRow="0" w:firstColumn="1" w:lastColumn="0" w:noHBand="0" w:noVBand="1"/>
      </w:tblPr>
      <w:tblGrid>
        <w:gridCol w:w="2759"/>
        <w:gridCol w:w="2694"/>
        <w:gridCol w:w="2735"/>
      </w:tblGrid>
      <w:tr w:rsidR="00452E2E" w:rsidRPr="00452E2E" w:rsidTr="00B57950">
        <w:tc>
          <w:tcPr>
            <w:tcW w:w="3005" w:type="dxa"/>
            <w:tcBorders>
              <w:top w:val="single" w:sz="12" w:space="0" w:color="auto"/>
              <w:left w:val="single" w:sz="4" w:space="0" w:color="FFFFFF" w:themeColor="background1"/>
              <w:right w:val="single" w:sz="4" w:space="0" w:color="FFFFFF" w:themeColor="background1"/>
            </w:tcBorders>
          </w:tcPr>
          <w:p w:rsidR="00D03A8E" w:rsidRPr="00452E2E" w:rsidRDefault="00D03A8E" w:rsidP="00B57950">
            <w:pPr>
              <w:rPr>
                <w:b/>
                <w:sz w:val="16"/>
                <w:szCs w:val="16"/>
              </w:rPr>
            </w:pPr>
            <w:r w:rsidRPr="00452E2E">
              <w:rPr>
                <w:b/>
                <w:sz w:val="16"/>
                <w:szCs w:val="16"/>
              </w:rPr>
              <w:t>Institution</w:t>
            </w:r>
          </w:p>
        </w:tc>
        <w:tc>
          <w:tcPr>
            <w:tcW w:w="3005" w:type="dxa"/>
            <w:tcBorders>
              <w:top w:val="single" w:sz="12" w:space="0" w:color="auto"/>
              <w:left w:val="single" w:sz="4" w:space="0" w:color="FFFFFF" w:themeColor="background1"/>
              <w:right w:val="single" w:sz="4" w:space="0" w:color="FFFFFF" w:themeColor="background1"/>
            </w:tcBorders>
          </w:tcPr>
          <w:p w:rsidR="00D03A8E" w:rsidRPr="00452E2E" w:rsidRDefault="00D03A8E" w:rsidP="00B57950">
            <w:pPr>
              <w:rPr>
                <w:b/>
                <w:sz w:val="16"/>
                <w:szCs w:val="16"/>
              </w:rPr>
            </w:pPr>
            <w:r w:rsidRPr="00452E2E">
              <w:rPr>
                <w:b/>
                <w:sz w:val="16"/>
                <w:szCs w:val="16"/>
              </w:rPr>
              <w:t>Mean</w:t>
            </w:r>
          </w:p>
        </w:tc>
        <w:tc>
          <w:tcPr>
            <w:tcW w:w="3006" w:type="dxa"/>
            <w:tcBorders>
              <w:top w:val="single" w:sz="12" w:space="0" w:color="auto"/>
              <w:left w:val="single" w:sz="4" w:space="0" w:color="FFFFFF" w:themeColor="background1"/>
              <w:right w:val="single" w:sz="4" w:space="0" w:color="FFFFFF" w:themeColor="background1"/>
            </w:tcBorders>
          </w:tcPr>
          <w:p w:rsidR="00D03A8E" w:rsidRPr="00452E2E" w:rsidRDefault="00D03A8E" w:rsidP="00B57950">
            <w:pPr>
              <w:rPr>
                <w:b/>
                <w:sz w:val="16"/>
                <w:szCs w:val="16"/>
              </w:rPr>
            </w:pPr>
            <w:r w:rsidRPr="00452E2E">
              <w:rPr>
                <w:b/>
                <w:sz w:val="16"/>
                <w:szCs w:val="16"/>
              </w:rPr>
              <w:t>Standard Deviation</w:t>
            </w:r>
          </w:p>
        </w:tc>
      </w:tr>
      <w:tr w:rsidR="00452E2E" w:rsidRPr="00452E2E" w:rsidTr="00B57950">
        <w:tc>
          <w:tcPr>
            <w:tcW w:w="3005" w:type="dxa"/>
            <w:tcBorders>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National labour laws</w:t>
            </w:r>
          </w:p>
        </w:tc>
        <w:tc>
          <w:tcPr>
            <w:tcW w:w="3005" w:type="dxa"/>
            <w:tcBorders>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3.89</w:t>
            </w:r>
          </w:p>
        </w:tc>
        <w:tc>
          <w:tcPr>
            <w:tcW w:w="3006" w:type="dxa"/>
            <w:tcBorders>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.86</w:t>
            </w:r>
          </w:p>
        </w:tc>
      </w:tr>
      <w:tr w:rsidR="00452E2E" w:rsidRPr="00452E2E" w:rsidTr="00B57950">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Trade unions</w:t>
            </w:r>
          </w:p>
        </w:tc>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3.31</w:t>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1.47</w:t>
            </w:r>
          </w:p>
        </w:tc>
      </w:tr>
      <w:tr w:rsidR="00452E2E" w:rsidRPr="00452E2E" w:rsidTr="00B57950">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Professional bodies</w:t>
            </w:r>
          </w:p>
        </w:tc>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2.89</w:t>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1.12</w:t>
            </w:r>
          </w:p>
        </w:tc>
      </w:tr>
      <w:tr w:rsidR="00452E2E" w:rsidRPr="00452E2E" w:rsidTr="00B57950">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Vocational education set-up</w:t>
            </w:r>
          </w:p>
        </w:tc>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2.57</w:t>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1.07</w:t>
            </w:r>
          </w:p>
        </w:tc>
      </w:tr>
      <w:tr w:rsidR="00452E2E" w:rsidRPr="00452E2E" w:rsidTr="00B57950">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International institutions</w:t>
            </w:r>
          </w:p>
        </w:tc>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2.26</w:t>
            </w:r>
          </w:p>
        </w:tc>
        <w:tc>
          <w:tcPr>
            <w:tcW w:w="3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1.13</w:t>
            </w:r>
          </w:p>
        </w:tc>
      </w:tr>
      <w:tr w:rsidR="00452E2E" w:rsidRPr="00452E2E" w:rsidTr="00B57950">
        <w:tc>
          <w:tcPr>
            <w:tcW w:w="300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D03A8E" w:rsidRPr="00452E2E" w:rsidRDefault="00D03A8E" w:rsidP="00B57950">
            <w:pPr>
              <w:rPr>
                <w:sz w:val="16"/>
                <w:szCs w:val="16"/>
              </w:rPr>
            </w:pPr>
            <w:r w:rsidRPr="00452E2E">
              <w:rPr>
                <w:sz w:val="16"/>
                <w:szCs w:val="16"/>
              </w:rPr>
              <w:t>Government policy</w:t>
            </w:r>
          </w:p>
        </w:tc>
        <w:tc>
          <w:tcPr>
            <w:tcW w:w="300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D03A8E" w:rsidRPr="00452E2E" w:rsidRDefault="00D03A8E" w:rsidP="00B57950">
            <w:pPr>
              <w:rPr>
                <w:sz w:val="16"/>
                <w:szCs w:val="16"/>
              </w:rPr>
            </w:pPr>
            <w:r w:rsidRPr="00452E2E">
              <w:rPr>
                <w:sz w:val="16"/>
                <w:szCs w:val="16"/>
              </w:rPr>
              <w:t>3.43</w:t>
            </w:r>
          </w:p>
        </w:tc>
        <w:tc>
          <w:tcPr>
            <w:tcW w:w="300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rsidR="00D03A8E" w:rsidRPr="00452E2E" w:rsidRDefault="00D03A8E" w:rsidP="00B57950">
            <w:pPr>
              <w:rPr>
                <w:sz w:val="16"/>
                <w:szCs w:val="16"/>
              </w:rPr>
            </w:pPr>
            <w:r w:rsidRPr="00452E2E">
              <w:rPr>
                <w:sz w:val="16"/>
                <w:szCs w:val="16"/>
              </w:rPr>
              <w:t>1.29</w:t>
            </w:r>
          </w:p>
        </w:tc>
      </w:tr>
    </w:tbl>
    <w:p w:rsidR="00D03A8E" w:rsidRPr="00452E2E" w:rsidRDefault="00D03A8E" w:rsidP="00D03A8E">
      <w:pPr>
        <w:rPr>
          <w:sz w:val="16"/>
          <w:szCs w:val="16"/>
        </w:rPr>
      </w:pPr>
      <w:r w:rsidRPr="00452E2E">
        <w:rPr>
          <w:sz w:val="16"/>
          <w:szCs w:val="16"/>
        </w:rPr>
        <w:t xml:space="preserve">    N= 122</w:t>
      </w:r>
    </w:p>
    <w:p w:rsidR="00D03A8E" w:rsidRPr="00452E2E" w:rsidRDefault="00D03A8E" w:rsidP="00D03A8E">
      <w:pPr>
        <w:spacing w:line="360" w:lineRule="auto"/>
        <w:jc w:val="both"/>
      </w:pPr>
      <w:r w:rsidRPr="00452E2E">
        <w:t xml:space="preserve">Meanwhile, analysis </w:t>
      </w:r>
      <w:r w:rsidR="00D62548">
        <w:t xml:space="preserve">of covariance (ANCOVA) </w:t>
      </w:r>
      <w:r w:rsidRPr="00452E2E">
        <w:t xml:space="preserve">was used to examine the influence of institutions on HRM, </w:t>
      </w:r>
      <w:r w:rsidR="005823AD" w:rsidRPr="00452E2E">
        <w:t xml:space="preserve">based on industry, sector and size of the organization, </w:t>
      </w:r>
      <w:r w:rsidRPr="00452E2E">
        <w:t xml:space="preserve">with results presented in table 5.3 overleaf. </w:t>
      </w:r>
    </w:p>
    <w:p w:rsidR="00D03A8E" w:rsidRPr="00452E2E" w:rsidRDefault="00D03A8E" w:rsidP="00D03A8E">
      <w:pPr>
        <w:spacing w:line="360" w:lineRule="auto"/>
        <w:jc w:val="both"/>
      </w:pPr>
    </w:p>
    <w:p w:rsidR="00D03A8E" w:rsidRPr="00452E2E" w:rsidRDefault="00D03A8E" w:rsidP="00D03A8E">
      <w:pPr>
        <w:spacing w:line="360" w:lineRule="auto"/>
        <w:jc w:val="both"/>
      </w:pPr>
    </w:p>
    <w:p w:rsidR="00D03A8E" w:rsidRPr="00452E2E" w:rsidRDefault="00D03A8E" w:rsidP="00D03A8E">
      <w:pPr>
        <w:spacing w:line="360" w:lineRule="auto"/>
        <w:jc w:val="both"/>
      </w:pPr>
    </w:p>
    <w:p w:rsidR="00D03A8E" w:rsidRPr="00452E2E" w:rsidRDefault="00D03A8E" w:rsidP="00D03A8E">
      <w:pPr>
        <w:spacing w:line="360" w:lineRule="auto"/>
        <w:jc w:val="both"/>
      </w:pPr>
    </w:p>
    <w:p w:rsidR="00D03A8E" w:rsidRPr="00452E2E" w:rsidRDefault="00D03A8E" w:rsidP="00D03A8E">
      <w:pPr>
        <w:spacing w:line="360" w:lineRule="auto"/>
        <w:jc w:val="both"/>
      </w:pPr>
    </w:p>
    <w:p w:rsidR="003F27E3" w:rsidRDefault="003F27E3" w:rsidP="00D03A8E">
      <w:pPr>
        <w:pStyle w:val="Caption"/>
      </w:pPr>
      <w:bookmarkStart w:id="116" w:name="_Toc465419839"/>
    </w:p>
    <w:p w:rsidR="00D03A8E" w:rsidRPr="00452E2E" w:rsidRDefault="00D03A8E" w:rsidP="00D03A8E">
      <w:pPr>
        <w:pStyle w:val="Caption"/>
        <w:rPr>
          <w:b w:val="0"/>
          <w:sz w:val="16"/>
          <w:szCs w:val="16"/>
        </w:rPr>
      </w:pPr>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3</w:t>
      </w:r>
      <w:r w:rsidR="00B26571">
        <w:rPr>
          <w:noProof/>
        </w:rPr>
        <w:fldChar w:fldCharType="end"/>
      </w:r>
      <w:r w:rsidRPr="00452E2E">
        <w:t xml:space="preserve">: </w:t>
      </w:r>
      <w:r w:rsidR="003F27E3">
        <w:t>ANCOVA</w:t>
      </w:r>
      <w:r w:rsidRPr="00452E2E">
        <w:t xml:space="preserve"> predicting the influence of institutions on HRM from industry, sector and size</w:t>
      </w:r>
      <w:bookmarkEnd w:id="116"/>
    </w:p>
    <w:tbl>
      <w:tblPr>
        <w:tblStyle w:val="TableGrid"/>
        <w:tblW w:w="9351" w:type="dxa"/>
        <w:shd w:val="clear" w:color="auto" w:fill="FFFFFF" w:themeFill="background1"/>
        <w:tblLayout w:type="fixed"/>
        <w:tblLook w:val="04A0" w:firstRow="1" w:lastRow="0" w:firstColumn="1" w:lastColumn="0" w:noHBand="0" w:noVBand="1"/>
      </w:tblPr>
      <w:tblGrid>
        <w:gridCol w:w="3114"/>
        <w:gridCol w:w="850"/>
        <w:gridCol w:w="993"/>
        <w:gridCol w:w="1134"/>
        <w:gridCol w:w="992"/>
        <w:gridCol w:w="1134"/>
        <w:gridCol w:w="1134"/>
      </w:tblGrid>
      <w:tr w:rsidR="00452E2E" w:rsidRPr="00452E2E" w:rsidTr="00B57950">
        <w:tc>
          <w:tcPr>
            <w:tcW w:w="3114"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p>
        </w:tc>
        <w:tc>
          <w:tcPr>
            <w:tcW w:w="6237" w:type="dxa"/>
            <w:gridSpan w:val="6"/>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Dependent variables measuring the influence of institutions</w:t>
            </w:r>
          </w:p>
        </w:tc>
      </w:tr>
      <w:tr w:rsidR="00452E2E" w:rsidRPr="00452E2E" w:rsidTr="00B57950">
        <w:tc>
          <w:tcPr>
            <w:tcW w:w="3114"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National </w:t>
            </w:r>
          </w:p>
          <w:p w:rsidR="00D03A8E" w:rsidRPr="00452E2E" w:rsidRDefault="00D03A8E" w:rsidP="00B57950">
            <w:pPr>
              <w:rPr>
                <w:sz w:val="16"/>
                <w:szCs w:val="16"/>
              </w:rPr>
            </w:pPr>
            <w:r w:rsidRPr="00452E2E">
              <w:rPr>
                <w:sz w:val="16"/>
                <w:szCs w:val="16"/>
              </w:rPr>
              <w:t>labour</w:t>
            </w:r>
          </w:p>
          <w:p w:rsidR="00D03A8E" w:rsidRPr="00452E2E" w:rsidRDefault="00D03A8E" w:rsidP="00B57950">
            <w:pPr>
              <w:rPr>
                <w:sz w:val="16"/>
                <w:szCs w:val="16"/>
              </w:rPr>
            </w:pPr>
            <w:r w:rsidRPr="00452E2E">
              <w:rPr>
                <w:sz w:val="16"/>
                <w:szCs w:val="16"/>
              </w:rPr>
              <w:t>laws</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Trade </w:t>
            </w:r>
          </w:p>
          <w:p w:rsidR="00D03A8E" w:rsidRPr="00452E2E" w:rsidRDefault="00D03A8E" w:rsidP="00B57950">
            <w:pPr>
              <w:rPr>
                <w:sz w:val="16"/>
                <w:szCs w:val="16"/>
              </w:rPr>
            </w:pPr>
            <w:r w:rsidRPr="00452E2E">
              <w:rPr>
                <w:sz w:val="16"/>
                <w:szCs w:val="16"/>
              </w:rPr>
              <w:t>unions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Professional </w:t>
            </w:r>
          </w:p>
          <w:p w:rsidR="00D03A8E" w:rsidRPr="00452E2E" w:rsidRDefault="00D03A8E" w:rsidP="00B57950">
            <w:pPr>
              <w:rPr>
                <w:sz w:val="16"/>
                <w:szCs w:val="16"/>
              </w:rPr>
            </w:pPr>
            <w:r w:rsidRPr="00452E2E">
              <w:rPr>
                <w:sz w:val="16"/>
                <w:szCs w:val="16"/>
              </w:rPr>
              <w:t>bodies</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Vocational education</w:t>
            </w:r>
          </w:p>
          <w:p w:rsidR="00D03A8E" w:rsidRPr="00452E2E" w:rsidRDefault="00D03A8E" w:rsidP="00B57950">
            <w:pPr>
              <w:rPr>
                <w:sz w:val="16"/>
                <w:szCs w:val="16"/>
              </w:rPr>
            </w:pPr>
            <w:r w:rsidRPr="00452E2E">
              <w:rPr>
                <w:sz w:val="16"/>
                <w:szCs w:val="16"/>
              </w:rPr>
              <w:t>set-up</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International </w:t>
            </w:r>
          </w:p>
          <w:p w:rsidR="00D03A8E" w:rsidRPr="00452E2E" w:rsidRDefault="00D03A8E" w:rsidP="00B57950">
            <w:pPr>
              <w:rPr>
                <w:sz w:val="16"/>
                <w:szCs w:val="16"/>
              </w:rPr>
            </w:pPr>
            <w:r w:rsidRPr="00452E2E">
              <w:rPr>
                <w:sz w:val="16"/>
                <w:szCs w:val="16"/>
              </w:rPr>
              <w:t>institutions</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Government </w:t>
            </w:r>
          </w:p>
          <w:p w:rsidR="00D03A8E" w:rsidRPr="00452E2E" w:rsidRDefault="00D03A8E" w:rsidP="00B57950">
            <w:pPr>
              <w:rPr>
                <w:sz w:val="16"/>
                <w:szCs w:val="16"/>
              </w:rPr>
            </w:pPr>
            <w:r w:rsidRPr="00452E2E">
              <w:rPr>
                <w:sz w:val="16"/>
                <w:szCs w:val="16"/>
              </w:rPr>
              <w:t>policy</w:t>
            </w:r>
          </w:p>
        </w:tc>
      </w:tr>
      <w:tr w:rsidR="00452E2E" w:rsidRPr="00452E2E" w:rsidTr="00B57950">
        <w:tc>
          <w:tcPr>
            <w:tcW w:w="3114"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r>
      <w:tr w:rsidR="00452E2E" w:rsidRPr="00452E2E" w:rsidTr="00B57950">
        <w:tc>
          <w:tcPr>
            <w:tcW w:w="311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Intercept</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3.219**</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4.601**</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3.545**</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2.569**</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2.165**</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3.087**</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Industry dummy: Banking/Finance (vs Manufacturing) </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-1.831**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0.198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0.733*</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0.632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0.132</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Hospitals (vs Manufacturing)</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0.166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-1.195**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0.040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0.324</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-1.152**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-0.266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-1.202**</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0.806**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BE5AF1" w:rsidP="00B57950">
            <w:pPr>
              <w:rPr>
                <w:sz w:val="16"/>
                <w:szCs w:val="16"/>
              </w:rPr>
            </w:pPr>
            <w:r>
              <w:rPr>
                <w:sz w:val="16"/>
                <w:szCs w:val="16"/>
              </w:rPr>
              <w:t xml:space="preserve"> </w:t>
            </w:r>
            <w:r w:rsidR="00D03A8E" w:rsidRPr="00452E2E">
              <w:rPr>
                <w:sz w:val="16"/>
                <w:szCs w:val="16"/>
              </w:rPr>
              <w:t>1.397**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0.432</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0.544</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0.464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-1.484**</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0.523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-0.056</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-0.751</w:t>
            </w:r>
          </w:p>
        </w:tc>
      </w:tr>
      <w:tr w:rsidR="00452E2E" w:rsidRPr="00452E2E" w:rsidTr="00B57950">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Private (vs Public)</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-2.683**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-0.527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-0.399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-0.832*</w:t>
            </w:r>
          </w:p>
        </w:tc>
      </w:tr>
      <w:tr w:rsidR="00452E2E" w:rsidRPr="00452E2E" w:rsidTr="00B57950">
        <w:tc>
          <w:tcPr>
            <w:tcW w:w="311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0.216**</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0.161</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-0.018</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0.026</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0.095</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-0.003</w:t>
            </w:r>
          </w:p>
        </w:tc>
      </w:tr>
    </w:tbl>
    <w:p w:rsidR="00D03A8E" w:rsidRPr="00452E2E" w:rsidRDefault="00D03A8E" w:rsidP="00D03A8E">
      <w:pPr>
        <w:spacing w:line="240" w:lineRule="auto"/>
        <w:rPr>
          <w:sz w:val="16"/>
          <w:szCs w:val="16"/>
        </w:rPr>
      </w:pPr>
      <w:r w:rsidRPr="00452E2E">
        <w:rPr>
          <w:sz w:val="16"/>
          <w:szCs w:val="16"/>
        </w:rPr>
        <w:t>N=122     **p&lt;0.01         *p&lt;0.05. Tport = Transport</w:t>
      </w:r>
    </w:p>
    <w:p w:rsidR="00D03A8E" w:rsidRPr="00452E2E" w:rsidRDefault="00D03A8E" w:rsidP="00D03A8E">
      <w:pPr>
        <w:spacing w:line="360" w:lineRule="auto"/>
        <w:jc w:val="both"/>
      </w:pPr>
      <w:r w:rsidRPr="00452E2E">
        <w:t xml:space="preserve">Results from table 5.3 indicate that all the factors (national labour laws, trade unions, professional bodies, vocational education set-up, international institutions, and government policy) were likely to influence HRM decisions in organizations in Nigeria based on the views of HR managers. However, managers indicated that trade unions (β=4.601) had the highest influence on HRM in their organizations whilst international institutions (β = 2.165) had the lowest influence. This resonates with the views of Ovadje &amp; Ankomah (2001) who observed that although Nigeria was signatory to statutes of international institutions such as the international labour organization (ILO), such statutes were not adhered to in many organizations. Results in table 5.3 further indicate that the influence of institutions varied across industry, sector and size. For example, managers in MDAs were more likely to indicate that national labour laws influenced HRM in their organizations than managers in the manufacturing industry. </w:t>
      </w:r>
    </w:p>
    <w:p w:rsidR="00D03A8E" w:rsidRPr="00452E2E" w:rsidRDefault="002C7C8A" w:rsidP="00D03A8E">
      <w:pPr>
        <w:spacing w:line="360" w:lineRule="auto"/>
        <w:jc w:val="both"/>
      </w:pPr>
      <w:r w:rsidRPr="00452E2E">
        <w:t>Moreover</w:t>
      </w:r>
      <w:r w:rsidR="00D03A8E" w:rsidRPr="00452E2E">
        <w:t xml:space="preserve">, national labour laws were more likely to influence HRM in large organizations than in small organizations. Managers in manufacturing industry were more likely to state that trade unions had influence on HRM in their organizations than those in banking/financial services, education, health, hotels, MDAs and ICT/media industries. As for sector, trade unions had higher influence in the public sector than in private sector organizations. Meanwhile, professional </w:t>
      </w:r>
      <w:r w:rsidR="00D03A8E" w:rsidRPr="00452E2E">
        <w:lastRenderedPageBreak/>
        <w:t xml:space="preserve">bodies had higher influence in the health industry than in manufacturing industry, which is not surprising, due to the existence of many professionalized employee groups in the health industry. Government policy had </w:t>
      </w:r>
      <w:r w:rsidR="003D6E06" w:rsidRPr="00452E2E">
        <w:t xml:space="preserve">a </w:t>
      </w:r>
      <w:r w:rsidR="00D03A8E" w:rsidRPr="00452E2E">
        <w:t>higher influence in banks than in manufacturing industry, but the influence was higher in manufacturing industry than in hotel industry.</w:t>
      </w:r>
    </w:p>
    <w:p w:rsidR="00D03A8E" w:rsidRPr="00452E2E" w:rsidRDefault="00D03A8E" w:rsidP="00D03A8E">
      <w:pPr>
        <w:spacing w:line="360" w:lineRule="auto"/>
        <w:jc w:val="both"/>
      </w:pPr>
      <w:r w:rsidRPr="00452E2E">
        <w:t>Whilst these findings provide evidence of the influence of institutions on HRM in organizations in Nigeria bas</w:t>
      </w:r>
      <w:r w:rsidR="007C02A2" w:rsidRPr="00452E2E">
        <w:t>ed on views of 122 managers, in-</w:t>
      </w:r>
      <w:r w:rsidRPr="00452E2E">
        <w:t>depth qualitative interviews were also conducted in order to offer a better understanding of the dynamics of how HRM is influenced by institutions in public and private sector. The analysis and results from these interviews are presented next section.</w:t>
      </w:r>
    </w:p>
    <w:p w:rsidR="00D03A8E" w:rsidRPr="00452E2E" w:rsidRDefault="00D03A8E" w:rsidP="00D03A8E">
      <w:pPr>
        <w:jc w:val="both"/>
        <w:rPr>
          <w:b/>
        </w:rPr>
      </w:pPr>
    </w:p>
    <w:p w:rsidR="00D03A8E" w:rsidRPr="00452E2E" w:rsidRDefault="00D03A8E" w:rsidP="00D03A8E">
      <w:pPr>
        <w:pStyle w:val="Heading4"/>
      </w:pPr>
      <w:bookmarkStart w:id="117" w:name="_Toc473808165"/>
      <w:r w:rsidRPr="00452E2E">
        <w:t>5.3.2 Qualitative Analysis of the Influence of Institutions on HRM</w:t>
      </w:r>
      <w:bookmarkEnd w:id="117"/>
    </w:p>
    <w:p w:rsidR="00E44E07" w:rsidRPr="00452E2E" w:rsidRDefault="00D03A8E" w:rsidP="00D03A8E">
      <w:pPr>
        <w:spacing w:line="360" w:lineRule="auto"/>
        <w:jc w:val="both"/>
      </w:pPr>
      <w:r w:rsidRPr="00452E2E">
        <w:t xml:space="preserve">In addition to the questionnaire responses, the researcher conducted interviews </w:t>
      </w:r>
      <w:r w:rsidR="006A75EF" w:rsidRPr="00452E2E">
        <w:t xml:space="preserve">with </w:t>
      </w:r>
      <w:r w:rsidRPr="00452E2E">
        <w:t>HR managers in order to have a deeper understanding of how institutional mechanisms influence HRM in public and private sectors. These interviews were semi-structured and focused on HR managers in public and private banks and hospitals (see section 4.4.3.2 in chapter four for sampling and other details). These HR managers were also among those that responded to the questionnaires. Altogether, 13 managers across 13 organizations participated in these interviews with each HR manager responding on behalf their organization. A breakdown of the participants indicate that 3 each were from public banks, private banks, and public hospitals respectively while 4 were from private hospitals. This means that 6 interviewees were from p</w:t>
      </w:r>
      <w:r w:rsidR="009A538E" w:rsidRPr="00452E2E">
        <w:t>ublic sector organizations whilst</w:t>
      </w:r>
      <w:r w:rsidRPr="00452E2E">
        <w:t xml:space="preserve"> 7 were from private sector organizations.  </w:t>
      </w:r>
    </w:p>
    <w:p w:rsidR="00D03A8E" w:rsidRPr="00452E2E" w:rsidRDefault="00D03A8E" w:rsidP="00D03A8E">
      <w:pPr>
        <w:spacing w:line="360" w:lineRule="auto"/>
        <w:jc w:val="both"/>
      </w:pPr>
      <w:r w:rsidRPr="00452E2E">
        <w:t xml:space="preserve">The interview questions revolved around the literature on institutional isomorphic mechanisms – coercive, mimetic and normative- and their influence </w:t>
      </w:r>
      <w:r w:rsidR="00084246" w:rsidRPr="00452E2E">
        <w:t xml:space="preserve">on </w:t>
      </w:r>
      <w:r w:rsidRPr="00452E2E">
        <w:t xml:space="preserve">HRM </w:t>
      </w:r>
      <w:r w:rsidRPr="00452E2E">
        <w:fldChar w:fldCharType="begin" w:fldLock="1"/>
      </w:r>
      <w:r w:rsidRPr="00452E2E">
        <w:instrText>ADDIN CSL_CITATION { "citationItems" : [ { "id" : "ITEM-1", "itemData" : { "DOI" : "10.2307/2095101", "ISBN" : "00031224", "ISSN" : "00031224", "PMID" : "14846933", "author" : [ { "dropping-particle" : "", "family" : "DiMaggio", "given" : "P.J.", "non-dropping-particle" : "", "parse-names" : false, "suffix" : "" }, { "dropping-particle" : "", "family" : "Powell", "given" : "W.W.", "non-dropping-particle" : "", "parse-names" : false, "suffix" : "" } ], "id" : "ITEM-1", "issue" : "2", "issued" : { "date-parts" : [ [ "1983" ] ] }, "page" : "147-160", "title" : "The iron cage revisited: institutional isomorphism and collective rationality in organizational fields", "type" : "article-journal", "volume" : "48" }, "uris" : [ "http://www.mendeley.com/documents/?uuid=173aaf26-bb0f-440b-9525-ae2f5aa9b9fc" ] }, { "id" : "ITEM-2", "itemData" : { "author" : [ { "dropping-particle" : "", "family" : "Paauwe", "given" : "Jaap", "non-dropping-particle" : "", "parse-names" : false, "suffix" : "" }, { "dropping-particle" : "", "family" : "Boselie", "given" : "Paul", "non-dropping-particle" : "", "parse-names" : false, "suffix" : "" } ], "container-title" : "Human Resource Management Journal", "id" : "ITEM-2", "issue" : "3", "issued" : { "date-parts" : [ [ "2003" ] ] }, "page" : "56-70", "title" : "Challenging the 'strategic HRM' and the relevance of the institutional setting", "type" : "article-journal", "volume" : "13" }, "uris" : [ "http://www.mendeley.com/documents/?uuid=2dc96162-ed59-4e9b-8836-d32783466b93" ] } ], "mendeley" : { "formattedCitation" : "(DiMaggio &amp; Powell 1983; Paauwe &amp; Boselie 2003)", "manualFormatting" : "(DiMaggio &amp; Powell, 1983; Paauwe &amp; Boselie, 2003)", "plainTextFormattedCitation" : "(DiMaggio &amp; Powell 1983; Paauwe &amp; Boselie 2003)", "previouslyFormattedCitation" : "(DiMaggio &amp; Powell 1983; Paauwe &amp; Boselie 2003)" }, "properties" : { "noteIndex" : 0 }, "schema" : "https://github.com/citation-style-language/schema/raw/master/csl-citation.json" }</w:instrText>
      </w:r>
      <w:r w:rsidRPr="00452E2E">
        <w:fldChar w:fldCharType="separate"/>
      </w:r>
      <w:r w:rsidRPr="00452E2E">
        <w:rPr>
          <w:noProof/>
        </w:rPr>
        <w:t>(DiMaggio &amp; Powell, 1983; Paauwe &amp; Boselie, 2003)</w:t>
      </w:r>
      <w:r w:rsidRPr="00452E2E">
        <w:fldChar w:fldCharType="end"/>
      </w:r>
      <w:r w:rsidRPr="00452E2E">
        <w:t xml:space="preserve">. For instance, questions such as ‘how do labour laws influence HRM policies in your organization?’; ‘does your organization adopt HRM policies and practices because others in the industry have adopted same?’ and ‘do your organization insist on recruiting HRM personnel with specific educational background?’ were </w:t>
      </w:r>
      <w:r w:rsidRPr="00452E2E">
        <w:lastRenderedPageBreak/>
        <w:t xml:space="preserve">reflective of coercive, mimetic, and normative institutional mechanisms respectively </w:t>
      </w:r>
      <w:r w:rsidRPr="00452E2E">
        <w:fldChar w:fldCharType="begin" w:fldLock="1"/>
      </w:r>
      <w:r w:rsidRPr="00452E2E">
        <w:instrText>ADDIN CSL_CITATION { "citationItems" : [ { "id" : "ITEM-1", "itemData" : { "DOI" : "10.1080/0958519032000145828", "ISBN" : "0958-5192", "ISSN" : "0958-5192",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"ITEM-1",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"ITEM-2",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"ITEM-2", "issued" : { "date-parts" : [ [ "2007" ] ] }, "page" : "166-184", "publisher" : "Oxford University Press", "publisher-place" : "New York", "title" : "HRM and societal embeddedness", "type" : "chapter" }, "uris" : [ "http://www.mendeley.com/documents/?uuid=bc50bffa-b076-4ece-b963-52ac09293458" ] } ], "mendeley" : { "formattedCitation" : "(Boselie et al. 2003; Paauwe &amp; Boselie 2007)", "manualFormatting" : "(Boselie et al., 2003; Paauwe &amp; Boselie, 2007)", "plainTextFormattedCitation" : "(Boselie et al. 2003; Paauwe &amp; Boselie 2007)", "previouslyFormattedCitation" : "(Boselie et al. 2003; Paauwe &amp; Boselie 2007)" }, "properties" : { "noteIndex" : 0 }, "schema" : "https://github.com/citation-style-language/schema/raw/master/csl-citation.json" }</w:instrText>
      </w:r>
      <w:r w:rsidRPr="00452E2E">
        <w:fldChar w:fldCharType="separate"/>
      </w:r>
      <w:r w:rsidRPr="00452E2E">
        <w:rPr>
          <w:noProof/>
        </w:rPr>
        <w:t xml:space="preserve">(Boselie </w:t>
      </w:r>
      <w:r w:rsidRPr="00452E2E">
        <w:rPr>
          <w:i/>
          <w:noProof/>
        </w:rPr>
        <w:t>et al</w:t>
      </w:r>
      <w:r w:rsidRPr="00452E2E">
        <w:rPr>
          <w:noProof/>
        </w:rPr>
        <w:t>., 2003; Paauwe &amp; Boselie, 2007)</w:t>
      </w:r>
      <w:r w:rsidRPr="00452E2E">
        <w:fldChar w:fldCharType="end"/>
      </w:r>
      <w:r w:rsidRPr="00452E2E">
        <w:t>.</w:t>
      </w:r>
    </w:p>
    <w:p w:rsidR="00417532" w:rsidRPr="00452E2E" w:rsidRDefault="00D03A8E" w:rsidP="00D03A8E">
      <w:pPr>
        <w:spacing w:line="360" w:lineRule="auto"/>
        <w:jc w:val="both"/>
      </w:pPr>
      <w:r w:rsidRPr="00452E2E">
        <w:t xml:space="preserve">As indicated in section 4.4.4.2 in chapter four, the analysis of data followed the thematic analysis procedure suggested by </w:t>
      </w:r>
      <w:r w:rsidRPr="00452E2E">
        <w:fldChar w:fldCharType="begin" w:fldLock="1"/>
      </w:r>
      <w:r w:rsidRPr="00452E2E">
        <w:instrText>ADDIN CSL_CITATION { "citationItems" : [ { "id" : "ITEM-1", "itemData" : { "DOI" : "10.1191/1478088706qp063oa", "ISBN" : "1478-0887\\n1478-0895", "ISSN" : "1478-0887", "PMID" : "223135521",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 "non-dropping-particle" : "", "parse-names" : false, "suffix" : "" }, { "dropping-particle" : "", "family" : "Clarke", "given" : "V.", "non-dropping-particle" : "", "parse-names" : false, "suffix" : "" } ], "container-title" : "Qualitative Research in Psychology", "id" : "ITEM-1", "issue" : "2", "issued" : { "date-parts" : [ [ "2006" ] ] }, "page" : "77-101", "title" : "Using thematic analysis in psychology", "type" : "article-journal", "volume" : "3" }, "uris" : [ "http://www.mendeley.com/documents/?uuid=512cfd77-7228-40c1-b0ab-5520770de0bc" ] } ], "mendeley" : { "formattedCitation" : "(Braun &amp; Clarke 2006)", "manualFormatting" : "Braun &amp; Clarke (2006)", "plainTextFormattedCitation" : "(Braun &amp; Clarke 2006)", "previouslyFormattedCitation" : "(Braun &amp; Clarke 2006)" }, "properties" : { "noteIndex" : 0 }, "schema" : "https://github.com/citation-style-language/schema/raw/master/csl-citation.json" }</w:instrText>
      </w:r>
      <w:r w:rsidRPr="00452E2E">
        <w:fldChar w:fldCharType="separate"/>
      </w:r>
      <w:r w:rsidRPr="00452E2E">
        <w:rPr>
          <w:noProof/>
        </w:rPr>
        <w:t>Braun &amp; Clarke (2006)</w:t>
      </w:r>
      <w:r w:rsidRPr="00452E2E">
        <w:fldChar w:fldCharType="end"/>
      </w:r>
      <w:r w:rsidRPr="00452E2E">
        <w:t xml:space="preserve">. Thus, in order to familiarize with the data, the researcher took note of salient issues that caught his attention during the interview process. Also, additional notes were taken during the transcription process after which the researcher read through the transcripts several times and became immersed with the data. The second stage required coding the data in order to enhance data reduction. This process was achieved by first of all uploading the transcribed data onto the Nvivo 11 software which was used to aid data analysis. </w:t>
      </w:r>
    </w:p>
    <w:p w:rsidR="00417532" w:rsidRPr="00452E2E" w:rsidRDefault="00D03A8E" w:rsidP="00D03A8E">
      <w:pPr>
        <w:spacing w:line="360" w:lineRule="auto"/>
        <w:jc w:val="both"/>
      </w:pPr>
      <w:r w:rsidRPr="00452E2E">
        <w:t xml:space="preserve">Through open coding </w:t>
      </w:r>
      <w:r w:rsidRPr="00452E2E">
        <w:fldChar w:fldCharType="begin" w:fldLock="1"/>
      </w:r>
      <w:r w:rsidRPr="00452E2E">
        <w:instrText>ADDIN CSL_CITATION { "citationItems" : [ { "id" : "ITEM-1", "itemData" : { "author" : [ { "dropping-particle" : "", "family" : "Corbin", "given" : "J", "non-dropping-particle" : "", "parse-names" : false, "suffix" : "" }, { "dropping-particle" : "", "family" : "Strauss", "given" : "A", "non-dropping-particle" : "", "parse-names" : false, "suffix" : "" } ], "id" : "ITEM-1", "issued" : { "date-parts" : [ [ "2006" ] ] }, "publisher" : "SAGE", "publisher-place" : "Thousand Oaks, CA", "title" : "Basics of qualitative: techniques and procedures for developing grounded theory", "type" : "book" }, "uris" : [ "http://www.mendeley.com/documents/?uuid=64cfa48f-117b-4e6f-8ad0-98486d17d130" ] } ], "mendeley" : { "formattedCitation" : "(Corbin &amp; Strauss 2006)", "manualFormatting" : "(Corbin &amp; Strauss, 2006)", "plainTextFormattedCitation" : "(Corbin &amp; Strauss 2006)", "previouslyFormattedCitation" : "(Corbin &amp; Strauss 2006)" }, "properties" : { "noteIndex" : 0 }, "schema" : "https://github.com/citation-style-language/schema/raw/master/csl-citation.json" }</w:instrText>
      </w:r>
      <w:r w:rsidRPr="00452E2E">
        <w:fldChar w:fldCharType="separate"/>
      </w:r>
      <w:r w:rsidRPr="00452E2E">
        <w:rPr>
          <w:noProof/>
        </w:rPr>
        <w:t>(Corbin &amp; Strauss, 2006)</w:t>
      </w:r>
      <w:r w:rsidRPr="00452E2E">
        <w:fldChar w:fldCharType="end"/>
      </w:r>
      <w:r w:rsidRPr="00452E2E">
        <w:t xml:space="preserve">, the concepts reflecting the influence of institutional mechanisms such as ‘antagonism to trade unions’, ‘influence of trade unions’, ‘compliance with minimum wage law’; ‘spread of practices through staff transfer’; ‘keeping to guidelines and procedures’; ‘requirements of regulatory bodies’; ‘influence of economic situation’, ‘training received by HR specialists’; ‘maintaining professional norms’, ‘international bodies’ among others were searched and coded, while axial coding </w:t>
      </w:r>
      <w:r w:rsidRPr="00452E2E">
        <w:fldChar w:fldCharType="begin" w:fldLock="1"/>
      </w:r>
      <w:r w:rsidRPr="00452E2E">
        <w:instrText>ADDIN CSL_CITATION { "citationItems" : [ { "id" : "ITEM-1", "itemData" : { "author" : [ { "dropping-particle" : "", "family" : "Corbin", "given" : "J", "non-dropping-particle" : "", "parse-names" : false, "suffix" : "" }, { "dropping-particle" : "", "family" : "Strauss", "given" : "A", "non-dropping-particle" : "", "parse-names" : false, "suffix" : "" } ], "id" : "ITEM-1", "issued" : { "date-parts" : [ [ "2006" ] ] }, "publisher" : "SAGE", "publisher-place" : "Thousand Oaks, CA", "title" : "Basics of qualitative: techniques and procedures for developing grounded theory", "type" : "book" }, "uris" : [ "http://www.mendeley.com/documents/?uuid=64cfa48f-117b-4e6f-8ad0-98486d17d130" ] } ], "mendeley" : { "formattedCitation" : "(Corbin &amp; Strauss 2006)", "manualFormatting" : "(Corbin &amp; Strauss, 2006)", "plainTextFormattedCitation" : "(Corbin &amp; Strauss 2006)", "previouslyFormattedCitation" : "(Corbin &amp; Strauss 2006)" }, "properties" : { "noteIndex" : 0 }, "schema" : "https://github.com/citation-style-language/schema/raw/master/csl-citation.json" }</w:instrText>
      </w:r>
      <w:r w:rsidRPr="00452E2E">
        <w:fldChar w:fldCharType="separate"/>
      </w:r>
      <w:r w:rsidRPr="00452E2E">
        <w:rPr>
          <w:noProof/>
        </w:rPr>
        <w:t>(Corbin &amp; Strauss, 2006)</w:t>
      </w:r>
      <w:r w:rsidRPr="00452E2E">
        <w:fldChar w:fldCharType="end"/>
      </w:r>
      <w:r w:rsidRPr="00452E2E">
        <w:t xml:space="preserve"> enabled the researcher to establish some linkages among the initial codes by relating the concepts of institutional mechanisms and HRM to each other. The process of coding was guided by sensitizing concepts derived from the literature as an initial point of departure; suggesting that the knowledge of a priori theory provided the researcher the direction in which to look </w:t>
      </w:r>
      <w:r w:rsidRPr="00452E2E">
        <w:fldChar w:fldCharType="begin" w:fldLock="1"/>
      </w:r>
      <w:r w:rsidRPr="00452E2E">
        <w:instrText>ADDIN CSL_CITATION { "citationItems" : [ { "id" : "ITEM-1",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"ITEM-1", "issue" : "4", "issued" : { "date-parts" : [ [ "2015" ] ] }, "page" : "760-776", "title" : "Inductive praxis and management research: towards a reflexive framework", "type" : "article-journal", "volume" : "26" }, "uris" : [ "http://www.mendeley.com/documents/?uuid=f9176601-aa58-4266-aecd-97878aa30f90" ] } ], "mendeley" : { "formattedCitation" : "(Johnson &amp; Duberley 2015)", "manualFormatting" : "(Johnson &amp; Duberley, 2015)", "plainTextFormattedCitation" : "(Johnson &amp; Duberley 2015)", "previouslyFormattedCitation" : "(Johnson &amp; Duberley 2015)" }, "properties" : { "noteIndex" : 0 }, "schema" : "https://github.com/citation-style-language/schema/raw/master/csl-citation.json" }</w:instrText>
      </w:r>
      <w:r w:rsidRPr="00452E2E">
        <w:fldChar w:fldCharType="separate"/>
      </w:r>
      <w:r w:rsidRPr="00452E2E">
        <w:rPr>
          <w:noProof/>
        </w:rPr>
        <w:t>(Johnson &amp; Duberley, 2015)</w:t>
      </w:r>
      <w:r w:rsidRPr="00452E2E">
        <w:fldChar w:fldCharType="end"/>
      </w:r>
      <w:r w:rsidRPr="00452E2E">
        <w:t xml:space="preserve">. This means that the analysis followed a Straussian rather than a Glasserian approach </w:t>
      </w:r>
      <w:r w:rsidRPr="00452E2E">
        <w:fldChar w:fldCharType="begin" w:fldLock="1"/>
      </w:r>
      <w:r w:rsidRPr="00452E2E">
        <w:instrText>ADDIN CSL_CITATION { "citationItems" : [ { "id" : "ITEM-1", "itemData" : { "abstract" : "This paper examines how induction legitimately varies according to the impact of different knowledge constituting philosophical assumptions. As a result of its prevalence in qualitative management research, the paper focuses on grounded theory and uses this as a vehicle to explore the key parameters of the philosophical diversity articulated in judgements around neutrality, description and theorization. A reflexive framework of inductive praxis is offered as a heuristic device for interrogating the choices evidently at play in the variable constitution of inductive management research. We indicate how there are multiple modes of engagement, each of which is legitimate within its own philosophical commitments. This implies the need for a more tolerant pluralistic stance in the evaluation of qualitative management research.", "author" : [ { "dropping-particle" : "", "family" : "Johnson", "given" : "Phil", "non-dropping-particle" : "", "parse-names" : false, "suffix" : "" }, { "dropping-particle" : "", "family" : "Duberley", "given" : "Joanne", "non-dropping-particle" : "", "parse-names" : false, "suffix" : "" } ], "container-title" : "British Journal of Management", "id" : "ITEM-1", "issue" : "4", "issued" : { "date-parts" : [ [ "2015" ] ] }, "page" : "760-776", "title" : "Inductive praxis and management research: towards a reflexive framework", "type" : "article-journal", "volume" : "26" }, "uris" : [ "http://www.mendeley.com/documents/?uuid=f9176601-aa58-4266-aecd-97878aa30f90" ] } ], "mendeley" : { "formattedCitation" : "(Johnson &amp; Duberley 2015)", "manualFormatting" : "(Johnson &amp; Duberley, 2015)", "plainTextFormattedCitation" : "(Johnson &amp; Duberley 2015)", "previouslyFormattedCitation" : "(Johnson &amp; Duberley 2015)" }, "properties" : { "noteIndex" : 0 }, "schema" : "https://github.com/citation-style-language/schema/raw/master/csl-citation.json" }</w:instrText>
      </w:r>
      <w:r w:rsidRPr="00452E2E">
        <w:fldChar w:fldCharType="separate"/>
      </w:r>
      <w:r w:rsidRPr="00452E2E">
        <w:rPr>
          <w:noProof/>
        </w:rPr>
        <w:t>(Johnson &amp; Duberley, 2015)</w:t>
      </w:r>
      <w:r w:rsidRPr="00452E2E">
        <w:fldChar w:fldCharType="end"/>
      </w:r>
      <w:r w:rsidRPr="00452E2E">
        <w:t xml:space="preserve">. </w:t>
      </w:r>
    </w:p>
    <w:p w:rsidR="00D03A8E" w:rsidRPr="00452E2E" w:rsidRDefault="00D03A8E" w:rsidP="00D03A8E">
      <w:pPr>
        <w:spacing w:line="360" w:lineRule="auto"/>
        <w:jc w:val="both"/>
      </w:pPr>
      <w:r w:rsidRPr="00452E2E">
        <w:t>Thus, the codes were sorted whilst latent themes were created that reflected both existing and emerging themes. These themes were further reviewed and refined such that some of the themes such as ‘int</w:t>
      </w:r>
      <w:r w:rsidR="00674B80" w:rsidRPr="00452E2E">
        <w:t>ernational institutions’ without</w:t>
      </w:r>
      <w:r w:rsidRPr="00452E2E">
        <w:t xml:space="preserve"> enough su</w:t>
      </w:r>
      <w:r w:rsidR="00417532" w:rsidRPr="00452E2E">
        <w:t>pporting data were dropped whilst</w:t>
      </w:r>
      <w:r w:rsidRPr="00452E2E">
        <w:t xml:space="preserve"> others merged to produce more logical themes. Thus, </w:t>
      </w:r>
      <w:r w:rsidR="00A63754" w:rsidRPr="00452E2E">
        <w:t>nine</w:t>
      </w:r>
      <w:r w:rsidRPr="00452E2E">
        <w:t xml:space="preserve"> final themes were derived from an initial ten that were created. These themes were defined in line with the literature on institutional isomorphism </w:t>
      </w:r>
      <w:r w:rsidRPr="00452E2E">
        <w:fldChar w:fldCharType="begin" w:fldLock="1"/>
      </w:r>
      <w:r w:rsidRPr="00452E2E">
        <w:instrText>ADDIN CSL_CITATION { "citationItems" : [ { "id" : "ITEM-1", "itemData" : { "DOI" : "10.2307/2095101", "ISBN" : "00031224", "ISSN" : "00031224", "PMID" : "14846933", "author" : [ { "dropping-particle" : "", "family" : "DiMaggio", "given" : "P.J.", "non-dropping-particle" : "", "parse-names" : false, "suffix" : "" }, { "dropping-particle" : "", "family" : "Powell", "given" : "W.W.", "non-dropping-particle" : "", "parse-names" : false, "suffix" : "" } ], "id" : "ITEM-1", "issue" : "2", "issued" : { "date-parts" : [ [ "1983" ] ] }, "page" : "147-160", "title" : "The iron cage revisited: institutional isomorphism and collective rationality in organizational fields", "type" : "article-journal", "volume" : "48" }, "uris" : [ "http://www.mendeley.com/documents/?uuid=173aaf26-bb0f-440b-9525-ae2f5aa9b9fc" ] } ], "mendeley" : { "formattedCitation" : "(DiMaggio &amp; Powell 1983)", "manualFormatting" : "(DiMaggio &amp; Powell, 1983)", "plainTextFormattedCitation" : "(DiMaggio &amp; Powell 1983)", "previouslyFormattedCitation" : "(DiMaggio &amp; Powell 1983)" }, "properties" : { "noteIndex" : 0 }, "schema" : "https://github.com/citation-style-language/schema/raw/master/csl-citation.json" }</w:instrText>
      </w:r>
      <w:r w:rsidRPr="00452E2E">
        <w:fldChar w:fldCharType="separate"/>
      </w:r>
      <w:r w:rsidRPr="00452E2E">
        <w:rPr>
          <w:noProof/>
        </w:rPr>
        <w:t>(DiMaggio &amp; Powell, 1983)</w:t>
      </w:r>
      <w:r w:rsidRPr="00452E2E">
        <w:fldChar w:fldCharType="end"/>
      </w:r>
      <w:r w:rsidRPr="00452E2E">
        <w:t xml:space="preserve"> and where necessary, some were </w:t>
      </w:r>
      <w:r w:rsidRPr="00452E2E">
        <w:lastRenderedPageBreak/>
        <w:t xml:space="preserve">renamed in order to produce a final report. For instance, the theme ‘professional bodies’ was renamed ‘professional socialization’ to cover all avenues such professional norms, educational and professional training institutes and trade associations where managers and employee groups interact, thereby resulting </w:t>
      </w:r>
      <w:r w:rsidR="00E95586" w:rsidRPr="00452E2E">
        <w:t>in</w:t>
      </w:r>
      <w:r w:rsidRPr="00452E2E">
        <w:t xml:space="preserve"> the development and spread of HR practices. The final themes arrived at in this research are: labour laws, trade unions, regulatory bodies, </w:t>
      </w:r>
      <w:r w:rsidR="00F115F8" w:rsidRPr="00452E2E">
        <w:t>host community</w:t>
      </w:r>
      <w:r w:rsidRPr="00452E2E">
        <w:t xml:space="preserve">, </w:t>
      </w:r>
      <w:r w:rsidR="00C951BA" w:rsidRPr="00452E2E">
        <w:t>influence of elites</w:t>
      </w:r>
      <w:r w:rsidR="00F115F8" w:rsidRPr="00452E2E">
        <w:t xml:space="preserve">, </w:t>
      </w:r>
      <w:r w:rsidRPr="00452E2E">
        <w:t>staff transfer/imitation, consultants, professional socialization, and economic pressures.</w:t>
      </w:r>
    </w:p>
    <w:p w:rsidR="002631E4" w:rsidRPr="00452E2E" w:rsidRDefault="00D03A8E" w:rsidP="00D03A8E">
      <w:pPr>
        <w:spacing w:line="360" w:lineRule="auto"/>
        <w:jc w:val="both"/>
      </w:pPr>
      <w:r w:rsidRPr="00452E2E">
        <w:t xml:space="preserve">Based on the literature on institutionalism and HRM </w:t>
      </w:r>
      <w:r w:rsidRPr="00452E2E">
        <w:fldChar w:fldCharType="begin" w:fldLock="1"/>
      </w:r>
      <w:r w:rsidRPr="00452E2E">
        <w:instrText>ADDIN CSL_CITATION { "citationItems" : [ { "id" : "ITEM-1", "itemData" : { "author" : [ { "dropping-particle" : "", "family" : "Paauwe", "given" : "Jaap", "non-dropping-particle" : "", "parse-names" : false, "suffix" : "" } ], "id" : "ITEM-1", "issued" : { "date-parts" : [ [ "2004" ] ] }, "publisher" : "Oxford University Press", "publisher-place" : "New York", "title" : "HRM and performance: Achieving long term viability", "type" : "book" }, "uris" : [ "http://www.mendeley.com/documents/?uuid=74f2a13a-a977-4828-a824-dad490a6a04e" ] }, { "id" : "ITEM-2",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"ITEM-2", "issued" : { "date-parts" : [ [ "2007" ] ] }, "page" : "166-184", "publisher" : "Oxford University Press", "publisher-place" : "New York", "title" : "HRM and societal embeddedness", "type" : "chapter" }, "uris" : [ "http://www.mendeley.com/documents/?uuid=bc50bffa-b076-4ece-b963-52ac09293458" ] }, { "id" : "ITEM-3", "itemData" : { "DOI" : "10.1108/00483480910978018", "ISBN" : "0048-3486", "ISSN" : "0048-3486", "abstract" : "Purpose \u2013 Research in strategic human resource management (HRM) has focused mainly on the effects of HRM practices or systems on organizational effectiveness. However, institutional theory argues that besides being financially successful, organizations also need legitimacy to survive.Owingto the tension between competitive and institutional pressures, organizations balance between the degree of conformity and the degree of differentiation from competitors regarding HRM. The purpose of this paper is to address how institutional pressures help shape HRM. Design/methodology/approach \u2013 Using the concepts of leeway, human agency and strategic choice, differences in three types of institutional fit are highlighted: innovative, conformist and deviant. A comparative case study approach is used in order to illustrate the framework, using document analysis and 43 interviews in three organizations in The Netherlands. Findings \u2013 This paper shows how balancing competitive and institutional pressures in organizations affects HRM. The cases illustrate the proposed theoretical framework, showing leeway, human agency, strategic choice and the nature of institutional fit.Theorganizations each illustrate a type of institutional fit. Moreover, not the institutional context itself, but the organization\u2019s response seems to make a difference for the nature of institutional fit. Originality/value \u2013 While previous studies focus on the effects of HRM on organizational effectiveness, this paper examines how the balance between competitive and institutional pressures affectsHRMand aims toshow that institutional fit can contribute to strategicHRMby providing insight in this more balanced goal setting of organizations.", "author" : [ { "dropping-particle" : "", "family" : "Boon", "given" : "Corine", "non-dropping-particle" : "", "parse-names" : false, "suffix" : "" }, { "dropping-particle" : "", "family" : "Paauwe", "given" : "Jaap", "non-dropping-particle" : "", "parse-names" : false, "suffix" : "" }, { "dropping-particle" : "", "family" : "Boselie", "given" : "Paul", "non-dropping-particle" : "", "parse-names" : false, "suffix" : "" }, { "dropping-particle" : "Den", "family" : "Hartog", "given" : "Deanne", "non-dropping-particle" : "", "parse-names" : false, "suffix" : "" } ], "container-title" : "Personnel Review", "id" : "ITEM-3", "issue" : "5", "issued" : { "date-parts" : [ [ "2009" ] ] }, "page" : "492-508", "title" : "Institutional pressures and HRM: developing institutional fit", "type" : "article-journal", "volume" : "38" }, "uris" : [ "http://www.mendeley.com/documents/?uuid=d7f5441f-2750-48bc-ac06-5b21ceb45e58" ] } ], "mendeley" : { "formattedCitation" : "(Paauwe 2004; Paauwe &amp; Boselie 2007; Boon et al. 2009)", "manualFormatting" : "(Paauwe, 2004; Paauwe &amp; Boselie, 2007; Boon et al., 2009)", "plainTextFormattedCitation" : "(Paauwe 2004; Paauwe &amp; Boselie 2007; Boon et al. 2009)", "previouslyFormattedCitation" : "(Paauwe 2004; Paauwe &amp; Boselie 2007; Boon et al. 2009)" }, "properties" : { "noteIndex" : 0 }, "schema" : "https://github.com/citation-style-language/schema/raw/master/csl-citation.json" }</w:instrText>
      </w:r>
      <w:r w:rsidRPr="00452E2E">
        <w:fldChar w:fldCharType="separate"/>
      </w:r>
      <w:r w:rsidRPr="00452E2E">
        <w:rPr>
          <w:noProof/>
        </w:rPr>
        <w:t xml:space="preserve">(Paauwe, 2004; Paauwe &amp; Boselie, 2007; Boon </w:t>
      </w:r>
      <w:r w:rsidRPr="00452E2E">
        <w:rPr>
          <w:i/>
          <w:noProof/>
        </w:rPr>
        <w:t>et al</w:t>
      </w:r>
      <w:r w:rsidRPr="00452E2E">
        <w:rPr>
          <w:noProof/>
        </w:rPr>
        <w:t>., 2009)</w:t>
      </w:r>
      <w:r w:rsidRPr="00452E2E">
        <w:fldChar w:fldCharType="end"/>
      </w:r>
      <w:r w:rsidRPr="00452E2E">
        <w:t xml:space="preserve">, the themes </w:t>
      </w:r>
      <w:r w:rsidRPr="00452E2E">
        <w:rPr>
          <w:i/>
        </w:rPr>
        <w:t>labour laws</w:t>
      </w:r>
      <w:r w:rsidRPr="00452E2E">
        <w:t xml:space="preserve">, </w:t>
      </w:r>
      <w:r w:rsidRPr="00452E2E">
        <w:rPr>
          <w:i/>
        </w:rPr>
        <w:t>trade unions</w:t>
      </w:r>
      <w:r w:rsidRPr="00452E2E">
        <w:t xml:space="preserve">, </w:t>
      </w:r>
      <w:r w:rsidRPr="00452E2E">
        <w:rPr>
          <w:i/>
        </w:rPr>
        <w:t>regulatory bodies</w:t>
      </w:r>
      <w:r w:rsidR="008E1C21" w:rsidRPr="00452E2E">
        <w:rPr>
          <w:i/>
        </w:rPr>
        <w:t>, host community</w:t>
      </w:r>
      <w:r w:rsidRPr="00452E2E">
        <w:t xml:space="preserve"> and </w:t>
      </w:r>
      <w:r w:rsidR="008E1C21" w:rsidRPr="00452E2E">
        <w:rPr>
          <w:i/>
        </w:rPr>
        <w:t>influence of elites</w:t>
      </w:r>
      <w:r w:rsidRPr="00452E2E">
        <w:t xml:space="preserve"> were classified as coercive mechanisms; </w:t>
      </w:r>
      <w:r w:rsidRPr="00452E2E">
        <w:rPr>
          <w:i/>
        </w:rPr>
        <w:t>staff transfer/imitation</w:t>
      </w:r>
      <w:r w:rsidRPr="00452E2E">
        <w:t xml:space="preserve">, and </w:t>
      </w:r>
      <w:r w:rsidRPr="00452E2E">
        <w:rPr>
          <w:i/>
        </w:rPr>
        <w:t>consultants</w:t>
      </w:r>
      <w:r w:rsidRPr="00452E2E">
        <w:t xml:space="preserve"> were classified as mimetic mechanisms while </w:t>
      </w:r>
      <w:r w:rsidRPr="00452E2E">
        <w:rPr>
          <w:i/>
        </w:rPr>
        <w:t>professional socialization</w:t>
      </w:r>
      <w:r w:rsidRPr="00452E2E">
        <w:t xml:space="preserve"> fell under normative mechanisms. However, an emerging theme which was labelled </w:t>
      </w:r>
      <w:r w:rsidRPr="00452E2E">
        <w:rPr>
          <w:i/>
        </w:rPr>
        <w:t xml:space="preserve">economic pressures </w:t>
      </w:r>
      <w:r w:rsidRPr="00452E2E">
        <w:t>did not share the characteristics of any the three institutional mechanisms and was therefore not grouped with any of these institutional mechanisms. It is worth noting that whilst the theme</w:t>
      </w:r>
      <w:r w:rsidR="00F115F8" w:rsidRPr="00452E2E">
        <w:t>s</w:t>
      </w:r>
      <w:r w:rsidRPr="00452E2E">
        <w:t xml:space="preserve"> </w:t>
      </w:r>
      <w:r w:rsidR="00F115F8" w:rsidRPr="00452E2E">
        <w:rPr>
          <w:i/>
        </w:rPr>
        <w:t>host community and influence of elites</w:t>
      </w:r>
      <w:r w:rsidRPr="00452E2E">
        <w:rPr>
          <w:i/>
        </w:rPr>
        <w:t xml:space="preserve"> </w:t>
      </w:r>
      <w:r w:rsidR="00F115F8" w:rsidRPr="00452E2E">
        <w:t>were</w:t>
      </w:r>
      <w:r w:rsidRPr="00452E2E">
        <w:t xml:space="preserve"> new theme</w:t>
      </w:r>
      <w:r w:rsidR="00F115F8" w:rsidRPr="00452E2E">
        <w:t>s</w:t>
      </w:r>
      <w:r w:rsidRPr="00452E2E">
        <w:t xml:space="preserve"> that emerged from the d</w:t>
      </w:r>
      <w:r w:rsidR="00F115F8" w:rsidRPr="00452E2E">
        <w:t>ata, the characteristics of these</w:t>
      </w:r>
      <w:r w:rsidRPr="00452E2E">
        <w:t xml:space="preserve"> theme</w:t>
      </w:r>
      <w:r w:rsidR="00F115F8" w:rsidRPr="00452E2E">
        <w:t>s</w:t>
      </w:r>
      <w:r w:rsidRPr="00452E2E">
        <w:t xml:space="preserve"> resonated broadly with coercive mechan</w:t>
      </w:r>
      <w:r w:rsidR="00A63754" w:rsidRPr="00452E2E">
        <w:t xml:space="preserve">isms and could be described as </w:t>
      </w:r>
      <w:r w:rsidRPr="00452E2E">
        <w:t>context-specific source</w:t>
      </w:r>
      <w:r w:rsidR="00A63754" w:rsidRPr="00452E2E">
        <w:t>s</w:t>
      </w:r>
      <w:r w:rsidRPr="00452E2E">
        <w:t xml:space="preserve"> of coercive influence on HRM in Nigeria. </w:t>
      </w:r>
    </w:p>
    <w:p w:rsidR="00D03A8E" w:rsidRPr="00452E2E" w:rsidRDefault="00D03A8E" w:rsidP="00D03A8E">
      <w:pPr>
        <w:spacing w:line="360" w:lineRule="auto"/>
        <w:jc w:val="both"/>
      </w:pPr>
      <w:r w:rsidRPr="00452E2E">
        <w:t xml:space="preserve">Since this study involves a comparison between public and private sectors, the responses emanating from the themes were grouped into public and private sector whilst industry – banks and hospitals – provided a sub-category for analysis. This enabled the researcher to compare the responses from both sectors using a contrast matrix </w:t>
      </w:r>
      <w:r w:rsidRPr="00452E2E">
        <w:fldChar w:fldCharType="begin" w:fldLock="1"/>
      </w:r>
      <w:r w:rsidRPr="00452E2E">
        <w:instrText>ADDIN CSL_CITATION { "citationItems" : [ { "id" : "ITEM-1", "itemData" : { "author" : [ { "dropping-particle" : "", "family" : "Miles", "given" : "M.B", "non-dropping-particle" : "", "parse-names" : false, "suffix" : "" }, { "dropping-particle" : "", "family" : "Huberman", "given" : "M.A", "non-dropping-particle" : "", "parse-names" : false, "suffix" : "" } ], "id" : "ITEM-1", "issued" : { "date-parts" : [ [ "1994" ] ] }, "publisher" : "SAGE", "publisher-place" : "Thousand Oaks, CA", "title" : "Qualitative data analysis", "type" : "book" }, "uris" : [ "http://www.mendeley.com/documents/?uuid=3260afd6-3a6f-4646-b504-6cf424d79481" ] } ], "mendeley" : { "formattedCitation" : "(Miles &amp; Huberman 1994)", "manualFormatting" : "(Miles &amp; Huberman, 1994)", "plainTextFormattedCitation" : "(Miles &amp; Huberman 1994)", "previouslyFormattedCitation" : "(Miles &amp; Huberman 1994)" }, "properties" : { "noteIndex" : 0 }, "schema" : "https://github.com/citation-style-language/schema/raw/master/csl-citation.json" }</w:instrText>
      </w:r>
      <w:r w:rsidRPr="00452E2E">
        <w:fldChar w:fldCharType="separate"/>
      </w:r>
      <w:r w:rsidRPr="00452E2E">
        <w:rPr>
          <w:noProof/>
        </w:rPr>
        <w:t>(Miles &amp; Huberman, 1994)</w:t>
      </w:r>
      <w:r w:rsidRPr="00452E2E">
        <w:fldChar w:fldCharType="end"/>
      </w:r>
      <w:r w:rsidRPr="00452E2E">
        <w:t xml:space="preserve"> in order to identify areas of convergence and divergence based on the views expressed by the interviewees. Therefore, in reporting the results in the next section, efforts are made to present the views of managers from both sectors side by side under each theme in order to identify how each institutional mechanism influences HRM in public and private sector. Finally, the quotes presented in the findings section below are typical of the views expressed by the interviewees. Consequently, the source of each quote is presented in bracket at the end of the quote whilst responses from </w:t>
      </w:r>
      <w:r w:rsidRPr="00452E2E">
        <w:lastRenderedPageBreak/>
        <w:t xml:space="preserve">public banks are labelled for a short as PuB1, PuB2 and PuB3; public hospitals as PuH1, PuH2 and PuH3; private banks as PrB1, PrB2, and PrB3; whilst those from private hospitals are referred to PrH1, PrH2, PrH3 and PrH4 respectively.  </w:t>
      </w:r>
    </w:p>
    <w:p w:rsidR="00D03A8E" w:rsidRPr="00452E2E" w:rsidRDefault="00D03A8E" w:rsidP="00B57950">
      <w:pPr>
        <w:pStyle w:val="Heading5"/>
      </w:pPr>
      <w:bookmarkStart w:id="118" w:name="_Toc473808166"/>
      <w:r w:rsidRPr="00452E2E">
        <w:t>5.3.2.1 Findings from Qualitative Interviews</w:t>
      </w:r>
      <w:bookmarkEnd w:id="118"/>
    </w:p>
    <w:p w:rsidR="00417532" w:rsidRPr="00452E2E" w:rsidRDefault="00CE0DDD" w:rsidP="00D03A8E">
      <w:pPr>
        <w:spacing w:line="360" w:lineRule="auto"/>
        <w:jc w:val="both"/>
      </w:pPr>
      <w:r w:rsidRPr="00452E2E">
        <w:t>The findings from qualitative interviews are presented below.</w:t>
      </w:r>
    </w:p>
    <w:p w:rsidR="00D03A8E" w:rsidRPr="00452E2E" w:rsidRDefault="00D03A8E" w:rsidP="00D03A8E">
      <w:pPr>
        <w:spacing w:line="360" w:lineRule="auto"/>
        <w:jc w:val="both"/>
        <w:rPr>
          <w:i/>
        </w:rPr>
      </w:pPr>
      <w:r w:rsidRPr="00452E2E">
        <w:rPr>
          <w:i/>
        </w:rPr>
        <w:t>Coercive mechanisms</w:t>
      </w:r>
    </w:p>
    <w:p w:rsidR="00D03A8E" w:rsidRPr="00452E2E" w:rsidRDefault="00D03A8E" w:rsidP="00D03A8E">
      <w:pPr>
        <w:spacing w:line="360" w:lineRule="auto"/>
        <w:jc w:val="both"/>
      </w:pPr>
      <w:r w:rsidRPr="00452E2E">
        <w:t xml:space="preserve">These institutional mechanisms emanate from other organizations upon which the organization depends for its resources (DiMaggio &amp; Powell, 1983). Whilst these institutions form part of the general environment (Deephouse, 1999; Paauwe, 2004) of organizations, it has been suggested that their influence on work practices may vary according to the sector or institutional field of the organization (Boon </w:t>
      </w:r>
      <w:r w:rsidRPr="00452E2E">
        <w:rPr>
          <w:i/>
        </w:rPr>
        <w:t>et al.</w:t>
      </w:r>
      <w:r w:rsidRPr="00452E2E">
        <w:t xml:space="preserve">, 2009).  The coercive mechanisms identified in this study were labour laws, trade unions, regulatory bodies and influence of ‘stakeholders’. These are discussed below. </w:t>
      </w:r>
    </w:p>
    <w:p w:rsidR="00D03A8E" w:rsidRPr="00452E2E" w:rsidRDefault="00D03A8E" w:rsidP="00D03A8E">
      <w:pPr>
        <w:spacing w:line="360" w:lineRule="auto"/>
        <w:jc w:val="both"/>
      </w:pPr>
      <w:r w:rsidRPr="00452E2E">
        <w:rPr>
          <w:i/>
        </w:rPr>
        <w:t>Labour Laws</w:t>
      </w:r>
      <w:r w:rsidRPr="00452E2E">
        <w:t xml:space="preserve"> </w:t>
      </w:r>
    </w:p>
    <w:p w:rsidR="00D03A8E" w:rsidRPr="00452E2E" w:rsidRDefault="00D03A8E" w:rsidP="00D03A8E">
      <w:pPr>
        <w:spacing w:line="360" w:lineRule="auto"/>
        <w:jc w:val="both"/>
      </w:pPr>
      <w:r w:rsidRPr="00452E2E">
        <w:t xml:space="preserve">There are different labour laws in Nigeria that influence the choice of HRM strategies in organizations. Labour laws in Nigeria can be broadly classified into laws relating to terms and conditions of employment; laws relating to employment and laws dealing with trade unions and dispute resolution (Ovadje &amp; Ankomah, 2001). Whilst some of these laws affect a particular category of employees, a prominent law that relates to conditions of employment in Nigeria is the minimum wage law. The national minimum wage law provides a minimum amount an employee should be paid for their labour. The minimum wage provides a benchmark to guide collective bargaining between employers and employees. Presently, the national minimum wage in Nigeria is 18,000 Naira per month. Generally, all interviewees indicated that their organizations abide by labour laws when considering HRM policies and that they were not against labour laws as could be seen from the response below from a HR manager in the public sector: </w:t>
      </w:r>
    </w:p>
    <w:p w:rsidR="00D03A8E" w:rsidRPr="00452E2E" w:rsidRDefault="00D03A8E" w:rsidP="00D03A8E">
      <w:pPr>
        <w:jc w:val="both"/>
        <w:rPr>
          <w:sz w:val="20"/>
          <w:szCs w:val="20"/>
        </w:rPr>
      </w:pPr>
      <w:r w:rsidRPr="00452E2E">
        <w:rPr>
          <w:sz w:val="20"/>
          <w:szCs w:val="20"/>
        </w:rPr>
        <w:t>I’m not sure any government agency would fail to respect laws of employment for whatever reason….. They [labour laws] provide guidelines on how labour disputes can be resolved or even avoided so yes, I consider laws of employment very important [PuB3].</w:t>
      </w:r>
    </w:p>
    <w:p w:rsidR="00D03A8E" w:rsidRPr="00452E2E" w:rsidRDefault="00D03A8E" w:rsidP="00D03A8E">
      <w:pPr>
        <w:spacing w:line="360" w:lineRule="auto"/>
        <w:jc w:val="both"/>
      </w:pPr>
      <w:r w:rsidRPr="00452E2E">
        <w:lastRenderedPageBreak/>
        <w:t>However, when asked particularly about the minimum wage law, it was found that not all organizations abided by the provisions of the minimum wage law. In the public sector, all the interviewees indicate that the minimum wage law significantly influenced the decision of compensation of workers as could be seen from the responses in both public hospitals and banks:</w:t>
      </w:r>
    </w:p>
    <w:p w:rsidR="00D03A8E" w:rsidRPr="00452E2E" w:rsidRDefault="00D03A8E" w:rsidP="00D03A8E">
      <w:pPr>
        <w:jc w:val="both"/>
        <w:rPr>
          <w:sz w:val="20"/>
          <w:szCs w:val="20"/>
        </w:rPr>
      </w:pPr>
      <w:r w:rsidRPr="00452E2E">
        <w:rPr>
          <w:sz w:val="20"/>
          <w:szCs w:val="20"/>
        </w:rPr>
        <w:t>We always make reference to the minimum wage and the agreements we have with different groups of workers in designing our pay structure. Once the minimum wage is increased, we adjust the wages of workers to reflect this increase [PuH 1].</w:t>
      </w:r>
    </w:p>
    <w:p w:rsidR="00D03A8E" w:rsidRPr="00452E2E" w:rsidRDefault="00D03A8E" w:rsidP="00D03A8E">
      <w:pPr>
        <w:jc w:val="both"/>
        <w:rPr>
          <w:sz w:val="20"/>
          <w:szCs w:val="20"/>
        </w:rPr>
      </w:pPr>
      <w:r w:rsidRPr="00452E2E">
        <w:rPr>
          <w:sz w:val="20"/>
          <w:szCs w:val="20"/>
        </w:rPr>
        <w:t xml:space="preserve"> Yes (we abide by the minimum wage law), as a government agency, you cannot be the one disobeying the laws of the country. What message are you passing across if you do that (disobey minimum wage law) as a government agency? I can assure you </w:t>
      </w:r>
      <w:r w:rsidR="009739E9" w:rsidRPr="00452E2E">
        <w:rPr>
          <w:sz w:val="20"/>
          <w:szCs w:val="20"/>
        </w:rPr>
        <w:t xml:space="preserve">that </w:t>
      </w:r>
      <w:r w:rsidRPr="00452E2E">
        <w:rPr>
          <w:sz w:val="20"/>
          <w:szCs w:val="20"/>
        </w:rPr>
        <w:t>no worker in this bank collects less than 18,000 Naira monthly [PuB 2].</w:t>
      </w:r>
    </w:p>
    <w:p w:rsidR="00D03A8E" w:rsidRPr="00452E2E" w:rsidRDefault="00D03A8E" w:rsidP="00D03A8E">
      <w:pPr>
        <w:spacing w:line="360" w:lineRule="auto"/>
        <w:jc w:val="both"/>
      </w:pPr>
      <w:r w:rsidRPr="00452E2E">
        <w:t>In the private sector however, HR managers in the private banks claimed their pay structure was above the minimum wage based on the industry standard as indicated in the response below:</w:t>
      </w:r>
    </w:p>
    <w:p w:rsidR="00D03A8E" w:rsidRPr="00452E2E" w:rsidRDefault="00D03A8E" w:rsidP="00D03A8E">
      <w:pPr>
        <w:jc w:val="both"/>
        <w:rPr>
          <w:sz w:val="20"/>
          <w:szCs w:val="20"/>
        </w:rPr>
      </w:pPr>
      <w:r w:rsidRPr="00452E2E">
        <w:rPr>
          <w:sz w:val="20"/>
          <w:szCs w:val="20"/>
        </w:rPr>
        <w:t>The industry standard is well above the minimum wage and that is what the bank uses to fix the remuneration of workers. So the benchmark the bank uses is even far above the minimum wage [PrB 2].</w:t>
      </w:r>
    </w:p>
    <w:p w:rsidR="00D03A8E" w:rsidRPr="00452E2E" w:rsidRDefault="00D03A8E" w:rsidP="00D03A8E">
      <w:pPr>
        <w:jc w:val="both"/>
      </w:pPr>
      <w:r w:rsidRPr="00452E2E">
        <w:t>Nevertheless, in private hospitals, this was not the case as the respondents suggested that their organizations could not afford paying the minimum wage or other benefits due to their cost of operation:</w:t>
      </w:r>
    </w:p>
    <w:p w:rsidR="00D03A8E" w:rsidRPr="00452E2E" w:rsidRDefault="00D03A8E" w:rsidP="00D03A8E">
      <w:pPr>
        <w:jc w:val="both"/>
        <w:rPr>
          <w:sz w:val="20"/>
          <w:szCs w:val="20"/>
        </w:rPr>
      </w:pPr>
      <w:r w:rsidRPr="00452E2E">
        <w:rPr>
          <w:sz w:val="20"/>
          <w:szCs w:val="20"/>
        </w:rPr>
        <w:t>I think the minimum wage is purely the business of government. If we say we must pay all our staff up to the minimum wage, we might fold up because we cannot afford it. We try to review their (workers) pay when the government increases the pay of its workers but that does not mean it has to be up to what the government stipulates as minimum wage [PrH 2].</w:t>
      </w:r>
    </w:p>
    <w:p w:rsidR="00D03A8E" w:rsidRPr="00452E2E" w:rsidRDefault="00D03A8E" w:rsidP="00D03A8E">
      <w:pPr>
        <w:jc w:val="both"/>
        <w:rPr>
          <w:sz w:val="20"/>
          <w:szCs w:val="20"/>
        </w:rPr>
      </w:pPr>
      <w:r w:rsidRPr="00452E2E">
        <w:rPr>
          <w:sz w:val="20"/>
          <w:szCs w:val="20"/>
        </w:rPr>
        <w:t>We try our best to provide the staff here with all their entitlements required by law but sometimes this is not going to be possible because you know that the cost that goes into our daily operations like fuelling alone is very huge. The most important thing is we are very open to our staff and they have always shown great understanding [PrH4].</w:t>
      </w:r>
    </w:p>
    <w:p w:rsidR="00D03A8E" w:rsidRPr="00452E2E" w:rsidRDefault="00D03A8E" w:rsidP="00D03A8E">
      <w:pPr>
        <w:spacing w:line="360" w:lineRule="auto"/>
        <w:jc w:val="both"/>
        <w:rPr>
          <w:i/>
        </w:rPr>
      </w:pPr>
      <w:r w:rsidRPr="00452E2E">
        <w:rPr>
          <w:i/>
        </w:rPr>
        <w:t>Trade Unions</w:t>
      </w:r>
    </w:p>
    <w:p w:rsidR="00D03A8E" w:rsidRPr="00452E2E" w:rsidRDefault="00D03A8E" w:rsidP="00D03A8E">
      <w:pPr>
        <w:spacing w:line="360" w:lineRule="auto"/>
        <w:jc w:val="both"/>
      </w:pPr>
      <w:r w:rsidRPr="00452E2E">
        <w:t>Trade unions play an important role in influencing HRM policies mainly in the public sector. The informants in both public banks and hospitals allude</w:t>
      </w:r>
      <w:r w:rsidR="003942C4" w:rsidRPr="00452E2E">
        <w:t>d</w:t>
      </w:r>
      <w:r w:rsidRPr="00452E2E">
        <w:t xml:space="preserve"> to the importance of trade unions and the need to consult unions in workplace decisions in order to maintain industry harmony. Some of their responses are shown below: </w:t>
      </w:r>
    </w:p>
    <w:p w:rsidR="00D03A8E" w:rsidRPr="00452E2E" w:rsidRDefault="00D03A8E" w:rsidP="00D03A8E">
      <w:pPr>
        <w:jc w:val="both"/>
        <w:rPr>
          <w:sz w:val="20"/>
          <w:szCs w:val="20"/>
        </w:rPr>
      </w:pPr>
      <w:r w:rsidRPr="00452E2E">
        <w:rPr>
          <w:sz w:val="20"/>
          <w:szCs w:val="20"/>
        </w:rPr>
        <w:t>Unions are always consulted on major issues affecting workers. (Because of this), there is harmony between management and unions [PuB 2].</w:t>
      </w:r>
    </w:p>
    <w:p w:rsidR="00D03A8E" w:rsidRPr="00452E2E" w:rsidRDefault="00D03A8E" w:rsidP="00D03A8E">
      <w:pPr>
        <w:jc w:val="both"/>
        <w:rPr>
          <w:sz w:val="20"/>
          <w:szCs w:val="20"/>
        </w:rPr>
      </w:pPr>
      <w:r w:rsidRPr="00452E2E">
        <w:rPr>
          <w:sz w:val="20"/>
          <w:szCs w:val="20"/>
        </w:rPr>
        <w:lastRenderedPageBreak/>
        <w:t>We do not undermine staff unions at all. We know what they can do when they feel aggrieved so we try as much as possible to have peace with them [PuH 2].</w:t>
      </w:r>
    </w:p>
    <w:p w:rsidR="00D03A8E" w:rsidRPr="00452E2E" w:rsidRDefault="00D03A8E" w:rsidP="00D03A8E">
      <w:pPr>
        <w:jc w:val="both"/>
        <w:rPr>
          <w:sz w:val="22"/>
        </w:rPr>
      </w:pPr>
      <w:r w:rsidRPr="00452E2E">
        <w:t>Surprisingly, in all the private organizations studied, there was a deliberate policy to prevent employees from joining trade unions since the organizations viewed unionism as a tool to antagonise the decisions of management:</w:t>
      </w:r>
    </w:p>
    <w:p w:rsidR="00D03A8E" w:rsidRPr="00452E2E" w:rsidRDefault="00D03A8E" w:rsidP="00D03A8E">
      <w:pPr>
        <w:jc w:val="both"/>
        <w:rPr>
          <w:sz w:val="20"/>
          <w:szCs w:val="20"/>
        </w:rPr>
      </w:pPr>
      <w:r w:rsidRPr="00452E2E">
        <w:rPr>
          <w:sz w:val="20"/>
          <w:szCs w:val="20"/>
        </w:rPr>
        <w:t>The bank does not allow workers to join unions. It is not just this bank but the whole industry is not unionised [PrB 1].</w:t>
      </w:r>
    </w:p>
    <w:p w:rsidR="00D03A8E" w:rsidRPr="00452E2E" w:rsidRDefault="00D03A8E" w:rsidP="00D03A8E">
      <w:pPr>
        <w:jc w:val="both"/>
        <w:rPr>
          <w:sz w:val="20"/>
          <w:szCs w:val="20"/>
        </w:rPr>
      </w:pPr>
      <w:r w:rsidRPr="00452E2E">
        <w:rPr>
          <w:sz w:val="20"/>
          <w:szCs w:val="20"/>
        </w:rPr>
        <w:t>Trade unions can create problems and we cannot afford that here. We want workers who can provide the best service to our clients not those who would antagonise the hospital management [PrH 1].</w:t>
      </w:r>
    </w:p>
    <w:p w:rsidR="00D03A8E" w:rsidRPr="00452E2E" w:rsidRDefault="00D03A8E" w:rsidP="00D03A8E">
      <w:pPr>
        <w:jc w:val="both"/>
        <w:rPr>
          <w:sz w:val="20"/>
          <w:szCs w:val="20"/>
        </w:rPr>
      </w:pPr>
      <w:r w:rsidRPr="00452E2E">
        <w:rPr>
          <w:sz w:val="20"/>
          <w:szCs w:val="20"/>
        </w:rPr>
        <w:t>Well, we inform prospective employees ahead time that the hospital does not permit unionism or activism. Of course, we will always give them (employees) a listening ear if they have genuine grievances [PrH 2].</w:t>
      </w:r>
    </w:p>
    <w:p w:rsidR="00D03A8E" w:rsidRPr="00452E2E" w:rsidRDefault="00D03A8E" w:rsidP="00D03A8E">
      <w:pPr>
        <w:jc w:val="both"/>
        <w:rPr>
          <w:sz w:val="20"/>
          <w:szCs w:val="20"/>
        </w:rPr>
      </w:pPr>
      <w:r w:rsidRPr="00452E2E">
        <w:rPr>
          <w:sz w:val="20"/>
          <w:szCs w:val="20"/>
        </w:rPr>
        <w:t xml:space="preserve">I completely disagree that workers have to join trade unions before their needs can be met. I can guarantee </w:t>
      </w:r>
      <w:r w:rsidR="00EE3682" w:rsidRPr="00452E2E">
        <w:rPr>
          <w:sz w:val="20"/>
          <w:szCs w:val="20"/>
        </w:rPr>
        <w:t xml:space="preserve">you </w:t>
      </w:r>
      <w:r w:rsidRPr="00452E2E">
        <w:rPr>
          <w:sz w:val="20"/>
          <w:szCs w:val="20"/>
        </w:rPr>
        <w:t>that employees of this bank are treated far better than those in companies where employees have strong unions [PrB3].</w:t>
      </w:r>
    </w:p>
    <w:p w:rsidR="00D03A8E" w:rsidRPr="00452E2E" w:rsidRDefault="00D03A8E" w:rsidP="00D03A8E">
      <w:pPr>
        <w:spacing w:line="360" w:lineRule="auto"/>
        <w:jc w:val="both"/>
        <w:rPr>
          <w:i/>
        </w:rPr>
      </w:pPr>
      <w:r w:rsidRPr="00452E2E">
        <w:rPr>
          <w:i/>
        </w:rPr>
        <w:t>Regulatory Bodies</w:t>
      </w:r>
    </w:p>
    <w:p w:rsidR="00D03A8E" w:rsidRPr="00452E2E" w:rsidRDefault="00D03A8E" w:rsidP="00D03A8E">
      <w:pPr>
        <w:spacing w:line="360" w:lineRule="auto"/>
        <w:jc w:val="both"/>
      </w:pPr>
      <w:r w:rsidRPr="00452E2E">
        <w:t>Unlike trade unionism, the influence of regulatory bodies on HRM appear to be felt in both public and private organizations. As the responses from private hospitals below indicate, this might be as a result of the influence regulatory bodies have in providing operating licences to these organizations:</w:t>
      </w:r>
    </w:p>
    <w:p w:rsidR="00D03A8E" w:rsidRPr="00452E2E" w:rsidRDefault="00D03A8E" w:rsidP="00D03A8E">
      <w:pPr>
        <w:jc w:val="both"/>
        <w:rPr>
          <w:sz w:val="20"/>
          <w:szCs w:val="20"/>
        </w:rPr>
      </w:pPr>
      <w:r w:rsidRPr="00452E2E">
        <w:rPr>
          <w:sz w:val="20"/>
          <w:szCs w:val="20"/>
        </w:rPr>
        <w:t xml:space="preserve">…..  Medical and dental council of Nigeria </w:t>
      </w:r>
      <w:r w:rsidR="00AF66E5">
        <w:rPr>
          <w:sz w:val="20"/>
          <w:szCs w:val="20"/>
        </w:rPr>
        <w:t>is</w:t>
      </w:r>
      <w:r w:rsidRPr="00452E2E">
        <w:rPr>
          <w:sz w:val="20"/>
          <w:szCs w:val="20"/>
        </w:rPr>
        <w:t xml:space="preserve"> interested in the calibre of staff we employ and the training they receive [PrH 1].</w:t>
      </w:r>
    </w:p>
    <w:p w:rsidR="00D03A8E" w:rsidRPr="00452E2E" w:rsidRDefault="00D03A8E" w:rsidP="00D03A8E">
      <w:pPr>
        <w:jc w:val="both"/>
        <w:rPr>
          <w:sz w:val="20"/>
          <w:szCs w:val="20"/>
        </w:rPr>
      </w:pPr>
      <w:r w:rsidRPr="00452E2E">
        <w:rPr>
          <w:sz w:val="20"/>
          <w:szCs w:val="20"/>
        </w:rPr>
        <w:t>The hospital will lose its operating licence if regulatory bodies find out that the workers are not well qualified to work in a hospital [PrH 2].</w:t>
      </w:r>
    </w:p>
    <w:p w:rsidR="00D03A8E" w:rsidRPr="00452E2E" w:rsidRDefault="00D03A8E" w:rsidP="00D03A8E">
      <w:pPr>
        <w:spacing w:line="360" w:lineRule="auto"/>
        <w:jc w:val="both"/>
      </w:pPr>
      <w:r w:rsidRPr="00452E2E">
        <w:t>The same applies to private banks where the central bank of Nigeria (CBN) which is the apex regulatory body in the banking sector provides guidelines to banks including some of their employment relations policies:</w:t>
      </w:r>
    </w:p>
    <w:p w:rsidR="00D03A8E" w:rsidRPr="00452E2E" w:rsidRDefault="00D03A8E" w:rsidP="00D03A8E">
      <w:pPr>
        <w:jc w:val="both"/>
        <w:rPr>
          <w:sz w:val="20"/>
          <w:szCs w:val="20"/>
        </w:rPr>
      </w:pPr>
      <w:r w:rsidRPr="00452E2E">
        <w:rPr>
          <w:sz w:val="20"/>
          <w:szCs w:val="20"/>
        </w:rPr>
        <w:t xml:space="preserve">We have a policy document known as the practice of banking. It tells the employees everything they have to know about the bank including the conditions of employment and code of conduct. …. We update it (policy document) from time to time in line with CBN guidelines [PrB 2]. </w:t>
      </w:r>
    </w:p>
    <w:p w:rsidR="00D03A8E" w:rsidRPr="00452E2E" w:rsidRDefault="00D03A8E" w:rsidP="00D03A8E">
      <w:pPr>
        <w:spacing w:line="360" w:lineRule="auto"/>
        <w:jc w:val="both"/>
      </w:pPr>
      <w:r w:rsidRPr="00452E2E">
        <w:t>In the public sector, however, the amount of regulation appear to be more due to the presence of multiple regulatory agencies, with often conflicting roles, as could be seen in the responses below:</w:t>
      </w:r>
    </w:p>
    <w:p w:rsidR="00D03A8E" w:rsidRPr="00452E2E" w:rsidRDefault="00D03A8E" w:rsidP="00D03A8E">
      <w:pPr>
        <w:jc w:val="both"/>
        <w:rPr>
          <w:sz w:val="20"/>
          <w:szCs w:val="20"/>
        </w:rPr>
      </w:pPr>
      <w:r w:rsidRPr="00452E2E">
        <w:rPr>
          <w:sz w:val="20"/>
          <w:szCs w:val="20"/>
        </w:rPr>
        <w:t>The national assembly is also interested in what we do….. Don’t forget that the federal character commission has to vet our selection procedures to ensure that we employ people from all parts of the country [PuB 1].</w:t>
      </w:r>
    </w:p>
    <w:p w:rsidR="00B57950" w:rsidRPr="00452E2E" w:rsidRDefault="00D03A8E" w:rsidP="0031683A">
      <w:pPr>
        <w:jc w:val="both"/>
        <w:rPr>
          <w:sz w:val="20"/>
          <w:szCs w:val="20"/>
        </w:rPr>
      </w:pPr>
      <w:r w:rsidRPr="00452E2E">
        <w:rPr>
          <w:sz w:val="20"/>
          <w:szCs w:val="20"/>
        </w:rPr>
        <w:lastRenderedPageBreak/>
        <w:t>Health (regulatory) bodies want the hospital to maintain a very high standard and at the same time there are bodies who are more interested in where the workers come from (referring to the federal character commission whose duty is to ensure that public sector organizations maintain quota system in their employment) [PuH 2].</w:t>
      </w:r>
    </w:p>
    <w:p w:rsidR="00D03A8E" w:rsidRPr="00452E2E" w:rsidRDefault="00A63754" w:rsidP="00D03A8E">
      <w:pPr>
        <w:spacing w:line="360" w:lineRule="auto"/>
        <w:jc w:val="both"/>
        <w:rPr>
          <w:i/>
          <w:szCs w:val="24"/>
        </w:rPr>
      </w:pPr>
      <w:r w:rsidRPr="00452E2E">
        <w:rPr>
          <w:i/>
          <w:szCs w:val="24"/>
        </w:rPr>
        <w:t>Host community and influence of elites</w:t>
      </w:r>
    </w:p>
    <w:p w:rsidR="00C15C8A" w:rsidRPr="00452E2E" w:rsidRDefault="00D03A8E" w:rsidP="00D03A8E">
      <w:pPr>
        <w:spacing w:line="360" w:lineRule="auto"/>
        <w:jc w:val="both"/>
        <w:rPr>
          <w:szCs w:val="24"/>
        </w:rPr>
      </w:pPr>
      <w:r w:rsidRPr="00452E2E">
        <w:rPr>
          <w:szCs w:val="24"/>
        </w:rPr>
        <w:t xml:space="preserve">This results from informal influence on HRM policies from </w:t>
      </w:r>
      <w:r w:rsidR="00C15C8A" w:rsidRPr="00452E2E">
        <w:rPr>
          <w:szCs w:val="24"/>
        </w:rPr>
        <w:t xml:space="preserve">members of the host community in which the organization operates. Due to the shortage of employment opportunities in many African contexts, the host community may prevail on the organization to consider the interests of members of the community when filling job vacancies. This could be seen from the responses below: </w:t>
      </w:r>
    </w:p>
    <w:p w:rsidR="00C15C8A" w:rsidRPr="00452E2E" w:rsidRDefault="00C15C8A" w:rsidP="00C15C8A">
      <w:pPr>
        <w:jc w:val="both"/>
        <w:rPr>
          <w:sz w:val="20"/>
          <w:szCs w:val="20"/>
        </w:rPr>
      </w:pPr>
      <w:r w:rsidRPr="00452E2E">
        <w:rPr>
          <w:sz w:val="20"/>
          <w:szCs w:val="20"/>
        </w:rPr>
        <w:t>They [host community] often have complains but as soon as the hospital employs one of their own, those complains suddenly disappear [PrH4].</w:t>
      </w:r>
    </w:p>
    <w:p w:rsidR="00C15C8A" w:rsidRPr="00452E2E" w:rsidRDefault="00C15C8A" w:rsidP="00C15C8A">
      <w:pPr>
        <w:jc w:val="both"/>
        <w:rPr>
          <w:sz w:val="20"/>
          <w:szCs w:val="20"/>
        </w:rPr>
      </w:pPr>
      <w:r w:rsidRPr="00452E2E">
        <w:rPr>
          <w:sz w:val="20"/>
          <w:szCs w:val="20"/>
        </w:rPr>
        <w:t>We have a deliberate policy of employing members of the community to certain positions so that we can maintain a healthy relationship with our hosts [PrH3].</w:t>
      </w:r>
    </w:p>
    <w:p w:rsidR="00C15C8A" w:rsidRPr="00452E2E" w:rsidRDefault="00C15C8A" w:rsidP="00D03A8E">
      <w:pPr>
        <w:spacing w:line="360" w:lineRule="auto"/>
        <w:jc w:val="both"/>
        <w:rPr>
          <w:i/>
          <w:szCs w:val="24"/>
        </w:rPr>
      </w:pPr>
      <w:r w:rsidRPr="00452E2E">
        <w:rPr>
          <w:i/>
          <w:szCs w:val="24"/>
        </w:rPr>
        <w:t>Influence of elites</w:t>
      </w:r>
    </w:p>
    <w:p w:rsidR="00D03A8E" w:rsidRPr="00452E2E" w:rsidRDefault="00C15C8A" w:rsidP="00D03A8E">
      <w:pPr>
        <w:spacing w:line="360" w:lineRule="auto"/>
        <w:jc w:val="both"/>
        <w:rPr>
          <w:szCs w:val="24"/>
        </w:rPr>
      </w:pPr>
      <w:r w:rsidRPr="00452E2E">
        <w:rPr>
          <w:szCs w:val="24"/>
        </w:rPr>
        <w:t xml:space="preserve">Influential elites that have direct dealings with the organization may also </w:t>
      </w:r>
      <w:r w:rsidR="00D03A8E" w:rsidRPr="00452E2E">
        <w:rPr>
          <w:szCs w:val="24"/>
        </w:rPr>
        <w:t xml:space="preserve">wield some coercive influence especially in the area of recruitment and selection. This may not be uncommon in environments with high levels of unemployment where social networks are important in securing employment (Mellahi &amp; Wood, 2003; Webster &amp; Wood, 2005). </w:t>
      </w:r>
      <w:r w:rsidRPr="00452E2E">
        <w:rPr>
          <w:szCs w:val="24"/>
        </w:rPr>
        <w:t xml:space="preserve">These elites may </w:t>
      </w:r>
      <w:r w:rsidR="00D03A8E" w:rsidRPr="00452E2E">
        <w:rPr>
          <w:szCs w:val="24"/>
        </w:rPr>
        <w:t xml:space="preserve">demand for special consideration of their cronies </w:t>
      </w:r>
      <w:r w:rsidR="00020141" w:rsidRPr="00452E2E">
        <w:rPr>
          <w:szCs w:val="24"/>
        </w:rPr>
        <w:t xml:space="preserve">during recruitment and selection as the responses below suggest: </w:t>
      </w:r>
    </w:p>
    <w:p w:rsidR="00D03A8E" w:rsidRPr="00452E2E" w:rsidRDefault="00D03A8E" w:rsidP="00D03A8E">
      <w:pPr>
        <w:jc w:val="both"/>
        <w:rPr>
          <w:sz w:val="20"/>
          <w:szCs w:val="20"/>
        </w:rPr>
      </w:pPr>
      <w:r w:rsidRPr="00452E2E">
        <w:rPr>
          <w:sz w:val="20"/>
          <w:szCs w:val="20"/>
        </w:rPr>
        <w:t>If a high net worth customer recommends a candidate that is qualified, certainly the bank has to consider such a candidate. It could be a way of making special customers happy to continue business with the bank [PrB3].</w:t>
      </w:r>
    </w:p>
    <w:p w:rsidR="00D03A8E" w:rsidRPr="00452E2E" w:rsidRDefault="00D03A8E" w:rsidP="00D03A8E">
      <w:pPr>
        <w:jc w:val="both"/>
        <w:rPr>
          <w:sz w:val="20"/>
          <w:szCs w:val="20"/>
        </w:rPr>
      </w:pPr>
      <w:r w:rsidRPr="00452E2E">
        <w:rPr>
          <w:sz w:val="20"/>
          <w:szCs w:val="20"/>
        </w:rPr>
        <w:t>That is a normal thing in the public service because every public organization has to lobby some stakeholders in order to function properly. (In response to how ‘stakeholders’ are awarded slots to fill vacancies in public organizations) [PuH3].</w:t>
      </w:r>
    </w:p>
    <w:p w:rsidR="00D03A8E" w:rsidRPr="00452E2E" w:rsidRDefault="00D03A8E" w:rsidP="00D03A8E">
      <w:pPr>
        <w:spacing w:line="360" w:lineRule="auto"/>
        <w:jc w:val="both"/>
        <w:rPr>
          <w:i/>
        </w:rPr>
      </w:pPr>
      <w:r w:rsidRPr="00452E2E">
        <w:rPr>
          <w:i/>
        </w:rPr>
        <w:t>Mimetic mechanisms</w:t>
      </w:r>
    </w:p>
    <w:p w:rsidR="00A2662B" w:rsidRPr="00452E2E" w:rsidRDefault="00D03A8E" w:rsidP="00D03A8E">
      <w:pPr>
        <w:spacing w:line="360" w:lineRule="auto"/>
        <w:jc w:val="both"/>
      </w:pPr>
      <w:r w:rsidRPr="00452E2E">
        <w:t xml:space="preserve">Mimetic mechanisms emanate from the tendency of organizations to copy the practices of other similar organizations when faced with uncertainty (DiMaggio &amp; Powell, 1983; Boselie </w:t>
      </w:r>
      <w:r w:rsidRPr="00452E2E">
        <w:rPr>
          <w:i/>
        </w:rPr>
        <w:t>et al</w:t>
      </w:r>
      <w:r w:rsidRPr="00452E2E">
        <w:t xml:space="preserve">., 2003). The themes identified in this study that relate to mimetic mechanisms were staff transfer/imitation and the use of consultants. These are presented </w:t>
      </w:r>
      <w:r w:rsidR="008C6844" w:rsidRPr="00452E2E">
        <w:t>in the subsequent sections.</w:t>
      </w:r>
    </w:p>
    <w:p w:rsidR="00D03A8E" w:rsidRPr="00452E2E" w:rsidRDefault="00D03A8E" w:rsidP="00D03A8E">
      <w:pPr>
        <w:spacing w:line="360" w:lineRule="auto"/>
        <w:jc w:val="both"/>
        <w:rPr>
          <w:i/>
        </w:rPr>
      </w:pPr>
      <w:r w:rsidRPr="00452E2E">
        <w:rPr>
          <w:i/>
        </w:rPr>
        <w:lastRenderedPageBreak/>
        <w:t>Staff transfer/imitation</w:t>
      </w:r>
    </w:p>
    <w:p w:rsidR="00D03A8E" w:rsidRPr="00452E2E" w:rsidRDefault="00D03A8E" w:rsidP="00D03A8E">
      <w:pPr>
        <w:spacing w:line="360" w:lineRule="auto"/>
        <w:jc w:val="both"/>
      </w:pPr>
      <w:r w:rsidRPr="00452E2E">
        <w:t xml:space="preserve">Employees or managers who transfer to other organizations are bound to transfer with them certain practices (Paauwe &amp; Boselie, 2003). This is more prevalent in industries where there is high labour turnover like the banking industry in Nigeria. In some cases, organizations may adapt practices of other similar organizations within the same environment, especially when practices have been proven successful or as a result of fashion or fad (Boselie </w:t>
      </w:r>
      <w:r w:rsidRPr="00452E2E">
        <w:rPr>
          <w:i/>
        </w:rPr>
        <w:t xml:space="preserve">et al., </w:t>
      </w:r>
      <w:r w:rsidRPr="00452E2E">
        <w:t>2003). The responses in both public and private organizations suggest that HRM policies and practices may be influenced through staff transfer or imitation:</w:t>
      </w:r>
    </w:p>
    <w:p w:rsidR="00D03A8E" w:rsidRPr="00452E2E" w:rsidRDefault="00D03A8E" w:rsidP="00D03A8E">
      <w:pPr>
        <w:jc w:val="both"/>
        <w:rPr>
          <w:sz w:val="20"/>
          <w:szCs w:val="20"/>
        </w:rPr>
      </w:pPr>
      <w:r w:rsidRPr="00452E2E">
        <w:rPr>
          <w:sz w:val="20"/>
          <w:szCs w:val="20"/>
        </w:rPr>
        <w:t xml:space="preserve">The bank prefers to recruit staff who have experience in the industry. The idea is that employees with prior experience will understand better how the industry operates… The bank spends less </w:t>
      </w:r>
      <w:r w:rsidR="001E43FB" w:rsidRPr="00452E2E">
        <w:rPr>
          <w:sz w:val="20"/>
          <w:szCs w:val="20"/>
        </w:rPr>
        <w:t xml:space="preserve">money for </w:t>
      </w:r>
      <w:r w:rsidRPr="00452E2E">
        <w:rPr>
          <w:sz w:val="20"/>
          <w:szCs w:val="20"/>
        </w:rPr>
        <w:t>training those who have work experience in the industry because what we do is similar across most banks [PrB 2].</w:t>
      </w:r>
    </w:p>
    <w:p w:rsidR="00D03A8E" w:rsidRPr="00452E2E" w:rsidRDefault="00D03A8E" w:rsidP="00D03A8E">
      <w:pPr>
        <w:jc w:val="both"/>
        <w:rPr>
          <w:sz w:val="20"/>
          <w:szCs w:val="20"/>
        </w:rPr>
      </w:pPr>
      <w:r w:rsidRPr="00452E2E">
        <w:rPr>
          <w:sz w:val="20"/>
          <w:szCs w:val="20"/>
        </w:rPr>
        <w:t>This is a very competitive sector therefore no bank wants to be left behind. Some of our policies are not different from those of other banks because no one wants to lose their well trained staff to rivals in the industry [PrB 1].</w:t>
      </w:r>
    </w:p>
    <w:p w:rsidR="00D03A8E" w:rsidRPr="00452E2E" w:rsidRDefault="00D03A8E" w:rsidP="00D03A8E">
      <w:pPr>
        <w:jc w:val="both"/>
        <w:rPr>
          <w:sz w:val="20"/>
          <w:szCs w:val="20"/>
        </w:rPr>
      </w:pPr>
      <w:r w:rsidRPr="00452E2E">
        <w:rPr>
          <w:sz w:val="20"/>
          <w:szCs w:val="20"/>
        </w:rPr>
        <w:t xml:space="preserve">We are open to new ideas from every category of staff….. So if we receive new ideas based on workers’ previous work experience, we will gladly accept them, provided we find such ideas useful [PuH3]. </w:t>
      </w:r>
    </w:p>
    <w:p w:rsidR="00D03A8E" w:rsidRPr="00452E2E" w:rsidRDefault="00D03A8E" w:rsidP="00D03A8E">
      <w:pPr>
        <w:jc w:val="both"/>
        <w:rPr>
          <w:i/>
          <w:sz w:val="20"/>
          <w:szCs w:val="20"/>
        </w:rPr>
      </w:pPr>
      <w:r w:rsidRPr="00452E2E">
        <w:rPr>
          <w:i/>
          <w:sz w:val="20"/>
          <w:szCs w:val="20"/>
        </w:rPr>
        <w:t>Consultants</w:t>
      </w:r>
    </w:p>
    <w:p w:rsidR="00D03A8E" w:rsidRPr="00452E2E" w:rsidRDefault="00D03A8E" w:rsidP="00D03A8E">
      <w:pPr>
        <w:spacing w:line="360" w:lineRule="auto"/>
        <w:jc w:val="both"/>
      </w:pPr>
      <w:r w:rsidRPr="00452E2E">
        <w:t>Consultants provide advice to organizations about management practices which results to similarity of practices across organizations (Paauwe, 2004). When faced with uncertainty, it is common for organizations to hire management consultants to provide solutions (Paauwe &amp; Boselie, 2007). For instance, most banks in Nigeria have embarked on massive downsizing in recent times in a bid to reduce cost. In such times of uncertainty, organizations rely on the ‘expert’ advice of consultants. Making reference to why the bank downsized, the HRM manger in private bank 1 had this to say:</w:t>
      </w:r>
    </w:p>
    <w:p w:rsidR="00D03A8E" w:rsidRPr="00452E2E" w:rsidRDefault="00D03A8E" w:rsidP="00D03A8E">
      <w:pPr>
        <w:jc w:val="both"/>
        <w:rPr>
          <w:sz w:val="20"/>
          <w:szCs w:val="20"/>
        </w:rPr>
      </w:pPr>
      <w:r w:rsidRPr="00452E2E">
        <w:rPr>
          <w:sz w:val="20"/>
          <w:szCs w:val="20"/>
        </w:rPr>
        <w:t>I think the bank has regretted losing some of its best staff through downsizing. In hindsight, maybe we should have handled the issue differently but that seemed to be the best advice we got from consultants at that time. Considering that other banks also took that route, we couldn’t do otherwise [PrB 1].</w:t>
      </w:r>
    </w:p>
    <w:p w:rsidR="00D03A8E" w:rsidRPr="00452E2E" w:rsidRDefault="00D03A8E" w:rsidP="00D03A8E">
      <w:pPr>
        <w:spacing w:line="360" w:lineRule="auto"/>
        <w:jc w:val="both"/>
      </w:pPr>
      <w:r w:rsidRPr="00452E2E">
        <w:t>The other organizations studied also reported relying on consultants for advice on HRM practices:</w:t>
      </w:r>
    </w:p>
    <w:p w:rsidR="00D03A8E" w:rsidRPr="00452E2E" w:rsidRDefault="00D03A8E" w:rsidP="00D03A8E">
      <w:pPr>
        <w:jc w:val="both"/>
        <w:rPr>
          <w:sz w:val="20"/>
          <w:szCs w:val="20"/>
        </w:rPr>
      </w:pPr>
      <w:r w:rsidRPr="00452E2E">
        <w:rPr>
          <w:sz w:val="20"/>
          <w:szCs w:val="20"/>
        </w:rPr>
        <w:t>Consultants are involved in the recruitment and selection process of the bank. This is done in order to avoid bias in the process and to get the most talented employees [PuB 1].</w:t>
      </w:r>
    </w:p>
    <w:p w:rsidR="00D03A8E" w:rsidRPr="00452E2E" w:rsidRDefault="00D03A8E" w:rsidP="00D03A8E">
      <w:pPr>
        <w:jc w:val="both"/>
        <w:rPr>
          <w:sz w:val="20"/>
          <w:szCs w:val="20"/>
        </w:rPr>
      </w:pPr>
      <w:r w:rsidRPr="00452E2E">
        <w:rPr>
          <w:sz w:val="20"/>
          <w:szCs w:val="20"/>
        </w:rPr>
        <w:lastRenderedPageBreak/>
        <w:t xml:space="preserve">I remember there was a time the hospital brought </w:t>
      </w:r>
      <w:r w:rsidR="00216316" w:rsidRPr="00452E2E">
        <w:rPr>
          <w:sz w:val="20"/>
          <w:szCs w:val="20"/>
        </w:rPr>
        <w:t>some</w:t>
      </w:r>
      <w:r w:rsidRPr="00452E2E">
        <w:rPr>
          <w:sz w:val="20"/>
          <w:szCs w:val="20"/>
        </w:rPr>
        <w:t xml:space="preserve"> specialists to recommend strategies that will encourage workers to contribute more on their job… I can say it was successful because we saw a lot of improvements [PuH 1].</w:t>
      </w:r>
    </w:p>
    <w:p w:rsidR="00D03A8E" w:rsidRPr="00452E2E" w:rsidRDefault="00D03A8E" w:rsidP="00D03A8E">
      <w:pPr>
        <w:jc w:val="both"/>
        <w:rPr>
          <w:sz w:val="20"/>
          <w:szCs w:val="20"/>
        </w:rPr>
      </w:pPr>
      <w:r w:rsidRPr="00452E2E">
        <w:rPr>
          <w:sz w:val="20"/>
          <w:szCs w:val="20"/>
        </w:rPr>
        <w:t>We often get them (consultants) to provide the best training to our staff on the latest issues in the health sector [PrH 4].</w:t>
      </w:r>
    </w:p>
    <w:p w:rsidR="00D03A8E" w:rsidRPr="00452E2E" w:rsidRDefault="00D03A8E" w:rsidP="00D03A8E">
      <w:pPr>
        <w:spacing w:line="360" w:lineRule="auto"/>
        <w:jc w:val="both"/>
      </w:pPr>
      <w:r w:rsidRPr="00452E2E">
        <w:t>This means that there is a possibility for practices to spread in both public and private sector hospitals and banks through employee transfers or through the involvement of HRM consultants in decisions affecting the management of people.</w:t>
      </w:r>
    </w:p>
    <w:p w:rsidR="00D03A8E" w:rsidRPr="00452E2E" w:rsidRDefault="00D03A8E" w:rsidP="00D03A8E">
      <w:pPr>
        <w:spacing w:line="360" w:lineRule="auto"/>
        <w:jc w:val="both"/>
        <w:rPr>
          <w:i/>
        </w:rPr>
      </w:pPr>
      <w:r w:rsidRPr="00452E2E">
        <w:rPr>
          <w:i/>
        </w:rPr>
        <w:t>Normative mechanisms</w:t>
      </w:r>
    </w:p>
    <w:p w:rsidR="00D03A8E" w:rsidRPr="00452E2E" w:rsidRDefault="00D03A8E" w:rsidP="00D03A8E">
      <w:pPr>
        <w:spacing w:line="360" w:lineRule="auto"/>
        <w:jc w:val="both"/>
      </w:pPr>
      <w:r w:rsidRPr="00452E2E">
        <w:t>Normative institutional mechanisms impact HRM through professional training</w:t>
      </w:r>
      <w:r w:rsidR="00FB1FD5" w:rsidRPr="00452E2E">
        <w:t xml:space="preserve"> institutes and universities which</w:t>
      </w:r>
      <w:r w:rsidRPr="00452E2E">
        <w:t xml:space="preserve"> provide the development and spread of organizational practices (DiMaggio &amp; Powell, 1983; Paauwe &amp; Boselie, 2007). The theme that captures the influence of normative mechanisms on HRM in this research is professional socialization and is presented below.</w:t>
      </w:r>
    </w:p>
    <w:p w:rsidR="00D03A8E" w:rsidRPr="00452E2E" w:rsidRDefault="00D03A8E" w:rsidP="00D03A8E">
      <w:pPr>
        <w:spacing w:line="360" w:lineRule="auto"/>
        <w:jc w:val="both"/>
        <w:rPr>
          <w:i/>
        </w:rPr>
      </w:pPr>
      <w:r w:rsidRPr="00452E2E">
        <w:rPr>
          <w:i/>
        </w:rPr>
        <w:t>Professional socialization</w:t>
      </w:r>
    </w:p>
    <w:p w:rsidR="00D03A8E" w:rsidRPr="00452E2E" w:rsidRDefault="00D03A8E" w:rsidP="00D03A8E">
      <w:pPr>
        <w:spacing w:line="360" w:lineRule="auto"/>
        <w:jc w:val="both"/>
      </w:pPr>
      <w:r w:rsidRPr="00452E2E">
        <w:t>HR practices can spread across organizations through the interaction of managers and employees in trade associations, membership of professional bodies, or professional training avenues (Paauwe &amp; Boselie, 2007). The responses below indicate that this is the case in public and private sectors in Nigeria:</w:t>
      </w:r>
    </w:p>
    <w:p w:rsidR="00D03A8E" w:rsidRPr="00452E2E" w:rsidRDefault="00D03A8E" w:rsidP="00D03A8E">
      <w:pPr>
        <w:jc w:val="both"/>
        <w:rPr>
          <w:sz w:val="20"/>
          <w:szCs w:val="20"/>
        </w:rPr>
      </w:pPr>
      <w:r w:rsidRPr="00452E2E">
        <w:rPr>
          <w:sz w:val="20"/>
          <w:szCs w:val="20"/>
        </w:rPr>
        <w:t>There are many workshops organized by CIBN (Chartered Institute of Bankers of Nigeria) that target HRM issues in banks. We make sure that those in HR (department) participate in these workshops [PuB 2].</w:t>
      </w:r>
    </w:p>
    <w:p w:rsidR="00D03A8E" w:rsidRPr="00452E2E" w:rsidRDefault="00D03A8E" w:rsidP="00D03A8E">
      <w:pPr>
        <w:jc w:val="both"/>
        <w:rPr>
          <w:sz w:val="20"/>
          <w:szCs w:val="20"/>
        </w:rPr>
      </w:pPr>
      <w:r w:rsidRPr="00452E2E">
        <w:rPr>
          <w:sz w:val="20"/>
          <w:szCs w:val="20"/>
        </w:rPr>
        <w:t>The central bank provides us with training on particular human resource management topics that are relevant to us [PuB 1].</w:t>
      </w:r>
    </w:p>
    <w:p w:rsidR="00D03A8E" w:rsidRPr="00452E2E" w:rsidRDefault="00D03A8E" w:rsidP="00D03A8E">
      <w:pPr>
        <w:jc w:val="both"/>
        <w:rPr>
          <w:sz w:val="20"/>
          <w:szCs w:val="20"/>
        </w:rPr>
      </w:pPr>
      <w:r w:rsidRPr="00452E2E">
        <w:rPr>
          <w:sz w:val="20"/>
          <w:szCs w:val="20"/>
        </w:rPr>
        <w:t>From time to time HR professionals of the bank attend seminars and workshops that are handled by top academics in the field of HR….. It helps to keep pace with developments in the field [PrB 3]</w:t>
      </w:r>
    </w:p>
    <w:p w:rsidR="00D03A8E" w:rsidRPr="00452E2E" w:rsidRDefault="00D03A8E" w:rsidP="00D03A8E">
      <w:pPr>
        <w:spacing w:line="360" w:lineRule="auto"/>
        <w:jc w:val="both"/>
      </w:pPr>
      <w:r w:rsidRPr="00452E2E">
        <w:t xml:space="preserve">In some cases, organizations or donor agencies sponsor foreign trainings to enable HRM professionals in public organizations update their knowledge on international best practices as remarked by the interviewee in public hospital 1 below: </w:t>
      </w:r>
    </w:p>
    <w:p w:rsidR="00D03A8E" w:rsidRPr="00452E2E" w:rsidRDefault="00D03A8E" w:rsidP="00D03A8E">
      <w:pPr>
        <w:jc w:val="both"/>
        <w:rPr>
          <w:sz w:val="20"/>
          <w:szCs w:val="20"/>
        </w:rPr>
      </w:pPr>
      <w:r w:rsidRPr="00452E2E">
        <w:rPr>
          <w:sz w:val="20"/>
          <w:szCs w:val="20"/>
        </w:rPr>
        <w:t xml:space="preserve">The hospital sends staff on local and foreign training to acquire knowledge on trends in human resources. Some of our staff have just returned from a workshop sponsored by WHO abroad. </w:t>
      </w:r>
      <w:r w:rsidRPr="00452E2E">
        <w:rPr>
          <w:sz w:val="20"/>
          <w:szCs w:val="20"/>
        </w:rPr>
        <w:lastRenderedPageBreak/>
        <w:t>Some of these foreign trainings have made our managers understand that human resource management for health workers is different from conventional human resource management [PuH 1].</w:t>
      </w:r>
    </w:p>
    <w:p w:rsidR="00D03A8E" w:rsidRPr="00452E2E" w:rsidRDefault="00D03A8E" w:rsidP="00D03A8E">
      <w:pPr>
        <w:spacing w:line="360" w:lineRule="auto"/>
        <w:jc w:val="both"/>
      </w:pPr>
      <w:r w:rsidRPr="00452E2E">
        <w:t>Apart from the spread of HRM practices through professional training avenues, there is also an indication that organizations insist on HRM professionals being members of professional bodies related to HRM:</w:t>
      </w:r>
    </w:p>
    <w:p w:rsidR="00D03A8E" w:rsidRPr="00452E2E" w:rsidRDefault="00D03A8E" w:rsidP="00D03A8E">
      <w:pPr>
        <w:jc w:val="both"/>
        <w:rPr>
          <w:sz w:val="20"/>
          <w:szCs w:val="20"/>
        </w:rPr>
      </w:pPr>
      <w:r w:rsidRPr="00452E2E">
        <w:rPr>
          <w:sz w:val="20"/>
          <w:szCs w:val="20"/>
        </w:rPr>
        <w:t xml:space="preserve">Human resource management is not a job anyone can just perform especially in a big bank like this. That is why the bank insists that those working in human resources must have one or two professional qualifications related to HR…. Membership of professional bodies is beneficial because members have the opportunity to learn new things by attending workshops and seminars run by these professional bodies [PrB 1]. </w:t>
      </w:r>
    </w:p>
    <w:p w:rsidR="00D03A8E" w:rsidRPr="00452E2E" w:rsidRDefault="00D03A8E" w:rsidP="00D03A8E">
      <w:pPr>
        <w:spacing w:line="360" w:lineRule="auto"/>
        <w:jc w:val="both"/>
      </w:pPr>
      <w:r w:rsidRPr="00452E2E">
        <w:t xml:space="preserve">It is also possible for HRM practices to be diffused across private organizations through participation in employers’ associations:  </w:t>
      </w:r>
    </w:p>
    <w:p w:rsidR="00D03A8E" w:rsidRPr="00452E2E" w:rsidRDefault="00D03A8E" w:rsidP="00D03A8E">
      <w:pPr>
        <w:jc w:val="both"/>
        <w:rPr>
          <w:sz w:val="20"/>
          <w:szCs w:val="20"/>
        </w:rPr>
      </w:pPr>
      <w:r w:rsidRPr="00452E2E">
        <w:rPr>
          <w:sz w:val="20"/>
          <w:szCs w:val="20"/>
        </w:rPr>
        <w:t xml:space="preserve">The association of private medical practitioners of Nigeria guides our operations on a number of issues. The association cannot advice on say, the number of employees one can have but we often get advice on the need to maintain high ethical standards when dealing with both employees and clients [PrH 2]. </w:t>
      </w:r>
    </w:p>
    <w:p w:rsidR="00D03A8E" w:rsidRPr="00452E2E" w:rsidRDefault="00D03A8E" w:rsidP="00D03A8E">
      <w:pPr>
        <w:spacing w:line="360" w:lineRule="auto"/>
        <w:jc w:val="both"/>
      </w:pPr>
      <w:r w:rsidRPr="00452E2E">
        <w:t>The above responses indicate that HRM is normatively diffused across public and private organizations through professional socialization in a variety ways ranging from professional training institutes to professional and employers’ associations.</w:t>
      </w:r>
    </w:p>
    <w:p w:rsidR="00D03A8E" w:rsidRPr="00452E2E" w:rsidRDefault="00D03A8E" w:rsidP="00D03A8E">
      <w:pPr>
        <w:spacing w:line="360" w:lineRule="auto"/>
        <w:jc w:val="both"/>
        <w:rPr>
          <w:i/>
          <w:szCs w:val="24"/>
        </w:rPr>
      </w:pPr>
      <w:r w:rsidRPr="00452E2E">
        <w:rPr>
          <w:i/>
          <w:szCs w:val="24"/>
        </w:rPr>
        <w:t>Economic Pressures</w:t>
      </w:r>
    </w:p>
    <w:p w:rsidR="00D03A8E" w:rsidRPr="00452E2E" w:rsidRDefault="00D03A8E" w:rsidP="00D03A8E">
      <w:pPr>
        <w:spacing w:line="360" w:lineRule="auto"/>
        <w:jc w:val="both"/>
        <w:rPr>
          <w:szCs w:val="24"/>
        </w:rPr>
      </w:pPr>
      <w:r w:rsidRPr="00452E2E">
        <w:rPr>
          <w:szCs w:val="24"/>
        </w:rPr>
        <w:t>Organizations are not insulated from the economic environment in which they operate and this in turn influence</w:t>
      </w:r>
      <w:r w:rsidR="0003678E" w:rsidRPr="00452E2E">
        <w:rPr>
          <w:szCs w:val="24"/>
        </w:rPr>
        <w:t>s</w:t>
      </w:r>
      <w:r w:rsidRPr="00452E2E">
        <w:rPr>
          <w:szCs w:val="24"/>
        </w:rPr>
        <w:t xml:space="preserve"> some of their decisions, including those relating to HRM. Forces within the economic environment send signals to organizations to develop policies to enable them and employees cope with economic realities. This is especially true in environment where the economic conditions are unfavourable as could be seen from the responses below:</w:t>
      </w:r>
    </w:p>
    <w:p w:rsidR="00D03A8E" w:rsidRPr="00452E2E" w:rsidRDefault="00D03A8E" w:rsidP="00D03A8E">
      <w:pPr>
        <w:jc w:val="both"/>
        <w:rPr>
          <w:sz w:val="20"/>
          <w:szCs w:val="20"/>
        </w:rPr>
      </w:pPr>
      <w:r w:rsidRPr="00452E2E">
        <w:rPr>
          <w:sz w:val="20"/>
          <w:szCs w:val="20"/>
        </w:rPr>
        <w:t>As a result of the high cost of rent in major cities in the country, we have housing estates where accommodation is provided to staff at a subsidized rate [PuB3].</w:t>
      </w:r>
    </w:p>
    <w:p w:rsidR="00D03A8E" w:rsidRPr="00452E2E" w:rsidRDefault="00D03A8E" w:rsidP="00D03A8E">
      <w:pPr>
        <w:jc w:val="both"/>
        <w:rPr>
          <w:sz w:val="20"/>
          <w:szCs w:val="20"/>
        </w:rPr>
      </w:pPr>
      <w:r w:rsidRPr="00452E2E">
        <w:rPr>
          <w:sz w:val="20"/>
          <w:szCs w:val="20"/>
        </w:rPr>
        <w:t>The hospital goes the extra mile to give support to workers during hard times. Like during the fuel crisis, the hospital took it upon itself to make available buses to transport our staff [PrH3].</w:t>
      </w:r>
    </w:p>
    <w:p w:rsidR="00D03A8E" w:rsidRPr="00452E2E" w:rsidRDefault="00D03A8E" w:rsidP="00D03A8E">
      <w:pPr>
        <w:jc w:val="both"/>
        <w:rPr>
          <w:sz w:val="20"/>
          <w:szCs w:val="20"/>
        </w:rPr>
      </w:pPr>
      <w:r w:rsidRPr="00452E2E">
        <w:rPr>
          <w:sz w:val="20"/>
          <w:szCs w:val="20"/>
        </w:rPr>
        <w:t xml:space="preserve">Well, the cost of living in a particular place also determines the amount of allowances available to employees… If the allowances are the same, it will create undue advantage to those in places where the cost of living </w:t>
      </w:r>
      <w:r w:rsidR="00FB65BD" w:rsidRPr="00452E2E">
        <w:rPr>
          <w:sz w:val="20"/>
          <w:szCs w:val="20"/>
        </w:rPr>
        <w:t xml:space="preserve">is </w:t>
      </w:r>
      <w:r w:rsidRPr="00452E2E">
        <w:rPr>
          <w:sz w:val="20"/>
          <w:szCs w:val="20"/>
        </w:rPr>
        <w:t>low</w:t>
      </w:r>
      <w:r w:rsidR="00D130D1" w:rsidRPr="00452E2E">
        <w:rPr>
          <w:sz w:val="20"/>
          <w:szCs w:val="20"/>
        </w:rPr>
        <w:t>,</w:t>
      </w:r>
      <w:r w:rsidRPr="00452E2E">
        <w:rPr>
          <w:sz w:val="20"/>
          <w:szCs w:val="20"/>
        </w:rPr>
        <w:t xml:space="preserve"> whereas those in places with high cost of living will surely feel short-changed [PrB3]. </w:t>
      </w:r>
    </w:p>
    <w:p w:rsidR="00D03A8E" w:rsidRPr="00452E2E" w:rsidRDefault="00D03A8E" w:rsidP="00D03A8E">
      <w:pPr>
        <w:spacing w:line="360" w:lineRule="auto"/>
        <w:jc w:val="both"/>
        <w:rPr>
          <w:szCs w:val="24"/>
        </w:rPr>
      </w:pPr>
      <w:r w:rsidRPr="00452E2E">
        <w:rPr>
          <w:szCs w:val="24"/>
        </w:rPr>
        <w:lastRenderedPageBreak/>
        <w:t>The responses above suggest that some HRM policies, especially those relating to compensation and benefits may be influenced by the nature of the economic environment in which the organization operates.</w:t>
      </w:r>
    </w:p>
    <w:p w:rsidR="00D03A8E" w:rsidRPr="00452E2E" w:rsidRDefault="00D03A8E" w:rsidP="00170224">
      <w:pPr>
        <w:pStyle w:val="Heading3"/>
      </w:pPr>
      <w:bookmarkStart w:id="119" w:name="_Toc473808167"/>
      <w:r w:rsidRPr="00452E2E">
        <w:t>5.4 Analysis and Results of Techniques of HRM in Public and Private Sector</w:t>
      </w:r>
      <w:bookmarkEnd w:id="119"/>
    </w:p>
    <w:p w:rsidR="00D03A8E" w:rsidRPr="00452E2E" w:rsidRDefault="00D03A8E" w:rsidP="00D03A8E">
      <w:pPr>
        <w:spacing w:line="360" w:lineRule="auto"/>
        <w:jc w:val="both"/>
      </w:pPr>
      <w:r w:rsidRPr="00452E2E">
        <w:t xml:space="preserve">In order to identify the techniques of HRM used in public and private organizations in Nigeria, responses to questions on the use of specific techniques of HRM to which managers were expected to select from ‘Yes’, ‘No’ or ‘Don’t Know’ options were analysed. The analysis procedure adopted in a similar study by Wood </w:t>
      </w:r>
      <w:r w:rsidRPr="00452E2E">
        <w:rPr>
          <w:i/>
        </w:rPr>
        <w:t>et al</w:t>
      </w:r>
      <w:r w:rsidRPr="00452E2E">
        <w:t>. (2011) was followed in this research which involves the use of descriptive statistics to identify the specific techniques used in each domain of HRM (recruitment and selection, training, employee benefits, and employee participation) across the whole sample and within each industry and sector. This was followed by the use of logistic regression to examine the effect industry, sector, and size on each technique of HRM. Thus, a general proposition, it is expected that the use of techniques of HRM will vary across industry, sector and size. Meanwhile, in conducting the analysis of data, only valid responses were included, meaning that missing data and ‘Don’t know’ responses were excluded. The results for each HRM domain are presented in the sections below.</w:t>
      </w:r>
    </w:p>
    <w:p w:rsidR="00D03A8E" w:rsidRPr="00452E2E" w:rsidRDefault="00D03A8E" w:rsidP="00D03A8E">
      <w:pPr>
        <w:pStyle w:val="Heading4"/>
      </w:pPr>
      <w:bookmarkStart w:id="120" w:name="_Toc473808168"/>
      <w:r w:rsidRPr="00452E2E">
        <w:t>5.4.1 Recruitment and Selection</w:t>
      </w:r>
      <w:bookmarkEnd w:id="120"/>
      <w:r w:rsidRPr="00452E2E">
        <w:t xml:space="preserve"> </w:t>
      </w:r>
    </w:p>
    <w:p w:rsidR="004109BF" w:rsidRPr="00452E2E" w:rsidRDefault="00D03A8E" w:rsidP="00D03A8E">
      <w:pPr>
        <w:spacing w:line="360" w:lineRule="auto"/>
        <w:jc w:val="both"/>
      </w:pPr>
      <w:r w:rsidRPr="00452E2E">
        <w:t xml:space="preserve">In order to examine the techniques of recruitment and selection, responses to questions on the methods of recruitment ranging from internal sources to external sources such as advertisement were analysed. For selection, responses to questions that ranged from informal methods such as informal walk in, that is selection without interview to more formal methods such as selection using interviews and the use of psychometric tests to supplement interviews were analysed. These responses were based on four employee categories: management, technical, clerical and manual staff as presented in tables 5.4, 5.5, 5.6 and 5.7 respectively. Results from the 4 tables indicate that across the four employee groups, advertisement was the most preferred method of recruitment: management staff (61.2%), technical staff (59.1%), clerical staff (47.0%) and manual staff (39.3%). However, the use of advertisement, though the most preferred method of recruitment, varied across industry groups and sector for all the employee groups. For management staff, advertisement was more likely to </w:t>
      </w:r>
      <w:r w:rsidRPr="00452E2E">
        <w:lastRenderedPageBreak/>
        <w:t xml:space="preserve">be used in health and ICT/media industries (71.4% each) whilst it was less likely to be used in the transport industry (44.4%). </w:t>
      </w:r>
    </w:p>
    <w:p w:rsidR="00D03A8E" w:rsidRPr="00452E2E" w:rsidRDefault="00D03A8E" w:rsidP="00D03A8E">
      <w:pPr>
        <w:spacing w:line="360" w:lineRule="auto"/>
        <w:jc w:val="both"/>
      </w:pPr>
      <w:r w:rsidRPr="00452E2E">
        <w:t xml:space="preserve">In terms of sector, the use of advertisement for recruiting management staff was more likely in public sector (79.6%) compared to the private sector (47.8%). For technical staff, government ministries, departments, and agencies (MDAs) indicated the highest use of advertisement for recruiting technical staff (77.3%); this was followed by education industry (75.0%) while the manufacturing industry had the lowest use of advertisement (36.4%). Again, the use of advertisement for recruiting technical staff was higher in the public sector (80.4%) compared to the private sector (44.9%). When it comes to the use of advertisement for recruiting clerical staff, again, government MDAs had the highest use (61.9%); followed by banking/financial services (60.0%) whilst manufacturing had the lowest use (34.8%). As for sector, the public sector had the highest use (66.0%) compared to private sector (33.8%). Results were the same for manual staff, with government MDAs having the highest use (58.3%) whilst manufacturing had the least use (26.1%); with </w:t>
      </w:r>
      <w:r w:rsidR="000E5F3A" w:rsidRPr="00452E2E">
        <w:t xml:space="preserve">a </w:t>
      </w:r>
      <w:r w:rsidRPr="00452E2E">
        <w:t>similar pattern for public (55.3%) and private sector (26.7%).</w:t>
      </w:r>
    </w:p>
    <w:p w:rsidR="00D03A8E" w:rsidRPr="00452E2E" w:rsidRDefault="00D03A8E" w:rsidP="00D03A8E">
      <w:pPr>
        <w:spacing w:line="360" w:lineRule="auto"/>
        <w:jc w:val="both"/>
      </w:pPr>
      <w:r w:rsidRPr="00452E2E">
        <w:t>The results from the 4 tables (5.4, 5.5, 5.6 &amp; 5.7) also indicate that employees were more likely to be recruited internally for clerical staff (24.3%), followed by manual staff (23.2%) whilst technical staff were the least likely to be recruited internally (13.9%). Howeve</w:t>
      </w:r>
      <w:r w:rsidR="00C62F15" w:rsidRPr="00452E2E">
        <w:t>r, the recruitment of clerical</w:t>
      </w:r>
      <w:r w:rsidRPr="00452E2E">
        <w:t xml:space="preserve"> staff internally varied across industry groups and sector. For instance, management staff were more likely to be recruited internally in the transport industry (33.3%) whilst ICT/media had the highest recruitment of manual staff internally (33.3%). For sector, employees were more likely to be recruited internally in the private sector compared to the public sector across all employee groups. This may reflect a cost-cutting measure in the private sector wherein organizations deploy already existing employees to fill vacancies instead of recruiting externally which would usually be costly in terms of having more personnel on the payroll of the organization.</w:t>
      </w:r>
    </w:p>
    <w:p w:rsidR="00D03A8E" w:rsidRPr="00452E2E" w:rsidRDefault="00D03A8E" w:rsidP="00D03A8E">
      <w:pPr>
        <w:spacing w:line="360" w:lineRule="auto"/>
        <w:jc w:val="both"/>
      </w:pPr>
      <w:r w:rsidRPr="00452E2E">
        <w:t xml:space="preserve">In terms of recruitment via word of mouth, manual staff were more likely to be recruited via this medium (28.6%) whilst management staff, perhaps, for the </w:t>
      </w:r>
      <w:r w:rsidRPr="00452E2E">
        <w:lastRenderedPageBreak/>
        <w:t>strategic role they play to the success of organizations were the least employee group to be recruited via word of mouth (9.5%). Again, this varied across industry groups and sector for each employee group. For instance, across all employee groups, hotels were more likely to recruit via word of mouth whilst banking/financial services, education, MDAs and ICT/media industries claimed they did not recruit management and technical staff via word of mouth. As for sector, employees were more likely to be recruited via word of mouth across all employee groups in the private sector compared to the public sector. In fact, results indicate that there was no recruitment of management and technical staff via word of mouth in the public sector (0.0%).</w:t>
      </w:r>
    </w:p>
    <w:p w:rsidR="00D03A8E" w:rsidRPr="00452E2E" w:rsidRDefault="00D03A8E" w:rsidP="00D03A8E">
      <w:pPr>
        <w:spacing w:line="360" w:lineRule="auto"/>
        <w:jc w:val="both"/>
      </w:pPr>
      <w:r w:rsidRPr="00452E2E">
        <w:t>The use of recruitment agencies was however very low across all the employee groups. The analysis for each employee group indicates that the use of recruitment agencies for management staff was 9.5%; technical staff (9.6%); clerical staff (2.6%); and manual staff (1.8%). However, industries such as banking/financial services and ICT/media that may be considered as developed were more likely to use recruitment agencies to recruit employees. Specifically, banking/financial services had the highest use of recruitment agencies for management staff (31.3%) and technical staff (25.0%). This was followed by ICT/media in the use of recruitment agencies for recruiting management and technical staff (14.3% each).</w:t>
      </w:r>
    </w:p>
    <w:p w:rsidR="00D03A8E" w:rsidRPr="00452E2E" w:rsidRDefault="006D7F24" w:rsidP="00D03A8E">
      <w:pPr>
        <w:spacing w:line="360" w:lineRule="auto"/>
        <w:jc w:val="both"/>
      </w:pPr>
      <w:r w:rsidRPr="00452E2E">
        <w:t>HR managers</w:t>
      </w:r>
      <w:r w:rsidR="00D03A8E" w:rsidRPr="00452E2E">
        <w:t xml:space="preserve"> were also required to indicate whether they used ‘other’ techniques for recruiting employees across the four employee groups. Results indicate that the use of ‘other’ techniques was very low: management staff (3.4%); technical staff (4.3%); clerical staff (4.3%) and manual staff (7.1%). Again, this varied across industry and sector. For instance, only organizations in banking/financial services, health, MDAs, and manufacturing industries claimed they use other forms of recruitment for management staff. The content analysis of responses indicate that the techniques used were online recruitment via websites (75.4%) and former employees (24.6%). For technical staff, organizations in banking/financial services, education, health and ICT/media industries indicated they used other forms of recruitment with online recruitment via websites (67.1%) and visits to educational institutes (32.9%) </w:t>
      </w:r>
      <w:r w:rsidR="00D03A8E" w:rsidRPr="00452E2E">
        <w:lastRenderedPageBreak/>
        <w:t>being the forms of other recruitment techniques for technical staff. On the other hand, unsolicited applicants (30.5%), employee referrals (27.2%), and outsourcing (43.2%) were the forms of ‘other’ recruitment techniques for clerical and manual staff.</w:t>
      </w:r>
    </w:p>
    <w:p w:rsidR="00D03A8E" w:rsidRPr="00452E2E" w:rsidRDefault="00D03A8E" w:rsidP="00D03A8E">
      <w:pPr>
        <w:spacing w:line="360" w:lineRule="auto"/>
        <w:jc w:val="both"/>
      </w:pPr>
      <w:r w:rsidRPr="00452E2E">
        <w:t>As for selection techniques, results indicate that across all employee groups, interviews were the most preferred method of selecting employees: management staff (70.1%); technical staff (73.7%); clerical staff (64.0%); and manual staff (53.0%). However, the use of interviews varied across industry groups and sector. For instance, organizations in ICT/media were more likely to use interviews for selectin</w:t>
      </w:r>
      <w:r w:rsidR="00F474B9" w:rsidRPr="00452E2E">
        <w:t>g management staff (85.7%) whilst</w:t>
      </w:r>
      <w:r w:rsidRPr="00452E2E">
        <w:t xml:space="preserve"> organizations in the transport industry had the lowest use of interviews for selecting management staff (50.0%). As for sector, organizations in the public sector had the highest use of interviews (81.6%) compared to organizations in the private sector (61.8%). For technical and clerical staff, organizations in the health industry had the highest use of interviews (85.7% and 75.0% respectively) whilst organizations in banking/financial services industry had the highest use interviews as a technique for selecting manual staff (68.8%). In minority of cases, psychometric tests were used to supplement interviews and this varied across employee groups, industries and sector. The use of psychometric tests was higher for selecting technical staff (17.5%) and lowest for selecting manual staff (4.3%). </w:t>
      </w:r>
    </w:p>
    <w:p w:rsidR="00D03A8E" w:rsidRPr="00452E2E" w:rsidRDefault="00D03A8E" w:rsidP="00D03A8E">
      <w:pPr>
        <w:jc w:val="both"/>
      </w:pPr>
    </w:p>
    <w:p w:rsidR="00D03A8E" w:rsidRPr="00452E2E" w:rsidRDefault="00D03A8E" w:rsidP="00D03A8E">
      <w:pPr>
        <w:jc w:val="both"/>
        <w:sectPr w:rsidR="00D03A8E" w:rsidRPr="00452E2E" w:rsidSect="00A2662B">
          <w:pgSz w:w="11906" w:h="16838"/>
          <w:pgMar w:top="1440" w:right="1440" w:bottom="1440" w:left="2268" w:header="708" w:footer="708" w:gutter="0"/>
          <w:cols w:space="708"/>
          <w:docGrid w:linePitch="360"/>
        </w:sectPr>
      </w:pPr>
    </w:p>
    <w:p w:rsidR="00D03A8E" w:rsidRPr="00452E2E" w:rsidRDefault="00D03A8E" w:rsidP="00D03A8E">
      <w:pPr>
        <w:pStyle w:val="Caption"/>
        <w:rPr>
          <w:b w:val="0"/>
          <w:sz w:val="16"/>
          <w:szCs w:val="16"/>
        </w:rPr>
      </w:pPr>
      <w:bookmarkStart w:id="121" w:name="_Toc465419840"/>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4</w:t>
      </w:r>
      <w:r w:rsidR="00B26571">
        <w:rPr>
          <w:noProof/>
        </w:rPr>
        <w:fldChar w:fldCharType="end"/>
      </w:r>
      <w:r w:rsidRPr="00452E2E">
        <w:t>: Techniques of recruitment and selection of management staff across whole sample, industry and sector</w:t>
      </w:r>
      <w:bookmarkEnd w:id="121"/>
    </w:p>
    <w:tbl>
      <w:tblPr>
        <w:tblStyle w:val="TableGrid"/>
        <w:tblW w:w="14170" w:type="dxa"/>
        <w:shd w:val="clear" w:color="auto" w:fill="FFFFFF" w:themeFill="background1"/>
        <w:tblLayout w:type="fixed"/>
        <w:tblLook w:val="04A0" w:firstRow="1" w:lastRow="0" w:firstColumn="1" w:lastColumn="0" w:noHBand="0" w:noVBand="1"/>
      </w:tblPr>
      <w:tblGrid>
        <w:gridCol w:w="3397"/>
        <w:gridCol w:w="993"/>
        <w:gridCol w:w="850"/>
        <w:gridCol w:w="992"/>
        <w:gridCol w:w="1134"/>
        <w:gridCol w:w="851"/>
        <w:gridCol w:w="1417"/>
        <w:gridCol w:w="851"/>
        <w:gridCol w:w="709"/>
        <w:gridCol w:w="708"/>
        <w:gridCol w:w="709"/>
        <w:gridCol w:w="851"/>
        <w:gridCol w:w="708"/>
      </w:tblGrid>
      <w:tr w:rsidR="00452E2E" w:rsidRPr="00452E2E" w:rsidTr="00AD16E8">
        <w:tc>
          <w:tcPr>
            <w:tcW w:w="3397"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Variable measuring technique of recruitment and selection</w:t>
            </w:r>
          </w:p>
        </w:tc>
        <w:tc>
          <w:tcPr>
            <w:tcW w:w="993"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371" w:type="dxa"/>
            <w:gridSpan w:val="8"/>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Industry</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Sector</w:t>
            </w:r>
          </w:p>
        </w:tc>
      </w:tr>
      <w:tr w:rsidR="00452E2E" w:rsidRPr="00452E2E" w:rsidTr="00B57950">
        <w:tc>
          <w:tcPr>
            <w:tcW w:w="3397"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sz w:val="16"/>
                <w:szCs w:val="16"/>
              </w:rPr>
              <w:t>Category</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Whole</w:t>
            </w:r>
          </w:p>
          <w:p w:rsidR="00D03A8E" w:rsidRPr="00452E2E" w:rsidRDefault="00D03A8E" w:rsidP="00B57950">
            <w:pPr>
              <w:rPr>
                <w:sz w:val="16"/>
                <w:szCs w:val="16"/>
              </w:rPr>
            </w:pPr>
            <w:r w:rsidRPr="00452E2E">
              <w:rPr>
                <w:sz w:val="16"/>
                <w:szCs w:val="16"/>
              </w:rPr>
              <w:t>Sample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w:t>
            </w:r>
          </w:p>
          <w:p w:rsidR="00D03A8E" w:rsidRPr="00452E2E" w:rsidRDefault="00D03A8E" w:rsidP="00B57950">
            <w:pPr>
              <w:rPr>
                <w:sz w:val="16"/>
                <w:szCs w:val="16"/>
              </w:rPr>
            </w:pPr>
            <w:r w:rsidRPr="00452E2E">
              <w:rPr>
                <w:sz w:val="16"/>
                <w:szCs w:val="16"/>
              </w:rPr>
              <w:t>Financial</w:t>
            </w:r>
          </w:p>
          <w:p w:rsidR="00D03A8E" w:rsidRPr="00452E2E" w:rsidRDefault="00D03A8E" w:rsidP="00B57950">
            <w:pPr>
              <w:rPr>
                <w:sz w:val="16"/>
                <w:szCs w:val="16"/>
              </w:rPr>
            </w:pPr>
            <w:r w:rsidRPr="00452E2E">
              <w:rPr>
                <w:sz w:val="16"/>
                <w:szCs w:val="16"/>
              </w:rPr>
              <w:t>Services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14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Govt. MDAs</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w:t>
            </w:r>
          </w:p>
          <w:p w:rsidR="00D03A8E" w:rsidRPr="00452E2E" w:rsidRDefault="00D03A8E" w:rsidP="00B57950">
            <w:pPr>
              <w:rPr>
                <w:sz w:val="16"/>
                <w:szCs w:val="16"/>
              </w:rPr>
            </w:pPr>
            <w:r w:rsidRPr="00452E2E">
              <w:rPr>
                <w:sz w:val="16"/>
                <w:szCs w:val="16"/>
              </w:rPr>
              <w:t>Media</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Tport</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Recruitment of management staff</w:t>
            </w:r>
            <w:r w:rsidRPr="00452E2E">
              <w:rPr>
                <w:sz w:val="16"/>
                <w:szCs w:val="16"/>
                <w:vertAlign w:val="superscript"/>
              </w:rPr>
              <w:t>a</w:t>
            </w:r>
          </w:p>
          <w:p w:rsidR="00D03A8E" w:rsidRPr="00452E2E" w:rsidRDefault="00D03A8E" w:rsidP="00B57950">
            <w:pPr>
              <w:rPr>
                <w:sz w:val="16"/>
                <w:szCs w:val="16"/>
              </w:rPr>
            </w:pPr>
            <w:r w:rsidRPr="00452E2E">
              <w:rPr>
                <w:sz w:val="16"/>
                <w:szCs w:val="16"/>
              </w:rPr>
              <w:t>Are management staff recruited internally?</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16.4%</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12.5%</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23.1%</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14.3%</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8.7%</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20.0%</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16.7%</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14.3%</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33.3%</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19.4%</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12.2%</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management staff recruited by word of mouth?</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management staff recruited via recruitment agencies?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management staff recruited via advertisement?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69.2%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56.5%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70.8%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47.8%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79.6%</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management staff recruited via other systems?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Selection of management staff</w:t>
            </w:r>
            <w:r w:rsidRPr="00452E2E">
              <w:rPr>
                <w:sz w:val="16"/>
                <w:szCs w:val="16"/>
                <w:vertAlign w:val="superscript"/>
              </w:rPr>
              <w:t>b</w:t>
            </w:r>
          </w:p>
          <w:p w:rsidR="00D03A8E" w:rsidRPr="00452E2E" w:rsidRDefault="00D03A8E" w:rsidP="00B57950">
            <w:pPr>
              <w:rPr>
                <w:sz w:val="16"/>
                <w:szCs w:val="16"/>
              </w:rPr>
            </w:pPr>
            <w:r w:rsidRPr="00452E2E">
              <w:rPr>
                <w:sz w:val="16"/>
                <w:szCs w:val="16"/>
              </w:rPr>
              <w:t>Are management staff selected without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13.2%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management staff selected by filling in an application form?</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management staff selected by filling in an application form and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78.6%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54.5%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81.6%</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psychometric tests used in selecting management staff?</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w:t>
            </w:r>
          </w:p>
        </w:tc>
      </w:tr>
      <w:tr w:rsidR="00452E2E" w:rsidRPr="00452E2E" w:rsidTr="00AD16E8">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management staff selected via other system?</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13.0%</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8.2%</w:t>
            </w:r>
          </w:p>
        </w:tc>
      </w:tr>
    </w:tbl>
    <w:p w:rsidR="00D03A8E" w:rsidRPr="00452E2E" w:rsidRDefault="00D03A8E" w:rsidP="00D03A8E">
      <w:pPr>
        <w:spacing w:line="240" w:lineRule="auto"/>
        <w:rPr>
          <w:sz w:val="16"/>
          <w:szCs w:val="16"/>
        </w:rPr>
      </w:pPr>
      <w:r w:rsidRPr="00452E2E">
        <w:rPr>
          <w:sz w:val="16"/>
          <w:szCs w:val="16"/>
        </w:rPr>
        <w:t>All %s taken use N of valid response as base (i.e. Missing, ‘Not Applicable’ and ‘Don’t Know’ responses are excluded). Tport = Transport.</w:t>
      </w:r>
    </w:p>
    <w:p w:rsidR="00D03A8E" w:rsidRPr="00452E2E" w:rsidRDefault="00D03A8E" w:rsidP="00D03A8E">
      <w:pPr>
        <w:spacing w:line="240" w:lineRule="auto"/>
        <w:rPr>
          <w:sz w:val="16"/>
          <w:szCs w:val="16"/>
        </w:rPr>
      </w:pPr>
      <w:r w:rsidRPr="00452E2E">
        <w:rPr>
          <w:sz w:val="16"/>
          <w:szCs w:val="16"/>
          <w:vertAlign w:val="superscript"/>
        </w:rPr>
        <w:t>a</w:t>
      </w:r>
      <w:r w:rsidRPr="00452E2E">
        <w:rPr>
          <w:sz w:val="16"/>
          <w:szCs w:val="16"/>
        </w:rPr>
        <w:t>116&lt;N&lt;122.</w:t>
      </w:r>
    </w:p>
    <w:p w:rsidR="00D03A8E" w:rsidRPr="00452E2E" w:rsidRDefault="00D03A8E" w:rsidP="00D03A8E">
      <w:pPr>
        <w:spacing w:line="240" w:lineRule="auto"/>
        <w:rPr>
          <w:sz w:val="16"/>
          <w:szCs w:val="16"/>
        </w:rPr>
      </w:pPr>
      <w:r w:rsidRPr="00452E2E">
        <w:rPr>
          <w:sz w:val="16"/>
          <w:szCs w:val="16"/>
          <w:vertAlign w:val="superscript"/>
        </w:rPr>
        <w:t>b</w:t>
      </w:r>
      <w:r w:rsidRPr="00452E2E">
        <w:rPr>
          <w:sz w:val="16"/>
          <w:szCs w:val="16"/>
        </w:rPr>
        <w:t xml:space="preserve">117&lt;N&lt;122. </w:t>
      </w: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22" w:name="_Toc465419841"/>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5</w:t>
      </w:r>
      <w:r w:rsidR="00B26571">
        <w:rPr>
          <w:noProof/>
        </w:rPr>
        <w:fldChar w:fldCharType="end"/>
      </w:r>
      <w:r w:rsidRPr="00452E2E">
        <w:t>: Techniques of recruitment and selection of technical staff across whole sample, industry and sector</w:t>
      </w:r>
      <w:bookmarkEnd w:id="122"/>
    </w:p>
    <w:tbl>
      <w:tblPr>
        <w:tblStyle w:val="TableGrid"/>
        <w:tblW w:w="14170" w:type="dxa"/>
        <w:shd w:val="clear" w:color="auto" w:fill="FFFFFF" w:themeFill="background1"/>
        <w:tblLayout w:type="fixed"/>
        <w:tblLook w:val="04A0" w:firstRow="1" w:lastRow="0" w:firstColumn="1" w:lastColumn="0" w:noHBand="0" w:noVBand="1"/>
      </w:tblPr>
      <w:tblGrid>
        <w:gridCol w:w="3397"/>
        <w:gridCol w:w="993"/>
        <w:gridCol w:w="850"/>
        <w:gridCol w:w="992"/>
        <w:gridCol w:w="1134"/>
        <w:gridCol w:w="851"/>
        <w:gridCol w:w="1417"/>
        <w:gridCol w:w="851"/>
        <w:gridCol w:w="709"/>
        <w:gridCol w:w="708"/>
        <w:gridCol w:w="709"/>
        <w:gridCol w:w="851"/>
        <w:gridCol w:w="708"/>
      </w:tblGrid>
      <w:tr w:rsidR="00452E2E" w:rsidRPr="00452E2E" w:rsidTr="00AD16E8">
        <w:tc>
          <w:tcPr>
            <w:tcW w:w="3397"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Variable measuring technique of recruitment and selection</w:t>
            </w:r>
          </w:p>
        </w:tc>
        <w:tc>
          <w:tcPr>
            <w:tcW w:w="993"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371" w:type="dxa"/>
            <w:gridSpan w:val="8"/>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Industry</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Sector</w:t>
            </w:r>
          </w:p>
        </w:tc>
      </w:tr>
      <w:tr w:rsidR="00452E2E" w:rsidRPr="00452E2E" w:rsidTr="00B57950">
        <w:tc>
          <w:tcPr>
            <w:tcW w:w="3397"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sz w:val="16"/>
                <w:szCs w:val="16"/>
              </w:rPr>
              <w:t>Category</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Whole</w:t>
            </w:r>
          </w:p>
          <w:p w:rsidR="00D03A8E" w:rsidRPr="00452E2E" w:rsidRDefault="00D03A8E" w:rsidP="00B57950">
            <w:pPr>
              <w:rPr>
                <w:sz w:val="16"/>
                <w:szCs w:val="16"/>
              </w:rPr>
            </w:pPr>
            <w:r w:rsidRPr="00452E2E">
              <w:rPr>
                <w:sz w:val="16"/>
                <w:szCs w:val="16"/>
              </w:rPr>
              <w:t>Sample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w:t>
            </w:r>
          </w:p>
          <w:p w:rsidR="00D03A8E" w:rsidRPr="00452E2E" w:rsidRDefault="00D03A8E" w:rsidP="00B57950">
            <w:pPr>
              <w:rPr>
                <w:sz w:val="16"/>
                <w:szCs w:val="16"/>
              </w:rPr>
            </w:pPr>
            <w:r w:rsidRPr="00452E2E">
              <w:rPr>
                <w:sz w:val="16"/>
                <w:szCs w:val="16"/>
              </w:rPr>
              <w:t>Financial</w:t>
            </w:r>
          </w:p>
          <w:p w:rsidR="00D03A8E" w:rsidRPr="00452E2E" w:rsidRDefault="00D03A8E" w:rsidP="00B57950">
            <w:pPr>
              <w:rPr>
                <w:sz w:val="16"/>
                <w:szCs w:val="16"/>
              </w:rPr>
            </w:pPr>
            <w:r w:rsidRPr="00452E2E">
              <w:rPr>
                <w:sz w:val="16"/>
                <w:szCs w:val="16"/>
              </w:rPr>
              <w:t>Services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14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Govt. MDAs</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w:t>
            </w:r>
          </w:p>
          <w:p w:rsidR="00D03A8E" w:rsidRPr="00452E2E" w:rsidRDefault="00D03A8E" w:rsidP="00B57950">
            <w:pPr>
              <w:rPr>
                <w:sz w:val="16"/>
                <w:szCs w:val="16"/>
              </w:rPr>
            </w:pPr>
            <w:r w:rsidRPr="00452E2E">
              <w:rPr>
                <w:sz w:val="16"/>
                <w:szCs w:val="16"/>
              </w:rPr>
              <w:t>Media</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Tport</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Recruitment of technical staff</w:t>
            </w:r>
            <w:r w:rsidRPr="00452E2E">
              <w:rPr>
                <w:sz w:val="16"/>
                <w:szCs w:val="16"/>
                <w:vertAlign w:val="superscript"/>
              </w:rPr>
              <w:t>a</w:t>
            </w:r>
          </w:p>
          <w:p w:rsidR="00D03A8E" w:rsidRPr="00452E2E" w:rsidRDefault="00D03A8E" w:rsidP="00B57950">
            <w:pPr>
              <w:rPr>
                <w:sz w:val="16"/>
                <w:szCs w:val="16"/>
              </w:rPr>
            </w:pPr>
            <w:r w:rsidRPr="00452E2E">
              <w:rPr>
                <w:sz w:val="16"/>
                <w:szCs w:val="16"/>
              </w:rPr>
              <w:t>Are technical staff recruited internally?</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13.9%</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6.3%</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16.7%</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7.7%</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27.3%</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9.1%</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13.6%</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16.7%</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15.9%</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10.9%</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technical staff recruited by word of mouth?</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technical staff recruited via recruitment agencies?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technical staff recruited via advertisement?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69.2%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80.4%</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technical staff recruited via other systems?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Selection of technical staff</w:t>
            </w:r>
            <w:r w:rsidRPr="00452E2E">
              <w:rPr>
                <w:sz w:val="16"/>
                <w:szCs w:val="16"/>
                <w:vertAlign w:val="superscript"/>
              </w:rPr>
              <w:t>b</w:t>
            </w:r>
          </w:p>
          <w:p w:rsidR="00D03A8E" w:rsidRPr="00452E2E" w:rsidRDefault="00D03A8E" w:rsidP="00B57950">
            <w:pPr>
              <w:rPr>
                <w:sz w:val="16"/>
                <w:szCs w:val="16"/>
              </w:rPr>
            </w:pPr>
            <w:r w:rsidRPr="00452E2E">
              <w:rPr>
                <w:sz w:val="16"/>
                <w:szCs w:val="16"/>
              </w:rPr>
              <w:t>Are technical staff selected without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9.5%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9.1%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8.3%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technical staff selected by filling in an application form?</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8.9%</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technical staff selected by filling in an application form and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81.3%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58.3%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68.1%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82.2%</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psychometric tests used in selecting technical staff?</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17.8%</w:t>
            </w:r>
          </w:p>
        </w:tc>
      </w:tr>
      <w:tr w:rsidR="00452E2E" w:rsidRPr="00452E2E" w:rsidTr="00AD16E8">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technical staff selected via other system?</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8.8%</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6.3%</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4.8%</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7.2%</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w:t>
            </w:r>
          </w:p>
        </w:tc>
      </w:tr>
    </w:tbl>
    <w:p w:rsidR="00D03A8E" w:rsidRPr="00452E2E" w:rsidRDefault="00D03A8E" w:rsidP="00D03A8E">
      <w:pPr>
        <w:spacing w:line="240" w:lineRule="auto"/>
        <w:rPr>
          <w:sz w:val="16"/>
          <w:szCs w:val="16"/>
        </w:rPr>
      </w:pPr>
      <w:r w:rsidRPr="00452E2E">
        <w:rPr>
          <w:sz w:val="16"/>
          <w:szCs w:val="16"/>
        </w:rPr>
        <w:t>All %s taken use N of valid response as base (i.e. Missing, ‘Not Applicable’ and ‘Don’t Know’ responses are excluded). Tport = Transport.</w:t>
      </w:r>
    </w:p>
    <w:p w:rsidR="00D03A8E" w:rsidRPr="00452E2E" w:rsidRDefault="00D03A8E" w:rsidP="00D03A8E">
      <w:pPr>
        <w:spacing w:line="240" w:lineRule="auto"/>
        <w:rPr>
          <w:sz w:val="16"/>
          <w:szCs w:val="16"/>
        </w:rPr>
      </w:pPr>
      <w:r w:rsidRPr="00452E2E">
        <w:rPr>
          <w:sz w:val="16"/>
          <w:szCs w:val="16"/>
          <w:vertAlign w:val="superscript"/>
        </w:rPr>
        <w:t>a</w:t>
      </w:r>
      <w:r w:rsidRPr="00452E2E">
        <w:rPr>
          <w:sz w:val="16"/>
          <w:szCs w:val="16"/>
        </w:rPr>
        <w:t>115&lt;N&lt;122.</w:t>
      </w:r>
    </w:p>
    <w:p w:rsidR="00D03A8E" w:rsidRPr="00452E2E" w:rsidRDefault="00D03A8E" w:rsidP="00D03A8E">
      <w:pPr>
        <w:spacing w:line="240" w:lineRule="auto"/>
        <w:rPr>
          <w:sz w:val="16"/>
          <w:szCs w:val="16"/>
        </w:rPr>
      </w:pPr>
      <w:r w:rsidRPr="00452E2E">
        <w:rPr>
          <w:sz w:val="16"/>
          <w:szCs w:val="16"/>
          <w:vertAlign w:val="superscript"/>
        </w:rPr>
        <w:t>b</w:t>
      </w:r>
      <w:r w:rsidRPr="00452E2E">
        <w:rPr>
          <w:sz w:val="16"/>
          <w:szCs w:val="16"/>
        </w:rPr>
        <w:t xml:space="preserve">114&lt;N&lt;122. </w:t>
      </w: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23" w:name="_Toc465419842"/>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6</w:t>
      </w:r>
      <w:r w:rsidR="00B26571">
        <w:rPr>
          <w:noProof/>
        </w:rPr>
        <w:fldChar w:fldCharType="end"/>
      </w:r>
      <w:r w:rsidRPr="00452E2E">
        <w:t>: Techniques of recruitment and selection of clerical staff across whole sample, industry and sector</w:t>
      </w:r>
      <w:bookmarkEnd w:id="123"/>
    </w:p>
    <w:tbl>
      <w:tblPr>
        <w:tblStyle w:val="TableGrid"/>
        <w:tblW w:w="14170" w:type="dxa"/>
        <w:shd w:val="clear" w:color="auto" w:fill="FFFFFF" w:themeFill="background1"/>
        <w:tblLayout w:type="fixed"/>
        <w:tblLook w:val="04A0" w:firstRow="1" w:lastRow="0" w:firstColumn="1" w:lastColumn="0" w:noHBand="0" w:noVBand="1"/>
      </w:tblPr>
      <w:tblGrid>
        <w:gridCol w:w="3397"/>
        <w:gridCol w:w="993"/>
        <w:gridCol w:w="850"/>
        <w:gridCol w:w="992"/>
        <w:gridCol w:w="1134"/>
        <w:gridCol w:w="851"/>
        <w:gridCol w:w="1417"/>
        <w:gridCol w:w="851"/>
        <w:gridCol w:w="709"/>
        <w:gridCol w:w="708"/>
        <w:gridCol w:w="709"/>
        <w:gridCol w:w="851"/>
        <w:gridCol w:w="708"/>
      </w:tblGrid>
      <w:tr w:rsidR="00452E2E" w:rsidRPr="00452E2E" w:rsidTr="00AD16E8">
        <w:tc>
          <w:tcPr>
            <w:tcW w:w="3397"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Variable measuring technique of recruitment and selection</w:t>
            </w:r>
          </w:p>
        </w:tc>
        <w:tc>
          <w:tcPr>
            <w:tcW w:w="993"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371" w:type="dxa"/>
            <w:gridSpan w:val="8"/>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Industry</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Sector</w:t>
            </w:r>
          </w:p>
        </w:tc>
      </w:tr>
      <w:tr w:rsidR="00452E2E" w:rsidRPr="00452E2E" w:rsidTr="00B57950">
        <w:tc>
          <w:tcPr>
            <w:tcW w:w="3397"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sz w:val="16"/>
                <w:szCs w:val="16"/>
              </w:rPr>
              <w:t>Category</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Whole</w:t>
            </w:r>
          </w:p>
          <w:p w:rsidR="00D03A8E" w:rsidRPr="00452E2E" w:rsidRDefault="00D03A8E" w:rsidP="00B57950">
            <w:pPr>
              <w:rPr>
                <w:sz w:val="16"/>
                <w:szCs w:val="16"/>
              </w:rPr>
            </w:pPr>
            <w:r w:rsidRPr="00452E2E">
              <w:rPr>
                <w:sz w:val="16"/>
                <w:szCs w:val="16"/>
              </w:rPr>
              <w:t>Sample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w:t>
            </w:r>
          </w:p>
          <w:p w:rsidR="00D03A8E" w:rsidRPr="00452E2E" w:rsidRDefault="00D03A8E" w:rsidP="00B57950">
            <w:pPr>
              <w:rPr>
                <w:sz w:val="16"/>
                <w:szCs w:val="16"/>
              </w:rPr>
            </w:pPr>
            <w:r w:rsidRPr="00452E2E">
              <w:rPr>
                <w:sz w:val="16"/>
                <w:szCs w:val="16"/>
              </w:rPr>
              <w:t>Financial</w:t>
            </w:r>
          </w:p>
          <w:p w:rsidR="00D03A8E" w:rsidRPr="00452E2E" w:rsidRDefault="00D03A8E" w:rsidP="00B57950">
            <w:pPr>
              <w:rPr>
                <w:sz w:val="16"/>
                <w:szCs w:val="16"/>
              </w:rPr>
            </w:pPr>
            <w:r w:rsidRPr="00452E2E">
              <w:rPr>
                <w:sz w:val="16"/>
                <w:szCs w:val="16"/>
              </w:rPr>
              <w:t>Services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14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Govt. MDAs</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w:t>
            </w:r>
          </w:p>
          <w:p w:rsidR="00D03A8E" w:rsidRPr="00452E2E" w:rsidRDefault="00D03A8E" w:rsidP="00B57950">
            <w:pPr>
              <w:rPr>
                <w:sz w:val="16"/>
                <w:szCs w:val="16"/>
              </w:rPr>
            </w:pPr>
            <w:r w:rsidRPr="00452E2E">
              <w:rPr>
                <w:sz w:val="16"/>
                <w:szCs w:val="16"/>
              </w:rPr>
              <w:t>Media</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Tport</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Recruitment of clerical staff</w:t>
            </w:r>
            <w:r w:rsidRPr="00452E2E">
              <w:rPr>
                <w:sz w:val="16"/>
                <w:szCs w:val="16"/>
                <w:vertAlign w:val="superscript"/>
              </w:rPr>
              <w:t>a</w:t>
            </w:r>
          </w:p>
          <w:p w:rsidR="00D03A8E" w:rsidRPr="00452E2E" w:rsidRDefault="00D03A8E" w:rsidP="00B57950">
            <w:pPr>
              <w:rPr>
                <w:sz w:val="16"/>
                <w:szCs w:val="16"/>
              </w:rPr>
            </w:pPr>
            <w:r w:rsidRPr="00452E2E">
              <w:rPr>
                <w:sz w:val="16"/>
                <w:szCs w:val="16"/>
              </w:rPr>
              <w:t>Are clerical staff recruited internally?</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24.3%</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20.0%</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23.1%</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28.6%</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30.4%</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18.2%</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23.8%</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28.6%</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18.2%</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27.9%</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19.1%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clerical staff recruited by word of   mouth?</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6.4%</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clerical staff recruited via recruitment agencies?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clerical staff recruited via advertisement?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34.8%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clerical staff recruited via other systems?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6.4%</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Selection of clerical staff</w:t>
            </w:r>
            <w:r w:rsidRPr="00452E2E">
              <w:rPr>
                <w:sz w:val="16"/>
                <w:szCs w:val="16"/>
                <w:vertAlign w:val="superscript"/>
              </w:rPr>
              <w:t>b</w:t>
            </w:r>
          </w:p>
          <w:p w:rsidR="00D03A8E" w:rsidRPr="00452E2E" w:rsidRDefault="00D03A8E" w:rsidP="00B57950">
            <w:pPr>
              <w:rPr>
                <w:sz w:val="16"/>
                <w:szCs w:val="16"/>
              </w:rPr>
            </w:pPr>
            <w:r w:rsidRPr="00452E2E">
              <w:rPr>
                <w:sz w:val="16"/>
                <w:szCs w:val="16"/>
              </w:rPr>
              <w:t>Are clerical staff selected without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8.3%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17.4%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27.3%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17.4%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2.2%</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clerical staff selected by filling in an application form?</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clerical staff selected by filling in an application form and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69.2%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56.5%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54.5%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68.2%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psychometric tests used in selecting clerical staff?</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w:t>
            </w:r>
          </w:p>
        </w:tc>
      </w:tr>
      <w:tr w:rsidR="00452E2E" w:rsidRPr="00452E2E" w:rsidTr="00AD16E8">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clerical staff selected via other system?</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7.9%</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15.4%</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w:t>
            </w:r>
          </w:p>
        </w:tc>
      </w:tr>
    </w:tbl>
    <w:p w:rsidR="00D03A8E" w:rsidRPr="00452E2E" w:rsidRDefault="00D03A8E" w:rsidP="00D03A8E">
      <w:pPr>
        <w:spacing w:line="240" w:lineRule="auto"/>
        <w:rPr>
          <w:sz w:val="16"/>
          <w:szCs w:val="16"/>
        </w:rPr>
      </w:pPr>
      <w:r w:rsidRPr="00452E2E">
        <w:rPr>
          <w:sz w:val="16"/>
          <w:szCs w:val="16"/>
        </w:rPr>
        <w:t>All %s taken use N of valid response as base (i.e. Missing, ‘Not Applicable’ and ‘Don’t Know’ responses are excluded). Tport = Transport.</w:t>
      </w:r>
    </w:p>
    <w:p w:rsidR="00D03A8E" w:rsidRPr="00452E2E" w:rsidRDefault="00D03A8E" w:rsidP="00D03A8E">
      <w:pPr>
        <w:spacing w:line="240" w:lineRule="auto"/>
        <w:rPr>
          <w:sz w:val="16"/>
          <w:szCs w:val="16"/>
        </w:rPr>
      </w:pPr>
      <w:r w:rsidRPr="00452E2E">
        <w:rPr>
          <w:sz w:val="16"/>
          <w:szCs w:val="16"/>
          <w:vertAlign w:val="superscript"/>
        </w:rPr>
        <w:t>a</w:t>
      </w:r>
      <w:r w:rsidRPr="00452E2E">
        <w:rPr>
          <w:sz w:val="16"/>
          <w:szCs w:val="16"/>
        </w:rPr>
        <w:t>115&lt;N&lt;122.</w:t>
      </w:r>
    </w:p>
    <w:p w:rsidR="00D03A8E" w:rsidRPr="00452E2E" w:rsidRDefault="00D03A8E" w:rsidP="00D03A8E">
      <w:pPr>
        <w:spacing w:line="240" w:lineRule="auto"/>
        <w:rPr>
          <w:sz w:val="16"/>
          <w:szCs w:val="16"/>
        </w:rPr>
      </w:pPr>
      <w:r w:rsidRPr="00452E2E">
        <w:rPr>
          <w:sz w:val="16"/>
          <w:szCs w:val="16"/>
          <w:vertAlign w:val="superscript"/>
        </w:rPr>
        <w:t>b</w:t>
      </w:r>
      <w:r w:rsidRPr="00452E2E">
        <w:rPr>
          <w:sz w:val="16"/>
          <w:szCs w:val="16"/>
        </w:rPr>
        <w:t xml:space="preserve">114&lt;N&lt;122. </w:t>
      </w: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24" w:name="_Toc465419843"/>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7</w:t>
      </w:r>
      <w:r w:rsidR="00B26571">
        <w:rPr>
          <w:noProof/>
        </w:rPr>
        <w:fldChar w:fldCharType="end"/>
      </w:r>
      <w:r w:rsidRPr="00452E2E">
        <w:t>: Techniques of recruitment and selection of manual staff across whole sample, industry and sector</w:t>
      </w:r>
      <w:bookmarkEnd w:id="124"/>
    </w:p>
    <w:tbl>
      <w:tblPr>
        <w:tblStyle w:val="TableGrid"/>
        <w:tblW w:w="14170" w:type="dxa"/>
        <w:shd w:val="clear" w:color="auto" w:fill="FFFFFF" w:themeFill="background1"/>
        <w:tblLayout w:type="fixed"/>
        <w:tblLook w:val="04A0" w:firstRow="1" w:lastRow="0" w:firstColumn="1" w:lastColumn="0" w:noHBand="0" w:noVBand="1"/>
      </w:tblPr>
      <w:tblGrid>
        <w:gridCol w:w="3397"/>
        <w:gridCol w:w="993"/>
        <w:gridCol w:w="850"/>
        <w:gridCol w:w="992"/>
        <w:gridCol w:w="1134"/>
        <w:gridCol w:w="851"/>
        <w:gridCol w:w="1417"/>
        <w:gridCol w:w="851"/>
        <w:gridCol w:w="709"/>
        <w:gridCol w:w="708"/>
        <w:gridCol w:w="709"/>
        <w:gridCol w:w="851"/>
        <w:gridCol w:w="708"/>
      </w:tblGrid>
      <w:tr w:rsidR="00452E2E" w:rsidRPr="00452E2E" w:rsidTr="00AD16E8">
        <w:tc>
          <w:tcPr>
            <w:tcW w:w="3397"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Variable measuring technique of recruitment and selection</w:t>
            </w:r>
          </w:p>
        </w:tc>
        <w:tc>
          <w:tcPr>
            <w:tcW w:w="993"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371" w:type="dxa"/>
            <w:gridSpan w:val="8"/>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Industry</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Sector</w:t>
            </w:r>
          </w:p>
        </w:tc>
      </w:tr>
      <w:tr w:rsidR="00452E2E" w:rsidRPr="00452E2E" w:rsidTr="00B57950">
        <w:tc>
          <w:tcPr>
            <w:tcW w:w="3397"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sz w:val="16"/>
                <w:szCs w:val="16"/>
              </w:rPr>
              <w:t>Category</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Whole</w:t>
            </w:r>
          </w:p>
          <w:p w:rsidR="00D03A8E" w:rsidRPr="00452E2E" w:rsidRDefault="00D03A8E" w:rsidP="00B57950">
            <w:pPr>
              <w:rPr>
                <w:sz w:val="16"/>
                <w:szCs w:val="16"/>
              </w:rPr>
            </w:pPr>
            <w:r w:rsidRPr="00452E2E">
              <w:rPr>
                <w:sz w:val="16"/>
                <w:szCs w:val="16"/>
              </w:rPr>
              <w:t>Sample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w:t>
            </w:r>
          </w:p>
          <w:p w:rsidR="00D03A8E" w:rsidRPr="00452E2E" w:rsidRDefault="00D03A8E" w:rsidP="00B57950">
            <w:pPr>
              <w:rPr>
                <w:sz w:val="16"/>
                <w:szCs w:val="16"/>
              </w:rPr>
            </w:pPr>
            <w:r w:rsidRPr="00452E2E">
              <w:rPr>
                <w:sz w:val="16"/>
                <w:szCs w:val="16"/>
              </w:rPr>
              <w:t>Financial</w:t>
            </w:r>
          </w:p>
          <w:p w:rsidR="00D03A8E" w:rsidRPr="00452E2E" w:rsidRDefault="00D03A8E" w:rsidP="00B57950">
            <w:pPr>
              <w:rPr>
                <w:sz w:val="16"/>
                <w:szCs w:val="16"/>
              </w:rPr>
            </w:pPr>
            <w:r w:rsidRPr="00452E2E">
              <w:rPr>
                <w:sz w:val="16"/>
                <w:szCs w:val="16"/>
              </w:rPr>
              <w:t>Services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14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Govt. MDAs</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w:t>
            </w:r>
          </w:p>
          <w:p w:rsidR="00D03A8E" w:rsidRPr="00452E2E" w:rsidRDefault="00D03A8E" w:rsidP="00B57950">
            <w:pPr>
              <w:rPr>
                <w:sz w:val="16"/>
                <w:szCs w:val="16"/>
              </w:rPr>
            </w:pPr>
            <w:r w:rsidRPr="00452E2E">
              <w:rPr>
                <w:sz w:val="16"/>
                <w:szCs w:val="16"/>
              </w:rPr>
              <w:t>Media</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Tport</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Recruitment of manual staff</w:t>
            </w:r>
            <w:r w:rsidRPr="00452E2E">
              <w:rPr>
                <w:sz w:val="16"/>
                <w:szCs w:val="16"/>
                <w:vertAlign w:val="superscript"/>
              </w:rPr>
              <w:t>a</w:t>
            </w:r>
          </w:p>
          <w:p w:rsidR="00D03A8E" w:rsidRPr="00452E2E" w:rsidRDefault="00D03A8E" w:rsidP="00B57950">
            <w:pPr>
              <w:rPr>
                <w:sz w:val="16"/>
                <w:szCs w:val="16"/>
              </w:rPr>
            </w:pPr>
            <w:r w:rsidRPr="00452E2E">
              <w:rPr>
                <w:sz w:val="16"/>
                <w:szCs w:val="16"/>
              </w:rPr>
              <w:t>Are manual staff recruited internally?</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23.2%</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21.4%</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27.3%</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21.4%</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26.1%</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20.0%</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20.8%</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33.3%</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20.0%</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21.5%</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25.5%</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manual staff recruited by word of mouth?</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6.4%</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manual staff recruited via recruitment agencies?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manual staff recruited via advertisement?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42.9%</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58.3%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55.3%</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manual staff recruited via other systems?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10.6%</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Selection of manual staff</w:t>
            </w:r>
            <w:r w:rsidRPr="00452E2E">
              <w:rPr>
                <w:sz w:val="16"/>
                <w:szCs w:val="16"/>
                <w:vertAlign w:val="superscript"/>
              </w:rPr>
              <w:t>b</w:t>
            </w:r>
          </w:p>
          <w:p w:rsidR="00D03A8E" w:rsidRPr="00452E2E" w:rsidRDefault="00D03A8E" w:rsidP="00B57950">
            <w:pPr>
              <w:rPr>
                <w:sz w:val="16"/>
                <w:szCs w:val="16"/>
              </w:rPr>
            </w:pPr>
            <w:r w:rsidRPr="00452E2E">
              <w:rPr>
                <w:sz w:val="16"/>
                <w:szCs w:val="16"/>
              </w:rPr>
              <w:t>Are manual staff selected without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23.5%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21.4%</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33.3%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9.1%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35.3%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6.4%</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manual staff selected by filling in an application form?</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12.8%</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manual staff selected by filling in an application form and interview?</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68.8%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39.7%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72.3%</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psychometric tests used in selecting manual staff?</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4.3%</w:t>
            </w:r>
          </w:p>
        </w:tc>
      </w:tr>
      <w:tr w:rsidR="00452E2E" w:rsidRPr="00452E2E" w:rsidTr="00AD16E8">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manual staff selected via other system?</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5.2%</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5.2%</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6.4%</w:t>
            </w:r>
          </w:p>
        </w:tc>
      </w:tr>
    </w:tbl>
    <w:p w:rsidR="00D03A8E" w:rsidRPr="00452E2E" w:rsidRDefault="00D03A8E" w:rsidP="00D03A8E">
      <w:pPr>
        <w:spacing w:line="240" w:lineRule="auto"/>
        <w:rPr>
          <w:sz w:val="16"/>
          <w:szCs w:val="16"/>
        </w:rPr>
      </w:pPr>
      <w:r w:rsidRPr="00452E2E">
        <w:rPr>
          <w:sz w:val="16"/>
          <w:szCs w:val="16"/>
        </w:rPr>
        <w:t>All %s taken use N of valid response as base (i.e. Missing, ‘Not Applicable’ and ‘Don’t Know’ responses are excluded). Tport = Transport.</w:t>
      </w:r>
    </w:p>
    <w:p w:rsidR="00D03A8E" w:rsidRPr="00452E2E" w:rsidRDefault="00D03A8E" w:rsidP="00D03A8E">
      <w:pPr>
        <w:spacing w:line="240" w:lineRule="auto"/>
        <w:rPr>
          <w:sz w:val="16"/>
          <w:szCs w:val="16"/>
        </w:rPr>
      </w:pPr>
      <w:r w:rsidRPr="00452E2E">
        <w:rPr>
          <w:sz w:val="16"/>
          <w:szCs w:val="16"/>
          <w:vertAlign w:val="superscript"/>
        </w:rPr>
        <w:t>a</w:t>
      </w:r>
      <w:r w:rsidRPr="00452E2E">
        <w:rPr>
          <w:sz w:val="16"/>
          <w:szCs w:val="16"/>
        </w:rPr>
        <w:t>112&lt;N&lt;122.</w:t>
      </w:r>
    </w:p>
    <w:p w:rsidR="00D03A8E" w:rsidRPr="00452E2E" w:rsidRDefault="00D03A8E" w:rsidP="00D03A8E">
      <w:pPr>
        <w:spacing w:line="240" w:lineRule="auto"/>
        <w:rPr>
          <w:sz w:val="16"/>
          <w:szCs w:val="16"/>
        </w:rPr>
      </w:pPr>
      <w:r w:rsidRPr="00452E2E">
        <w:rPr>
          <w:sz w:val="16"/>
          <w:szCs w:val="16"/>
          <w:vertAlign w:val="superscript"/>
        </w:rPr>
        <w:t>b</w:t>
      </w:r>
      <w:r w:rsidRPr="00452E2E">
        <w:rPr>
          <w:sz w:val="16"/>
          <w:szCs w:val="16"/>
        </w:rPr>
        <w:t xml:space="preserve">115&lt;N&lt;122. </w:t>
      </w:r>
    </w:p>
    <w:p w:rsidR="00D03A8E" w:rsidRPr="00452E2E" w:rsidRDefault="00D03A8E" w:rsidP="00D03A8E">
      <w:pPr>
        <w:rPr>
          <w:b/>
          <w:sz w:val="16"/>
          <w:szCs w:val="16"/>
        </w:rPr>
      </w:pPr>
    </w:p>
    <w:p w:rsidR="00D03A8E" w:rsidRPr="00452E2E" w:rsidRDefault="00D03A8E" w:rsidP="00D03A8E">
      <w:pPr>
        <w:jc w:val="both"/>
      </w:pPr>
    </w:p>
    <w:p w:rsidR="00D03A8E" w:rsidRPr="00452E2E" w:rsidRDefault="00D03A8E" w:rsidP="00D03A8E">
      <w:pPr>
        <w:jc w:val="both"/>
      </w:pPr>
    </w:p>
    <w:p w:rsidR="00D03A8E" w:rsidRPr="00452E2E" w:rsidRDefault="00D03A8E" w:rsidP="00D03A8E">
      <w:pPr>
        <w:jc w:val="both"/>
      </w:pPr>
    </w:p>
    <w:p w:rsidR="00D03A8E" w:rsidRPr="00452E2E" w:rsidRDefault="00D03A8E" w:rsidP="00D03A8E">
      <w:pPr>
        <w:jc w:val="both"/>
      </w:pPr>
    </w:p>
    <w:p w:rsidR="00D03A8E" w:rsidRPr="00452E2E" w:rsidRDefault="00D03A8E" w:rsidP="00D03A8E">
      <w:pPr>
        <w:jc w:val="both"/>
      </w:pPr>
    </w:p>
    <w:p w:rsidR="00D03A8E" w:rsidRPr="00452E2E" w:rsidRDefault="00D03A8E" w:rsidP="00D03A8E">
      <w:pPr>
        <w:jc w:val="both"/>
        <w:sectPr w:rsidR="00D03A8E" w:rsidRPr="00452E2E" w:rsidSect="00B57950">
          <w:pgSz w:w="16838" w:h="11906" w:orient="landscape"/>
          <w:pgMar w:top="2410" w:right="1440" w:bottom="1440" w:left="1440" w:header="709" w:footer="709" w:gutter="0"/>
          <w:cols w:space="708"/>
          <w:docGrid w:linePitch="360"/>
        </w:sectPr>
      </w:pPr>
    </w:p>
    <w:p w:rsidR="00D03A8E" w:rsidRPr="00452E2E" w:rsidRDefault="00D03A8E" w:rsidP="00D03A8E">
      <w:pPr>
        <w:spacing w:line="360" w:lineRule="auto"/>
        <w:jc w:val="both"/>
      </w:pPr>
      <w:r w:rsidRPr="00452E2E">
        <w:lastRenderedPageBreak/>
        <w:t xml:space="preserve">Nevertheless, across all employee groups, organizations in the banking/financial services and ICT/media had the highest use of psychometric tests for selecting employees. Again, this may underscore the advanced nature of these industries in Nigeria. As for sector, the public sector had the highest use of psychometric tests for selecting technical staff whilst the reverse was the case for the other employee groups where the use of psychometric tests was higher in the private sector. Nevertheless, in each employee group, the difference in the use of </w:t>
      </w:r>
      <w:r w:rsidR="00CD7423" w:rsidRPr="00452E2E">
        <w:t xml:space="preserve">psychometric tests in </w:t>
      </w:r>
      <w:r w:rsidRPr="00452E2E">
        <w:t xml:space="preserve">the two sectors was negligible. </w:t>
      </w:r>
    </w:p>
    <w:p w:rsidR="00D03A8E" w:rsidRPr="00452E2E" w:rsidRDefault="00D03A8E" w:rsidP="00D03A8E">
      <w:pPr>
        <w:spacing w:line="360" w:lineRule="auto"/>
        <w:jc w:val="both"/>
      </w:pPr>
      <w:r w:rsidRPr="00452E2E">
        <w:t>Despite the widespread use of interviews as the most preferred method of selection, some organizations selected employees without interviews; that is through informal walk-ins. This was more likely to happen for manual staff (23.5%) and less likely for technical staff (3.5%).</w:t>
      </w:r>
      <w:r w:rsidR="00F63B9D" w:rsidRPr="00452E2E">
        <w:t xml:space="preserve"> </w:t>
      </w:r>
      <w:r w:rsidRPr="00452E2E">
        <w:t xml:space="preserve">Again, for each employee group, there was variation across industry groups and sector. For example, organizations in manufacturing and hotel industries were more likely to select technical staff without interviews (9.5% and 9.1% respectively) whilst for the same employee group, organizations in banking/financial services, education, health, MDAs and ICT/media industries claimed they did not use this method at all. As for sector, private sector organizations had a higher use of selection without interviews compared to public sector organizations thereby reflecting the </w:t>
      </w:r>
      <w:r w:rsidR="00C203DD" w:rsidRPr="00452E2E">
        <w:t xml:space="preserve">prevalent </w:t>
      </w:r>
      <w:r w:rsidRPr="00452E2E">
        <w:t xml:space="preserve">use of informal practices in the private </w:t>
      </w:r>
      <w:r w:rsidR="004C1B2D" w:rsidRPr="00452E2E">
        <w:t xml:space="preserve">sector </w:t>
      </w:r>
      <w:r w:rsidR="00C203DD" w:rsidRPr="00452E2E">
        <w:t>compared</w:t>
      </w:r>
      <w:r w:rsidRPr="00452E2E">
        <w:t xml:space="preserve"> to the public sector in Nigeria that is more formalized. </w:t>
      </w:r>
    </w:p>
    <w:p w:rsidR="00D03A8E" w:rsidRPr="00452E2E" w:rsidRDefault="00D03A8E" w:rsidP="00D03A8E">
      <w:pPr>
        <w:spacing w:line="360" w:lineRule="auto"/>
        <w:jc w:val="both"/>
      </w:pPr>
      <w:r w:rsidRPr="00452E2E">
        <w:t xml:space="preserve">Moreover, other organizations selected employees based on merely completing application forms. This was more likely to happen for clerical staff (17.5%) and manual staff (17.4%) but less likely for management and technical staff. This may reflect the importance attached to the latter in utilising their skills for the attainment of organizational goals, such that organizations are more likely to adopt formal and more rigorous methods </w:t>
      </w:r>
      <w:r w:rsidR="00CA5849" w:rsidRPr="00452E2E">
        <w:t>for</w:t>
      </w:r>
      <w:r w:rsidRPr="00452E2E">
        <w:t xml:space="preserve"> selecting these employee groups. Like other forms of selection, the use of this method varied across industry groups and sector.  For example, organizations in the hotel industry indicated they were more likely to use this method for selecting technical staff (27.3%) as opposed to organizations in the health industry who were the least to use this method for selecting technical staff (8.3%). And just like the other informal </w:t>
      </w:r>
      <w:r w:rsidRPr="00452E2E">
        <w:lastRenderedPageBreak/>
        <w:t>methods, the use of this technique was higher in the private sector as compared to the public sector.</w:t>
      </w:r>
    </w:p>
    <w:p w:rsidR="00D03A8E" w:rsidRPr="00452E2E" w:rsidRDefault="00D03A8E" w:rsidP="00D03A8E">
      <w:pPr>
        <w:spacing w:line="360" w:lineRule="auto"/>
        <w:jc w:val="both"/>
      </w:pPr>
      <w:r w:rsidRPr="00452E2E">
        <w:t xml:space="preserve">Indeed, respondents were expected to indicate whether they used ‘other’ systems for selecting employees for all the employee groups with results suggesting this ranged from 5.2% to 8.8% across the four employee groups. Content analysis of their responses indicates that for management staff, the methods used in this category were presentations (63.6%) and assessment of candidates’ experience (36.4%), with the latter used more frequently in public sector organizations and may be used particularly when management staff are recruited internally. For the other employee categories, the other methods that were mostly used were work sample tests (48.8%) and assessment of references/recommendations (42.0%). Nevertheless, a minority of private sector organizations indicated that selection technique used was based on ‘owner’s decision’ (9.2%), which again underscores the likelihood for </w:t>
      </w:r>
      <w:r w:rsidR="00381484" w:rsidRPr="00452E2E">
        <w:t>the</w:t>
      </w:r>
      <w:r w:rsidRPr="00452E2E">
        <w:t xml:space="preserve"> use </w:t>
      </w:r>
      <w:r w:rsidR="00381484" w:rsidRPr="00452E2E">
        <w:t xml:space="preserve">of </w:t>
      </w:r>
      <w:r w:rsidRPr="00452E2E">
        <w:t xml:space="preserve">informal methods in private sector organizations, albeit this may be more prevalent in owner-controlled organizations that are small in size. </w:t>
      </w:r>
    </w:p>
    <w:p w:rsidR="00D03A8E" w:rsidRPr="00452E2E" w:rsidRDefault="00D03A8E" w:rsidP="00D03A8E">
      <w:pPr>
        <w:spacing w:line="360" w:lineRule="auto"/>
        <w:jc w:val="both"/>
      </w:pPr>
      <w:r w:rsidRPr="00452E2E">
        <w:t xml:space="preserve">The analysis presented above indicates that the use of recruitment and selection methods varied across industry and sector for all employee groups. Logistic regression was then used to examine the effect of industry, sector and size on the use of recruitment and selection techniques. For recruitment of management staff, the results presented in table 5.8 shows that the odds of recruiting management staff internally were significantly related to size. Specifically, the odds that this technique will be used were around 2 times higher in small organizations compared to large ones (EXP (β) = 2.492). Whilst the odds of using recruitment agencies for recruiting management staff were higher in private sector organizations and higher in large organizations respectively, the odds of using advertisement were 8 times higher for public sector organizations than private sector organizations (EXP(β) = 8.496). </w:t>
      </w:r>
    </w:p>
    <w:p w:rsidR="00D03A8E" w:rsidRPr="00452E2E" w:rsidRDefault="00D03A8E" w:rsidP="00D03A8E">
      <w:pPr>
        <w:spacing w:line="360" w:lineRule="auto"/>
        <w:jc w:val="both"/>
      </w:pPr>
      <w:r w:rsidRPr="00452E2E">
        <w:t>For technical staff (Table 5.9), the odds of recruiting technical staff via word of mouth were more than 25 times higher in small organizations than large ones (EXP (β) = 25.644)</w:t>
      </w:r>
      <w:r w:rsidR="006C1721" w:rsidRPr="00452E2E">
        <w:t>.</w:t>
      </w:r>
      <w:r w:rsidRPr="00452E2E">
        <w:t xml:space="preserve"> </w:t>
      </w:r>
      <w:r w:rsidR="006C1721" w:rsidRPr="00452E2E">
        <w:t>Meanwhile, t</w:t>
      </w:r>
      <w:r w:rsidRPr="00452E2E">
        <w:t xml:space="preserve">he odds of recruiting technical staff via advertisement were around 5 times higher in the public sector than private </w:t>
      </w:r>
      <w:r w:rsidRPr="00452E2E">
        <w:lastRenderedPageBreak/>
        <w:t xml:space="preserve">sector organizations. As for clerical staff (Table 5.10), the odds of recruiting clerical staff internally and via word of mouth were 2 times higher (EXP(β) = 2.092) and more than 10 times higher (EXP(β) = 10.724) respectively in small organizations than large organizations. As for the use of advertisement, the odds were around 8 times higher in public sector (EXP (β) = 8.534) than private sector. </w:t>
      </w:r>
    </w:p>
    <w:p w:rsidR="00D03A8E" w:rsidRPr="00452E2E" w:rsidRDefault="00D03A8E" w:rsidP="00D03A8E">
      <w:pPr>
        <w:jc w:val="both"/>
        <w:sectPr w:rsidR="00D03A8E" w:rsidRPr="00452E2E" w:rsidSect="00B57950">
          <w:pgSz w:w="11906" w:h="16838"/>
          <w:pgMar w:top="1440" w:right="1440" w:bottom="1440" w:left="2268" w:header="709" w:footer="709" w:gutter="0"/>
          <w:cols w:space="708"/>
          <w:docGrid w:linePitch="360"/>
        </w:sectPr>
      </w:pPr>
    </w:p>
    <w:p w:rsidR="00D03A8E" w:rsidRPr="00452E2E" w:rsidRDefault="00D03A8E" w:rsidP="00D03A8E">
      <w:pPr>
        <w:pStyle w:val="Caption"/>
        <w:rPr>
          <w:b w:val="0"/>
          <w:sz w:val="16"/>
          <w:szCs w:val="16"/>
        </w:rPr>
      </w:pPr>
      <w:bookmarkStart w:id="125" w:name="_Toc465419844"/>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8</w:t>
      </w:r>
      <w:r w:rsidR="00B26571">
        <w:rPr>
          <w:noProof/>
        </w:rPr>
        <w:fldChar w:fldCharType="end"/>
      </w:r>
      <w:r w:rsidRPr="00452E2E">
        <w:t>: Predicting the extent of use of recruitment techniques for management staff from industry, sector and size</w:t>
      </w:r>
      <w:bookmarkEnd w:id="125"/>
    </w:p>
    <w:tbl>
      <w:tblPr>
        <w:tblStyle w:val="TableGrid"/>
        <w:tblW w:w="15163" w:type="dxa"/>
        <w:shd w:val="clear" w:color="auto" w:fill="FFFFFF" w:themeFill="background1"/>
        <w:tblLayout w:type="fixed"/>
        <w:tblLook w:val="04A0" w:firstRow="1" w:lastRow="0" w:firstColumn="1" w:lastColumn="0" w:noHBand="0" w:noVBand="1"/>
      </w:tblPr>
      <w:tblGrid>
        <w:gridCol w:w="2547"/>
        <w:gridCol w:w="709"/>
        <w:gridCol w:w="850"/>
        <w:gridCol w:w="851"/>
        <w:gridCol w:w="708"/>
        <w:gridCol w:w="851"/>
        <w:gridCol w:w="850"/>
        <w:gridCol w:w="993"/>
        <w:gridCol w:w="992"/>
        <w:gridCol w:w="850"/>
        <w:gridCol w:w="709"/>
        <w:gridCol w:w="851"/>
        <w:gridCol w:w="850"/>
        <w:gridCol w:w="709"/>
        <w:gridCol w:w="992"/>
        <w:gridCol w:w="851"/>
      </w:tblGrid>
      <w:tr w:rsidR="00452E2E" w:rsidRPr="00452E2E" w:rsidTr="00514AE6">
        <w:trPr>
          <w:trHeight w:val="558"/>
        </w:trPr>
        <w:tc>
          <w:tcPr>
            <w:tcW w:w="2547"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recruited internally?</w:t>
            </w:r>
          </w:p>
        </w:tc>
        <w:tc>
          <w:tcPr>
            <w:tcW w:w="2409"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recruited by word of mouth?</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recruited via recruitment agencies?</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recruited via advertisement?</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recruited via other systems?</w:t>
            </w:r>
          </w:p>
        </w:tc>
      </w:tr>
      <w:tr w:rsidR="00452E2E" w:rsidRPr="00452E2E" w:rsidTr="00B57950">
        <w:tc>
          <w:tcPr>
            <w:tcW w:w="2547"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54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19.143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0.379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1.409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4.093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20.290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1.122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3.072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17.674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-1.347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0.260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17.885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0.289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0.505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17.500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18.462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36.982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1.151E+16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15.809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37.156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1.370E+16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-1.307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33.844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4.990E+14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0.265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1.139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18.741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1.246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18.755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2.140*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8.496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17.196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2.492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18.935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-0.602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18.491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48227A">
        <w:tc>
          <w:tcPr>
            <w:tcW w:w="254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0.117</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0.297</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0.219</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0.182</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0.145</w:t>
            </w:r>
          </w:p>
        </w:tc>
      </w:tr>
    </w:tbl>
    <w:p w:rsidR="00D03A8E" w:rsidRPr="00452E2E" w:rsidRDefault="00D03A8E" w:rsidP="00D03A8E">
      <w:pPr>
        <w:rPr>
          <w:sz w:val="16"/>
          <w:szCs w:val="16"/>
        </w:rPr>
      </w:pPr>
      <w:r w:rsidRPr="00452E2E">
        <w:rPr>
          <w:sz w:val="16"/>
          <w:szCs w:val="16"/>
        </w:rPr>
        <w:t xml:space="preserve">                  </w:t>
      </w:r>
      <w:r w:rsidRPr="00452E2E">
        <w:rPr>
          <w:sz w:val="16"/>
          <w:szCs w:val="16"/>
          <w:vertAlign w:val="superscript"/>
        </w:rPr>
        <w:t>a</w:t>
      </w:r>
      <w:r w:rsidRPr="00452E2E">
        <w:rPr>
          <w:sz w:val="16"/>
          <w:szCs w:val="16"/>
        </w:rPr>
        <w:t xml:space="preserve">N= 116.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B00321" w:rsidRPr="00452E2E" w:rsidRDefault="00B00321"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26" w:name="_Toc465419845"/>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9</w:t>
      </w:r>
      <w:r w:rsidR="00B26571">
        <w:rPr>
          <w:noProof/>
        </w:rPr>
        <w:fldChar w:fldCharType="end"/>
      </w:r>
      <w:r w:rsidRPr="00452E2E">
        <w:t>: Predicting the extent of use of recruitment techniques for technical staff from industry, sector and size</w:t>
      </w:r>
      <w:bookmarkEnd w:id="126"/>
    </w:p>
    <w:tbl>
      <w:tblPr>
        <w:tblStyle w:val="TableGrid"/>
        <w:tblW w:w="15163" w:type="dxa"/>
        <w:shd w:val="clear" w:color="auto" w:fill="FFFFFF" w:themeFill="background1"/>
        <w:tblLayout w:type="fixed"/>
        <w:tblLook w:val="04A0" w:firstRow="1" w:lastRow="0" w:firstColumn="1" w:lastColumn="0" w:noHBand="0" w:noVBand="1"/>
      </w:tblPr>
      <w:tblGrid>
        <w:gridCol w:w="2405"/>
        <w:gridCol w:w="709"/>
        <w:gridCol w:w="850"/>
        <w:gridCol w:w="851"/>
        <w:gridCol w:w="850"/>
        <w:gridCol w:w="851"/>
        <w:gridCol w:w="850"/>
        <w:gridCol w:w="993"/>
        <w:gridCol w:w="992"/>
        <w:gridCol w:w="850"/>
        <w:gridCol w:w="709"/>
        <w:gridCol w:w="851"/>
        <w:gridCol w:w="850"/>
        <w:gridCol w:w="851"/>
        <w:gridCol w:w="850"/>
        <w:gridCol w:w="851"/>
      </w:tblGrid>
      <w:tr w:rsidR="00452E2E" w:rsidRPr="00452E2E" w:rsidTr="00514AE6">
        <w:trPr>
          <w:trHeight w:val="558"/>
        </w:trPr>
        <w:tc>
          <w:tcPr>
            <w:tcW w:w="2405"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recruited internally?</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recruited by word of mouth?</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recruited via recruitment agencies?</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recruited via advertisement?</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recruited via other systems?</w:t>
            </w:r>
          </w:p>
        </w:tc>
      </w:tr>
      <w:tr w:rsidR="00452E2E" w:rsidRPr="00452E2E" w:rsidTr="00B57950">
        <w:tc>
          <w:tcPr>
            <w:tcW w:w="240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40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1.333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19.740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2.659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-0.706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-18.681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2.274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19.576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14.954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-19.952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3.627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16.210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-0.576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-20.218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1.622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5.065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1.668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0.952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2.516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7.672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-18.178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20.420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19.353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-20.177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2.435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0.932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20.854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0.565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-0.029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-11.936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-19.800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1.710*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5.532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-1.951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0.567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3.244*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25.644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0.968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514AE6">
        <w:tc>
          <w:tcPr>
            <w:tcW w:w="240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0.078</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0.306</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0.306</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0.139</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0.105</w:t>
            </w:r>
          </w:p>
        </w:tc>
      </w:tr>
    </w:tbl>
    <w:p w:rsidR="00D03A8E" w:rsidRPr="00452E2E" w:rsidRDefault="00D03A8E" w:rsidP="00D03A8E">
      <w:pPr>
        <w:rPr>
          <w:sz w:val="16"/>
          <w:szCs w:val="16"/>
        </w:rPr>
      </w:pPr>
      <w:r w:rsidRPr="00452E2E">
        <w:rPr>
          <w:b/>
          <w:sz w:val="16"/>
          <w:szCs w:val="16"/>
        </w:rPr>
        <w:t xml:space="preserve"> </w:t>
      </w:r>
      <w:r w:rsidRPr="00452E2E">
        <w:rPr>
          <w:sz w:val="16"/>
          <w:szCs w:val="16"/>
          <w:vertAlign w:val="superscript"/>
        </w:rPr>
        <w:t>a</w:t>
      </w:r>
      <w:r w:rsidRPr="00452E2E">
        <w:rPr>
          <w:sz w:val="16"/>
          <w:szCs w:val="16"/>
        </w:rPr>
        <w:t xml:space="preserve">N= 115.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27" w:name="_Toc465419846"/>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10</w:t>
      </w:r>
      <w:r w:rsidR="00B26571">
        <w:rPr>
          <w:noProof/>
        </w:rPr>
        <w:fldChar w:fldCharType="end"/>
      </w:r>
      <w:r w:rsidRPr="00452E2E">
        <w:t>: Predicting the extent of use of recruitment techniques for clerical staff from industry, sector and size</w:t>
      </w:r>
      <w:bookmarkEnd w:id="127"/>
    </w:p>
    <w:tbl>
      <w:tblPr>
        <w:tblStyle w:val="TableGrid"/>
        <w:tblW w:w="15163" w:type="dxa"/>
        <w:shd w:val="clear" w:color="auto" w:fill="FFFFFF" w:themeFill="background1"/>
        <w:tblLayout w:type="fixed"/>
        <w:tblLook w:val="04A0" w:firstRow="1" w:lastRow="0" w:firstColumn="1" w:lastColumn="0" w:noHBand="0" w:noVBand="1"/>
      </w:tblPr>
      <w:tblGrid>
        <w:gridCol w:w="2405"/>
        <w:gridCol w:w="709"/>
        <w:gridCol w:w="850"/>
        <w:gridCol w:w="851"/>
        <w:gridCol w:w="850"/>
        <w:gridCol w:w="851"/>
        <w:gridCol w:w="850"/>
        <w:gridCol w:w="993"/>
        <w:gridCol w:w="992"/>
        <w:gridCol w:w="850"/>
        <w:gridCol w:w="851"/>
        <w:gridCol w:w="850"/>
        <w:gridCol w:w="851"/>
        <w:gridCol w:w="850"/>
        <w:gridCol w:w="709"/>
        <w:gridCol w:w="851"/>
      </w:tblGrid>
      <w:tr w:rsidR="00452E2E" w:rsidRPr="00452E2E" w:rsidTr="00514AE6">
        <w:trPr>
          <w:trHeight w:val="558"/>
        </w:trPr>
        <w:tc>
          <w:tcPr>
            <w:tcW w:w="2405"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recruited internally?</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recruited by word of mouth?</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recruited via recruitment agencies?</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recruited via advertisement?</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recruited via other systems?</w:t>
            </w:r>
          </w:p>
        </w:tc>
      </w:tr>
      <w:tr w:rsidR="00452E2E" w:rsidRPr="00452E2E" w:rsidTr="00B57950">
        <w:tc>
          <w:tcPr>
            <w:tcW w:w="240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40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-0.172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0.842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3.962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-17.885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0.648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-1.583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13.705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5.245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-19.369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-0.659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0.976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15.260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-18.578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2.792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0.996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15.623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0.499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-0.675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0.509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0.428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-17.123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4.270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-18.615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-0.415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0.660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0.271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18.104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-19.731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0.978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2.659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18.448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-0.432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0.649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-0.022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0.978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-0.760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0.468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-1.449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-17.473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-0.802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0.449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0.738*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2.092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10.724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-2.041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-0.842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514AE6">
        <w:tc>
          <w:tcPr>
            <w:tcW w:w="240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0.097</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0.333</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0.094</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0.271</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0.069</w:t>
            </w:r>
          </w:p>
        </w:tc>
      </w:tr>
    </w:tbl>
    <w:p w:rsidR="00D03A8E" w:rsidRPr="00452E2E" w:rsidRDefault="00D03A8E" w:rsidP="00D03A8E">
      <w:pPr>
        <w:rPr>
          <w:sz w:val="16"/>
          <w:szCs w:val="16"/>
        </w:rPr>
      </w:pPr>
      <w:r w:rsidRPr="00452E2E">
        <w:rPr>
          <w:b/>
          <w:sz w:val="16"/>
          <w:szCs w:val="16"/>
        </w:rPr>
        <w:t xml:space="preserve"> </w:t>
      </w:r>
      <w:r w:rsidRPr="00452E2E">
        <w:rPr>
          <w:sz w:val="16"/>
          <w:szCs w:val="16"/>
          <w:vertAlign w:val="superscript"/>
        </w:rPr>
        <w:t>a</w:t>
      </w:r>
      <w:r w:rsidRPr="00452E2E">
        <w:rPr>
          <w:sz w:val="16"/>
          <w:szCs w:val="16"/>
        </w:rPr>
        <w:t xml:space="preserve">N =115 .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28" w:name="_Toc465419847"/>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11</w:t>
      </w:r>
      <w:r w:rsidR="00B26571">
        <w:rPr>
          <w:noProof/>
        </w:rPr>
        <w:fldChar w:fldCharType="end"/>
      </w:r>
      <w:r w:rsidRPr="00452E2E">
        <w:t>:  Predicting the extent of use of recruitment techniques for manual staff from industry, sector and size</w:t>
      </w:r>
      <w:bookmarkEnd w:id="128"/>
    </w:p>
    <w:tbl>
      <w:tblPr>
        <w:tblStyle w:val="TableGrid"/>
        <w:tblW w:w="15163" w:type="dxa"/>
        <w:shd w:val="clear" w:color="auto" w:fill="FFFFFF" w:themeFill="background1"/>
        <w:tblLayout w:type="fixed"/>
        <w:tblLook w:val="04A0" w:firstRow="1" w:lastRow="0" w:firstColumn="1" w:lastColumn="0" w:noHBand="0" w:noVBand="1"/>
      </w:tblPr>
      <w:tblGrid>
        <w:gridCol w:w="2405"/>
        <w:gridCol w:w="709"/>
        <w:gridCol w:w="850"/>
        <w:gridCol w:w="851"/>
        <w:gridCol w:w="850"/>
        <w:gridCol w:w="851"/>
        <w:gridCol w:w="850"/>
        <w:gridCol w:w="993"/>
        <w:gridCol w:w="992"/>
        <w:gridCol w:w="850"/>
        <w:gridCol w:w="851"/>
        <w:gridCol w:w="850"/>
        <w:gridCol w:w="851"/>
        <w:gridCol w:w="709"/>
        <w:gridCol w:w="850"/>
        <w:gridCol w:w="851"/>
      </w:tblGrid>
      <w:tr w:rsidR="00452E2E" w:rsidRPr="00452E2E" w:rsidTr="00514AE6">
        <w:trPr>
          <w:trHeight w:val="558"/>
        </w:trPr>
        <w:tc>
          <w:tcPr>
            <w:tcW w:w="2405"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recruited internally?</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recruited by word of mouth?</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recruited via recruitment agencies?</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recruited via advertisement?</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recruited via other systems?</w:t>
            </w:r>
          </w:p>
        </w:tc>
      </w:tr>
      <w:tr w:rsidR="00452E2E" w:rsidRPr="00452E2E" w:rsidTr="00B57950">
        <w:tc>
          <w:tcPr>
            <w:tcW w:w="240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40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1.412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-0.707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-17.609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3.739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-1.667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0.189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1.801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-19.326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0.981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0.989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0.403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-0.420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0.547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-1.136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18.306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1.031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2.805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-18.980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-34.987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0.546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0.922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0.865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0.427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0.628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1.268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-0.638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0.528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2.229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-20.721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-17.354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1.560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2.976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10.011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0.268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-1.439</w:t>
            </w:r>
            <w:r w:rsidRPr="00452E2E">
              <w:rPr>
                <w:sz w:val="14"/>
                <w:szCs w:val="14"/>
              </w:rPr>
              <w:t>*</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0.237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7F2AB3">
        <w:tc>
          <w:tcPr>
            <w:tcW w:w="2405" w:type="dxa"/>
            <w:tcBorders>
              <w:top w:val="single" w:sz="4" w:space="0" w:color="FFFFFF" w:themeColor="background1"/>
              <w:left w:val="single" w:sz="12"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0.016</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0.426</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0.056</w:t>
            </w:r>
          </w:p>
        </w:tc>
      </w:tr>
    </w:tbl>
    <w:p w:rsidR="00D03A8E" w:rsidRPr="00452E2E" w:rsidRDefault="00D03A8E" w:rsidP="00D03A8E">
      <w:pPr>
        <w:rPr>
          <w:sz w:val="16"/>
          <w:szCs w:val="16"/>
        </w:rPr>
      </w:pPr>
      <w:r w:rsidRPr="00452E2E">
        <w:rPr>
          <w:b/>
          <w:sz w:val="16"/>
          <w:szCs w:val="16"/>
        </w:rPr>
        <w:t xml:space="preserve"> </w:t>
      </w:r>
      <w:r w:rsidRPr="00452E2E">
        <w:rPr>
          <w:sz w:val="16"/>
          <w:szCs w:val="16"/>
          <w:vertAlign w:val="superscript"/>
        </w:rPr>
        <w:t>a</w:t>
      </w:r>
      <w:r w:rsidRPr="00452E2E">
        <w:rPr>
          <w:sz w:val="16"/>
          <w:szCs w:val="16"/>
        </w:rPr>
        <w:t xml:space="preserve">N= 112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jc w:val="both"/>
        <w:sectPr w:rsidR="00D03A8E" w:rsidRPr="00452E2E" w:rsidSect="00B57950">
          <w:pgSz w:w="16838" w:h="11906" w:orient="landscape"/>
          <w:pgMar w:top="2410" w:right="1440" w:bottom="1440" w:left="1440" w:header="709" w:footer="709" w:gutter="0"/>
          <w:cols w:space="708"/>
          <w:docGrid w:linePitch="360"/>
        </w:sectPr>
      </w:pPr>
    </w:p>
    <w:p w:rsidR="00D03A8E" w:rsidRPr="00452E2E" w:rsidRDefault="00D03A8E" w:rsidP="00D03A8E">
      <w:pPr>
        <w:spacing w:line="360" w:lineRule="auto"/>
        <w:jc w:val="both"/>
      </w:pPr>
      <w:r w:rsidRPr="00452E2E">
        <w:lastRenderedPageBreak/>
        <w:t>Regarding manual staff (Table 5.11), whilst the odds of recruiting manual staff via word of mouth were 10 times higher in small organizations (EXP(β) = 10.011) than large organizations, the odds for using advertisement were higher in large organizations.</w:t>
      </w:r>
    </w:p>
    <w:p w:rsidR="00D03A8E" w:rsidRPr="00452E2E" w:rsidRDefault="00D03A8E" w:rsidP="00D03A8E">
      <w:pPr>
        <w:spacing w:line="360" w:lineRule="auto"/>
        <w:jc w:val="both"/>
      </w:pPr>
      <w:r w:rsidRPr="00452E2E">
        <w:t>The effect of industry, sector and size on the use of selection techniques across employee groups is presented in tables 5.12, 5.13, 5.14 and 5.15. The results for management staff (Table 5.12) indicates that the odds for selecting management staff via completing application forms were almost 14 times higher in small organizations (EXP(β) = 13.887) than large organizations. Meanwhile</w:t>
      </w:r>
      <w:r w:rsidR="0048227A" w:rsidRPr="00452E2E">
        <w:t>,</w:t>
      </w:r>
      <w:r w:rsidRPr="00452E2E">
        <w:t xml:space="preserve"> the odds of using interviews and psychometric tests were higher in large organizations than small organizations with similar results reported for technical staff (Table 5.13). As for clerical staff (Table 5.14), the odds of selecting clerical staff via filling application form were almost 4 times higher in small organizations (EXP(β) = 3.774) than large o</w:t>
      </w:r>
      <w:r w:rsidR="00CF5A9A" w:rsidRPr="00452E2E">
        <w:t>rganizations whilst the odds of</w:t>
      </w:r>
      <w:r w:rsidRPr="00452E2E">
        <w:t xml:space="preserve"> using interviews and psychometric tests were higher in large organizations than for small organizations. In terms of selecting manual staff (Table 5.15), the odds that organizations will select without interviews were almost 45 times higher in small organizations (EXP(β) = 44.935) than for large organizations; whilst that of selection via filling application forms were almost 3 times higher in small organizations (EXP(β) = 2.817). Likewise other employee groups, the odds of using interviews and psychometric tests were higher in large organizations than small organizations. </w:t>
      </w:r>
    </w:p>
    <w:p w:rsidR="00D03A8E" w:rsidRPr="00452E2E" w:rsidRDefault="00D03A8E" w:rsidP="00D03A8E">
      <w:pPr>
        <w:spacing w:line="360" w:lineRule="auto"/>
        <w:jc w:val="both"/>
      </w:pPr>
      <w:r w:rsidRPr="00452E2E">
        <w:t xml:space="preserve">On the whole, the finding on recruitment and selection techniques used across organizations in Nigeria suggests that the use of specific recruitment techniques varied based on the type of organization and employee category. Formal techniques such advertisement were more likely to be used in public than private sector as well as in large than in small organizations. These formal techniques were more likely to be used for recruiting management and technical staff whilst clerical and manual staff were more likely to be recruited internally and via word of mouth. Similarly, the use of formal techniques of selection was more likely in large than in small organizations as well as in public than in private sector organizations. Meanwhile, industries such as banking/financial services, health </w:t>
      </w:r>
      <w:r w:rsidRPr="00452E2E">
        <w:lastRenderedPageBreak/>
        <w:t xml:space="preserve">and MDAs were more likely to use formal techniques of recruitment and selection than industries such as hotels and transport. This means that the use of recruitment and selection techniques in Nigeria depends on the sector, industry and size of the organization. </w:t>
      </w:r>
    </w:p>
    <w:p w:rsidR="00D03A8E" w:rsidRPr="00452E2E" w:rsidRDefault="00D03A8E" w:rsidP="00D03A8E">
      <w:pPr>
        <w:jc w:val="both"/>
        <w:sectPr w:rsidR="00D03A8E" w:rsidRPr="00452E2E" w:rsidSect="00B57950">
          <w:pgSz w:w="11906" w:h="16838"/>
          <w:pgMar w:top="1440" w:right="1440" w:bottom="1440" w:left="2268" w:header="708" w:footer="708" w:gutter="0"/>
          <w:cols w:space="708"/>
          <w:docGrid w:linePitch="360"/>
        </w:sectPr>
      </w:pPr>
    </w:p>
    <w:p w:rsidR="00D03A8E" w:rsidRPr="00452E2E" w:rsidRDefault="00D03A8E" w:rsidP="00D03A8E">
      <w:pPr>
        <w:pStyle w:val="Caption"/>
        <w:rPr>
          <w:b w:val="0"/>
          <w:sz w:val="16"/>
          <w:szCs w:val="16"/>
        </w:rPr>
      </w:pPr>
      <w:bookmarkStart w:id="129" w:name="_Toc465419848"/>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12</w:t>
      </w:r>
      <w:r w:rsidR="00B26571">
        <w:rPr>
          <w:noProof/>
        </w:rPr>
        <w:fldChar w:fldCharType="end"/>
      </w:r>
      <w:r w:rsidRPr="00452E2E">
        <w:t>: Predicting the extent of use of selection techniques for management staff from industry, sector and size</w:t>
      </w:r>
      <w:bookmarkEnd w:id="129"/>
    </w:p>
    <w:tbl>
      <w:tblPr>
        <w:tblStyle w:val="TableGrid"/>
        <w:tblW w:w="15163" w:type="dxa"/>
        <w:shd w:val="clear" w:color="auto" w:fill="FFFFFF" w:themeFill="background1"/>
        <w:tblLayout w:type="fixed"/>
        <w:tblLook w:val="04A0" w:firstRow="1" w:lastRow="0" w:firstColumn="1" w:lastColumn="0" w:noHBand="0" w:noVBand="1"/>
      </w:tblPr>
      <w:tblGrid>
        <w:gridCol w:w="2263"/>
        <w:gridCol w:w="142"/>
        <w:gridCol w:w="709"/>
        <w:gridCol w:w="850"/>
        <w:gridCol w:w="851"/>
        <w:gridCol w:w="850"/>
        <w:gridCol w:w="851"/>
        <w:gridCol w:w="850"/>
        <w:gridCol w:w="993"/>
        <w:gridCol w:w="992"/>
        <w:gridCol w:w="850"/>
        <w:gridCol w:w="851"/>
        <w:gridCol w:w="709"/>
        <w:gridCol w:w="850"/>
        <w:gridCol w:w="851"/>
        <w:gridCol w:w="850"/>
        <w:gridCol w:w="851"/>
      </w:tblGrid>
      <w:tr w:rsidR="00452E2E" w:rsidRPr="00452E2E" w:rsidTr="00514AE6">
        <w:trPr>
          <w:trHeight w:val="558"/>
        </w:trPr>
        <w:tc>
          <w:tcPr>
            <w:tcW w:w="2405"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selected without interview?</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selected by filling in an application form?</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selected by filling in application form and interview?</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psychometric tests used in selecting management staff?</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management staff selected via other systems?</w:t>
            </w:r>
          </w:p>
        </w:tc>
      </w:tr>
      <w:tr w:rsidR="00452E2E" w:rsidRPr="00452E2E" w:rsidTr="00B57950">
        <w:tc>
          <w:tcPr>
            <w:tcW w:w="2405" w:type="dxa"/>
            <w:gridSpan w:val="2"/>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r w:rsidRPr="00452E2E">
              <w:rPr>
                <w:sz w:val="16"/>
                <w:szCs w:val="16"/>
              </w:rPr>
              <w:t>)</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405"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18.080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-1.089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-1.201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-19.215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17.488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-13.778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-19.263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-0.253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0.776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0.602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-2.491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-19.102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0.310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3.113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0.596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14.428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-18.631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-12.792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-0.588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0.556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1.220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-4.272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-20.149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18.121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0.249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-2.960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0.856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2.353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0.642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18.520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-12.819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-0.507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0.603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1.151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0.590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8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15.148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13.887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-2.329*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-2.701*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0.560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1.751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514AE6">
        <w:tc>
          <w:tcPr>
            <w:tcW w:w="2405"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0.189</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0.243</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0.252</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12"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12"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0.072</w:t>
            </w:r>
          </w:p>
        </w:tc>
      </w:tr>
    </w:tbl>
    <w:p w:rsidR="00D03A8E" w:rsidRPr="00452E2E" w:rsidRDefault="00D03A8E" w:rsidP="00D03A8E">
      <w:pPr>
        <w:rPr>
          <w:sz w:val="16"/>
          <w:szCs w:val="16"/>
        </w:rPr>
      </w:pPr>
      <w:r w:rsidRPr="00452E2E">
        <w:rPr>
          <w:b/>
          <w:sz w:val="16"/>
          <w:szCs w:val="16"/>
        </w:rPr>
        <w:t xml:space="preserve"> </w:t>
      </w:r>
      <w:r w:rsidRPr="00452E2E">
        <w:rPr>
          <w:sz w:val="16"/>
          <w:szCs w:val="16"/>
          <w:vertAlign w:val="superscript"/>
        </w:rPr>
        <w:t>a</w:t>
      </w:r>
      <w:r w:rsidRPr="00452E2E">
        <w:rPr>
          <w:sz w:val="16"/>
          <w:szCs w:val="16"/>
        </w:rPr>
        <w:t xml:space="preserve">N= 117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30" w:name="_Toc465419849"/>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13</w:t>
      </w:r>
      <w:r w:rsidR="00B26571">
        <w:rPr>
          <w:noProof/>
        </w:rPr>
        <w:fldChar w:fldCharType="end"/>
      </w:r>
      <w:r w:rsidRPr="00452E2E">
        <w:t>: Predicting the extent of use of selection techniques for technical staff from industry, sector and size</w:t>
      </w:r>
      <w:bookmarkEnd w:id="130"/>
    </w:p>
    <w:tbl>
      <w:tblPr>
        <w:tblStyle w:val="TableGrid"/>
        <w:tblW w:w="15163" w:type="dxa"/>
        <w:shd w:val="clear" w:color="auto" w:fill="FFFFFF" w:themeFill="background1"/>
        <w:tblLayout w:type="fixed"/>
        <w:tblLook w:val="04A0" w:firstRow="1" w:lastRow="0" w:firstColumn="1" w:lastColumn="0" w:noHBand="0" w:noVBand="1"/>
      </w:tblPr>
      <w:tblGrid>
        <w:gridCol w:w="2405"/>
        <w:gridCol w:w="709"/>
        <w:gridCol w:w="992"/>
        <w:gridCol w:w="709"/>
        <w:gridCol w:w="850"/>
        <w:gridCol w:w="851"/>
        <w:gridCol w:w="850"/>
        <w:gridCol w:w="993"/>
        <w:gridCol w:w="992"/>
        <w:gridCol w:w="709"/>
        <w:gridCol w:w="850"/>
        <w:gridCol w:w="851"/>
        <w:gridCol w:w="850"/>
        <w:gridCol w:w="851"/>
        <w:gridCol w:w="850"/>
        <w:gridCol w:w="851"/>
      </w:tblGrid>
      <w:tr w:rsidR="00452E2E" w:rsidRPr="00452E2E" w:rsidTr="00514AE6">
        <w:trPr>
          <w:trHeight w:val="558"/>
        </w:trPr>
        <w:tc>
          <w:tcPr>
            <w:tcW w:w="2405"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selected without interview?</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selected by filling in an application form?</w:t>
            </w:r>
          </w:p>
        </w:tc>
        <w:tc>
          <w:tcPr>
            <w:tcW w:w="2694"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selected by filling in application form and interview?</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psychometric tests used in selecting technical staff?</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technical staff selected via other systems?</w:t>
            </w:r>
          </w:p>
        </w:tc>
      </w:tr>
      <w:tr w:rsidR="00452E2E" w:rsidRPr="00452E2E" w:rsidTr="00B57950">
        <w:tc>
          <w:tcPr>
            <w:tcW w:w="240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4"/>
                <w:szCs w:val="14"/>
              </w:rPr>
            </w:pPr>
            <w:r w:rsidRPr="00452E2E">
              <w:rPr>
                <w:sz w:val="14"/>
                <w:szCs w:val="14"/>
              </w:rPr>
              <w:t xml:space="preserve">Pseudo </w:t>
            </w:r>
            <w:r w:rsidRPr="00452E2E">
              <w:rPr>
                <w:sz w:val="16"/>
                <w:szCs w:val="16"/>
              </w:rPr>
              <w:t>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4"/>
                <w:szCs w:val="14"/>
              </w:rPr>
              <w:t>Pseudo</w:t>
            </w:r>
            <w:r w:rsidRPr="00452E2E">
              <w:rPr>
                <w:sz w:val="16"/>
                <w:szCs w:val="16"/>
              </w:rPr>
              <w:t xml:space="preserve"> 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40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18.196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-0.281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0.755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1.194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0.389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49.985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5.107E+21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-0.942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0.390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17.973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0.574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1.776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-0.571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0.565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2.400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1.724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0.523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17.861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-0.238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0.788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50.262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6.736E+21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-1.288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0.301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50.532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8.826E+21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0.884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0.255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18.669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0.637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2.542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32.545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1.362E+14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0.531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0.726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-1.496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17.275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1.046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2.846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0.190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3.297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2D2396">
        <w:tc>
          <w:tcPr>
            <w:tcW w:w="240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0.118</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0.105</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0.242</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0.318</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0.082</w:t>
            </w:r>
          </w:p>
        </w:tc>
      </w:tr>
    </w:tbl>
    <w:p w:rsidR="00D03A8E" w:rsidRPr="00452E2E" w:rsidRDefault="00D03A8E" w:rsidP="00D03A8E">
      <w:pPr>
        <w:rPr>
          <w:sz w:val="16"/>
          <w:szCs w:val="16"/>
        </w:rPr>
      </w:pPr>
      <w:r w:rsidRPr="00452E2E">
        <w:rPr>
          <w:b/>
          <w:sz w:val="16"/>
          <w:szCs w:val="16"/>
        </w:rPr>
        <w:t xml:space="preserve"> </w:t>
      </w:r>
      <w:r w:rsidRPr="00452E2E">
        <w:rPr>
          <w:sz w:val="16"/>
          <w:szCs w:val="16"/>
          <w:vertAlign w:val="superscript"/>
        </w:rPr>
        <w:t>a</w:t>
      </w:r>
      <w:r w:rsidRPr="00452E2E">
        <w:rPr>
          <w:sz w:val="16"/>
          <w:szCs w:val="16"/>
        </w:rPr>
        <w:t xml:space="preserve">N= 114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pStyle w:val="Caption"/>
        <w:rPr>
          <w:b w:val="0"/>
          <w:sz w:val="16"/>
          <w:szCs w:val="16"/>
        </w:rPr>
      </w:pPr>
      <w:bookmarkStart w:id="131" w:name="_Toc465419850"/>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14</w:t>
      </w:r>
      <w:r w:rsidR="00B26571">
        <w:rPr>
          <w:noProof/>
        </w:rPr>
        <w:fldChar w:fldCharType="end"/>
      </w:r>
      <w:r w:rsidRPr="00452E2E">
        <w:t>: Predicting the extent of use of selection techniques for clerical staff from industry, sector and size</w:t>
      </w:r>
      <w:bookmarkEnd w:id="131"/>
    </w:p>
    <w:tbl>
      <w:tblPr>
        <w:tblStyle w:val="TableGrid"/>
        <w:tblW w:w="15163" w:type="dxa"/>
        <w:shd w:val="clear" w:color="auto" w:fill="FFFFFF" w:themeFill="background1"/>
        <w:tblLayout w:type="fixed"/>
        <w:tblLook w:val="04A0" w:firstRow="1" w:lastRow="0" w:firstColumn="1" w:lastColumn="0" w:noHBand="0" w:noVBand="1"/>
      </w:tblPr>
      <w:tblGrid>
        <w:gridCol w:w="2263"/>
        <w:gridCol w:w="851"/>
        <w:gridCol w:w="992"/>
        <w:gridCol w:w="709"/>
        <w:gridCol w:w="850"/>
        <w:gridCol w:w="851"/>
        <w:gridCol w:w="850"/>
        <w:gridCol w:w="993"/>
        <w:gridCol w:w="992"/>
        <w:gridCol w:w="850"/>
        <w:gridCol w:w="851"/>
        <w:gridCol w:w="709"/>
        <w:gridCol w:w="850"/>
        <w:gridCol w:w="851"/>
        <w:gridCol w:w="850"/>
        <w:gridCol w:w="851"/>
      </w:tblGrid>
      <w:tr w:rsidR="00452E2E" w:rsidRPr="00452E2E" w:rsidTr="003D6659">
        <w:trPr>
          <w:trHeight w:val="558"/>
        </w:trPr>
        <w:tc>
          <w:tcPr>
            <w:tcW w:w="226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selected without interview?</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selected by filling in an application form?</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selected by filling in application form and interview?</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psychometric tests used in selecting clerical staff?</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clerical staff selected via other systems?</w:t>
            </w:r>
          </w:p>
        </w:tc>
      </w:tr>
      <w:tr w:rsidR="00452E2E" w:rsidRPr="00452E2E" w:rsidTr="00B57950">
        <w:tc>
          <w:tcPr>
            <w:tcW w:w="226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4"/>
                <w:szCs w:val="14"/>
              </w:rPr>
              <w:t xml:space="preserve">Pseudo </w:t>
            </w:r>
            <w:r w:rsidRPr="00452E2E">
              <w:rPr>
                <w:sz w:val="16"/>
                <w:szCs w:val="16"/>
              </w:rPr>
              <w:t>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26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0.747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0.824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-0.281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0.755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5.123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15.332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-15.826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1.243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0.499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1.170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0.502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15.564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18.114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-16.802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-0.796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0.451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19.782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-2.580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-22.173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18.448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0.365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16.935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1.333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2.057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19.960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-17.272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14.141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-3.125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-20.925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32.717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1.618E+14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1.328*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0.167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-2.804*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3D6659">
        <w:tc>
          <w:tcPr>
            <w:tcW w:w="226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0.291</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0.149</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0.352</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0.255</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0.119</w:t>
            </w:r>
          </w:p>
        </w:tc>
      </w:tr>
    </w:tbl>
    <w:p w:rsidR="00D03A8E" w:rsidRPr="00452E2E" w:rsidRDefault="00D03A8E" w:rsidP="00D03A8E">
      <w:pPr>
        <w:rPr>
          <w:sz w:val="16"/>
          <w:szCs w:val="16"/>
        </w:rPr>
      </w:pPr>
      <w:r w:rsidRPr="00452E2E">
        <w:rPr>
          <w:b/>
          <w:sz w:val="16"/>
          <w:szCs w:val="16"/>
        </w:rPr>
        <w:t xml:space="preserve"> </w:t>
      </w:r>
      <w:r w:rsidRPr="00452E2E">
        <w:rPr>
          <w:sz w:val="16"/>
          <w:szCs w:val="16"/>
          <w:vertAlign w:val="superscript"/>
        </w:rPr>
        <w:t>a</w:t>
      </w:r>
      <w:r w:rsidRPr="00452E2E">
        <w:rPr>
          <w:sz w:val="16"/>
          <w:szCs w:val="16"/>
        </w:rPr>
        <w:t xml:space="preserve">N= 114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tabs>
          <w:tab w:val="left" w:pos="11445"/>
        </w:tabs>
        <w:rPr>
          <w:b/>
          <w:sz w:val="16"/>
          <w:szCs w:val="16"/>
        </w:rPr>
      </w:pPr>
    </w:p>
    <w:p w:rsidR="00D03A8E" w:rsidRPr="00452E2E" w:rsidRDefault="00D03A8E" w:rsidP="00D03A8E">
      <w:pPr>
        <w:tabs>
          <w:tab w:val="left" w:pos="11445"/>
        </w:tabs>
        <w:rPr>
          <w:b/>
          <w:sz w:val="16"/>
          <w:szCs w:val="16"/>
        </w:rPr>
      </w:pPr>
    </w:p>
    <w:p w:rsidR="00D03A8E" w:rsidRPr="00452E2E" w:rsidRDefault="00D03A8E" w:rsidP="00D03A8E">
      <w:pPr>
        <w:tabs>
          <w:tab w:val="left" w:pos="11445"/>
        </w:tabs>
        <w:rPr>
          <w:b/>
          <w:sz w:val="16"/>
          <w:szCs w:val="16"/>
        </w:rPr>
      </w:pPr>
    </w:p>
    <w:p w:rsidR="00D03A8E" w:rsidRPr="00452E2E" w:rsidRDefault="00D03A8E" w:rsidP="00D03A8E">
      <w:pPr>
        <w:pStyle w:val="Caption"/>
        <w:rPr>
          <w:b w:val="0"/>
          <w:sz w:val="16"/>
          <w:szCs w:val="16"/>
        </w:rPr>
      </w:pPr>
      <w:bookmarkStart w:id="132" w:name="_Toc465419851"/>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15</w:t>
      </w:r>
      <w:r w:rsidR="00B26571">
        <w:rPr>
          <w:noProof/>
        </w:rPr>
        <w:fldChar w:fldCharType="end"/>
      </w:r>
      <w:r w:rsidRPr="00452E2E">
        <w:t>:  Predicting the extent of use of selection techniques for manual staff from industry, sector and size</w:t>
      </w:r>
      <w:bookmarkEnd w:id="132"/>
    </w:p>
    <w:tbl>
      <w:tblPr>
        <w:tblStyle w:val="TableGrid"/>
        <w:tblW w:w="15163" w:type="dxa"/>
        <w:shd w:val="clear" w:color="auto" w:fill="FFFFFF" w:themeFill="background1"/>
        <w:tblLayout w:type="fixed"/>
        <w:tblLook w:val="04A0" w:firstRow="1" w:lastRow="0" w:firstColumn="1" w:lastColumn="0" w:noHBand="0" w:noVBand="1"/>
      </w:tblPr>
      <w:tblGrid>
        <w:gridCol w:w="2405"/>
        <w:gridCol w:w="709"/>
        <w:gridCol w:w="850"/>
        <w:gridCol w:w="851"/>
        <w:gridCol w:w="850"/>
        <w:gridCol w:w="851"/>
        <w:gridCol w:w="850"/>
        <w:gridCol w:w="993"/>
        <w:gridCol w:w="992"/>
        <w:gridCol w:w="709"/>
        <w:gridCol w:w="850"/>
        <w:gridCol w:w="851"/>
        <w:gridCol w:w="850"/>
        <w:gridCol w:w="851"/>
        <w:gridCol w:w="850"/>
        <w:gridCol w:w="851"/>
      </w:tblGrid>
      <w:tr w:rsidR="00452E2E" w:rsidRPr="00452E2E" w:rsidTr="003D6659">
        <w:trPr>
          <w:trHeight w:val="558"/>
        </w:trPr>
        <w:tc>
          <w:tcPr>
            <w:tcW w:w="2405"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r w:rsidRPr="00452E2E">
              <w:rPr>
                <w:sz w:val="16"/>
                <w:szCs w:val="16"/>
                <w:vertAlign w:val="superscript"/>
              </w:rPr>
              <w:t>a</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selected without interview?</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selected by filling in an application form?</w:t>
            </w:r>
          </w:p>
        </w:tc>
        <w:tc>
          <w:tcPr>
            <w:tcW w:w="2694"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selected by filling in application form and interview?</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psychometric tests used in selecting manual staff?</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Dependent variable: Are manual staff selected via other systems?</w:t>
            </w:r>
          </w:p>
        </w:tc>
      </w:tr>
      <w:tr w:rsidR="00452E2E" w:rsidRPr="00452E2E" w:rsidTr="00B57950">
        <w:tc>
          <w:tcPr>
            <w:tcW w:w="240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4"/>
                <w:szCs w:val="14"/>
              </w:rPr>
              <w:t xml:space="preserve">Pseudo </w:t>
            </w:r>
            <w:r w:rsidRPr="00452E2E">
              <w:rPr>
                <w:sz w:val="16"/>
                <w:szCs w:val="16"/>
              </w:rPr>
              <w:t>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40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2.309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7.348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-17.898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0.670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0.924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3.866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-3.503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-18.902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0.311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0.670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1.747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5.740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-19.761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-18.954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1.106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3.024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2.367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-3.010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-1.408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-0.263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0.839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5.857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-20.458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-19.254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-0.841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0.431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1.683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-20.793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1.204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3.332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0.930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1.206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0.422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-18.687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-2.542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3.871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-2.653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0.840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4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44.935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-2.458*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1.425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7F2AB3">
        <w:tc>
          <w:tcPr>
            <w:tcW w:w="240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0.432</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0.106</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0.524</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0.160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0.058</w:t>
            </w:r>
          </w:p>
        </w:tc>
      </w:tr>
    </w:tbl>
    <w:p w:rsidR="00D03A8E" w:rsidRPr="00452E2E" w:rsidRDefault="00D03A8E" w:rsidP="00D03A8E">
      <w:pPr>
        <w:rPr>
          <w:sz w:val="16"/>
          <w:szCs w:val="16"/>
        </w:rPr>
      </w:pPr>
      <w:r w:rsidRPr="00452E2E">
        <w:rPr>
          <w:b/>
          <w:sz w:val="16"/>
          <w:szCs w:val="16"/>
        </w:rPr>
        <w:t xml:space="preserve">  </w:t>
      </w:r>
      <w:r w:rsidRPr="00452E2E">
        <w:rPr>
          <w:sz w:val="16"/>
          <w:szCs w:val="16"/>
          <w:vertAlign w:val="superscript"/>
        </w:rPr>
        <w:t>a</w:t>
      </w:r>
      <w:r w:rsidRPr="00452E2E">
        <w:rPr>
          <w:sz w:val="16"/>
          <w:szCs w:val="16"/>
        </w:rPr>
        <w:t>N= 115    *p &lt; 0.05    Tport = Transport.</w:t>
      </w: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jc w:val="both"/>
        <w:sectPr w:rsidR="00D03A8E" w:rsidRPr="00452E2E" w:rsidSect="00B57950">
          <w:pgSz w:w="16838" w:h="11906" w:orient="landscape"/>
          <w:pgMar w:top="2269" w:right="1440" w:bottom="1440" w:left="1440" w:header="709" w:footer="709" w:gutter="0"/>
          <w:cols w:space="708"/>
          <w:docGrid w:linePitch="360"/>
        </w:sectPr>
      </w:pPr>
    </w:p>
    <w:p w:rsidR="00D03A8E" w:rsidRPr="00452E2E" w:rsidRDefault="00D03A8E" w:rsidP="00D03A8E">
      <w:pPr>
        <w:pStyle w:val="Heading4"/>
      </w:pPr>
      <w:bookmarkStart w:id="133" w:name="_Toc473808169"/>
      <w:r w:rsidRPr="00452E2E">
        <w:lastRenderedPageBreak/>
        <w:t>5.4.2 Training</w:t>
      </w:r>
      <w:bookmarkEnd w:id="133"/>
    </w:p>
    <w:p w:rsidR="00D03A8E" w:rsidRPr="00452E2E" w:rsidRDefault="00D03A8E" w:rsidP="00D03A8E">
      <w:pPr>
        <w:spacing w:line="360" w:lineRule="auto"/>
        <w:jc w:val="both"/>
      </w:pPr>
      <w:r w:rsidRPr="00452E2E">
        <w:t xml:space="preserve">To evaluate the techniques of training used, the responses to questions on the various forms of training were analysed. These questions ranged from the provision of informal training to provision of formal training opportunities such as sponsorship of courses with outside training bodies for various job categories. Results in table 5.16 indicate that majority of the organizations stated they provided informal workplace based training (61.7%). Whilst previous research has shown that training was generally low in Nigerian organizations (Anakwe, 2002), the positive responses to the provision of formal workplace based training was encouraging, although the type of formal training that was mostly provided was uncertified (53.0%). This may be due to the possibility of organizations to access monetary incentives from industrial training fund (ITF) for providing training (Ovadje &amp; Ankomah, 2001). However, the provision of uncertified formal training varied across industries and was more likely to be provided in ICT/media industry (71.4%) and more in public sector organizations (59.2%). </w:t>
      </w:r>
    </w:p>
    <w:p w:rsidR="00D03A8E" w:rsidRPr="00452E2E" w:rsidRDefault="00D03A8E" w:rsidP="00D03A8E">
      <w:pPr>
        <w:spacing w:line="360" w:lineRule="auto"/>
        <w:jc w:val="both"/>
        <w:rPr>
          <w:b/>
        </w:rPr>
      </w:pPr>
      <w:r w:rsidRPr="00452E2E">
        <w:t xml:space="preserve">Nonetheless, whilst certified formal training was low (31.0%) compared to the uncertified variety, this form of training was more likely to be provided by organizations in the health industry (57.1%), perhaps due to the heavy reliance on highly educated, highly skilled and highly professionalized employee groups such as doctors and pharmacists in the health industry. As for sector, certified formal training was more likely to be provided in the public sector and may be due to the cost involved in providing this form of training, which private organizations may want to avoid. A reasonable number of organizations indicated they used external training and expectedly, this was mostly for technical staff (57.5%) but again, this was more likely to happen in the public sector. One reason for this may be as a result of the increasing interest of international donor agencies to sponsor the training of public sector workers in many developing countries (cf. Wood </w:t>
      </w:r>
      <w:r w:rsidRPr="00452E2E">
        <w:rPr>
          <w:i/>
        </w:rPr>
        <w:t>et al</w:t>
      </w:r>
      <w:r w:rsidRPr="00452E2E">
        <w:t xml:space="preserve">., 2011). Whilst a minority of organizations (6.7%) claimed they used ‘other systems’ of training, the content analysis of their responses indicate that of the number using ‘other systems, majority said they used computer based training (62.5%) whilst others claimed </w:t>
      </w:r>
    </w:p>
    <w:p w:rsidR="00D03A8E" w:rsidRPr="00452E2E" w:rsidRDefault="00D03A8E" w:rsidP="00D03A8E">
      <w:pPr>
        <w:jc w:val="both"/>
        <w:rPr>
          <w:b/>
        </w:rPr>
        <w:sectPr w:rsidR="00D03A8E" w:rsidRPr="00452E2E" w:rsidSect="00B57950">
          <w:pgSz w:w="11906" w:h="16838"/>
          <w:pgMar w:top="1440" w:right="1440" w:bottom="1440" w:left="2268" w:header="709" w:footer="709" w:gutter="0"/>
          <w:cols w:space="708"/>
          <w:docGrid w:linePitch="360"/>
        </w:sectPr>
      </w:pPr>
    </w:p>
    <w:p w:rsidR="00D03A8E" w:rsidRPr="00452E2E" w:rsidRDefault="00D03A8E" w:rsidP="00D03A8E">
      <w:pPr>
        <w:pStyle w:val="Caption"/>
      </w:pPr>
    </w:p>
    <w:p w:rsidR="00D03A8E" w:rsidRPr="00452E2E" w:rsidRDefault="00D03A8E" w:rsidP="00D03A8E">
      <w:pPr>
        <w:pStyle w:val="Caption"/>
        <w:rPr>
          <w:b w:val="0"/>
          <w:sz w:val="16"/>
          <w:szCs w:val="16"/>
        </w:rPr>
      </w:pPr>
      <w:bookmarkStart w:id="134" w:name="_Toc465419852"/>
      <w:r w:rsidRPr="00452E2E">
        <w:t>Table 5.</w:t>
      </w:r>
      <w:r w:rsidR="00B26571">
        <w:fldChar w:fldCharType="begin"/>
      </w:r>
      <w:r w:rsidR="00B26571">
        <w:instrText xml:space="preserve"> SEQ Table \* ARABIC \s 1 </w:instrText>
      </w:r>
      <w:r w:rsidR="00B26571">
        <w:fldChar w:fldCharType="separate"/>
      </w:r>
      <w:r w:rsidR="00AE2756" w:rsidRPr="00452E2E">
        <w:rPr>
          <w:noProof/>
        </w:rPr>
        <w:t>16</w:t>
      </w:r>
      <w:r w:rsidR="00B26571">
        <w:rPr>
          <w:noProof/>
        </w:rPr>
        <w:fldChar w:fldCharType="end"/>
      </w:r>
      <w:r w:rsidRPr="00452E2E">
        <w:t>: Techniques of training across whole sample, industry and sector</w:t>
      </w:r>
      <w:bookmarkEnd w:id="134"/>
    </w:p>
    <w:tbl>
      <w:tblPr>
        <w:tblStyle w:val="TableGrid"/>
        <w:tblW w:w="14170" w:type="dxa"/>
        <w:shd w:val="clear" w:color="auto" w:fill="FFFFFF" w:themeFill="background1"/>
        <w:tblLayout w:type="fixed"/>
        <w:tblLook w:val="04A0" w:firstRow="1" w:lastRow="0" w:firstColumn="1" w:lastColumn="0" w:noHBand="0" w:noVBand="1"/>
      </w:tblPr>
      <w:tblGrid>
        <w:gridCol w:w="3397"/>
        <w:gridCol w:w="993"/>
        <w:gridCol w:w="850"/>
        <w:gridCol w:w="992"/>
        <w:gridCol w:w="1134"/>
        <w:gridCol w:w="851"/>
        <w:gridCol w:w="1417"/>
        <w:gridCol w:w="851"/>
        <w:gridCol w:w="709"/>
        <w:gridCol w:w="708"/>
        <w:gridCol w:w="709"/>
        <w:gridCol w:w="851"/>
        <w:gridCol w:w="708"/>
      </w:tblGrid>
      <w:tr w:rsidR="00452E2E" w:rsidRPr="00452E2E" w:rsidTr="003D6659">
        <w:tc>
          <w:tcPr>
            <w:tcW w:w="3397"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371" w:type="dxa"/>
            <w:gridSpan w:val="8"/>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Industry</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Sector</w:t>
            </w:r>
          </w:p>
        </w:tc>
      </w:tr>
      <w:tr w:rsidR="00452E2E" w:rsidRPr="00452E2E" w:rsidTr="00B57950">
        <w:tc>
          <w:tcPr>
            <w:tcW w:w="3397"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sz w:val="16"/>
                <w:szCs w:val="16"/>
              </w:rPr>
              <w:t>Category</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Whole</w:t>
            </w:r>
          </w:p>
          <w:p w:rsidR="00D03A8E" w:rsidRPr="00452E2E" w:rsidRDefault="00D03A8E" w:rsidP="00B57950">
            <w:pPr>
              <w:rPr>
                <w:sz w:val="16"/>
                <w:szCs w:val="16"/>
              </w:rPr>
            </w:pPr>
            <w:r w:rsidRPr="00452E2E">
              <w:rPr>
                <w:sz w:val="16"/>
                <w:szCs w:val="16"/>
              </w:rPr>
              <w:t>Sample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w:t>
            </w:r>
          </w:p>
          <w:p w:rsidR="00D03A8E" w:rsidRPr="00452E2E" w:rsidRDefault="00D03A8E" w:rsidP="00B57950">
            <w:pPr>
              <w:rPr>
                <w:sz w:val="16"/>
                <w:szCs w:val="16"/>
              </w:rPr>
            </w:pPr>
            <w:r w:rsidRPr="00452E2E">
              <w:rPr>
                <w:sz w:val="16"/>
                <w:szCs w:val="16"/>
              </w:rPr>
              <w:t>Financial</w:t>
            </w:r>
          </w:p>
          <w:p w:rsidR="00D03A8E" w:rsidRPr="00452E2E" w:rsidRDefault="00D03A8E" w:rsidP="00B57950">
            <w:pPr>
              <w:rPr>
                <w:sz w:val="16"/>
                <w:szCs w:val="16"/>
              </w:rPr>
            </w:pPr>
            <w:r w:rsidRPr="00452E2E">
              <w:rPr>
                <w:sz w:val="16"/>
                <w:szCs w:val="16"/>
              </w:rPr>
              <w:t>Services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14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Govt. MDAs</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w:t>
            </w:r>
          </w:p>
          <w:p w:rsidR="00D03A8E" w:rsidRPr="00452E2E" w:rsidRDefault="00D03A8E" w:rsidP="00B57950">
            <w:pPr>
              <w:rPr>
                <w:sz w:val="16"/>
                <w:szCs w:val="16"/>
              </w:rPr>
            </w:pPr>
            <w:r w:rsidRPr="00452E2E">
              <w:rPr>
                <w:sz w:val="16"/>
                <w:szCs w:val="16"/>
              </w:rPr>
              <w:t>Media</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Tport</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informal workplace based training?</w:t>
            </w:r>
            <w:r w:rsidRPr="00452E2E">
              <w:rPr>
                <w:sz w:val="16"/>
                <w:szCs w:val="16"/>
                <w:vertAlign w:val="superscript"/>
              </w:rPr>
              <w:t>a</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61.7%</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46.7%</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41.7%</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46.2%</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85.7%</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80.0%</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52.9%</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42.9%</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83.3%</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76.1%</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37.5%</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formal workplace based training (uncertified)</w:t>
            </w:r>
            <w:r w:rsidRPr="00452E2E">
              <w:rPr>
                <w:sz w:val="16"/>
                <w:szCs w:val="16"/>
                <w:vertAlign w:val="superscript"/>
              </w:rPr>
              <w:t>b</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64.3%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62.5%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48.5%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59.2%</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formal workplace based training (certified)?</w:t>
            </w:r>
            <w:r w:rsidRPr="00452E2E">
              <w:rPr>
                <w:sz w:val="16"/>
                <w:szCs w:val="16"/>
                <w:vertAlign w:val="superscript"/>
              </w:rPr>
              <w:t>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51.0%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sponsored courses with outside training body (technical)?</w:t>
            </w:r>
            <w:r w:rsidRPr="00452E2E">
              <w:rPr>
                <w:sz w:val="16"/>
                <w:szCs w:val="16"/>
                <w:vertAlign w:val="superscript"/>
              </w:rPr>
              <w:t>d</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85.7%</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69.6%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74.5%</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sponsored courses with outside training body (administrative)?</w:t>
            </w:r>
            <w:r w:rsidRPr="00452E2E">
              <w:rPr>
                <w:sz w:val="16"/>
                <w:szCs w:val="16"/>
                <w:vertAlign w:val="superscript"/>
              </w:rPr>
              <w: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60.5%</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sponsored courses with outside training body (managerial)?</w:t>
            </w:r>
            <w:r w:rsidRPr="00452E2E">
              <w:rPr>
                <w:sz w:val="16"/>
                <w:szCs w:val="16"/>
                <w:vertAlign w:val="superscript"/>
              </w:rPr>
              <w:t>f</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46.2%</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61.0%</w:t>
            </w:r>
          </w:p>
        </w:tc>
      </w:tr>
      <w:tr w:rsidR="00452E2E" w:rsidRPr="00452E2E" w:rsidTr="003D6659">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other system of training?</w:t>
            </w:r>
            <w:r w:rsidRPr="00452E2E">
              <w:rPr>
                <w:sz w:val="16"/>
                <w:szCs w:val="16"/>
                <w:vertAlign w:val="superscript"/>
              </w:rPr>
              <w:t>g</w:t>
            </w:r>
            <w:r w:rsidRPr="00452E2E">
              <w:rPr>
                <w:sz w:val="16"/>
                <w:szCs w:val="16"/>
              </w:rPr>
              <w:t xml:space="preserve"> </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6.5%</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15.0%</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4.8%</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r>
    </w:tbl>
    <w:p w:rsidR="00D03A8E" w:rsidRPr="00452E2E" w:rsidRDefault="00D03A8E" w:rsidP="00D03A8E">
      <w:pPr>
        <w:spacing w:line="240" w:lineRule="auto"/>
        <w:rPr>
          <w:sz w:val="16"/>
          <w:szCs w:val="16"/>
        </w:rPr>
      </w:pPr>
      <w:r w:rsidRPr="00452E2E">
        <w:rPr>
          <w:sz w:val="16"/>
          <w:szCs w:val="16"/>
        </w:rPr>
        <w:t>All %s taken use N of valid response as base (i.e. Missing, ‘Not Applicable’ and ‘Don’t Know’ responses are excluded).  Tport = Transport.</w:t>
      </w:r>
    </w:p>
    <w:p w:rsidR="00D03A8E" w:rsidRPr="00452E2E" w:rsidRDefault="00D03A8E" w:rsidP="00D03A8E">
      <w:pPr>
        <w:spacing w:line="240" w:lineRule="auto"/>
        <w:rPr>
          <w:sz w:val="16"/>
          <w:szCs w:val="16"/>
        </w:rPr>
      </w:pPr>
      <w:r w:rsidRPr="00452E2E">
        <w:rPr>
          <w:sz w:val="16"/>
          <w:szCs w:val="16"/>
          <w:vertAlign w:val="superscript"/>
        </w:rPr>
        <w:t>a</w:t>
      </w:r>
      <w:r w:rsidRPr="00452E2E">
        <w:rPr>
          <w:sz w:val="16"/>
          <w:szCs w:val="16"/>
        </w:rPr>
        <w:t>107&lt;N&lt;122.</w:t>
      </w:r>
    </w:p>
    <w:p w:rsidR="00D03A8E" w:rsidRPr="00452E2E" w:rsidRDefault="00D03A8E" w:rsidP="00D03A8E">
      <w:pPr>
        <w:spacing w:line="240" w:lineRule="auto"/>
        <w:rPr>
          <w:sz w:val="16"/>
          <w:szCs w:val="16"/>
        </w:rPr>
      </w:pPr>
      <w:r w:rsidRPr="00452E2E">
        <w:rPr>
          <w:sz w:val="16"/>
          <w:szCs w:val="16"/>
          <w:vertAlign w:val="superscript"/>
        </w:rPr>
        <w:t>b</w:t>
      </w:r>
      <w:r w:rsidRPr="00452E2E">
        <w:rPr>
          <w:sz w:val="16"/>
          <w:szCs w:val="16"/>
        </w:rPr>
        <w:t>117&lt;N&lt;122.</w:t>
      </w:r>
    </w:p>
    <w:p w:rsidR="00D03A8E" w:rsidRPr="00452E2E" w:rsidRDefault="00D03A8E" w:rsidP="00D03A8E">
      <w:pPr>
        <w:spacing w:line="240" w:lineRule="auto"/>
        <w:rPr>
          <w:sz w:val="16"/>
          <w:szCs w:val="16"/>
        </w:rPr>
      </w:pPr>
      <w:r w:rsidRPr="00452E2E">
        <w:rPr>
          <w:sz w:val="16"/>
          <w:szCs w:val="16"/>
          <w:vertAlign w:val="superscript"/>
        </w:rPr>
        <w:t>c</w:t>
      </w:r>
      <w:r w:rsidRPr="00452E2E">
        <w:rPr>
          <w:sz w:val="16"/>
          <w:szCs w:val="16"/>
        </w:rPr>
        <w:t>113&lt;N&lt;122.</w:t>
      </w:r>
    </w:p>
    <w:p w:rsidR="00D03A8E" w:rsidRPr="00452E2E" w:rsidRDefault="00D03A8E" w:rsidP="00D03A8E">
      <w:pPr>
        <w:spacing w:line="240" w:lineRule="auto"/>
        <w:rPr>
          <w:sz w:val="16"/>
          <w:szCs w:val="16"/>
        </w:rPr>
      </w:pPr>
      <w:r w:rsidRPr="00452E2E">
        <w:rPr>
          <w:sz w:val="16"/>
          <w:szCs w:val="16"/>
          <w:vertAlign w:val="superscript"/>
        </w:rPr>
        <w:t>d</w:t>
      </w:r>
      <w:r w:rsidRPr="00452E2E">
        <w:rPr>
          <w:sz w:val="16"/>
          <w:szCs w:val="16"/>
        </w:rPr>
        <w:t>113&lt;N&lt;122.</w:t>
      </w:r>
    </w:p>
    <w:p w:rsidR="00D03A8E" w:rsidRPr="00452E2E" w:rsidRDefault="00D03A8E" w:rsidP="00D03A8E">
      <w:pPr>
        <w:spacing w:line="240" w:lineRule="auto"/>
        <w:rPr>
          <w:sz w:val="16"/>
          <w:szCs w:val="16"/>
        </w:rPr>
      </w:pPr>
      <w:r w:rsidRPr="00452E2E">
        <w:rPr>
          <w:sz w:val="16"/>
          <w:szCs w:val="16"/>
          <w:vertAlign w:val="superscript"/>
        </w:rPr>
        <w:t>e</w:t>
      </w:r>
      <w:r w:rsidRPr="00452E2E">
        <w:rPr>
          <w:sz w:val="16"/>
          <w:szCs w:val="16"/>
        </w:rPr>
        <w:t>102&lt;N&lt;122.</w:t>
      </w:r>
    </w:p>
    <w:p w:rsidR="00D03A8E" w:rsidRPr="00452E2E" w:rsidRDefault="00D03A8E" w:rsidP="00D03A8E">
      <w:pPr>
        <w:spacing w:line="240" w:lineRule="auto"/>
        <w:rPr>
          <w:sz w:val="16"/>
          <w:szCs w:val="16"/>
        </w:rPr>
      </w:pPr>
      <w:r w:rsidRPr="00452E2E">
        <w:rPr>
          <w:sz w:val="16"/>
          <w:szCs w:val="16"/>
          <w:vertAlign w:val="superscript"/>
        </w:rPr>
        <w:t>f</w:t>
      </w:r>
      <w:r w:rsidRPr="00452E2E">
        <w:rPr>
          <w:sz w:val="16"/>
          <w:szCs w:val="16"/>
        </w:rPr>
        <w:t>100&lt;N&lt;122.</w:t>
      </w:r>
    </w:p>
    <w:p w:rsidR="00D03A8E" w:rsidRPr="00452E2E" w:rsidRDefault="00D03A8E" w:rsidP="00D03A8E">
      <w:pPr>
        <w:spacing w:line="240" w:lineRule="auto"/>
        <w:rPr>
          <w:b/>
          <w:sz w:val="16"/>
          <w:szCs w:val="16"/>
        </w:rPr>
      </w:pPr>
      <w:r w:rsidRPr="00452E2E">
        <w:rPr>
          <w:sz w:val="16"/>
          <w:szCs w:val="16"/>
          <w:vertAlign w:val="superscript"/>
        </w:rPr>
        <w:t>g</w:t>
      </w:r>
      <w:r w:rsidRPr="00452E2E">
        <w:rPr>
          <w:sz w:val="16"/>
          <w:szCs w:val="16"/>
        </w:rPr>
        <w:t>107&lt;N&lt;122.</w:t>
      </w:r>
    </w:p>
    <w:p w:rsidR="00D03A8E" w:rsidRPr="00452E2E" w:rsidRDefault="00D03A8E" w:rsidP="00D03A8E">
      <w:pPr>
        <w:jc w:val="both"/>
        <w:rPr>
          <w:b/>
        </w:rPr>
      </w:pPr>
    </w:p>
    <w:p w:rsidR="00D03A8E" w:rsidRPr="00452E2E" w:rsidRDefault="00D03A8E" w:rsidP="00D03A8E">
      <w:pPr>
        <w:jc w:val="both"/>
        <w:rPr>
          <w:b/>
        </w:rPr>
        <w:sectPr w:rsidR="00D03A8E" w:rsidRPr="00452E2E" w:rsidSect="00B57950">
          <w:pgSz w:w="16838" w:h="11906" w:orient="landscape"/>
          <w:pgMar w:top="2269" w:right="1440" w:bottom="1440" w:left="1440" w:header="709" w:footer="709" w:gutter="0"/>
          <w:cols w:space="708"/>
          <w:docGrid w:linePitch="360"/>
        </w:sectPr>
      </w:pPr>
    </w:p>
    <w:p w:rsidR="00C56DCB" w:rsidRPr="00452E2E" w:rsidRDefault="00C56DCB" w:rsidP="00D03A8E">
      <w:pPr>
        <w:spacing w:line="360" w:lineRule="auto"/>
        <w:jc w:val="both"/>
        <w:rPr>
          <w:b/>
        </w:rPr>
      </w:pPr>
      <w:r w:rsidRPr="00452E2E">
        <w:lastRenderedPageBreak/>
        <w:t>they used cross-functional training (36.1%) with few indicating the use of excursions as a system of training (7.6%).</w:t>
      </w:r>
    </w:p>
    <w:p w:rsidR="00D03A8E" w:rsidRPr="00452E2E" w:rsidRDefault="00D03A8E" w:rsidP="00D03A8E">
      <w:pPr>
        <w:spacing w:line="360" w:lineRule="auto"/>
        <w:jc w:val="both"/>
        <w:rPr>
          <w:b/>
          <w:sz w:val="16"/>
          <w:szCs w:val="16"/>
        </w:rPr>
      </w:pPr>
      <w:r w:rsidRPr="00452E2E">
        <w:t xml:space="preserve">In order to predict the effect of industry, sector and size </w:t>
      </w:r>
      <w:r w:rsidR="00C903AC" w:rsidRPr="00452E2E">
        <w:t xml:space="preserve">on </w:t>
      </w:r>
      <w:r w:rsidRPr="00452E2E">
        <w:t>the use of training forms, logistic regression was used, with results presented in tables 5.17 and 5.18. Results indicate that informal training was more likely to be used in small organizations. When it comes to uncertified formal training, results indicate that this was more likely to be used in manufacturing industry compared to education, MDAs and ICT/media.</w:t>
      </w:r>
    </w:p>
    <w:p w:rsidR="00D03A8E" w:rsidRPr="00452E2E" w:rsidRDefault="00D03A8E" w:rsidP="00D03A8E">
      <w:pPr>
        <w:pStyle w:val="Caption"/>
        <w:rPr>
          <w:b w:val="0"/>
          <w:sz w:val="16"/>
          <w:szCs w:val="16"/>
        </w:rPr>
      </w:pPr>
      <w:bookmarkStart w:id="135" w:name="_Toc465419853"/>
      <w:r w:rsidRPr="00452E2E">
        <w:t>Table 5.</w:t>
      </w:r>
      <w:r w:rsidR="00B26571">
        <w:fldChar w:fldCharType="begin"/>
      </w:r>
      <w:r w:rsidR="00B26571">
        <w:instrText xml:space="preserve"> SEQ Table \* ARABIC \s 1 </w:instrText>
      </w:r>
      <w:r w:rsidR="00B26571">
        <w:fldChar w:fldCharType="separate"/>
      </w:r>
      <w:r w:rsidR="00AE2756" w:rsidRPr="00452E2E">
        <w:rPr>
          <w:noProof/>
        </w:rPr>
        <w:t>17</w:t>
      </w:r>
      <w:r w:rsidR="00B26571">
        <w:rPr>
          <w:noProof/>
        </w:rPr>
        <w:fldChar w:fldCharType="end"/>
      </w:r>
      <w:r w:rsidRPr="00452E2E">
        <w:t>: Predicting the use of training techniques from industry, sector and size</w:t>
      </w:r>
      <w:bookmarkEnd w:id="135"/>
    </w:p>
    <w:tbl>
      <w:tblPr>
        <w:tblStyle w:val="TableGrid"/>
        <w:tblW w:w="9470" w:type="dxa"/>
        <w:tblInd w:w="-5" w:type="dxa"/>
        <w:shd w:val="clear" w:color="auto" w:fill="FFFFFF" w:themeFill="background1"/>
        <w:tblLayout w:type="fixed"/>
        <w:tblLook w:val="04A0" w:firstRow="1" w:lastRow="0" w:firstColumn="1" w:lastColumn="0" w:noHBand="0" w:noVBand="1"/>
      </w:tblPr>
      <w:tblGrid>
        <w:gridCol w:w="2075"/>
        <w:gridCol w:w="829"/>
        <w:gridCol w:w="830"/>
        <w:gridCol w:w="830"/>
        <w:gridCol w:w="830"/>
        <w:gridCol w:w="690"/>
        <w:gridCol w:w="831"/>
        <w:gridCol w:w="829"/>
        <w:gridCol w:w="830"/>
        <w:gridCol w:w="896"/>
      </w:tblGrid>
      <w:tr w:rsidR="00452E2E" w:rsidRPr="00452E2E" w:rsidTr="003D6659">
        <w:trPr>
          <w:trHeight w:val="512"/>
        </w:trPr>
        <w:tc>
          <w:tcPr>
            <w:tcW w:w="2075"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Predictor variables</w:t>
            </w:r>
          </w:p>
        </w:tc>
        <w:tc>
          <w:tcPr>
            <w:tcW w:w="2489"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a</w:t>
            </w:r>
            <w:r w:rsidRPr="00452E2E">
              <w:rPr>
                <w:sz w:val="15"/>
                <w:szCs w:val="15"/>
              </w:rPr>
              <w:t>Dependent variable: Do you make use informal workplace based training?</w:t>
            </w:r>
          </w:p>
        </w:tc>
        <w:tc>
          <w:tcPr>
            <w:tcW w:w="23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b</w:t>
            </w:r>
            <w:r w:rsidRPr="00452E2E">
              <w:rPr>
                <w:sz w:val="15"/>
                <w:szCs w:val="15"/>
              </w:rPr>
              <w:t>Dependent variable: Do you make use of formal workplace based training (uncertified)?</w:t>
            </w:r>
          </w:p>
        </w:tc>
        <w:tc>
          <w:tcPr>
            <w:tcW w:w="255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c</w:t>
            </w:r>
            <w:r w:rsidRPr="00452E2E">
              <w:rPr>
                <w:sz w:val="15"/>
                <w:szCs w:val="15"/>
              </w:rPr>
              <w:t>Dependent variable: Do you make use of formal workplace based training (certified)?</w:t>
            </w:r>
          </w:p>
        </w:tc>
      </w:tr>
      <w:tr w:rsidR="00452E2E" w:rsidRPr="00452E2E" w:rsidTr="00B57950">
        <w:trPr>
          <w:trHeight w:val="363"/>
        </w:trPr>
        <w:tc>
          <w:tcPr>
            <w:tcW w:w="2075"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83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82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 xml:space="preserve">Pseudo </w:t>
            </w:r>
          </w:p>
          <w:p w:rsidR="00D03A8E" w:rsidRPr="00452E2E" w:rsidRDefault="00D03A8E" w:rsidP="00B57950">
            <w:pPr>
              <w:rPr>
                <w:sz w:val="15"/>
                <w:szCs w:val="15"/>
              </w:rPr>
            </w:pPr>
            <w:r w:rsidRPr="00452E2E">
              <w:rPr>
                <w:sz w:val="15"/>
                <w:szCs w:val="15"/>
              </w:rPr>
              <w:t>R</w:t>
            </w:r>
            <w:r w:rsidRPr="00452E2E">
              <w:rPr>
                <w:sz w:val="15"/>
                <w:szCs w:val="15"/>
                <w:vertAlign w:val="superscript"/>
              </w:rPr>
              <w:t>2</w:t>
            </w:r>
          </w:p>
        </w:tc>
        <w:tc>
          <w:tcPr>
            <w:tcW w:w="83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69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83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 xml:space="preserve">Pseudo </w:t>
            </w:r>
          </w:p>
          <w:p w:rsidR="00D03A8E" w:rsidRPr="00452E2E" w:rsidRDefault="00D03A8E" w:rsidP="00B57950">
            <w:pPr>
              <w:rPr>
                <w:sz w:val="15"/>
                <w:szCs w:val="15"/>
              </w:rPr>
            </w:pPr>
            <w:r w:rsidRPr="00452E2E">
              <w:rPr>
                <w:sz w:val="15"/>
                <w:szCs w:val="15"/>
              </w:rPr>
              <w:t>R</w:t>
            </w:r>
            <w:r w:rsidRPr="00452E2E">
              <w:rPr>
                <w:sz w:val="15"/>
                <w:szCs w:val="15"/>
                <w:vertAlign w:val="superscript"/>
              </w:rPr>
              <w:t>2</w:t>
            </w:r>
          </w:p>
        </w:tc>
        <w:tc>
          <w:tcPr>
            <w:tcW w:w="82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83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895"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r>
      <w:tr w:rsidR="00452E2E" w:rsidRPr="00452E2E" w:rsidTr="00B57950">
        <w:trPr>
          <w:trHeight w:val="164"/>
        </w:trPr>
        <w:tc>
          <w:tcPr>
            <w:tcW w:w="207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w:t>
            </w:r>
          </w:p>
        </w:tc>
        <w:tc>
          <w:tcPr>
            <w:tcW w:w="82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69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9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30"/>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Banking/</w:t>
            </w:r>
          </w:p>
          <w:p w:rsidR="00D03A8E" w:rsidRPr="00452E2E" w:rsidRDefault="00D03A8E" w:rsidP="00B57950">
            <w:pPr>
              <w:rPr>
                <w:sz w:val="15"/>
                <w:szCs w:val="15"/>
              </w:rPr>
            </w:pPr>
            <w:r w:rsidRPr="00452E2E">
              <w:rPr>
                <w:sz w:val="15"/>
                <w:szCs w:val="15"/>
              </w:rPr>
              <w:t>Finance (vs Manufacturing)</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0.828</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2.289</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-0.090</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0.914</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0.871</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2.389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47"/>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Education (vs Manufacturing)</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1.768</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5.859</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-2.108*</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0.121</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0.802</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2.229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47"/>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Health (vs Manufacturing)</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1.320</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3.742</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-0.874</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0.417</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-0.948</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0.387</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30"/>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Hotels (vs Manufacturing)</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1.282</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3.606</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-0.191</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0.826</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-0.863</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0.422</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512"/>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Government MDAs (vs Manufacturing)</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0.806</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2.239</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-2.474*</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0.084</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1.295</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3.650</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47"/>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ICT/Media (vs Manufacturing)</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1.969</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7.160</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-2.923*</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0.054</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-0.403</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0.669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47"/>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Tport (vs Manufacturing)</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0.466</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1.594</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0.839</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2.314</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0.019</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1.019</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164"/>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Sector: Public (vs Private)</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-0.836</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0.089</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-2.416*</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0.089</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2.094*</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8.116</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164"/>
        </w:trPr>
        <w:tc>
          <w:tcPr>
            <w:tcW w:w="2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Size (No. of employees)</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1.109*</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3.030</w:t>
            </w: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-1.303*</w:t>
            </w:r>
          </w:p>
        </w:tc>
        <w:tc>
          <w:tcPr>
            <w:tcW w:w="6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0.272</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-1.559*</w:t>
            </w:r>
          </w:p>
        </w:tc>
        <w:tc>
          <w:tcPr>
            <w:tcW w:w="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0.210</w:t>
            </w:r>
          </w:p>
        </w:tc>
        <w:tc>
          <w:tcPr>
            <w:tcW w:w="8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164"/>
        </w:trPr>
        <w:tc>
          <w:tcPr>
            <w:tcW w:w="207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5"/>
                <w:szCs w:val="15"/>
              </w:rPr>
            </w:pPr>
            <w:r w:rsidRPr="00452E2E">
              <w:rPr>
                <w:i/>
                <w:sz w:val="15"/>
                <w:szCs w:val="15"/>
              </w:rPr>
              <w:t>Overall Model Fit</w:t>
            </w:r>
          </w:p>
        </w:tc>
        <w:tc>
          <w:tcPr>
            <w:tcW w:w="82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0.318</w:t>
            </w:r>
          </w:p>
        </w:tc>
        <w:tc>
          <w:tcPr>
            <w:tcW w:w="83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69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0.255</w:t>
            </w:r>
          </w:p>
        </w:tc>
        <w:tc>
          <w:tcPr>
            <w:tcW w:w="82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95"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0.367</w:t>
            </w:r>
          </w:p>
        </w:tc>
      </w:tr>
      <w:tr w:rsidR="00452E2E" w:rsidRPr="00452E2E" w:rsidTr="00B57950">
        <w:trPr>
          <w:trHeight w:val="512"/>
        </w:trPr>
        <w:tc>
          <w:tcPr>
            <w:tcW w:w="2075" w:type="dxa"/>
            <w:vMerge w:val="restart"/>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Predictor variables</w:t>
            </w:r>
          </w:p>
        </w:tc>
        <w:tc>
          <w:tcPr>
            <w:tcW w:w="2489" w:type="dxa"/>
            <w:gridSpan w:val="3"/>
            <w:tcBorders>
              <w:left w:val="single" w:sz="4" w:space="0" w:color="FFFFFF" w:themeColor="background1"/>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vertAlign w:val="superscript"/>
              </w:rPr>
              <w:t>d</w:t>
            </w:r>
            <w:r w:rsidRPr="00452E2E">
              <w:rPr>
                <w:sz w:val="15"/>
                <w:szCs w:val="15"/>
              </w:rPr>
              <w:t>Do you make use of sponsored courses with outside training body (technical)?</w:t>
            </w:r>
          </w:p>
        </w:tc>
        <w:tc>
          <w:tcPr>
            <w:tcW w:w="2351" w:type="dxa"/>
            <w:gridSpan w:val="3"/>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vertAlign w:val="superscript"/>
              </w:rPr>
              <w:t>e</w:t>
            </w:r>
            <w:r w:rsidRPr="00452E2E">
              <w:rPr>
                <w:sz w:val="15"/>
                <w:szCs w:val="15"/>
              </w:rPr>
              <w:t>Do you make use of sponsored courses with outside training body (administrative)?</w:t>
            </w:r>
          </w:p>
        </w:tc>
        <w:tc>
          <w:tcPr>
            <w:tcW w:w="2555" w:type="dxa"/>
            <w:gridSpan w:val="3"/>
            <w:tcBorders>
              <w:left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f</w:t>
            </w:r>
            <w:r w:rsidRPr="00452E2E">
              <w:rPr>
                <w:sz w:val="15"/>
                <w:szCs w:val="15"/>
              </w:rPr>
              <w:t>Do you make use of sponsored courses with outside training body (managerial)?</w:t>
            </w:r>
          </w:p>
        </w:tc>
      </w:tr>
      <w:tr w:rsidR="00452E2E" w:rsidRPr="00452E2E" w:rsidTr="00B57950">
        <w:trPr>
          <w:trHeight w:val="363"/>
        </w:trPr>
        <w:tc>
          <w:tcPr>
            <w:tcW w:w="2075"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29" w:type="dxa"/>
            <w:tcBorders>
              <w:left w:val="single" w:sz="4" w:space="0" w:color="FFFFFF" w:themeColor="background1"/>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830"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829"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c>
          <w:tcPr>
            <w:tcW w:w="830"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690"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830"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c>
          <w:tcPr>
            <w:tcW w:w="829"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830"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895" w:type="dxa"/>
            <w:tcBorders>
              <w:left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r>
      <w:tr w:rsidR="00452E2E" w:rsidRPr="00452E2E" w:rsidTr="00B57950">
        <w:trPr>
          <w:trHeight w:val="164"/>
        </w:trPr>
        <w:tc>
          <w:tcPr>
            <w:tcW w:w="2075"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w:t>
            </w:r>
          </w:p>
        </w:tc>
        <w:tc>
          <w:tcPr>
            <w:tcW w:w="829"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690"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95" w:type="dxa"/>
            <w:tcBorders>
              <w:left w:val="single" w:sz="4" w:space="0" w:color="FFFFFF"/>
              <w:bottom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30"/>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Banking/</w:t>
            </w:r>
          </w:p>
          <w:p w:rsidR="00D03A8E" w:rsidRPr="00452E2E" w:rsidRDefault="00D03A8E" w:rsidP="00B57950">
            <w:pPr>
              <w:rPr>
                <w:sz w:val="15"/>
                <w:szCs w:val="15"/>
              </w:rPr>
            </w:pPr>
            <w:r w:rsidRPr="00452E2E">
              <w:rPr>
                <w:sz w:val="15"/>
                <w:szCs w:val="15"/>
              </w:rPr>
              <w:t>Finance (vs Manufacturing)</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0.408</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1.504</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-0.627</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0.534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-0.363</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0.696</w:t>
            </w:r>
          </w:p>
        </w:tc>
        <w:tc>
          <w:tcPr>
            <w:tcW w:w="895" w:type="dxa"/>
            <w:tcBorders>
              <w:top w:val="single" w:sz="4" w:space="0" w:color="FFFFFF"/>
              <w:left w:val="single" w:sz="4" w:space="0" w:color="FFFFFF"/>
              <w:bottom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rPr>
          <w:trHeight w:val="347"/>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Education (vs Manufacturing)</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-1.663</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0.190</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1.560</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4.759</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1.680</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5.364</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rPr>
          <w:trHeight w:val="330"/>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Health (vs Manufacturing)</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-2.304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0.100</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-0.220</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0.802</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0.558</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1.746</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rPr>
          <w:trHeight w:val="347"/>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Hotels (vs Manufacturing)</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-0.579</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0.560</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-0.811</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0.444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-0.112</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0.894</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rPr>
          <w:trHeight w:val="512"/>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Government MDAs (vs Manufacturing)</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-1.846</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0.158</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0.303</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1.354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0.749</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2.114</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rPr>
          <w:trHeight w:val="347"/>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ICT/Media (vs Manufacturing)</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-2.910*</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0.054</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-1.330</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0.264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0.067</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1.069</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rPr>
          <w:trHeight w:val="330"/>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Tport (vs Manufacturing)</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-0.058</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0.944</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-0.113</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0.894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-0.177</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0.838</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rPr>
          <w:trHeight w:val="164"/>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Sector: Public (vs Private)</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-0.834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0.434</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2.058*</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7.832</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2.308*</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10.051</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rPr>
          <w:trHeight w:val="181"/>
        </w:trPr>
        <w:tc>
          <w:tcPr>
            <w:tcW w:w="207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Size (No. of employees)</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-1.864*</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0.155</w:t>
            </w: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-0.692*</w:t>
            </w:r>
          </w:p>
        </w:tc>
        <w:tc>
          <w:tcPr>
            <w:tcW w:w="69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0.501</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-0.285</w:t>
            </w:r>
          </w:p>
        </w:tc>
        <w:tc>
          <w:tcPr>
            <w:tcW w:w="83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0.752</w:t>
            </w:r>
          </w:p>
        </w:tc>
        <w:tc>
          <w:tcPr>
            <w:tcW w:w="895"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3D6659">
        <w:trPr>
          <w:trHeight w:val="148"/>
        </w:trPr>
        <w:tc>
          <w:tcPr>
            <w:tcW w:w="2075"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i/>
                <w:sz w:val="15"/>
                <w:szCs w:val="15"/>
              </w:rPr>
            </w:pPr>
            <w:r w:rsidRPr="00452E2E">
              <w:rPr>
                <w:i/>
                <w:sz w:val="15"/>
                <w:szCs w:val="15"/>
              </w:rPr>
              <w:t>Overall Model Fit</w:t>
            </w:r>
          </w:p>
        </w:tc>
        <w:tc>
          <w:tcPr>
            <w:tcW w:w="829"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p>
        </w:tc>
        <w:tc>
          <w:tcPr>
            <w:tcW w:w="829"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0.396</w:t>
            </w:r>
          </w:p>
        </w:tc>
        <w:tc>
          <w:tcPr>
            <w:tcW w:w="830"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p>
        </w:tc>
        <w:tc>
          <w:tcPr>
            <w:tcW w:w="690"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0.284</w:t>
            </w:r>
          </w:p>
        </w:tc>
        <w:tc>
          <w:tcPr>
            <w:tcW w:w="829"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p>
        </w:tc>
        <w:tc>
          <w:tcPr>
            <w:tcW w:w="830"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p>
        </w:tc>
        <w:tc>
          <w:tcPr>
            <w:tcW w:w="895"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0.192</w:t>
            </w:r>
          </w:p>
        </w:tc>
      </w:tr>
    </w:tbl>
    <w:p w:rsidR="005149EE" w:rsidRPr="00452E2E" w:rsidRDefault="00D03A8E" w:rsidP="005149EE">
      <w:pPr>
        <w:rPr>
          <w:sz w:val="14"/>
          <w:szCs w:val="14"/>
        </w:rPr>
      </w:pPr>
      <w:r w:rsidRPr="00452E2E">
        <w:rPr>
          <w:sz w:val="14"/>
          <w:szCs w:val="14"/>
          <w:vertAlign w:val="superscript"/>
        </w:rPr>
        <w:t>a</w:t>
      </w:r>
      <w:r w:rsidR="005149EE" w:rsidRPr="00452E2E">
        <w:rPr>
          <w:sz w:val="14"/>
          <w:szCs w:val="14"/>
        </w:rPr>
        <w:t xml:space="preserve">N = 107;  </w:t>
      </w:r>
      <w:r w:rsidRPr="00452E2E">
        <w:rPr>
          <w:sz w:val="14"/>
          <w:szCs w:val="14"/>
          <w:vertAlign w:val="superscript"/>
        </w:rPr>
        <w:t>b</w:t>
      </w:r>
      <w:r w:rsidR="005149EE" w:rsidRPr="00452E2E">
        <w:rPr>
          <w:sz w:val="14"/>
          <w:szCs w:val="14"/>
        </w:rPr>
        <w:t xml:space="preserve">N = 117;  </w:t>
      </w:r>
      <w:r w:rsidRPr="00452E2E">
        <w:rPr>
          <w:sz w:val="14"/>
          <w:szCs w:val="14"/>
          <w:vertAlign w:val="superscript"/>
        </w:rPr>
        <w:t>c</w:t>
      </w:r>
      <w:r w:rsidRPr="00452E2E">
        <w:rPr>
          <w:sz w:val="14"/>
          <w:szCs w:val="14"/>
        </w:rPr>
        <w:t>N = 113</w:t>
      </w:r>
      <w:r w:rsidR="005149EE" w:rsidRPr="00452E2E">
        <w:rPr>
          <w:sz w:val="14"/>
          <w:szCs w:val="14"/>
        </w:rPr>
        <w:t xml:space="preserve">;  </w:t>
      </w:r>
      <w:r w:rsidR="005149EE" w:rsidRPr="00452E2E">
        <w:rPr>
          <w:sz w:val="14"/>
          <w:szCs w:val="14"/>
          <w:vertAlign w:val="superscript"/>
        </w:rPr>
        <w:t>d</w:t>
      </w:r>
      <w:r w:rsidR="005149EE" w:rsidRPr="00452E2E">
        <w:rPr>
          <w:sz w:val="14"/>
          <w:szCs w:val="14"/>
        </w:rPr>
        <w:t xml:space="preserve">N =113;  </w:t>
      </w:r>
      <w:r w:rsidR="005149EE" w:rsidRPr="00452E2E">
        <w:rPr>
          <w:sz w:val="14"/>
          <w:szCs w:val="14"/>
          <w:vertAlign w:val="superscript"/>
        </w:rPr>
        <w:t>e</w:t>
      </w:r>
      <w:r w:rsidR="005149EE" w:rsidRPr="00452E2E">
        <w:rPr>
          <w:sz w:val="14"/>
          <w:szCs w:val="14"/>
        </w:rPr>
        <w:t xml:space="preserve">N = 102; </w:t>
      </w:r>
      <w:r w:rsidR="005149EE" w:rsidRPr="00452E2E">
        <w:rPr>
          <w:sz w:val="14"/>
          <w:szCs w:val="14"/>
          <w:vertAlign w:val="superscript"/>
        </w:rPr>
        <w:t>f</w:t>
      </w:r>
      <w:r w:rsidR="005149EE" w:rsidRPr="00452E2E">
        <w:rPr>
          <w:sz w:val="14"/>
          <w:szCs w:val="14"/>
        </w:rPr>
        <w:t xml:space="preserve">N = 100. *p &lt; 0.05    </w:t>
      </w:r>
      <w:r w:rsidR="005149EE" w:rsidRPr="00452E2E">
        <w:rPr>
          <w:sz w:val="16"/>
          <w:szCs w:val="16"/>
        </w:rPr>
        <w:t>Tport = Transport.</w:t>
      </w:r>
    </w:p>
    <w:p w:rsidR="00D03A8E" w:rsidRPr="00452E2E" w:rsidRDefault="00D03A8E" w:rsidP="005149EE">
      <w:pPr>
        <w:rPr>
          <w:sz w:val="14"/>
          <w:szCs w:val="14"/>
        </w:rPr>
      </w:pPr>
    </w:p>
    <w:p w:rsidR="005149EE" w:rsidRPr="00452E2E" w:rsidRDefault="005149EE" w:rsidP="00D03A8E">
      <w:pPr>
        <w:pStyle w:val="Caption"/>
      </w:pPr>
      <w:bookmarkStart w:id="136" w:name="_Toc465419854"/>
    </w:p>
    <w:p w:rsidR="005149EE" w:rsidRPr="00452E2E" w:rsidRDefault="005149EE" w:rsidP="00D03A8E">
      <w:pPr>
        <w:pStyle w:val="Caption"/>
      </w:pPr>
    </w:p>
    <w:p w:rsidR="00D03A8E" w:rsidRPr="00452E2E" w:rsidRDefault="00D03A8E" w:rsidP="00D03A8E">
      <w:pPr>
        <w:pStyle w:val="Caption"/>
        <w:rPr>
          <w:b w:val="0"/>
          <w:sz w:val="16"/>
          <w:szCs w:val="16"/>
        </w:rPr>
      </w:pPr>
      <w:r w:rsidRPr="00452E2E">
        <w:t>Table 5.</w:t>
      </w:r>
      <w:r w:rsidR="00B26571">
        <w:fldChar w:fldCharType="begin"/>
      </w:r>
      <w:r w:rsidR="00B26571">
        <w:instrText xml:space="preserve"> SEQ Table \* ARABIC \s 1 </w:instrText>
      </w:r>
      <w:r w:rsidR="00B26571">
        <w:fldChar w:fldCharType="separate"/>
      </w:r>
      <w:r w:rsidR="00AE2756" w:rsidRPr="00452E2E">
        <w:rPr>
          <w:noProof/>
        </w:rPr>
        <w:t>18</w:t>
      </w:r>
      <w:r w:rsidR="00B26571">
        <w:rPr>
          <w:noProof/>
        </w:rPr>
        <w:fldChar w:fldCharType="end"/>
      </w:r>
      <w:r w:rsidRPr="00452E2E">
        <w:t>: Predicting the use of training techniques from industry, sector and size (cont’d)</w:t>
      </w:r>
      <w:bookmarkEnd w:id="136"/>
    </w:p>
    <w:tbl>
      <w:tblPr>
        <w:tblStyle w:val="TableGrid"/>
        <w:tblW w:w="8500" w:type="dxa"/>
        <w:shd w:val="clear" w:color="auto" w:fill="FFFFFF" w:themeFill="background1"/>
        <w:tblLook w:val="04A0" w:firstRow="1" w:lastRow="0" w:firstColumn="1" w:lastColumn="0" w:noHBand="0" w:noVBand="1"/>
      </w:tblPr>
      <w:tblGrid>
        <w:gridCol w:w="4673"/>
        <w:gridCol w:w="992"/>
        <w:gridCol w:w="1418"/>
        <w:gridCol w:w="1417"/>
      </w:tblGrid>
      <w:tr w:rsidR="00452E2E" w:rsidRPr="00452E2E" w:rsidTr="003D6659">
        <w:tc>
          <w:tcPr>
            <w:tcW w:w="4673" w:type="dxa"/>
            <w:vMerge w:val="restart"/>
            <w:tcBorders>
              <w:top w:val="single" w:sz="12" w:space="0" w:color="auto"/>
              <w:left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c>
          <w:tcPr>
            <w:tcW w:w="3827" w:type="dxa"/>
            <w:gridSpan w:val="3"/>
            <w:tcBorders>
              <w:top w:val="single" w:sz="12" w:space="0" w:color="auto"/>
              <w:left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vertAlign w:val="superscript"/>
              </w:rPr>
              <w:t>a</w:t>
            </w:r>
            <w:r w:rsidRPr="00452E2E">
              <w:rPr>
                <w:sz w:val="16"/>
                <w:szCs w:val="16"/>
              </w:rPr>
              <w:t>Dependent variable: Do you make use of other system of training?</w:t>
            </w:r>
          </w:p>
        </w:tc>
      </w:tr>
      <w:tr w:rsidR="00452E2E" w:rsidRPr="00452E2E" w:rsidTr="00B57950">
        <w:tc>
          <w:tcPr>
            <w:tcW w:w="4673" w:type="dxa"/>
            <w:vMerge/>
            <w:tcBorders>
              <w:left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c>
          <w:tcPr>
            <w:tcW w:w="992" w:type="dxa"/>
            <w:tcBorders>
              <w:left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1418" w:type="dxa"/>
            <w:tcBorders>
              <w:left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1417" w:type="dxa"/>
            <w:tcBorders>
              <w:left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4673"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992"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c>
          <w:tcPr>
            <w:tcW w:w="1418"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c>
          <w:tcPr>
            <w:tcW w:w="1417"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rPr>
          <w:trHeight w:val="283"/>
        </w:trPr>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 dummy: Banking/Finance (vs Manufacturing)</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-18.690</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1.509</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4.520</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-18.270</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-18.454</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-17.705</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1.586</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4.884</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-18.479</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0.000</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2.076</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7.970</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B57950">
        <w:tc>
          <w:tcPr>
            <w:tcW w:w="467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0.862</w:t>
            </w:r>
          </w:p>
        </w:tc>
        <w:tc>
          <w:tcPr>
            <w:tcW w:w="141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2.368</w:t>
            </w:r>
          </w:p>
        </w:tc>
        <w:tc>
          <w:tcPr>
            <w:tcW w:w="1417"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b/>
                <w:sz w:val="16"/>
                <w:szCs w:val="16"/>
              </w:rPr>
            </w:pPr>
          </w:p>
        </w:tc>
      </w:tr>
      <w:tr w:rsidR="00452E2E" w:rsidRPr="00452E2E" w:rsidTr="003D6659">
        <w:tc>
          <w:tcPr>
            <w:tcW w:w="4673"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992"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b/>
                <w:sz w:val="16"/>
                <w:szCs w:val="16"/>
              </w:rPr>
            </w:pPr>
          </w:p>
        </w:tc>
        <w:tc>
          <w:tcPr>
            <w:tcW w:w="1418"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b/>
                <w:sz w:val="16"/>
                <w:szCs w:val="16"/>
              </w:rPr>
            </w:pPr>
          </w:p>
        </w:tc>
        <w:tc>
          <w:tcPr>
            <w:tcW w:w="1417" w:type="dxa"/>
            <w:tcBorders>
              <w:top w:val="single" w:sz="4" w:space="0" w:color="FFFFFF"/>
              <w:left w:val="single" w:sz="4" w:space="0" w:color="FFFFFF"/>
              <w:bottom w:val="single" w:sz="12" w:space="0" w:color="auto"/>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0.086</w:t>
            </w:r>
          </w:p>
        </w:tc>
      </w:tr>
    </w:tbl>
    <w:p w:rsidR="00D03A8E" w:rsidRPr="00452E2E" w:rsidRDefault="00D03A8E" w:rsidP="00D03A8E">
      <w:pPr>
        <w:rPr>
          <w:sz w:val="16"/>
          <w:szCs w:val="16"/>
        </w:rPr>
      </w:pPr>
      <w:r w:rsidRPr="00452E2E">
        <w:rPr>
          <w:sz w:val="16"/>
          <w:szCs w:val="16"/>
          <w:vertAlign w:val="superscript"/>
        </w:rPr>
        <w:t>a</w:t>
      </w:r>
      <w:r w:rsidRPr="00452E2E">
        <w:rPr>
          <w:sz w:val="16"/>
          <w:szCs w:val="16"/>
        </w:rPr>
        <w:t>N = 107     *p &lt; 0.05         Tport = Transport.</w:t>
      </w:r>
    </w:p>
    <w:p w:rsidR="00D03A8E" w:rsidRPr="00452E2E" w:rsidRDefault="00D03A8E" w:rsidP="00D03A8E">
      <w:pPr>
        <w:spacing w:line="360" w:lineRule="auto"/>
        <w:jc w:val="both"/>
      </w:pPr>
    </w:p>
    <w:p w:rsidR="00D03A8E" w:rsidRPr="00452E2E" w:rsidRDefault="00D03A8E" w:rsidP="00D03A8E">
      <w:pPr>
        <w:spacing w:line="360" w:lineRule="auto"/>
        <w:jc w:val="both"/>
      </w:pPr>
      <w:r w:rsidRPr="00452E2E">
        <w:t xml:space="preserve">As for sector, uncertified formal training was more likely to be used in the private sector than in the public sector. However, the reverse was the case for certified formal training which </w:t>
      </w:r>
      <w:r w:rsidR="007407CC" w:rsidRPr="00452E2E">
        <w:t xml:space="preserve">was </w:t>
      </w:r>
      <w:r w:rsidRPr="00452E2E">
        <w:t>more likely to be used in the public sector with the odds of this happening being 8 times higher in public sector (EXP(β) = 8.116) than private sector. As for sponsored courses, large organizations were more likely to sponsor courses with outside training bodies for all employee groups, whilst rather surprisingly, the odds of organizations in the manufacturing industry sponsoring technical employees to outside courses were higher than those in the ICT/media. Moreover, public sector organizations were more likely to sponsor courses for both administrative and managerial employees with the odds being around 8 times (EXP(β)  = 7.832) and 10 times (EXP(β) = 10.051) higher for public sector organizations respectively than for private organizations.</w:t>
      </w:r>
    </w:p>
    <w:p w:rsidR="00D03A8E" w:rsidRPr="00452E2E" w:rsidRDefault="00D03A8E" w:rsidP="00D03A8E">
      <w:pPr>
        <w:spacing w:line="360" w:lineRule="auto"/>
        <w:jc w:val="both"/>
      </w:pPr>
      <w:r w:rsidRPr="00452E2E">
        <w:t>In sum, the finding on the specific techniques of training used across organizations in Nigeria indicates that informal training methods were dominant across organizations in Nigeria. However, the use of this technique was more likely in small organization</w:t>
      </w:r>
      <w:r w:rsidR="002575BB" w:rsidRPr="00452E2E">
        <w:t>s</w:t>
      </w:r>
      <w:r w:rsidRPr="00452E2E">
        <w:t xml:space="preserve"> than in large ones; and in the private sector than in the public sector. Meanwhile, the use of formal techniques of training was encouraging; although it was the uncertified variety that was mostly used. The use of uncertified training was more likely in the private sector whilst the use of certified formal training was more likely in the public sector. More so, public sector organizations were more likely to make use of external training. There </w:t>
      </w:r>
      <w:r w:rsidRPr="00452E2E">
        <w:lastRenderedPageBreak/>
        <w:t xml:space="preserve">were also variations based on industry therefore indicating that the nature of training used in Nigerian organizations is influenced by the sector, industry and size of organization. </w:t>
      </w:r>
    </w:p>
    <w:p w:rsidR="00D03A8E" w:rsidRPr="00452E2E" w:rsidRDefault="00D03A8E" w:rsidP="00D03A8E">
      <w:pPr>
        <w:pStyle w:val="Heading4"/>
      </w:pPr>
      <w:bookmarkStart w:id="137" w:name="_Toc473808170"/>
      <w:r w:rsidRPr="00452E2E">
        <w:t>5.4.3 Employee Benefits</w:t>
      </w:r>
      <w:bookmarkEnd w:id="137"/>
    </w:p>
    <w:p w:rsidR="00D03A8E" w:rsidRPr="00452E2E" w:rsidRDefault="00D03A8E" w:rsidP="00D03A8E">
      <w:pPr>
        <w:spacing w:line="360" w:lineRule="auto"/>
        <w:jc w:val="both"/>
      </w:pPr>
      <w:r w:rsidRPr="00452E2E">
        <w:t xml:space="preserve">In order to evaluate the techniques of employee benefits used across organizations in Nigeria, responses to questions on the type of benefits ranging from productivity awards to statutory benefits such as paid vacation were analysed. Results presented in table 5.19 indicate that the provision of statutory benefits such as overtime, severance package, breaks during working day, paid vacation, paid sick leave and health insurance was generally low, ranging from 57.4% to 79.8% across the whole sample. However, the provision of benefits in the private sector was lower (ranging from 25% to 66.7%) whilst those for public sector were higher (ranging from 73.5% to 95.8%). Although the figures for the public sector were encouraging, as Wood and colleagues would say, these are basic entitlements for employees that every organization is expected to provide (Wood </w:t>
      </w:r>
      <w:r w:rsidRPr="00452E2E">
        <w:rPr>
          <w:i/>
        </w:rPr>
        <w:t>et al.</w:t>
      </w:r>
      <w:r w:rsidRPr="00452E2E">
        <w:t xml:space="preserve">, 2011); most especially for public sector organizations. However, the pressure to be ‘more efficient’ may force some public sector organizations to deny employees some of these benefits. Of course, the provision of benefits also varied across industries such that expectedly, MDAs were likely to rate highest in the provision of most of these benefits whilst organizations in the banking/financial services industry (26.7%) and hotels (50.0%) rated lowest in the provision of paid overtime and paid vacation respectively. </w:t>
      </w:r>
    </w:p>
    <w:p w:rsidR="00D03A8E" w:rsidRPr="00452E2E" w:rsidRDefault="00D03A8E" w:rsidP="00D03A8E">
      <w:pPr>
        <w:spacing w:line="360" w:lineRule="auto"/>
        <w:jc w:val="both"/>
      </w:pPr>
      <w:r w:rsidRPr="00452E2E">
        <w:t xml:space="preserve">Majority of the organizations stated they provided ‘other benefits’ (82.9%) which suggests the diversity in the type of benefits provided across organizations. Content analysis of their responses indicate that of the organizations using ‘other benefits’, majority (73.3%) used benefits that can be classified as informal benefits which include: emergency loans and salary advance, support during celebratory periods such as weddings, distribution of items during festive periods such as Xmas (for Christian employees) and Salah (for Muslim employees), and support for employees in time of ‘need’ such as family bereavement. On the other hand, 39.6% stated they used benefits that can be classified as formal benefits such as housing and transport allowance, childcare </w:t>
      </w:r>
      <w:r w:rsidRPr="00452E2E">
        <w:lastRenderedPageBreak/>
        <w:t xml:space="preserve">support such as provision of tuition fee support for education of children of   employees, and counselling. The latter category of benefits are more likely to be provided in large organizations and in public sector organizations. </w:t>
      </w:r>
    </w:p>
    <w:p w:rsidR="005A7C73" w:rsidRPr="00452E2E" w:rsidRDefault="005A7C73" w:rsidP="005A7C73">
      <w:pPr>
        <w:spacing w:line="360" w:lineRule="auto"/>
        <w:jc w:val="both"/>
      </w:pPr>
      <w:r w:rsidRPr="00452E2E">
        <w:t xml:space="preserve">Results of logistic regression (Table 5.20) indicate that the odds were higher for productivity awards to be provided in the private sector than in public sector organizations. The odds of overtime to be paid were an astonishing 219 times higher in the public sector (EXP(β) =219.031) than in private sector organizations. As for industry variations, overtime was more likely to be paid in organizations in banking/financial services industry and ICT/media than in manufacturing industry. For paid vacation, the odds of this to be provided were around 30 times higher in the public sector (EXP(β)  = 30.547) than in private sector organizations; as well as more likely to be provided in large organizations. Paid sick leave and health insurance were also more likely to be provided in large organizations than in small organizations whilst health insurance was also more likely to be provided in manufacturing industry than in banking/financial services. Indeed, ‘other benefits’ were more likely to be provided in private sector organizations than in public sector ones. This is perhaps to compensate for the non-provision of statutory benefits in most of the private sector organizations. </w:t>
      </w:r>
    </w:p>
    <w:p w:rsidR="005A7C73" w:rsidRPr="00452E2E" w:rsidRDefault="005A7C73" w:rsidP="005A7C73">
      <w:pPr>
        <w:spacing w:line="360" w:lineRule="auto"/>
        <w:jc w:val="both"/>
      </w:pPr>
      <w:r w:rsidRPr="00452E2E">
        <w:t>The finding on the specific types of employee benefits indicates that the use of statutorily-required benefits such as paid vacation, severance package, paid sick leave among others was low across organizations in Nigeria. However, these types of benefits were more likely to be provided in the public sector than in the private sector; as well as in large organizations than in small organizations. There were also variations in the use of these formal types of benefits based on industry. Meanwhile, informal benefits were more likely to be used across organizations in Nigeria with the use of these types of benefits more likely in private sector than in public sector; as well as in small organizations than in large ones. On the whole, the finding indicates that the use of specific types of employee benefits varied according to sector, industry and size of organization.</w:t>
      </w:r>
    </w:p>
    <w:p w:rsidR="005A7C73" w:rsidRPr="00452E2E" w:rsidRDefault="005A7C73" w:rsidP="00D03A8E">
      <w:pPr>
        <w:spacing w:line="360" w:lineRule="auto"/>
        <w:jc w:val="both"/>
      </w:pPr>
    </w:p>
    <w:p w:rsidR="00D03A8E" w:rsidRPr="00452E2E" w:rsidRDefault="00D03A8E" w:rsidP="00D03A8E">
      <w:r w:rsidRPr="00452E2E">
        <w:br w:type="page"/>
      </w:r>
    </w:p>
    <w:p w:rsidR="00D03A8E" w:rsidRPr="00452E2E" w:rsidRDefault="00D03A8E" w:rsidP="00D03A8E">
      <w:pPr>
        <w:spacing w:line="360" w:lineRule="auto"/>
        <w:jc w:val="both"/>
        <w:sectPr w:rsidR="00D03A8E" w:rsidRPr="00452E2E" w:rsidSect="00B57950">
          <w:pgSz w:w="11906" w:h="16838"/>
          <w:pgMar w:top="1440" w:right="1440" w:bottom="1440" w:left="2268" w:header="709" w:footer="709" w:gutter="0"/>
          <w:cols w:space="708"/>
          <w:docGrid w:linePitch="360"/>
        </w:sectPr>
      </w:pPr>
    </w:p>
    <w:p w:rsidR="00D03A8E" w:rsidRPr="00452E2E" w:rsidRDefault="00D03A8E" w:rsidP="00D03A8E">
      <w:pPr>
        <w:pStyle w:val="Caption"/>
        <w:rPr>
          <w:b w:val="0"/>
          <w:sz w:val="16"/>
          <w:szCs w:val="16"/>
        </w:rPr>
      </w:pPr>
      <w:bookmarkStart w:id="138" w:name="_Toc465419855"/>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19</w:t>
      </w:r>
      <w:r w:rsidR="00B26571">
        <w:rPr>
          <w:noProof/>
        </w:rPr>
        <w:fldChar w:fldCharType="end"/>
      </w:r>
      <w:r w:rsidRPr="00452E2E">
        <w:t>: Techniques of employee benefits across whole sample, industry and sector</w:t>
      </w:r>
      <w:bookmarkEnd w:id="138"/>
    </w:p>
    <w:tbl>
      <w:tblPr>
        <w:tblStyle w:val="TableGrid"/>
        <w:tblW w:w="14170" w:type="dxa"/>
        <w:shd w:val="clear" w:color="auto" w:fill="FFFFFF" w:themeFill="background1"/>
        <w:tblLayout w:type="fixed"/>
        <w:tblLook w:val="04A0" w:firstRow="1" w:lastRow="0" w:firstColumn="1" w:lastColumn="0" w:noHBand="0" w:noVBand="1"/>
      </w:tblPr>
      <w:tblGrid>
        <w:gridCol w:w="3397"/>
        <w:gridCol w:w="993"/>
        <w:gridCol w:w="850"/>
        <w:gridCol w:w="992"/>
        <w:gridCol w:w="1134"/>
        <w:gridCol w:w="851"/>
        <w:gridCol w:w="1417"/>
        <w:gridCol w:w="851"/>
        <w:gridCol w:w="709"/>
        <w:gridCol w:w="708"/>
        <w:gridCol w:w="709"/>
        <w:gridCol w:w="851"/>
        <w:gridCol w:w="708"/>
      </w:tblGrid>
      <w:tr w:rsidR="00452E2E" w:rsidRPr="00452E2E" w:rsidTr="003D6659">
        <w:tc>
          <w:tcPr>
            <w:tcW w:w="3397"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371" w:type="dxa"/>
            <w:gridSpan w:val="8"/>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Industry</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Sector</w:t>
            </w:r>
          </w:p>
        </w:tc>
      </w:tr>
      <w:tr w:rsidR="00452E2E" w:rsidRPr="00452E2E" w:rsidTr="00B57950">
        <w:tc>
          <w:tcPr>
            <w:tcW w:w="3397"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sz w:val="16"/>
                <w:szCs w:val="16"/>
              </w:rPr>
              <w:t>Category</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Whole</w:t>
            </w:r>
          </w:p>
          <w:p w:rsidR="00D03A8E" w:rsidRPr="00452E2E" w:rsidRDefault="00D03A8E" w:rsidP="00B57950">
            <w:pPr>
              <w:rPr>
                <w:sz w:val="16"/>
                <w:szCs w:val="16"/>
              </w:rPr>
            </w:pPr>
            <w:r w:rsidRPr="00452E2E">
              <w:rPr>
                <w:sz w:val="16"/>
                <w:szCs w:val="16"/>
              </w:rPr>
              <w:t>Sample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w:t>
            </w:r>
          </w:p>
          <w:p w:rsidR="00D03A8E" w:rsidRPr="00452E2E" w:rsidRDefault="00D03A8E" w:rsidP="00B57950">
            <w:pPr>
              <w:rPr>
                <w:sz w:val="16"/>
                <w:szCs w:val="16"/>
              </w:rPr>
            </w:pPr>
            <w:r w:rsidRPr="00452E2E">
              <w:rPr>
                <w:sz w:val="16"/>
                <w:szCs w:val="16"/>
              </w:rPr>
              <w:t>Financial</w:t>
            </w:r>
          </w:p>
          <w:p w:rsidR="00D03A8E" w:rsidRPr="00452E2E" w:rsidRDefault="00D03A8E" w:rsidP="00B57950">
            <w:pPr>
              <w:rPr>
                <w:sz w:val="16"/>
                <w:szCs w:val="16"/>
              </w:rPr>
            </w:pPr>
            <w:r w:rsidRPr="00452E2E">
              <w:rPr>
                <w:sz w:val="16"/>
                <w:szCs w:val="16"/>
              </w:rPr>
              <w:t>Services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14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Govt. MDAs</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w:t>
            </w:r>
          </w:p>
          <w:p w:rsidR="00D03A8E" w:rsidRPr="00452E2E" w:rsidRDefault="00D03A8E" w:rsidP="00B57950">
            <w:pPr>
              <w:rPr>
                <w:sz w:val="16"/>
                <w:szCs w:val="16"/>
              </w:rPr>
            </w:pPr>
            <w:r w:rsidRPr="00452E2E">
              <w:rPr>
                <w:sz w:val="16"/>
                <w:szCs w:val="16"/>
              </w:rPr>
              <w:t>Media</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Tport</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productivity awards available in your organization?</w:t>
            </w:r>
            <w:r w:rsidRPr="00452E2E">
              <w:rPr>
                <w:sz w:val="16"/>
                <w:szCs w:val="16"/>
                <w:vertAlign w:val="superscript"/>
              </w:rPr>
              <w:t>a</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35.8%</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60.0%</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34.8%</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33.3%</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26.3%</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42.9%</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38.8%</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Is overtime paid in your organization?</w:t>
            </w:r>
            <w:r w:rsidRPr="00452E2E">
              <w:rPr>
                <w:sz w:val="16"/>
                <w:szCs w:val="16"/>
                <w:vertAlign w:val="superscript"/>
              </w:rPr>
              <w:t>b</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95.8%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95.7%</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Is severance package available in your organization?</w:t>
            </w:r>
            <w:r w:rsidRPr="00452E2E">
              <w:rPr>
                <w:sz w:val="16"/>
                <w:szCs w:val="16"/>
                <w:vertAlign w:val="superscript"/>
              </w:rPr>
              <w:t>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64.3%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82.6%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breaks during working day available in your organization?</w:t>
            </w:r>
            <w:r w:rsidRPr="00452E2E">
              <w:rPr>
                <w:sz w:val="16"/>
                <w:szCs w:val="16"/>
                <w:vertAlign w:val="superscript"/>
              </w:rPr>
              <w:t>d</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92.9%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81.8%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73.7%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87.2%</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Is paid vacation available in your organization?</w:t>
            </w:r>
            <w:r w:rsidRPr="00452E2E">
              <w:rPr>
                <w:sz w:val="16"/>
                <w:szCs w:val="16"/>
                <w:vertAlign w:val="superscript"/>
              </w:rPr>
              <w: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91.5%</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Is paid sick leave available in your organization?</w:t>
            </w:r>
            <w:r w:rsidRPr="00452E2E">
              <w:rPr>
                <w:sz w:val="16"/>
                <w:szCs w:val="16"/>
                <w:vertAlign w:val="superscript"/>
              </w:rPr>
              <w:t>f</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86.7%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95.8%</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Is health insurance available in your organization?</w:t>
            </w:r>
            <w:r w:rsidRPr="00452E2E">
              <w:rPr>
                <w:sz w:val="16"/>
                <w:szCs w:val="16"/>
                <w:vertAlign w:val="superscript"/>
              </w:rPr>
              <w:t>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69.6%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93.8%</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92.9%</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86.4%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87.2%</w:t>
            </w:r>
          </w:p>
        </w:tc>
      </w:tr>
      <w:tr w:rsidR="00452E2E" w:rsidRPr="00452E2E" w:rsidTr="00E84108">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Are other employee benefits in your organization?</w:t>
            </w:r>
            <w:r w:rsidRPr="00452E2E">
              <w:rPr>
                <w:sz w:val="16"/>
                <w:szCs w:val="16"/>
                <w:vertAlign w:val="superscript"/>
              </w:rPr>
              <w:t>h</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82.9%</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87.5%</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78.6%</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78.6%</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84.2%</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88.9%</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83.3%</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83.3%</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88.9%</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90.3%</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73.5%</w:t>
            </w:r>
          </w:p>
        </w:tc>
      </w:tr>
    </w:tbl>
    <w:p w:rsidR="00D03A8E" w:rsidRPr="00452E2E" w:rsidRDefault="00D03A8E" w:rsidP="00D03A8E">
      <w:pPr>
        <w:spacing w:line="240" w:lineRule="auto"/>
        <w:rPr>
          <w:sz w:val="16"/>
          <w:szCs w:val="16"/>
        </w:rPr>
      </w:pPr>
      <w:r w:rsidRPr="00452E2E">
        <w:rPr>
          <w:sz w:val="16"/>
          <w:szCs w:val="16"/>
        </w:rPr>
        <w:t>All %s taken use N of valid response as base (i.e. Missing, ‘Not Applicable’ and ‘Don’t Know’ responses are excluded).  Tport = Transport.</w:t>
      </w:r>
    </w:p>
    <w:p w:rsidR="00D03A8E" w:rsidRPr="00452E2E" w:rsidRDefault="00D03A8E" w:rsidP="00D03A8E">
      <w:pPr>
        <w:spacing w:line="240" w:lineRule="auto"/>
        <w:rPr>
          <w:sz w:val="16"/>
          <w:szCs w:val="16"/>
        </w:rPr>
      </w:pPr>
      <w:r w:rsidRPr="00452E2E">
        <w:rPr>
          <w:sz w:val="16"/>
          <w:szCs w:val="16"/>
          <w:vertAlign w:val="superscript"/>
        </w:rPr>
        <w:t>a</w:t>
      </w:r>
      <w:r w:rsidRPr="00452E2E">
        <w:rPr>
          <w:sz w:val="16"/>
          <w:szCs w:val="16"/>
        </w:rPr>
        <w:t>109&lt;N&lt;122.</w:t>
      </w:r>
    </w:p>
    <w:p w:rsidR="00D03A8E" w:rsidRPr="00452E2E" w:rsidRDefault="00D03A8E" w:rsidP="00D03A8E">
      <w:pPr>
        <w:spacing w:line="240" w:lineRule="auto"/>
        <w:rPr>
          <w:sz w:val="16"/>
          <w:szCs w:val="16"/>
        </w:rPr>
      </w:pPr>
      <w:r w:rsidRPr="00452E2E">
        <w:rPr>
          <w:sz w:val="16"/>
          <w:szCs w:val="16"/>
          <w:vertAlign w:val="superscript"/>
        </w:rPr>
        <w:t>b</w:t>
      </w:r>
      <w:r w:rsidRPr="00452E2E">
        <w:rPr>
          <w:sz w:val="16"/>
          <w:szCs w:val="16"/>
        </w:rPr>
        <w:t>114&lt;N&lt;122.</w:t>
      </w:r>
    </w:p>
    <w:p w:rsidR="00D03A8E" w:rsidRPr="00452E2E" w:rsidRDefault="00D03A8E" w:rsidP="00D03A8E">
      <w:pPr>
        <w:spacing w:line="240" w:lineRule="auto"/>
        <w:rPr>
          <w:sz w:val="16"/>
          <w:szCs w:val="16"/>
        </w:rPr>
      </w:pPr>
      <w:r w:rsidRPr="00452E2E">
        <w:rPr>
          <w:sz w:val="16"/>
          <w:szCs w:val="16"/>
          <w:vertAlign w:val="superscript"/>
        </w:rPr>
        <w:t>c</w:t>
      </w:r>
      <w:r w:rsidRPr="00452E2E">
        <w:rPr>
          <w:sz w:val="16"/>
          <w:szCs w:val="16"/>
        </w:rPr>
        <w:t>115&lt;N&lt;122.</w:t>
      </w:r>
    </w:p>
    <w:p w:rsidR="00D03A8E" w:rsidRPr="00452E2E" w:rsidRDefault="00D03A8E" w:rsidP="00D03A8E">
      <w:pPr>
        <w:spacing w:line="240" w:lineRule="auto"/>
        <w:rPr>
          <w:sz w:val="16"/>
          <w:szCs w:val="16"/>
        </w:rPr>
      </w:pPr>
      <w:r w:rsidRPr="00452E2E">
        <w:rPr>
          <w:sz w:val="16"/>
          <w:szCs w:val="16"/>
          <w:vertAlign w:val="superscript"/>
        </w:rPr>
        <w:t>d</w:t>
      </w:r>
      <w:r w:rsidRPr="00452E2E">
        <w:rPr>
          <w:sz w:val="16"/>
          <w:szCs w:val="16"/>
        </w:rPr>
        <w:t>104&lt;N&lt;122.</w:t>
      </w:r>
    </w:p>
    <w:p w:rsidR="00D03A8E" w:rsidRPr="00452E2E" w:rsidRDefault="00D03A8E" w:rsidP="00D03A8E">
      <w:pPr>
        <w:spacing w:line="240" w:lineRule="auto"/>
        <w:rPr>
          <w:sz w:val="16"/>
          <w:szCs w:val="16"/>
        </w:rPr>
      </w:pPr>
      <w:r w:rsidRPr="00452E2E">
        <w:rPr>
          <w:sz w:val="16"/>
          <w:szCs w:val="16"/>
          <w:vertAlign w:val="superscript"/>
        </w:rPr>
        <w:t>e</w:t>
      </w:r>
      <w:r w:rsidRPr="00452E2E">
        <w:rPr>
          <w:sz w:val="16"/>
          <w:szCs w:val="16"/>
        </w:rPr>
        <w:t>114&lt;N&lt;122.</w:t>
      </w:r>
    </w:p>
    <w:p w:rsidR="00D03A8E" w:rsidRPr="00452E2E" w:rsidRDefault="00D03A8E" w:rsidP="00D03A8E">
      <w:pPr>
        <w:spacing w:line="240" w:lineRule="auto"/>
        <w:rPr>
          <w:sz w:val="16"/>
          <w:szCs w:val="16"/>
        </w:rPr>
      </w:pPr>
      <w:r w:rsidRPr="00452E2E">
        <w:rPr>
          <w:sz w:val="16"/>
          <w:szCs w:val="16"/>
          <w:vertAlign w:val="superscript"/>
        </w:rPr>
        <w:t>f</w:t>
      </w:r>
      <w:r w:rsidRPr="00452E2E">
        <w:rPr>
          <w:sz w:val="16"/>
          <w:szCs w:val="16"/>
        </w:rPr>
        <w:t>111&lt;N&lt;122.</w:t>
      </w:r>
    </w:p>
    <w:p w:rsidR="00D03A8E" w:rsidRPr="00452E2E" w:rsidRDefault="00D03A8E" w:rsidP="00D03A8E">
      <w:pPr>
        <w:spacing w:line="240" w:lineRule="auto"/>
        <w:rPr>
          <w:sz w:val="16"/>
          <w:szCs w:val="16"/>
        </w:rPr>
      </w:pPr>
      <w:r w:rsidRPr="00452E2E">
        <w:rPr>
          <w:sz w:val="16"/>
          <w:szCs w:val="16"/>
          <w:vertAlign w:val="superscript"/>
        </w:rPr>
        <w:t>g</w:t>
      </w:r>
      <w:r w:rsidRPr="00452E2E">
        <w:rPr>
          <w:sz w:val="16"/>
          <w:szCs w:val="16"/>
        </w:rPr>
        <w:t>115&lt;N&lt;122.</w:t>
      </w:r>
    </w:p>
    <w:p w:rsidR="00D03A8E" w:rsidRPr="00452E2E" w:rsidRDefault="00D03A8E" w:rsidP="001C04E3">
      <w:pPr>
        <w:spacing w:line="240" w:lineRule="auto"/>
        <w:rPr>
          <w:sz w:val="16"/>
          <w:szCs w:val="16"/>
        </w:rPr>
        <w:sectPr w:rsidR="00D03A8E" w:rsidRPr="00452E2E" w:rsidSect="00B57950">
          <w:pgSz w:w="16838" w:h="11906" w:orient="landscape"/>
          <w:pgMar w:top="2269" w:right="1440" w:bottom="1440" w:left="1440" w:header="709" w:footer="709" w:gutter="0"/>
          <w:cols w:space="708"/>
          <w:docGrid w:linePitch="360"/>
        </w:sectPr>
      </w:pPr>
      <w:r w:rsidRPr="00452E2E">
        <w:rPr>
          <w:sz w:val="16"/>
          <w:szCs w:val="16"/>
          <w:vertAlign w:val="superscript"/>
        </w:rPr>
        <w:t>h</w:t>
      </w:r>
      <w:r w:rsidRPr="00452E2E">
        <w:rPr>
          <w:sz w:val="16"/>
          <w:szCs w:val="16"/>
        </w:rPr>
        <w:t>111&lt;N&lt;122.</w:t>
      </w:r>
    </w:p>
    <w:p w:rsidR="00D03A8E" w:rsidRPr="00452E2E" w:rsidRDefault="00D03A8E" w:rsidP="00D03A8E">
      <w:pPr>
        <w:pStyle w:val="Caption"/>
        <w:rPr>
          <w:b w:val="0"/>
          <w:sz w:val="16"/>
          <w:szCs w:val="16"/>
        </w:rPr>
      </w:pPr>
      <w:bookmarkStart w:id="139" w:name="_Toc465419856"/>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20</w:t>
      </w:r>
      <w:r w:rsidR="00B26571">
        <w:rPr>
          <w:noProof/>
        </w:rPr>
        <w:fldChar w:fldCharType="end"/>
      </w:r>
      <w:r w:rsidRPr="00452E2E">
        <w:t>: Predicting the use of employee benefits techniques from industry, sector and size</w:t>
      </w:r>
      <w:bookmarkEnd w:id="139"/>
    </w:p>
    <w:tbl>
      <w:tblPr>
        <w:tblStyle w:val="TableGrid"/>
        <w:tblW w:w="9639" w:type="dxa"/>
        <w:tblInd w:w="-5" w:type="dxa"/>
        <w:shd w:val="clear" w:color="auto" w:fill="FFFFFF" w:themeFill="background1"/>
        <w:tblLayout w:type="fixed"/>
        <w:tblLook w:val="04A0" w:firstRow="1" w:lastRow="0" w:firstColumn="1" w:lastColumn="0" w:noHBand="0" w:noVBand="1"/>
      </w:tblPr>
      <w:tblGrid>
        <w:gridCol w:w="2268"/>
        <w:gridCol w:w="709"/>
        <w:gridCol w:w="709"/>
        <w:gridCol w:w="992"/>
        <w:gridCol w:w="709"/>
        <w:gridCol w:w="850"/>
        <w:gridCol w:w="993"/>
        <w:gridCol w:w="708"/>
        <w:gridCol w:w="709"/>
        <w:gridCol w:w="992"/>
      </w:tblGrid>
      <w:tr w:rsidR="00452E2E" w:rsidRPr="00452E2E" w:rsidTr="00E37420">
        <w:tc>
          <w:tcPr>
            <w:tcW w:w="2268"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Predictor variables</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a</w:t>
            </w:r>
            <w:r w:rsidRPr="00452E2E">
              <w:rPr>
                <w:sz w:val="15"/>
                <w:szCs w:val="15"/>
              </w:rPr>
              <w:t>Dependent variable: Are productivity awards provided in your organization?</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b</w:t>
            </w:r>
            <w:r w:rsidRPr="00452E2E">
              <w:rPr>
                <w:sz w:val="15"/>
                <w:szCs w:val="15"/>
              </w:rPr>
              <w:t>Dependent variable: Is overtime paid in your organization?</w:t>
            </w:r>
          </w:p>
        </w:tc>
        <w:tc>
          <w:tcPr>
            <w:tcW w:w="2409"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c</w:t>
            </w:r>
            <w:r w:rsidRPr="00452E2E">
              <w:rPr>
                <w:sz w:val="15"/>
                <w:szCs w:val="15"/>
              </w:rPr>
              <w:t>Dependent variable: Is severance package provided in your organization?</w:t>
            </w:r>
          </w:p>
        </w:tc>
      </w:tr>
      <w:tr w:rsidR="00452E2E" w:rsidRPr="00452E2E" w:rsidTr="00B57950">
        <w:tc>
          <w:tcPr>
            <w:tcW w:w="2268"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 xml:space="preserve">Pseudo </w:t>
            </w:r>
          </w:p>
          <w:p w:rsidR="00D03A8E" w:rsidRPr="00452E2E" w:rsidRDefault="00D03A8E" w:rsidP="00B57950">
            <w:pPr>
              <w:rPr>
                <w:sz w:val="15"/>
                <w:szCs w:val="15"/>
              </w:rPr>
            </w:pPr>
            <w:r w:rsidRPr="00452E2E">
              <w:rPr>
                <w:sz w:val="15"/>
                <w:szCs w:val="15"/>
              </w:rPr>
              <w:t>R</w:t>
            </w:r>
            <w:r w:rsidRPr="00452E2E">
              <w:rPr>
                <w:sz w:val="15"/>
                <w:szCs w:val="15"/>
                <w:vertAlign w:val="superscript"/>
              </w:rPr>
              <w:t>2</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r>
      <w:tr w:rsidR="00452E2E" w:rsidRPr="00452E2E" w:rsidTr="00B57950">
        <w:tc>
          <w:tcPr>
            <w:tcW w:w="226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Banking/</w:t>
            </w:r>
          </w:p>
          <w:p w:rsidR="00D03A8E" w:rsidRPr="00452E2E" w:rsidRDefault="00D03A8E" w:rsidP="00B57950">
            <w:pPr>
              <w:rPr>
                <w:sz w:val="15"/>
                <w:szCs w:val="15"/>
              </w:rPr>
            </w:pPr>
            <w:r w:rsidRPr="00452E2E">
              <w:rPr>
                <w:sz w:val="15"/>
                <w:szCs w:val="15"/>
              </w:rPr>
              <w:t>Finance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0.416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1.516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5.862*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351.544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-1.054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0.348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Education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-0.551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2.185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8.890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20.270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&gt;1000</w:t>
            </w:r>
            <w:r w:rsidRPr="00452E2E">
              <w:rPr>
                <w:sz w:val="15"/>
                <w:szCs w:val="15"/>
                <w:vertAlign w:val="superscript"/>
              </w:rPr>
              <w:t>z</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Health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-0.511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0.600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0.237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1.268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0.158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1.172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Hotels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-1.029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0.358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-0.523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0.593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Government MDAs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-0.847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0.429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2.934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18.807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19.498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&gt;1000</w:t>
            </w:r>
            <w:r w:rsidRPr="00452E2E">
              <w:rPr>
                <w:sz w:val="15"/>
                <w:szCs w:val="15"/>
                <w:vertAlign w:val="superscript"/>
              </w:rPr>
              <w:t>z</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ICT/Media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-2.359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3.793*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44.394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0.632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1.881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Industry dummy: Tport (vs Manufacturing)</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-0.036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0.715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1.201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3.324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0.267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1.305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Sector: Public (vs Private)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-2.768*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5.389*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219.013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21.351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&gt;1000</w:t>
            </w:r>
            <w:r w:rsidRPr="00452E2E">
              <w:rPr>
                <w:sz w:val="15"/>
                <w:szCs w:val="15"/>
                <w:vertAlign w:val="superscript"/>
              </w:rPr>
              <w:t>z</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Size (No. of employees)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-2.309*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-1.899*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0.150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-0.0897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0.408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5"/>
                <w:szCs w:val="15"/>
              </w:rPr>
            </w:pPr>
            <w:r w:rsidRPr="00452E2E">
              <w:rPr>
                <w:i/>
                <w:sz w:val="15"/>
                <w:szCs w:val="15"/>
              </w:rPr>
              <w:t>Overall Model Fit</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0.390</w:t>
            </w: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0.519</w:t>
            </w:r>
          </w:p>
        </w:tc>
        <w:tc>
          <w:tcPr>
            <w:tcW w:w="708"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0.378</w:t>
            </w:r>
          </w:p>
        </w:tc>
      </w:tr>
      <w:tr w:rsidR="00452E2E" w:rsidRPr="00452E2E" w:rsidTr="00B57950">
        <w:tc>
          <w:tcPr>
            <w:tcW w:w="2268" w:type="dxa"/>
            <w:vMerge w:val="restart"/>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Predictor variables</w:t>
            </w:r>
          </w:p>
        </w:tc>
        <w:tc>
          <w:tcPr>
            <w:tcW w:w="2410" w:type="dxa"/>
            <w:gridSpan w:val="3"/>
            <w:tcBorders>
              <w:left w:val="single" w:sz="4" w:space="0" w:color="FFFFFF" w:themeColor="background1"/>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vertAlign w:val="superscript"/>
              </w:rPr>
              <w:t>d</w:t>
            </w:r>
            <w:r w:rsidRPr="00452E2E">
              <w:rPr>
                <w:sz w:val="15"/>
                <w:szCs w:val="15"/>
              </w:rPr>
              <w:t>Dependent variable: Are breaks during workday available in your organization?</w:t>
            </w:r>
          </w:p>
        </w:tc>
        <w:tc>
          <w:tcPr>
            <w:tcW w:w="2552" w:type="dxa"/>
            <w:gridSpan w:val="3"/>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vertAlign w:val="superscript"/>
              </w:rPr>
              <w:t>e</w:t>
            </w:r>
            <w:r w:rsidRPr="00452E2E">
              <w:rPr>
                <w:sz w:val="15"/>
                <w:szCs w:val="15"/>
              </w:rPr>
              <w:t>Dependent variable: Is paid vacation available in your organization?</w:t>
            </w:r>
          </w:p>
        </w:tc>
        <w:tc>
          <w:tcPr>
            <w:tcW w:w="2409" w:type="dxa"/>
            <w:gridSpan w:val="3"/>
            <w:tcBorders>
              <w:left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vertAlign w:val="superscript"/>
              </w:rPr>
              <w:t>f</w:t>
            </w:r>
            <w:r w:rsidRPr="00452E2E">
              <w:rPr>
                <w:sz w:val="15"/>
                <w:szCs w:val="15"/>
              </w:rPr>
              <w:t>Dependent variable: Is paid sick leave available in your organization?</w:t>
            </w:r>
          </w:p>
        </w:tc>
      </w:tr>
      <w:tr w:rsidR="00452E2E" w:rsidRPr="00452E2E" w:rsidTr="00B57950">
        <w:tc>
          <w:tcPr>
            <w:tcW w:w="2268"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themeColor="background1"/>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709"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992"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c>
          <w:tcPr>
            <w:tcW w:w="709"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850"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993"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c>
          <w:tcPr>
            <w:tcW w:w="708"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B</w:t>
            </w:r>
          </w:p>
        </w:tc>
        <w:tc>
          <w:tcPr>
            <w:tcW w:w="709" w:type="dxa"/>
            <w:tcBorders>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EXP(B)</w:t>
            </w:r>
          </w:p>
        </w:tc>
        <w:tc>
          <w:tcPr>
            <w:tcW w:w="992" w:type="dxa"/>
            <w:tcBorders>
              <w:left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r w:rsidRPr="00452E2E">
              <w:rPr>
                <w:sz w:val="15"/>
                <w:szCs w:val="15"/>
              </w:rPr>
              <w:t>Pseudo R</w:t>
            </w:r>
            <w:r w:rsidRPr="00452E2E">
              <w:rPr>
                <w:sz w:val="15"/>
                <w:szCs w:val="15"/>
                <w:vertAlign w:val="superscript"/>
              </w:rPr>
              <w:t>2</w:t>
            </w:r>
          </w:p>
        </w:tc>
      </w:tr>
      <w:tr w:rsidR="00452E2E" w:rsidRPr="00452E2E" w:rsidTr="00B57950">
        <w:tc>
          <w:tcPr>
            <w:tcW w:w="2268"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w:t>
            </w:r>
          </w:p>
        </w:tc>
        <w:tc>
          <w:tcPr>
            <w:tcW w:w="709"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992"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50"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993"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992" w:type="dxa"/>
            <w:tcBorders>
              <w:left w:val="single" w:sz="4" w:space="0" w:color="FFFFFF"/>
              <w:bottom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Banking/</w:t>
            </w:r>
          </w:p>
          <w:p w:rsidR="00D03A8E" w:rsidRPr="00452E2E" w:rsidRDefault="00D03A8E" w:rsidP="00B57950">
            <w:pPr>
              <w:rPr>
                <w:sz w:val="15"/>
                <w:szCs w:val="15"/>
              </w:rPr>
            </w:pPr>
            <w:r w:rsidRPr="00452E2E">
              <w:rPr>
                <w:sz w:val="15"/>
                <w:szCs w:val="15"/>
              </w:rPr>
              <w:t>Finance (vs Manufacturing)</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-0.429</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0.651</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-0.423</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0.655</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-1.101</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0.332</w:t>
            </w:r>
          </w:p>
        </w:tc>
        <w:tc>
          <w:tcPr>
            <w:tcW w:w="992" w:type="dxa"/>
            <w:tcBorders>
              <w:top w:val="single" w:sz="4" w:space="0" w:color="FFFFFF"/>
              <w:left w:val="single" w:sz="4" w:space="0" w:color="FFFFFF"/>
              <w:bottom w:val="single" w:sz="4" w:space="0" w:color="FFFFFF"/>
              <w:right w:val="single" w:sz="4" w:space="0" w:color="FFFFFF" w:themeColor="background1"/>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Education (vs Manufacturing)</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-0.713</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0.490</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1.172</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3.228</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-0.553</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0.575</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Health (vs Manufacturing)</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-1.224</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0.294</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0.637</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1.891</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-0.918</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0.399</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Hotels (vs Manufacturing)</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0.145</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1.156</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-0.188</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0.828</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-1.191</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0.304</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Government MDAs (vs Manufacturing)</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0.475</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1.609</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2.019</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7.534</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-19.423</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0.000</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ICT/Media (vs Manufacturing)</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0.529</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1.697</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0.909</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2.483</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-0.211</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0.810</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Industry dummy: Tport (vs Manufacturing)</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0.157</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1.170</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-0.118</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0.888</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-0.057</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0.945</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Sector: Public (vs Private)</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1.003</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2.726</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3.419*</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30.547</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1.106</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3.021</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Size (No. of employees)</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-0.120</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0.887</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-0.825*</w:t>
            </w:r>
          </w:p>
        </w:tc>
        <w:tc>
          <w:tcPr>
            <w:tcW w:w="850"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0.438</w:t>
            </w:r>
          </w:p>
        </w:tc>
        <w:tc>
          <w:tcPr>
            <w:tcW w:w="993"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8"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-2.139*</w:t>
            </w:r>
          </w:p>
        </w:tc>
        <w:tc>
          <w:tcPr>
            <w:tcW w:w="709"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0.118</w:t>
            </w:r>
          </w:p>
        </w:tc>
        <w:tc>
          <w:tcPr>
            <w:tcW w:w="992" w:type="dxa"/>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r>
      <w:tr w:rsidR="00452E2E" w:rsidRPr="00452E2E" w:rsidTr="00B57950">
        <w:tc>
          <w:tcPr>
            <w:tcW w:w="2268"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i/>
                <w:sz w:val="15"/>
                <w:szCs w:val="15"/>
              </w:rPr>
            </w:pPr>
            <w:r w:rsidRPr="00452E2E">
              <w:rPr>
                <w:i/>
                <w:sz w:val="15"/>
                <w:szCs w:val="15"/>
              </w:rPr>
              <w:t>Overall Model Fit</w:t>
            </w:r>
          </w:p>
        </w:tc>
        <w:tc>
          <w:tcPr>
            <w:tcW w:w="709"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992"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0.067</w:t>
            </w:r>
          </w:p>
        </w:tc>
        <w:tc>
          <w:tcPr>
            <w:tcW w:w="709"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850"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993"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0.267</w:t>
            </w:r>
          </w:p>
        </w:tc>
        <w:tc>
          <w:tcPr>
            <w:tcW w:w="708"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709"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p>
        </w:tc>
        <w:tc>
          <w:tcPr>
            <w:tcW w:w="992" w:type="dxa"/>
            <w:tcBorders>
              <w:top w:val="single" w:sz="4" w:space="0" w:color="FFFFFF"/>
              <w:left w:val="single" w:sz="4" w:space="0" w:color="FFFFFF"/>
              <w:right w:val="single" w:sz="4" w:space="0" w:color="FFFFFF"/>
            </w:tcBorders>
            <w:shd w:val="clear" w:color="auto" w:fill="FFFFFF" w:themeFill="background1"/>
          </w:tcPr>
          <w:p w:rsidR="00D03A8E" w:rsidRPr="00452E2E" w:rsidRDefault="00D03A8E" w:rsidP="00B57950">
            <w:pPr>
              <w:rPr>
                <w:sz w:val="15"/>
                <w:szCs w:val="15"/>
              </w:rPr>
            </w:pPr>
            <w:r w:rsidRPr="00452E2E">
              <w:rPr>
                <w:sz w:val="15"/>
                <w:szCs w:val="15"/>
              </w:rPr>
              <w:t>0.406</w:t>
            </w:r>
          </w:p>
        </w:tc>
      </w:tr>
    </w:tbl>
    <w:p w:rsidR="00D03A8E" w:rsidRPr="00452E2E" w:rsidRDefault="00D03A8E" w:rsidP="00D03A8E">
      <w:pPr>
        <w:rPr>
          <w:b/>
          <w:sz w:val="16"/>
          <w:szCs w:val="16"/>
        </w:rPr>
      </w:pPr>
    </w:p>
    <w:tbl>
      <w:tblPr>
        <w:tblStyle w:val="TableGrid"/>
        <w:tblW w:w="9493" w:type="dxa"/>
        <w:tblLook w:val="04A0" w:firstRow="1" w:lastRow="0" w:firstColumn="1" w:lastColumn="0" w:noHBand="0" w:noVBand="1"/>
      </w:tblPr>
      <w:tblGrid>
        <w:gridCol w:w="4382"/>
        <w:gridCol w:w="991"/>
        <w:gridCol w:w="850"/>
        <w:gridCol w:w="851"/>
        <w:gridCol w:w="857"/>
        <w:gridCol w:w="711"/>
        <w:gridCol w:w="851"/>
      </w:tblGrid>
      <w:tr w:rsidR="00452E2E" w:rsidRPr="00452E2E" w:rsidTr="00B57950">
        <w:tc>
          <w:tcPr>
            <w:tcW w:w="4382" w:type="dxa"/>
            <w:vMerge w:val="restart"/>
            <w:tcBorders>
              <w:left w:val="single" w:sz="4" w:space="0" w:color="FFFFFF"/>
              <w:right w:val="single" w:sz="4" w:space="0" w:color="FFFFFF"/>
            </w:tcBorders>
          </w:tcPr>
          <w:p w:rsidR="00D03A8E" w:rsidRPr="00452E2E" w:rsidRDefault="00D03A8E" w:rsidP="00B57950">
            <w:pPr>
              <w:rPr>
                <w:b/>
                <w:sz w:val="16"/>
                <w:szCs w:val="16"/>
              </w:rPr>
            </w:pPr>
          </w:p>
        </w:tc>
        <w:tc>
          <w:tcPr>
            <w:tcW w:w="2692" w:type="dxa"/>
            <w:gridSpan w:val="3"/>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vertAlign w:val="superscript"/>
              </w:rPr>
              <w:t>g</w:t>
            </w:r>
            <w:r w:rsidRPr="00452E2E">
              <w:rPr>
                <w:sz w:val="16"/>
                <w:szCs w:val="16"/>
              </w:rPr>
              <w:t>Dependent variable: Is health insurance available in your organization?</w:t>
            </w:r>
          </w:p>
        </w:tc>
        <w:tc>
          <w:tcPr>
            <w:tcW w:w="2419" w:type="dxa"/>
            <w:gridSpan w:val="3"/>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vertAlign w:val="superscript"/>
              </w:rPr>
              <w:t>h</w:t>
            </w:r>
            <w:r w:rsidRPr="00452E2E">
              <w:rPr>
                <w:sz w:val="16"/>
                <w:szCs w:val="16"/>
              </w:rPr>
              <w:t>Dependent variable: Are there other employee benefits available in your organization?</w:t>
            </w:r>
          </w:p>
        </w:tc>
      </w:tr>
      <w:tr w:rsidR="00452E2E" w:rsidRPr="00452E2E" w:rsidTr="00B57950">
        <w:tc>
          <w:tcPr>
            <w:tcW w:w="4382" w:type="dxa"/>
            <w:vMerge/>
            <w:tcBorders>
              <w:left w:val="single" w:sz="4" w:space="0" w:color="FFFFFF"/>
              <w:right w:val="single" w:sz="4" w:space="0" w:color="FFFFFF"/>
            </w:tcBorders>
          </w:tcPr>
          <w:p w:rsidR="00D03A8E" w:rsidRPr="00452E2E" w:rsidRDefault="00D03A8E" w:rsidP="00B57950">
            <w:pPr>
              <w:rPr>
                <w:b/>
                <w:sz w:val="16"/>
                <w:szCs w:val="16"/>
              </w:rPr>
            </w:pPr>
          </w:p>
        </w:tc>
        <w:tc>
          <w:tcPr>
            <w:tcW w:w="991" w:type="dxa"/>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rPr>
              <w:t>B</w:t>
            </w:r>
          </w:p>
        </w:tc>
        <w:tc>
          <w:tcPr>
            <w:tcW w:w="850" w:type="dxa"/>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7" w:type="dxa"/>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rPr>
              <w:t>B</w:t>
            </w:r>
          </w:p>
        </w:tc>
        <w:tc>
          <w:tcPr>
            <w:tcW w:w="711" w:type="dxa"/>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right w:val="single" w:sz="4" w:space="0" w:color="FFFFFF"/>
            </w:tcBorders>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4382" w:type="dxa"/>
            <w:tcBorders>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w:t>
            </w:r>
          </w:p>
        </w:tc>
        <w:tc>
          <w:tcPr>
            <w:tcW w:w="991" w:type="dxa"/>
            <w:tcBorders>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0" w:type="dxa"/>
            <w:tcBorders>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1" w:type="dxa"/>
            <w:tcBorders>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711" w:type="dxa"/>
            <w:tcBorders>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1" w:type="dxa"/>
            <w:tcBorders>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-3.359*</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0.035</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-1.515</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0.220</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 dummy: Education (vs Manufacturing)</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0.289</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1.335</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-1.854</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0.157</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 dummy: Health (vs Manufacturing)</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-3.018*</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0.049</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-1.430</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0.239</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 dummy: Hotels (vs Manufacturing)</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-0.992</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0.371</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-0.340</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0.712</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 dummy: Government MDAs (vs Manufacturing)</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-0.369</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0.692</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-2.182</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0.113</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 dummy: ICT/Media (vs Manufacturing)</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-2.587</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0.075</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-1.637</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0.195</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Industry dummy: Tport (vs Manufacturing)</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-1.567</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0.209</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-0.355</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0.701</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Sector: Public (vs Private)</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0.659</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1.932</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-2.479*</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0.084</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B57950">
        <w:tc>
          <w:tcPr>
            <w:tcW w:w="43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Size (No. of employees)</w:t>
            </w:r>
          </w:p>
        </w:tc>
        <w:tc>
          <w:tcPr>
            <w:tcW w:w="99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-2.615*</w:t>
            </w:r>
          </w:p>
        </w:tc>
        <w:tc>
          <w:tcPr>
            <w:tcW w:w="85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0.073</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c>
          <w:tcPr>
            <w:tcW w:w="85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0.102</w:t>
            </w:r>
          </w:p>
        </w:tc>
        <w:tc>
          <w:tcPr>
            <w:tcW w:w="71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1.108</w:t>
            </w:r>
          </w:p>
        </w:tc>
        <w:tc>
          <w:tcPr>
            <w:tcW w:w="85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b/>
                <w:sz w:val="16"/>
                <w:szCs w:val="16"/>
              </w:rPr>
            </w:pPr>
          </w:p>
        </w:tc>
      </w:tr>
      <w:tr w:rsidR="00452E2E" w:rsidRPr="00452E2E" w:rsidTr="00E37420">
        <w:tc>
          <w:tcPr>
            <w:tcW w:w="4382" w:type="dxa"/>
            <w:tcBorders>
              <w:top w:val="single" w:sz="4" w:space="0" w:color="FFFFFF"/>
              <w:left w:val="single" w:sz="4" w:space="0" w:color="FFFFFF"/>
              <w:bottom w:val="single" w:sz="12" w:space="0" w:color="auto"/>
              <w:right w:val="single" w:sz="4" w:space="0" w:color="FFFFFF"/>
            </w:tcBorders>
          </w:tcPr>
          <w:p w:rsidR="00D03A8E" w:rsidRPr="00452E2E" w:rsidRDefault="00D03A8E" w:rsidP="00B57950">
            <w:pPr>
              <w:rPr>
                <w:i/>
                <w:sz w:val="16"/>
                <w:szCs w:val="16"/>
              </w:rPr>
            </w:pPr>
            <w:r w:rsidRPr="00452E2E">
              <w:rPr>
                <w:i/>
                <w:sz w:val="16"/>
                <w:szCs w:val="16"/>
              </w:rPr>
              <w:t>Overall Model Fit</w:t>
            </w:r>
          </w:p>
        </w:tc>
        <w:tc>
          <w:tcPr>
            <w:tcW w:w="991" w:type="dxa"/>
            <w:tcBorders>
              <w:top w:val="single" w:sz="4" w:space="0" w:color="FFFFFF"/>
              <w:left w:val="single" w:sz="4" w:space="0" w:color="FFFFFF"/>
              <w:bottom w:val="single" w:sz="12" w:space="0" w:color="auto"/>
              <w:right w:val="single" w:sz="4" w:space="0" w:color="FFFFFF"/>
            </w:tcBorders>
          </w:tcPr>
          <w:p w:rsidR="00D03A8E" w:rsidRPr="00452E2E" w:rsidRDefault="00D03A8E" w:rsidP="00B57950">
            <w:pPr>
              <w:rPr>
                <w:b/>
                <w:sz w:val="16"/>
                <w:szCs w:val="16"/>
              </w:rPr>
            </w:pPr>
          </w:p>
        </w:tc>
        <w:tc>
          <w:tcPr>
            <w:tcW w:w="850" w:type="dxa"/>
            <w:tcBorders>
              <w:top w:val="single" w:sz="4" w:space="0" w:color="FFFFFF"/>
              <w:left w:val="single" w:sz="4" w:space="0" w:color="FFFFFF"/>
              <w:bottom w:val="single" w:sz="12" w:space="0" w:color="auto"/>
              <w:right w:val="single" w:sz="4" w:space="0" w:color="FFFFFF"/>
            </w:tcBorders>
          </w:tcPr>
          <w:p w:rsidR="00D03A8E" w:rsidRPr="00452E2E" w:rsidRDefault="00D03A8E" w:rsidP="00B57950">
            <w:pPr>
              <w:rPr>
                <w:b/>
                <w:sz w:val="16"/>
                <w:szCs w:val="16"/>
              </w:rPr>
            </w:pPr>
          </w:p>
        </w:tc>
        <w:tc>
          <w:tcPr>
            <w:tcW w:w="851" w:type="dxa"/>
            <w:tcBorders>
              <w:top w:val="single" w:sz="4" w:space="0" w:color="FFFFFF"/>
              <w:left w:val="single" w:sz="4" w:space="0" w:color="FFFFFF"/>
              <w:bottom w:val="single" w:sz="12" w:space="0" w:color="auto"/>
              <w:right w:val="single" w:sz="4" w:space="0" w:color="FFFFFF"/>
            </w:tcBorders>
          </w:tcPr>
          <w:p w:rsidR="00D03A8E" w:rsidRPr="00452E2E" w:rsidRDefault="00D03A8E" w:rsidP="00B57950">
            <w:pPr>
              <w:rPr>
                <w:b/>
                <w:sz w:val="16"/>
                <w:szCs w:val="16"/>
              </w:rPr>
            </w:pPr>
            <w:r w:rsidRPr="00452E2E">
              <w:rPr>
                <w:sz w:val="16"/>
                <w:szCs w:val="16"/>
              </w:rPr>
              <w:t>0.424</w:t>
            </w:r>
          </w:p>
        </w:tc>
        <w:tc>
          <w:tcPr>
            <w:tcW w:w="857" w:type="dxa"/>
            <w:tcBorders>
              <w:top w:val="single" w:sz="4" w:space="0" w:color="FFFFFF"/>
              <w:left w:val="single" w:sz="4" w:space="0" w:color="FFFFFF"/>
              <w:bottom w:val="single" w:sz="12" w:space="0" w:color="auto"/>
              <w:right w:val="single" w:sz="4" w:space="0" w:color="FFFFFF"/>
            </w:tcBorders>
          </w:tcPr>
          <w:p w:rsidR="00D03A8E" w:rsidRPr="00452E2E" w:rsidRDefault="00D03A8E" w:rsidP="00B57950">
            <w:pPr>
              <w:rPr>
                <w:b/>
                <w:sz w:val="16"/>
                <w:szCs w:val="16"/>
              </w:rPr>
            </w:pPr>
          </w:p>
        </w:tc>
        <w:tc>
          <w:tcPr>
            <w:tcW w:w="711" w:type="dxa"/>
            <w:tcBorders>
              <w:top w:val="single" w:sz="4" w:space="0" w:color="FFFFFF"/>
              <w:left w:val="single" w:sz="4" w:space="0" w:color="FFFFFF"/>
              <w:bottom w:val="single" w:sz="12" w:space="0" w:color="auto"/>
              <w:right w:val="single" w:sz="4" w:space="0" w:color="FFFFFF"/>
            </w:tcBorders>
          </w:tcPr>
          <w:p w:rsidR="00D03A8E" w:rsidRPr="00452E2E" w:rsidRDefault="00D03A8E" w:rsidP="00B57950">
            <w:pPr>
              <w:rPr>
                <w:b/>
                <w:sz w:val="16"/>
                <w:szCs w:val="16"/>
              </w:rPr>
            </w:pPr>
          </w:p>
        </w:tc>
        <w:tc>
          <w:tcPr>
            <w:tcW w:w="851" w:type="dxa"/>
            <w:tcBorders>
              <w:top w:val="single" w:sz="4" w:space="0" w:color="FFFFFF"/>
              <w:left w:val="single" w:sz="4" w:space="0" w:color="FFFFFF"/>
              <w:bottom w:val="single" w:sz="12" w:space="0" w:color="auto"/>
              <w:right w:val="single" w:sz="4" w:space="0" w:color="FFFFFF"/>
            </w:tcBorders>
          </w:tcPr>
          <w:p w:rsidR="00D03A8E" w:rsidRPr="00452E2E" w:rsidRDefault="00D03A8E" w:rsidP="00B57950">
            <w:pPr>
              <w:rPr>
                <w:b/>
                <w:sz w:val="16"/>
                <w:szCs w:val="16"/>
              </w:rPr>
            </w:pPr>
            <w:r w:rsidRPr="00452E2E">
              <w:rPr>
                <w:sz w:val="16"/>
                <w:szCs w:val="16"/>
              </w:rPr>
              <w:t>0.075</w:t>
            </w:r>
          </w:p>
        </w:tc>
      </w:tr>
    </w:tbl>
    <w:p w:rsidR="00D03A8E" w:rsidRPr="00452E2E" w:rsidRDefault="00D03A8E" w:rsidP="00D03A8E">
      <w:pPr>
        <w:rPr>
          <w:sz w:val="14"/>
          <w:szCs w:val="14"/>
        </w:rPr>
      </w:pPr>
      <w:r w:rsidRPr="00452E2E">
        <w:rPr>
          <w:sz w:val="14"/>
          <w:szCs w:val="14"/>
          <w:vertAlign w:val="superscript"/>
        </w:rPr>
        <w:t>a</w:t>
      </w:r>
      <w:r w:rsidRPr="00452E2E">
        <w:rPr>
          <w:sz w:val="14"/>
          <w:szCs w:val="14"/>
        </w:rPr>
        <w:t xml:space="preserve">N = 109;   </w:t>
      </w:r>
      <w:r w:rsidRPr="00452E2E">
        <w:rPr>
          <w:sz w:val="14"/>
          <w:szCs w:val="14"/>
          <w:vertAlign w:val="superscript"/>
        </w:rPr>
        <w:t>b</w:t>
      </w:r>
      <w:r w:rsidRPr="00452E2E">
        <w:rPr>
          <w:sz w:val="14"/>
          <w:szCs w:val="14"/>
        </w:rPr>
        <w:t xml:space="preserve">N = 114;    </w:t>
      </w:r>
      <w:r w:rsidRPr="00452E2E">
        <w:rPr>
          <w:sz w:val="14"/>
          <w:szCs w:val="14"/>
          <w:vertAlign w:val="superscript"/>
        </w:rPr>
        <w:t>c</w:t>
      </w:r>
      <w:r w:rsidRPr="00452E2E">
        <w:rPr>
          <w:sz w:val="14"/>
          <w:szCs w:val="14"/>
        </w:rPr>
        <w:t xml:space="preserve">N = 115;    </w:t>
      </w:r>
      <w:r w:rsidRPr="00452E2E">
        <w:rPr>
          <w:sz w:val="14"/>
          <w:szCs w:val="14"/>
          <w:vertAlign w:val="superscript"/>
        </w:rPr>
        <w:t>d</w:t>
      </w:r>
      <w:r w:rsidRPr="00452E2E">
        <w:rPr>
          <w:sz w:val="14"/>
          <w:szCs w:val="14"/>
        </w:rPr>
        <w:t xml:space="preserve">N= 104;  </w:t>
      </w:r>
      <w:r w:rsidRPr="00452E2E">
        <w:rPr>
          <w:sz w:val="14"/>
          <w:szCs w:val="14"/>
          <w:vertAlign w:val="superscript"/>
        </w:rPr>
        <w:t>e</w:t>
      </w:r>
      <w:r w:rsidRPr="00452E2E">
        <w:rPr>
          <w:sz w:val="14"/>
          <w:szCs w:val="14"/>
        </w:rPr>
        <w:t xml:space="preserve">N = 114;  </w:t>
      </w:r>
      <w:r w:rsidRPr="00452E2E">
        <w:rPr>
          <w:sz w:val="14"/>
          <w:szCs w:val="14"/>
          <w:vertAlign w:val="superscript"/>
        </w:rPr>
        <w:t>f</w:t>
      </w:r>
      <w:r w:rsidRPr="00452E2E">
        <w:rPr>
          <w:sz w:val="14"/>
          <w:szCs w:val="14"/>
        </w:rPr>
        <w:t xml:space="preserve">N = 111; </w:t>
      </w:r>
      <w:r w:rsidRPr="00452E2E">
        <w:rPr>
          <w:sz w:val="14"/>
          <w:szCs w:val="14"/>
          <w:vertAlign w:val="superscript"/>
        </w:rPr>
        <w:t>g</w:t>
      </w:r>
      <w:r w:rsidRPr="00452E2E">
        <w:rPr>
          <w:sz w:val="14"/>
          <w:szCs w:val="14"/>
        </w:rPr>
        <w:t xml:space="preserve">N = 115;  </w:t>
      </w:r>
      <w:r w:rsidRPr="00452E2E">
        <w:rPr>
          <w:sz w:val="14"/>
          <w:szCs w:val="14"/>
          <w:vertAlign w:val="superscript"/>
        </w:rPr>
        <w:t>h</w:t>
      </w:r>
      <w:r w:rsidRPr="00452E2E">
        <w:rPr>
          <w:sz w:val="14"/>
          <w:szCs w:val="14"/>
        </w:rPr>
        <w:t xml:space="preserve">N= 111; *p &lt; 0.05;  </w:t>
      </w:r>
      <w:r w:rsidRPr="00452E2E">
        <w:rPr>
          <w:sz w:val="16"/>
          <w:szCs w:val="16"/>
        </w:rPr>
        <w:t>Tport = Transport.</w:t>
      </w:r>
      <w:r w:rsidRPr="00452E2E">
        <w:rPr>
          <w:sz w:val="14"/>
          <w:szCs w:val="14"/>
        </w:rPr>
        <w:t xml:space="preserve">                                                            </w:t>
      </w:r>
      <w:r w:rsidRPr="00452E2E">
        <w:rPr>
          <w:sz w:val="16"/>
          <w:szCs w:val="16"/>
          <w:vertAlign w:val="superscript"/>
        </w:rPr>
        <w:t>z</w:t>
      </w:r>
      <w:r w:rsidRPr="00452E2E">
        <w:rPr>
          <w:sz w:val="16"/>
          <w:szCs w:val="16"/>
        </w:rPr>
        <w:t>Odds ratio are high because values are close or equal to zero.</w:t>
      </w:r>
    </w:p>
    <w:p w:rsidR="00D03A8E" w:rsidRPr="00452E2E" w:rsidRDefault="00D03A8E" w:rsidP="00D03A8E">
      <w:pPr>
        <w:pStyle w:val="Heading4"/>
      </w:pPr>
      <w:bookmarkStart w:id="140" w:name="_Toc473808171"/>
      <w:r w:rsidRPr="00452E2E">
        <w:lastRenderedPageBreak/>
        <w:t>5.4.4 Employee Participation</w:t>
      </w:r>
      <w:bookmarkEnd w:id="140"/>
    </w:p>
    <w:p w:rsidR="00D03A8E" w:rsidRPr="00452E2E" w:rsidRDefault="00D03A8E" w:rsidP="00D03A8E">
      <w:pPr>
        <w:spacing w:line="360" w:lineRule="auto"/>
        <w:jc w:val="both"/>
      </w:pPr>
      <w:r w:rsidRPr="00452E2E">
        <w:t>To evaluate the techniq</w:t>
      </w:r>
      <w:r w:rsidR="00136FF1" w:rsidRPr="00452E2E">
        <w:t>ues of employee participation</w:t>
      </w:r>
      <w:r w:rsidRPr="00452E2E">
        <w:t xml:space="preserve"> used in Nigerian organizations, responses to questions ranging from </w:t>
      </w:r>
      <w:r w:rsidR="00E81871" w:rsidRPr="00452E2E">
        <w:t xml:space="preserve">techniques of </w:t>
      </w:r>
      <w:r w:rsidRPr="00452E2E">
        <w:t xml:space="preserve">information sharing to employee consultation were analysed. The results presented in table 5.21 indicate that apart from the use of notice boards (61.1%), the use of formal methods of information sharing was low: team briefing (32.1%); shop steward (45.3%); and organizational newsletter (45.1%). This varied across industry with organizations in the health industry more likely to state they used notice boards (76.9%) as were private sector organizations. Both team briefing and shop steward had the highest use in MDAs (57.1% &amp; 84.0% respectively) and in the public sector (48.9% &amp; 87.8%). On the other hand, organizational newsletter had the highest use in organizations in banking/financial services industry (78.6%) and in the private sector (49.3%). However, it was the option for ‘other system of information sharing system’ that had the highest positive response (76.1%) whilst private sector organizations were more likely to use such ‘other systems’. The content analysis of responses show that majority of organizations using ‘other systems’ shared information via regular meetings (51.8%); others through circulars/internal memos (42.7%); staff e-mails (18.2%); and text messaging (9.0%). </w:t>
      </w:r>
    </w:p>
    <w:p w:rsidR="00D03A8E" w:rsidRPr="00452E2E" w:rsidRDefault="00D03A8E" w:rsidP="00D03A8E">
      <w:pPr>
        <w:spacing w:line="360" w:lineRule="auto"/>
        <w:jc w:val="both"/>
      </w:pPr>
      <w:r w:rsidRPr="00452E2E">
        <w:t xml:space="preserve">The use of employee consultation mechanisms was also low with responses varied across the type of consultation mechanism as well as by industry and sector. Across the whole sample, 29.7% of respondents indicated they used suggestion boxes whilst this was more likely to be used in the health industry (53.8%) and in the public sector. When it comes to workplace surveys, only 8.7% stated that this consultation mechanism was used in their organization; this was used mostly in organizations in ICT/media industry (14.3%) and in the private sector. As for briefing where feedback is solicited, 30.1% of the organizations indicated this method of consultation was used in their organizations whilst it had the highest use in the health industry (50.0%) and in the public sector. Just like the techniques of information sharing, it was the option of ‘other systems’ of consultation that had the highest positive response (78.6%). Content analysis of specific techniques of ‘other systems’ of consultation indicate that majority of the respondents (58.3%) stated their organizations had an ‘open door policy’ </w:t>
      </w:r>
      <w:r w:rsidRPr="00452E2E">
        <w:lastRenderedPageBreak/>
        <w:t xml:space="preserve">wherein employees had unfettered access to managers to express their viewpoints on any issue whilst 45.8% stated it was through general meetings that employees could make contributions on workplace issues. These findings correspond with those reported by Wood and colleagues in their Mozambican study (Webster &amp; Wood, 2005; Wood </w:t>
      </w:r>
      <w:r w:rsidRPr="00452E2E">
        <w:rPr>
          <w:i/>
        </w:rPr>
        <w:t>et al</w:t>
      </w:r>
      <w:r w:rsidRPr="00452E2E">
        <w:t xml:space="preserve">., 2011). Other respondents (4.6%) however stated their organizations provide employees </w:t>
      </w:r>
      <w:r w:rsidR="000558FB" w:rsidRPr="00452E2E">
        <w:t xml:space="preserve">with </w:t>
      </w:r>
      <w:r w:rsidRPr="00452E2E">
        <w:t xml:space="preserve">the opportunity to make suggestions via online platforms that could be considered as substitutes to traditional </w:t>
      </w:r>
      <w:r w:rsidR="003637E8" w:rsidRPr="00452E2E">
        <w:t xml:space="preserve">suggestion </w:t>
      </w:r>
      <w:r w:rsidRPr="00452E2E">
        <w:t>boxes.</w:t>
      </w:r>
    </w:p>
    <w:p w:rsidR="00D03A8E" w:rsidRPr="00452E2E" w:rsidRDefault="00D03A8E" w:rsidP="00D03A8E">
      <w:pPr>
        <w:spacing w:line="360" w:lineRule="auto"/>
        <w:jc w:val="both"/>
      </w:pPr>
      <w:r w:rsidRPr="00452E2E">
        <w:t xml:space="preserve">Logistic regression was used to examine the effect of industry, sector and size on the use of information sharing techniques with results presented in table 5.22. Results indicate that the odds for team briefing to be used was higher in manufacturing industry then in MDAs as well more likely to be used in large organizations than in small ones. Similarly, the odds of using stop steward and newsletter were higher in large organizations than in small ones whilst the odds of using ‘other systems’ of information sharing were higher in private sector than in public sector organizations. As for the effect of industry, sector and size on the use of consultation techniques, results of logistic regression presented in table 5.23 indicate that the odds of using suggestion boxes were higher in banking/financial services, MDAs, and education industries than in manufacturing industry whilst the odds of using suggestion boxes were 20 times higher in public sector organizations (EXP(β) = 20.283) than in the private sector. At the same time, suggestion boxes were more likely to be used in large organizations, as </w:t>
      </w:r>
      <w:r w:rsidR="00844E9E" w:rsidRPr="00452E2E">
        <w:t>were</w:t>
      </w:r>
      <w:r w:rsidRPr="00452E2E">
        <w:t xml:space="preserve"> workplace surveys. Finally, the odds of using briefing where feedback is solicited were almost 19 times higher in public sector organizations (EXP(β) = 18.749) than in the private sector.  </w:t>
      </w:r>
    </w:p>
    <w:p w:rsidR="00D03A8E" w:rsidRPr="00452E2E" w:rsidRDefault="00D03A8E" w:rsidP="00D03A8E">
      <w:pPr>
        <w:spacing w:line="360" w:lineRule="auto"/>
        <w:jc w:val="both"/>
      </w:pPr>
      <w:r w:rsidRPr="00452E2E">
        <w:t xml:space="preserve">In sum, the finding on the techniques of employee participation indicates that the use of informal techniques in the form of staff meetings was dominant across organizations in Nigeria. Whilst the use of formal techniques of information sharing and employee consultation were generally low, public sector </w:t>
      </w:r>
      <w:r w:rsidR="009475AF" w:rsidRPr="00452E2E">
        <w:t xml:space="preserve">organizations were </w:t>
      </w:r>
      <w:r w:rsidRPr="00452E2E">
        <w:t xml:space="preserve">more likely to use employee consultation </w:t>
      </w:r>
      <w:r w:rsidR="003F4777" w:rsidRPr="00452E2E">
        <w:t xml:space="preserve">schemes </w:t>
      </w:r>
      <w:r w:rsidRPr="00452E2E">
        <w:t xml:space="preserve">such </w:t>
      </w:r>
      <w:r w:rsidR="000F6034" w:rsidRPr="00452E2E">
        <w:t xml:space="preserve">as </w:t>
      </w:r>
      <w:r w:rsidRPr="00452E2E">
        <w:t xml:space="preserve">suggestion boxes and briefing where feedback is solicited. On the other hand, top-down methods of information sharing such as notice boards were more likely </w:t>
      </w:r>
      <w:r w:rsidR="000A0C4A" w:rsidRPr="00452E2E">
        <w:t xml:space="preserve">to </w:t>
      </w:r>
      <w:r w:rsidR="000A0C4A" w:rsidRPr="00452E2E">
        <w:lastRenderedPageBreak/>
        <w:t xml:space="preserve">be </w:t>
      </w:r>
      <w:r w:rsidRPr="00452E2E">
        <w:t xml:space="preserve">used in the private sector. Nevertheless, the use of employee participation techniques varied according to industry and size of organization, with large organizations more likely to adopt formal techniques of employee consultation. </w:t>
      </w:r>
    </w:p>
    <w:p w:rsidR="00D03A8E" w:rsidRPr="00452E2E" w:rsidRDefault="00D03A8E" w:rsidP="00D03A8E">
      <w:pPr>
        <w:spacing w:line="360" w:lineRule="auto"/>
        <w:jc w:val="both"/>
        <w:rPr>
          <w:b/>
          <w:szCs w:val="24"/>
        </w:rPr>
        <w:sectPr w:rsidR="00D03A8E" w:rsidRPr="00452E2E" w:rsidSect="00B57950">
          <w:pgSz w:w="11906" w:h="16838"/>
          <w:pgMar w:top="1440" w:right="1440" w:bottom="1440" w:left="2268" w:header="709" w:footer="709" w:gutter="0"/>
          <w:cols w:space="708"/>
          <w:docGrid w:linePitch="360"/>
        </w:sectPr>
      </w:pPr>
    </w:p>
    <w:p w:rsidR="00D03A8E" w:rsidRPr="00452E2E" w:rsidRDefault="00D03A8E" w:rsidP="00D03A8E">
      <w:pPr>
        <w:pStyle w:val="Caption"/>
        <w:rPr>
          <w:b w:val="0"/>
          <w:sz w:val="16"/>
          <w:szCs w:val="16"/>
        </w:rPr>
      </w:pPr>
      <w:bookmarkStart w:id="141" w:name="_Toc465419857"/>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21</w:t>
      </w:r>
      <w:r w:rsidR="00B26571">
        <w:rPr>
          <w:noProof/>
        </w:rPr>
        <w:fldChar w:fldCharType="end"/>
      </w:r>
      <w:r w:rsidRPr="00452E2E">
        <w:t>: Techniques of employee participation across whole sample, industry and sector</w:t>
      </w:r>
      <w:bookmarkEnd w:id="141"/>
    </w:p>
    <w:tbl>
      <w:tblPr>
        <w:tblStyle w:val="TableGrid"/>
        <w:tblW w:w="14170" w:type="dxa"/>
        <w:shd w:val="clear" w:color="auto" w:fill="FFFFFF" w:themeFill="background1"/>
        <w:tblLayout w:type="fixed"/>
        <w:tblLook w:val="04A0" w:firstRow="1" w:lastRow="0" w:firstColumn="1" w:lastColumn="0" w:noHBand="0" w:noVBand="1"/>
      </w:tblPr>
      <w:tblGrid>
        <w:gridCol w:w="3397"/>
        <w:gridCol w:w="993"/>
        <w:gridCol w:w="850"/>
        <w:gridCol w:w="992"/>
        <w:gridCol w:w="1134"/>
        <w:gridCol w:w="851"/>
        <w:gridCol w:w="1417"/>
        <w:gridCol w:w="851"/>
        <w:gridCol w:w="709"/>
        <w:gridCol w:w="708"/>
        <w:gridCol w:w="709"/>
        <w:gridCol w:w="851"/>
        <w:gridCol w:w="708"/>
      </w:tblGrid>
      <w:tr w:rsidR="00452E2E" w:rsidRPr="00452E2E" w:rsidTr="00E37420">
        <w:tc>
          <w:tcPr>
            <w:tcW w:w="3397" w:type="dxa"/>
            <w:vMerge w:val="restart"/>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371" w:type="dxa"/>
            <w:gridSpan w:val="8"/>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Industry</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b/>
                <w:sz w:val="16"/>
                <w:szCs w:val="16"/>
              </w:rPr>
              <w:t>Sector</w:t>
            </w:r>
          </w:p>
        </w:tc>
      </w:tr>
      <w:tr w:rsidR="00452E2E" w:rsidRPr="00452E2E" w:rsidTr="00B57950">
        <w:tc>
          <w:tcPr>
            <w:tcW w:w="3397" w:type="dxa"/>
            <w:vMerge/>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6"/>
                <w:szCs w:val="16"/>
              </w:rPr>
            </w:pPr>
            <w:r w:rsidRPr="00452E2E">
              <w:rPr>
                <w:sz w:val="16"/>
                <w:szCs w:val="16"/>
              </w:rPr>
              <w:t>Category</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Whole</w:t>
            </w:r>
          </w:p>
          <w:p w:rsidR="00D03A8E" w:rsidRPr="00452E2E" w:rsidRDefault="00D03A8E" w:rsidP="00B57950">
            <w:pPr>
              <w:rPr>
                <w:sz w:val="16"/>
                <w:szCs w:val="16"/>
              </w:rPr>
            </w:pPr>
            <w:r w:rsidRPr="00452E2E">
              <w:rPr>
                <w:sz w:val="16"/>
                <w:szCs w:val="16"/>
              </w:rPr>
              <w:t>Sample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Banking/</w:t>
            </w:r>
          </w:p>
          <w:p w:rsidR="00D03A8E" w:rsidRPr="00452E2E" w:rsidRDefault="00D03A8E" w:rsidP="00B57950">
            <w:pPr>
              <w:rPr>
                <w:sz w:val="16"/>
                <w:szCs w:val="16"/>
              </w:rPr>
            </w:pPr>
            <w:r w:rsidRPr="00452E2E">
              <w:rPr>
                <w:sz w:val="16"/>
                <w:szCs w:val="16"/>
              </w:rPr>
              <w:t>Financial</w:t>
            </w:r>
          </w:p>
          <w:p w:rsidR="00D03A8E" w:rsidRPr="00452E2E" w:rsidRDefault="00D03A8E" w:rsidP="00B57950">
            <w:pPr>
              <w:rPr>
                <w:sz w:val="16"/>
                <w:szCs w:val="16"/>
              </w:rPr>
            </w:pPr>
            <w:r w:rsidRPr="00452E2E">
              <w:rPr>
                <w:sz w:val="16"/>
                <w:szCs w:val="16"/>
              </w:rPr>
              <w:t>Services</w:t>
            </w:r>
          </w:p>
        </w:tc>
        <w:tc>
          <w:tcPr>
            <w:tcW w:w="113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Education</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Health</w:t>
            </w:r>
          </w:p>
        </w:tc>
        <w:tc>
          <w:tcPr>
            <w:tcW w:w="14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Manufacturing</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Hotels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Govt. MDAs</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ICT/</w:t>
            </w:r>
          </w:p>
          <w:p w:rsidR="00D03A8E" w:rsidRPr="00452E2E" w:rsidRDefault="00D03A8E" w:rsidP="00B57950">
            <w:pPr>
              <w:rPr>
                <w:sz w:val="16"/>
                <w:szCs w:val="16"/>
              </w:rPr>
            </w:pPr>
            <w:r w:rsidRPr="00452E2E">
              <w:rPr>
                <w:sz w:val="16"/>
                <w:szCs w:val="16"/>
              </w:rPr>
              <w:t>Media</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Tport</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Private</w:t>
            </w:r>
          </w:p>
        </w:tc>
        <w:tc>
          <w:tcPr>
            <w:tcW w:w="70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Public</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Does your organization use notice boards?</w:t>
            </w:r>
            <w:r w:rsidRPr="00452E2E">
              <w:rPr>
                <w:sz w:val="16"/>
                <w:szCs w:val="16"/>
                <w:vertAlign w:val="superscript"/>
              </w:rPr>
              <w:t>a</w:t>
            </w: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61.1%</w:t>
            </w: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113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76.9%</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58.3%</w:t>
            </w:r>
          </w:p>
        </w:tc>
        <w:tc>
          <w:tcPr>
            <w:tcW w:w="14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56.5%</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60.0%</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52.2%</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66.7%</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63.1%</w:t>
            </w:r>
          </w:p>
        </w:tc>
        <w:tc>
          <w:tcPr>
            <w:tcW w:w="7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58.3%</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Does your organization use team briefing/cascade briefings?</w:t>
            </w:r>
            <w:r w:rsidRPr="00452E2E">
              <w:rPr>
                <w:sz w:val="16"/>
                <w:szCs w:val="16"/>
                <w:vertAlign w:val="superscript"/>
              </w:rPr>
              <w:t>b</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37.5%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38.5%</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48.9%</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Does your organization use shop steward/representative briefings?</w:t>
            </w:r>
            <w:r w:rsidRPr="00452E2E">
              <w:rPr>
                <w:sz w:val="16"/>
                <w:szCs w:val="16"/>
                <w:vertAlign w:val="superscript"/>
              </w:rPr>
              <w:t>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61.5%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87.8%</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Does your organization use organization newsletter?</w:t>
            </w:r>
            <w:r w:rsidRPr="00452E2E">
              <w:rPr>
                <w:sz w:val="16"/>
                <w:szCs w:val="16"/>
                <w:vertAlign w:val="superscript"/>
              </w:rPr>
              <w:t>d</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78.6%</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59.1%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49.3%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38.6%</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Does your organization use other systems of information sharing?</w:t>
            </w:r>
            <w:r w:rsidRPr="00452E2E">
              <w:rPr>
                <w:sz w:val="16"/>
                <w:szCs w:val="16"/>
                <w:vertAlign w:val="superscript"/>
              </w:rPr>
              <w:t>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84.6%</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77.8%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66.7%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84.4%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65.3%</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suggestion boxes?</w:t>
            </w:r>
            <w:r w:rsidRPr="00452E2E">
              <w:rPr>
                <w:sz w:val="16"/>
                <w:szCs w:val="16"/>
                <w:vertAlign w:val="superscript"/>
              </w:rPr>
              <w:t>f</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25.0%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53.8%</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28.6%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workplace surveys?</w:t>
            </w:r>
            <w:r w:rsidRPr="00452E2E">
              <w:rPr>
                <w:sz w:val="16"/>
                <w:szCs w:val="16"/>
                <w:vertAlign w:val="superscript"/>
              </w:rPr>
              <w:t>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12.5%</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9.4%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7.8%</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briefings where feedback is solicited?</w:t>
            </w:r>
            <w:r w:rsidRPr="00452E2E">
              <w:rPr>
                <w:sz w:val="16"/>
                <w:szCs w:val="16"/>
                <w:vertAlign w:val="superscript"/>
              </w:rPr>
              <w:t>h</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33.3%</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50.0%</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41.7%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53.2%</w:t>
            </w:r>
          </w:p>
        </w:tc>
      </w:tr>
      <w:tr w:rsidR="00452E2E" w:rsidRPr="00452E2E" w:rsidTr="00E37420">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Do you make use of other systems of employee consultation?</w:t>
            </w:r>
            <w:r w:rsidRPr="00452E2E">
              <w:rPr>
                <w:sz w:val="16"/>
                <w:szCs w:val="16"/>
                <w:vertAlign w:val="superscript"/>
              </w:rPr>
              <w:t>i</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“Yes”</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78.6%</w:t>
            </w: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c>
          <w:tcPr>
            <w:tcW w:w="113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78.6%</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76.9%</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81.0%</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81.8%</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73.9%</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85.7%</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83.3%</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81.2%</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75.0%</w:t>
            </w:r>
          </w:p>
        </w:tc>
      </w:tr>
    </w:tbl>
    <w:p w:rsidR="00D03A8E" w:rsidRPr="00452E2E" w:rsidRDefault="00D03A8E" w:rsidP="00D03A8E">
      <w:pPr>
        <w:spacing w:line="240" w:lineRule="auto"/>
        <w:rPr>
          <w:sz w:val="16"/>
          <w:szCs w:val="16"/>
        </w:rPr>
      </w:pPr>
      <w:r w:rsidRPr="00452E2E">
        <w:rPr>
          <w:sz w:val="16"/>
          <w:szCs w:val="16"/>
        </w:rPr>
        <w:t>All %s taken use N of valid response as base (i.e. Missing, ‘Not Applicable’ and ‘Don’t Know’ responses are excluded).  Tport = Tport</w:t>
      </w:r>
    </w:p>
    <w:p w:rsidR="00D03A8E" w:rsidRPr="00452E2E" w:rsidRDefault="00D03A8E" w:rsidP="00D03A8E">
      <w:pPr>
        <w:spacing w:line="240" w:lineRule="auto"/>
        <w:rPr>
          <w:sz w:val="16"/>
          <w:szCs w:val="16"/>
        </w:rPr>
      </w:pPr>
      <w:r w:rsidRPr="00452E2E">
        <w:rPr>
          <w:sz w:val="16"/>
          <w:szCs w:val="16"/>
          <w:vertAlign w:val="superscript"/>
        </w:rPr>
        <w:t>a</w:t>
      </w:r>
      <w:r w:rsidRPr="00452E2E">
        <w:rPr>
          <w:sz w:val="16"/>
          <w:szCs w:val="16"/>
        </w:rPr>
        <w:t>113&lt;N&lt;122.</w:t>
      </w:r>
    </w:p>
    <w:p w:rsidR="00D03A8E" w:rsidRPr="00452E2E" w:rsidRDefault="00D03A8E" w:rsidP="00D03A8E">
      <w:pPr>
        <w:spacing w:line="240" w:lineRule="auto"/>
        <w:rPr>
          <w:sz w:val="16"/>
          <w:szCs w:val="16"/>
        </w:rPr>
      </w:pPr>
      <w:r w:rsidRPr="00452E2E">
        <w:rPr>
          <w:sz w:val="16"/>
          <w:szCs w:val="16"/>
          <w:vertAlign w:val="superscript"/>
        </w:rPr>
        <w:t>b</w:t>
      </w:r>
      <w:r w:rsidRPr="00452E2E">
        <w:rPr>
          <w:sz w:val="16"/>
          <w:szCs w:val="16"/>
        </w:rPr>
        <w:t>112&lt;N&lt;122.</w:t>
      </w:r>
    </w:p>
    <w:p w:rsidR="00D03A8E" w:rsidRPr="00452E2E" w:rsidRDefault="00D03A8E" w:rsidP="00D03A8E">
      <w:pPr>
        <w:spacing w:line="240" w:lineRule="auto"/>
        <w:rPr>
          <w:sz w:val="16"/>
          <w:szCs w:val="16"/>
        </w:rPr>
      </w:pPr>
      <w:r w:rsidRPr="00452E2E">
        <w:rPr>
          <w:sz w:val="16"/>
          <w:szCs w:val="16"/>
          <w:vertAlign w:val="superscript"/>
        </w:rPr>
        <w:t>c</w:t>
      </w:r>
      <w:r w:rsidRPr="00452E2E">
        <w:rPr>
          <w:sz w:val="16"/>
          <w:szCs w:val="16"/>
        </w:rPr>
        <w:t>117&lt;N&lt;122.</w:t>
      </w:r>
    </w:p>
    <w:p w:rsidR="00D03A8E" w:rsidRPr="00452E2E" w:rsidRDefault="00D03A8E" w:rsidP="00D03A8E">
      <w:pPr>
        <w:spacing w:line="240" w:lineRule="auto"/>
        <w:rPr>
          <w:sz w:val="16"/>
          <w:szCs w:val="16"/>
        </w:rPr>
      </w:pPr>
      <w:r w:rsidRPr="00452E2E">
        <w:rPr>
          <w:sz w:val="16"/>
          <w:szCs w:val="16"/>
          <w:vertAlign w:val="superscript"/>
        </w:rPr>
        <w:t>d</w:t>
      </w:r>
      <w:r w:rsidRPr="00452E2E">
        <w:rPr>
          <w:sz w:val="16"/>
          <w:szCs w:val="16"/>
        </w:rPr>
        <w:t>113&lt;N&lt;122.</w:t>
      </w:r>
    </w:p>
    <w:p w:rsidR="00D03A8E" w:rsidRPr="00452E2E" w:rsidRDefault="00D03A8E" w:rsidP="00D03A8E">
      <w:pPr>
        <w:spacing w:line="240" w:lineRule="auto"/>
        <w:rPr>
          <w:sz w:val="16"/>
          <w:szCs w:val="16"/>
        </w:rPr>
      </w:pPr>
      <w:r w:rsidRPr="00452E2E">
        <w:rPr>
          <w:sz w:val="16"/>
          <w:szCs w:val="16"/>
          <w:vertAlign w:val="superscript"/>
        </w:rPr>
        <w:t>e</w:t>
      </w:r>
      <w:r w:rsidRPr="00452E2E">
        <w:rPr>
          <w:sz w:val="16"/>
          <w:szCs w:val="16"/>
        </w:rPr>
        <w:t>113&lt;N&lt;122.</w:t>
      </w:r>
    </w:p>
    <w:p w:rsidR="00D03A8E" w:rsidRPr="00452E2E" w:rsidRDefault="00D03A8E" w:rsidP="00D03A8E">
      <w:pPr>
        <w:spacing w:line="240" w:lineRule="auto"/>
        <w:rPr>
          <w:sz w:val="16"/>
          <w:szCs w:val="16"/>
        </w:rPr>
      </w:pPr>
      <w:r w:rsidRPr="00452E2E">
        <w:rPr>
          <w:sz w:val="16"/>
          <w:szCs w:val="16"/>
          <w:vertAlign w:val="superscript"/>
        </w:rPr>
        <w:t>f</w:t>
      </w:r>
      <w:r w:rsidRPr="00452E2E">
        <w:rPr>
          <w:sz w:val="16"/>
          <w:szCs w:val="16"/>
        </w:rPr>
        <w:t>111&lt;N&lt;122.</w:t>
      </w:r>
    </w:p>
    <w:p w:rsidR="00D03A8E" w:rsidRPr="00452E2E" w:rsidRDefault="00D03A8E" w:rsidP="00D03A8E">
      <w:pPr>
        <w:spacing w:line="240" w:lineRule="auto"/>
        <w:rPr>
          <w:sz w:val="16"/>
          <w:szCs w:val="16"/>
        </w:rPr>
      </w:pPr>
      <w:r w:rsidRPr="00452E2E">
        <w:rPr>
          <w:sz w:val="16"/>
          <w:szCs w:val="16"/>
          <w:vertAlign w:val="superscript"/>
        </w:rPr>
        <w:t>g</w:t>
      </w:r>
      <w:r w:rsidRPr="00452E2E">
        <w:rPr>
          <w:sz w:val="16"/>
          <w:szCs w:val="16"/>
        </w:rPr>
        <w:t>115&lt;N&lt;122.</w:t>
      </w:r>
    </w:p>
    <w:p w:rsidR="00D03A8E" w:rsidRPr="00452E2E" w:rsidRDefault="00D03A8E" w:rsidP="00D03A8E">
      <w:pPr>
        <w:spacing w:line="240" w:lineRule="auto"/>
        <w:rPr>
          <w:sz w:val="16"/>
          <w:szCs w:val="16"/>
        </w:rPr>
      </w:pPr>
      <w:r w:rsidRPr="00452E2E">
        <w:rPr>
          <w:sz w:val="16"/>
          <w:szCs w:val="16"/>
          <w:vertAlign w:val="superscript"/>
        </w:rPr>
        <w:t>h</w:t>
      </w:r>
      <w:r w:rsidRPr="00452E2E">
        <w:rPr>
          <w:sz w:val="16"/>
          <w:szCs w:val="16"/>
        </w:rPr>
        <w:t>113&lt;N&lt;122.</w:t>
      </w:r>
    </w:p>
    <w:p w:rsidR="00D03A8E" w:rsidRPr="00452E2E" w:rsidRDefault="00D03A8E" w:rsidP="00D03A8E">
      <w:pPr>
        <w:spacing w:line="240" w:lineRule="auto"/>
        <w:rPr>
          <w:b/>
          <w:sz w:val="14"/>
          <w:szCs w:val="14"/>
        </w:rPr>
        <w:sectPr w:rsidR="00D03A8E" w:rsidRPr="00452E2E" w:rsidSect="00B57950">
          <w:pgSz w:w="16838" w:h="11906" w:orient="landscape"/>
          <w:pgMar w:top="2269" w:right="1440" w:bottom="1440" w:left="1440" w:header="709" w:footer="709" w:gutter="0"/>
          <w:cols w:space="708"/>
          <w:docGrid w:linePitch="360"/>
        </w:sectPr>
      </w:pPr>
      <w:r w:rsidRPr="00452E2E">
        <w:rPr>
          <w:sz w:val="16"/>
          <w:szCs w:val="16"/>
          <w:vertAlign w:val="superscript"/>
        </w:rPr>
        <w:t>i</w:t>
      </w:r>
      <w:r w:rsidRPr="00452E2E">
        <w:rPr>
          <w:sz w:val="16"/>
          <w:szCs w:val="16"/>
        </w:rPr>
        <w:t>117&lt;N&lt;122</w:t>
      </w:r>
    </w:p>
    <w:p w:rsidR="00D03A8E" w:rsidRPr="00452E2E" w:rsidRDefault="00D03A8E" w:rsidP="00D03A8E">
      <w:pPr>
        <w:pStyle w:val="Caption"/>
        <w:rPr>
          <w:b w:val="0"/>
          <w:sz w:val="16"/>
          <w:szCs w:val="16"/>
        </w:rPr>
      </w:pPr>
      <w:bookmarkStart w:id="142" w:name="_Toc465419858"/>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22</w:t>
      </w:r>
      <w:r w:rsidR="00B26571">
        <w:rPr>
          <w:noProof/>
        </w:rPr>
        <w:fldChar w:fldCharType="end"/>
      </w:r>
      <w:r w:rsidRPr="00452E2E">
        <w:t>: Predicting the use of information sharing techniques on industry, sector and size</w:t>
      </w:r>
      <w:bookmarkEnd w:id="142"/>
    </w:p>
    <w:tbl>
      <w:tblPr>
        <w:tblStyle w:val="TableGrid"/>
        <w:tblW w:w="15163" w:type="dxa"/>
        <w:shd w:val="clear" w:color="auto" w:fill="FFFFFF" w:themeFill="background1"/>
        <w:tblLayout w:type="fixed"/>
        <w:tblLook w:val="04A0" w:firstRow="1" w:lastRow="0" w:firstColumn="1" w:lastColumn="0" w:noHBand="0" w:noVBand="1"/>
      </w:tblPr>
      <w:tblGrid>
        <w:gridCol w:w="2263"/>
        <w:gridCol w:w="851"/>
        <w:gridCol w:w="992"/>
        <w:gridCol w:w="709"/>
        <w:gridCol w:w="850"/>
        <w:gridCol w:w="851"/>
        <w:gridCol w:w="850"/>
        <w:gridCol w:w="993"/>
        <w:gridCol w:w="992"/>
        <w:gridCol w:w="850"/>
        <w:gridCol w:w="851"/>
        <w:gridCol w:w="709"/>
        <w:gridCol w:w="850"/>
        <w:gridCol w:w="851"/>
        <w:gridCol w:w="850"/>
        <w:gridCol w:w="851"/>
      </w:tblGrid>
      <w:tr w:rsidR="00452E2E" w:rsidRPr="00452E2E" w:rsidTr="00E37420">
        <w:trPr>
          <w:trHeight w:val="558"/>
        </w:trPr>
        <w:tc>
          <w:tcPr>
            <w:tcW w:w="226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a</w:t>
            </w:r>
            <w:r w:rsidRPr="00452E2E">
              <w:rPr>
                <w:sz w:val="16"/>
                <w:szCs w:val="16"/>
              </w:rPr>
              <w:t>Dependent variable: Does your organization use notice boards?</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b</w:t>
            </w:r>
            <w:r w:rsidRPr="00452E2E">
              <w:rPr>
                <w:sz w:val="16"/>
                <w:szCs w:val="16"/>
              </w:rPr>
              <w:t>Dependent variable: Does your organization use team briefing/ cascade briefing?</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c</w:t>
            </w:r>
            <w:r w:rsidRPr="00452E2E">
              <w:rPr>
                <w:sz w:val="16"/>
                <w:szCs w:val="16"/>
              </w:rPr>
              <w:t>Dependent variable: Does your organization make use of shop steward/ representative briefing?</w:t>
            </w:r>
          </w:p>
        </w:tc>
        <w:tc>
          <w:tcPr>
            <w:tcW w:w="2410"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d</w:t>
            </w:r>
            <w:r w:rsidRPr="00452E2E">
              <w:rPr>
                <w:sz w:val="16"/>
                <w:szCs w:val="16"/>
              </w:rPr>
              <w:t>Dependent variable: Does your organization make use of organizational newsletter?</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e</w:t>
            </w:r>
            <w:r w:rsidRPr="00452E2E">
              <w:rPr>
                <w:sz w:val="16"/>
                <w:szCs w:val="16"/>
              </w:rPr>
              <w:t>Dependent variable: Does your organization use other systems of information sharing?</w:t>
            </w:r>
          </w:p>
        </w:tc>
      </w:tr>
      <w:tr w:rsidR="00452E2E" w:rsidRPr="00452E2E" w:rsidTr="00B57950">
        <w:tc>
          <w:tcPr>
            <w:tcW w:w="226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4"/>
                <w:szCs w:val="14"/>
              </w:rPr>
              <w:t xml:space="preserve">Pseudo </w:t>
            </w:r>
            <w:r w:rsidRPr="00452E2E">
              <w:rPr>
                <w:sz w:val="16"/>
                <w:szCs w:val="16"/>
              </w:rPr>
              <w:t>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26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0.263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21.457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0.332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-0.798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0.450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-1.760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0.172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-1.657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39.522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1.459E+17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1.016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2.763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-1.385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0.284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0.598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-0.684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0.505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20.634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1.237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3.445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0.838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-1.186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0.306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2.731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0.723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2.060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1.401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-0.745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0.475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-2.377*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39.349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1.228E+17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0.904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2.469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-1.520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0.219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-1.093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0.335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-0.189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20.221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-1.956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0.154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 xml:space="preserve"> 0.248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1.234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3.436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0.731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2.078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0.364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1.439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-0.953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0.386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-0.659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41.593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1.158E+18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-2.366*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0.935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-1.410*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-2.296*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0.351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1.421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E37420">
        <w:tc>
          <w:tcPr>
            <w:tcW w:w="226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0.051</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0.300</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0.548</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0.416</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0.096</w:t>
            </w:r>
          </w:p>
        </w:tc>
      </w:tr>
    </w:tbl>
    <w:p w:rsidR="00D03A8E" w:rsidRPr="00452E2E" w:rsidRDefault="00D03A8E" w:rsidP="00D03A8E">
      <w:pPr>
        <w:rPr>
          <w:sz w:val="16"/>
          <w:szCs w:val="16"/>
        </w:rPr>
      </w:pPr>
      <w:r w:rsidRPr="00452E2E">
        <w:rPr>
          <w:sz w:val="16"/>
          <w:szCs w:val="16"/>
        </w:rPr>
        <w:t xml:space="preserve"> </w:t>
      </w:r>
      <w:r w:rsidRPr="00452E2E">
        <w:rPr>
          <w:sz w:val="16"/>
          <w:szCs w:val="16"/>
          <w:vertAlign w:val="superscript"/>
        </w:rPr>
        <w:t>a</w:t>
      </w:r>
      <w:r w:rsidRPr="00452E2E">
        <w:rPr>
          <w:sz w:val="16"/>
          <w:szCs w:val="16"/>
        </w:rPr>
        <w:t xml:space="preserve">N = 113; </w:t>
      </w:r>
      <w:r w:rsidRPr="00452E2E">
        <w:rPr>
          <w:sz w:val="16"/>
          <w:szCs w:val="16"/>
          <w:vertAlign w:val="superscript"/>
        </w:rPr>
        <w:t xml:space="preserve"> b</w:t>
      </w:r>
      <w:r w:rsidRPr="00452E2E">
        <w:rPr>
          <w:sz w:val="16"/>
          <w:szCs w:val="16"/>
        </w:rPr>
        <w:t xml:space="preserve">N= 112; </w:t>
      </w:r>
      <w:r w:rsidRPr="00452E2E">
        <w:rPr>
          <w:sz w:val="16"/>
          <w:szCs w:val="16"/>
          <w:vertAlign w:val="superscript"/>
        </w:rPr>
        <w:t>c</w:t>
      </w:r>
      <w:r w:rsidRPr="00452E2E">
        <w:rPr>
          <w:sz w:val="16"/>
          <w:szCs w:val="16"/>
        </w:rPr>
        <w:t xml:space="preserve">N =117; </w:t>
      </w:r>
      <w:r w:rsidRPr="00452E2E">
        <w:rPr>
          <w:sz w:val="16"/>
          <w:szCs w:val="16"/>
          <w:vertAlign w:val="superscript"/>
        </w:rPr>
        <w:t>d</w:t>
      </w:r>
      <w:r w:rsidRPr="00452E2E">
        <w:rPr>
          <w:sz w:val="16"/>
          <w:szCs w:val="16"/>
        </w:rPr>
        <w:t xml:space="preserve">N =113; </w:t>
      </w:r>
      <w:r w:rsidRPr="00452E2E">
        <w:rPr>
          <w:sz w:val="16"/>
          <w:szCs w:val="16"/>
          <w:vertAlign w:val="superscript"/>
        </w:rPr>
        <w:t>e</w:t>
      </w:r>
      <w:r w:rsidRPr="00452E2E">
        <w:rPr>
          <w:sz w:val="16"/>
          <w:szCs w:val="16"/>
        </w:rPr>
        <w:t xml:space="preserve">N =113;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tabs>
          <w:tab w:val="left" w:pos="7260"/>
        </w:tabs>
        <w:rPr>
          <w:b/>
          <w:sz w:val="16"/>
          <w:szCs w:val="16"/>
        </w:rPr>
      </w:pPr>
    </w:p>
    <w:p w:rsidR="00D03A8E" w:rsidRPr="00452E2E" w:rsidRDefault="00D03A8E" w:rsidP="00D03A8E">
      <w:pPr>
        <w:pStyle w:val="Caption"/>
        <w:rPr>
          <w:b w:val="0"/>
          <w:sz w:val="16"/>
          <w:szCs w:val="16"/>
        </w:rPr>
      </w:pPr>
      <w:bookmarkStart w:id="143" w:name="_Toc465419859"/>
      <w:r w:rsidRPr="00452E2E">
        <w:lastRenderedPageBreak/>
        <w:t>Table 5.</w:t>
      </w:r>
      <w:r w:rsidR="00B26571">
        <w:fldChar w:fldCharType="begin"/>
      </w:r>
      <w:r w:rsidR="00B26571">
        <w:instrText xml:space="preserve"> SEQ Table \* ARABIC \s 1 </w:instrText>
      </w:r>
      <w:r w:rsidR="00B26571">
        <w:fldChar w:fldCharType="separate"/>
      </w:r>
      <w:r w:rsidR="00AE2756" w:rsidRPr="00452E2E">
        <w:rPr>
          <w:noProof/>
        </w:rPr>
        <w:t>23</w:t>
      </w:r>
      <w:r w:rsidR="00B26571">
        <w:rPr>
          <w:noProof/>
        </w:rPr>
        <w:fldChar w:fldCharType="end"/>
      </w:r>
      <w:r w:rsidRPr="00452E2E">
        <w:t>: Predicting the use of employee consultation techniques on industry, sector and size</w:t>
      </w:r>
      <w:bookmarkEnd w:id="143"/>
    </w:p>
    <w:tbl>
      <w:tblPr>
        <w:tblStyle w:val="TableGrid"/>
        <w:tblW w:w="12753" w:type="dxa"/>
        <w:shd w:val="clear" w:color="auto" w:fill="FFFFFF" w:themeFill="background1"/>
        <w:tblLayout w:type="fixed"/>
        <w:tblLook w:val="04A0" w:firstRow="1" w:lastRow="0" w:firstColumn="1" w:lastColumn="0" w:noHBand="0" w:noVBand="1"/>
      </w:tblPr>
      <w:tblGrid>
        <w:gridCol w:w="2263"/>
        <w:gridCol w:w="851"/>
        <w:gridCol w:w="992"/>
        <w:gridCol w:w="709"/>
        <w:gridCol w:w="850"/>
        <w:gridCol w:w="851"/>
        <w:gridCol w:w="850"/>
        <w:gridCol w:w="993"/>
        <w:gridCol w:w="992"/>
        <w:gridCol w:w="850"/>
        <w:gridCol w:w="851"/>
        <w:gridCol w:w="850"/>
        <w:gridCol w:w="851"/>
      </w:tblGrid>
      <w:tr w:rsidR="00452E2E" w:rsidRPr="00452E2E" w:rsidTr="00E37420">
        <w:trPr>
          <w:trHeight w:val="558"/>
        </w:trPr>
        <w:tc>
          <w:tcPr>
            <w:tcW w:w="226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Predictor variables</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a</w:t>
            </w:r>
            <w:r w:rsidRPr="00452E2E">
              <w:rPr>
                <w:sz w:val="16"/>
                <w:szCs w:val="16"/>
              </w:rPr>
              <w:t>Dependent variable: Does your organization make use of suggestion boxes?</w:t>
            </w:r>
          </w:p>
        </w:tc>
        <w:tc>
          <w:tcPr>
            <w:tcW w:w="2551"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b</w:t>
            </w:r>
            <w:r w:rsidRPr="00452E2E">
              <w:rPr>
                <w:sz w:val="16"/>
                <w:szCs w:val="16"/>
              </w:rPr>
              <w:t>Dependent variable: Does your organization make use of workplace surveys?</w:t>
            </w:r>
          </w:p>
        </w:tc>
        <w:tc>
          <w:tcPr>
            <w:tcW w:w="2835"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c</w:t>
            </w:r>
            <w:r w:rsidRPr="00452E2E">
              <w:rPr>
                <w:sz w:val="16"/>
                <w:szCs w:val="16"/>
              </w:rPr>
              <w:t>Dependent variable: Does your organization make use of briefings where feedback is solicited?</w:t>
            </w:r>
          </w:p>
        </w:tc>
        <w:tc>
          <w:tcPr>
            <w:tcW w:w="2552" w:type="dxa"/>
            <w:gridSpan w:val="3"/>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vertAlign w:val="superscript"/>
              </w:rPr>
              <w:t>d</w:t>
            </w:r>
            <w:r w:rsidRPr="00452E2E">
              <w:rPr>
                <w:sz w:val="16"/>
                <w:szCs w:val="16"/>
              </w:rPr>
              <w:t>Dependent variable: Does your organization make use of other systems of employee consultation?</w:t>
            </w:r>
          </w:p>
        </w:tc>
      </w:tr>
      <w:tr w:rsidR="00452E2E" w:rsidRPr="00452E2E" w:rsidTr="00B57950">
        <w:tc>
          <w:tcPr>
            <w:tcW w:w="226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4"/>
                <w:szCs w:val="14"/>
              </w:rPr>
              <w:t xml:space="preserve">Pseudo </w:t>
            </w:r>
            <w:r w:rsidRPr="00452E2E">
              <w:rPr>
                <w:sz w:val="16"/>
                <w:szCs w:val="16"/>
              </w:rPr>
              <w:t>R</w:t>
            </w:r>
            <w:r w:rsidRPr="00452E2E">
              <w:rPr>
                <w:sz w:val="16"/>
                <w:szCs w:val="16"/>
                <w:vertAlign w:val="superscript"/>
              </w:rPr>
              <w:t>2</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99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B</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EXP</w:t>
            </w:r>
            <w:r w:rsidRPr="00452E2E">
              <w:rPr>
                <w:sz w:val="14"/>
                <w:szCs w:val="14"/>
              </w:rPr>
              <w:t>(B)</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Pseudo R</w:t>
            </w:r>
            <w:r w:rsidRPr="00452E2E">
              <w:rPr>
                <w:sz w:val="16"/>
                <w:szCs w:val="16"/>
                <w:vertAlign w:val="superscript"/>
              </w:rPr>
              <w:t>2</w:t>
            </w:r>
          </w:p>
        </w:tc>
      </w:tr>
      <w:tr w:rsidR="00452E2E" w:rsidRPr="00452E2E" w:rsidTr="00B57950">
        <w:tc>
          <w:tcPr>
            <w:tcW w:w="226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Banking/</w:t>
            </w:r>
          </w:p>
          <w:p w:rsidR="00D03A8E" w:rsidRPr="00452E2E" w:rsidRDefault="00D03A8E" w:rsidP="00B57950">
            <w:pPr>
              <w:rPr>
                <w:sz w:val="16"/>
                <w:szCs w:val="16"/>
              </w:rPr>
            </w:pPr>
            <w:r w:rsidRPr="00452E2E">
              <w:rPr>
                <w:sz w:val="16"/>
                <w:szCs w:val="16"/>
              </w:rPr>
              <w:t>Finance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4.078*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59.018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1.486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4.418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5.659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1.485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Education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4.458*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86.296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15.485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5.765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Health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4.908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-0.710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0.492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1.101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Hotels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0.721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-3.120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-0.468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0.627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0.880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Government MDAs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18.312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-3.006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7.564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-0.070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0.932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ICT/Media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2.416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11.206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-1.619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0.198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-0.031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0.969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-0.686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Industry dummy: Tport (vs Manufacturing)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21.685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19.971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&gt;1000</w:t>
            </w:r>
            <w:r w:rsidRPr="00452E2E">
              <w:rPr>
                <w:sz w:val="16"/>
                <w:szCs w:val="16"/>
                <w:vertAlign w:val="superscript"/>
              </w:rPr>
              <w:t>z</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0.142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1.153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-0.206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0.814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Sector: Public (vs Private)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3.010*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20.283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-2.960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2.931*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18.749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0.558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B57950">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Size (No. of employees)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-1.762*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0.172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-2.669*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-1.516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-0.169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0.844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6"/>
                <w:szCs w:val="16"/>
              </w:rPr>
            </w:pPr>
          </w:p>
        </w:tc>
      </w:tr>
      <w:tr w:rsidR="00452E2E" w:rsidRPr="00452E2E" w:rsidTr="004C4B07">
        <w:tc>
          <w:tcPr>
            <w:tcW w:w="226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i/>
                <w:sz w:val="16"/>
                <w:szCs w:val="16"/>
              </w:rPr>
            </w:pPr>
            <w:r w:rsidRPr="00452E2E">
              <w:rPr>
                <w:i/>
                <w:sz w:val="16"/>
                <w:szCs w:val="16"/>
              </w:rPr>
              <w:t>Overall Model Fit</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0.397</w:t>
            </w: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0.228</w:t>
            </w:r>
          </w:p>
        </w:tc>
        <w:tc>
          <w:tcPr>
            <w:tcW w:w="99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0.377</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6"/>
                <w:szCs w:val="16"/>
              </w:rPr>
            </w:pPr>
            <w:r w:rsidRPr="00452E2E">
              <w:rPr>
                <w:sz w:val="16"/>
                <w:szCs w:val="16"/>
              </w:rPr>
              <w:t>0.014</w:t>
            </w:r>
          </w:p>
        </w:tc>
      </w:tr>
    </w:tbl>
    <w:p w:rsidR="00D03A8E" w:rsidRPr="00452E2E" w:rsidRDefault="00D03A8E" w:rsidP="00D03A8E">
      <w:pPr>
        <w:rPr>
          <w:sz w:val="16"/>
          <w:szCs w:val="16"/>
        </w:rPr>
      </w:pPr>
      <w:r w:rsidRPr="00452E2E">
        <w:rPr>
          <w:sz w:val="16"/>
          <w:szCs w:val="16"/>
          <w:vertAlign w:val="superscript"/>
        </w:rPr>
        <w:t>a</w:t>
      </w:r>
      <w:r w:rsidRPr="00452E2E">
        <w:rPr>
          <w:sz w:val="16"/>
          <w:szCs w:val="16"/>
        </w:rPr>
        <w:t xml:space="preserve">N = 111 ; </w:t>
      </w:r>
      <w:r w:rsidRPr="00452E2E">
        <w:rPr>
          <w:sz w:val="16"/>
          <w:szCs w:val="16"/>
          <w:vertAlign w:val="superscript"/>
        </w:rPr>
        <w:t>b</w:t>
      </w:r>
      <w:r w:rsidRPr="00452E2E">
        <w:rPr>
          <w:sz w:val="16"/>
          <w:szCs w:val="16"/>
        </w:rPr>
        <w:t xml:space="preserve">N = 115; </w:t>
      </w:r>
      <w:r w:rsidRPr="00452E2E">
        <w:rPr>
          <w:sz w:val="16"/>
          <w:szCs w:val="16"/>
          <w:vertAlign w:val="superscript"/>
        </w:rPr>
        <w:t>c</w:t>
      </w:r>
      <w:r w:rsidRPr="00452E2E">
        <w:rPr>
          <w:sz w:val="16"/>
          <w:szCs w:val="16"/>
        </w:rPr>
        <w:t xml:space="preserve">N = 113; </w:t>
      </w:r>
      <w:r w:rsidRPr="00452E2E">
        <w:rPr>
          <w:sz w:val="16"/>
          <w:szCs w:val="16"/>
          <w:vertAlign w:val="superscript"/>
        </w:rPr>
        <w:t>d</w:t>
      </w:r>
      <w:r w:rsidRPr="00452E2E">
        <w:rPr>
          <w:sz w:val="16"/>
          <w:szCs w:val="16"/>
        </w:rPr>
        <w:t xml:space="preserve">N = 117; *p &lt; 0.05;  </w:t>
      </w:r>
      <w:r w:rsidRPr="00452E2E">
        <w:rPr>
          <w:sz w:val="16"/>
          <w:szCs w:val="16"/>
          <w:vertAlign w:val="superscript"/>
        </w:rPr>
        <w:t>z</w:t>
      </w:r>
      <w:r w:rsidRPr="00452E2E">
        <w:rPr>
          <w:sz w:val="16"/>
          <w:szCs w:val="16"/>
        </w:rPr>
        <w:t>Odds ratio are high because values are close or equal to zero. Tport = Transport.</w:t>
      </w:r>
    </w:p>
    <w:p w:rsidR="00D03A8E" w:rsidRPr="00452E2E" w:rsidRDefault="00D03A8E" w:rsidP="00D03A8E">
      <w:pPr>
        <w:rPr>
          <w:sz w:val="16"/>
          <w:szCs w:val="16"/>
        </w:rPr>
      </w:pPr>
    </w:p>
    <w:p w:rsidR="00D03A8E" w:rsidRPr="00452E2E" w:rsidRDefault="00D03A8E" w:rsidP="00D03A8E">
      <w:pPr>
        <w:rPr>
          <w:sz w:val="16"/>
          <w:szCs w:val="16"/>
        </w:rPr>
      </w:pPr>
    </w:p>
    <w:p w:rsidR="00D03A8E" w:rsidRPr="00452E2E" w:rsidRDefault="00D03A8E" w:rsidP="00D03A8E">
      <w:pPr>
        <w:rPr>
          <w:sz w:val="16"/>
          <w:szCs w:val="16"/>
        </w:rPr>
      </w:pPr>
    </w:p>
    <w:p w:rsidR="00D03A8E" w:rsidRPr="00452E2E" w:rsidRDefault="00D03A8E" w:rsidP="00D03A8E">
      <w:pPr>
        <w:rPr>
          <w:sz w:val="16"/>
          <w:szCs w:val="16"/>
        </w:rPr>
      </w:pPr>
    </w:p>
    <w:p w:rsidR="00D03A8E" w:rsidRPr="00452E2E" w:rsidRDefault="00D03A8E" w:rsidP="00D03A8E">
      <w:pPr>
        <w:rPr>
          <w:sz w:val="16"/>
          <w:szCs w:val="16"/>
        </w:rPr>
        <w:sectPr w:rsidR="00D03A8E" w:rsidRPr="00452E2E" w:rsidSect="00B57950">
          <w:pgSz w:w="16838" w:h="11906" w:orient="landscape"/>
          <w:pgMar w:top="2269" w:right="1440" w:bottom="1440" w:left="1440" w:header="709" w:footer="709" w:gutter="0"/>
          <w:cols w:space="708"/>
          <w:docGrid w:linePitch="360"/>
        </w:sectPr>
      </w:pPr>
    </w:p>
    <w:p w:rsidR="00D03A8E" w:rsidRPr="00452E2E" w:rsidRDefault="00D03A8E" w:rsidP="00170224">
      <w:pPr>
        <w:pStyle w:val="Heading3"/>
      </w:pPr>
      <w:bookmarkStart w:id="144" w:name="_Toc473808172"/>
      <w:r w:rsidRPr="00452E2E">
        <w:lastRenderedPageBreak/>
        <w:t>5.5 Summary</w:t>
      </w:r>
      <w:bookmarkEnd w:id="144"/>
    </w:p>
    <w:p w:rsidR="00D03A8E" w:rsidRPr="00452E2E" w:rsidRDefault="00D03A8E" w:rsidP="00D03A8E">
      <w:pPr>
        <w:spacing w:line="360" w:lineRule="auto"/>
        <w:jc w:val="both"/>
      </w:pPr>
      <w:r w:rsidRPr="00452E2E">
        <w:t xml:space="preserve">The data collected from managers on the influence of institutions on HRM and the techniques of HRM used in public and private sector in Nigeria were analysed in this chapter. The findings revealed that mimetic and normative mechanisms influenced HRM in public and private sector in Nigeria in the same direction. The major drivers of mimetic and normative isomorphism identified from the research were staff transfer/ imitation of practices from similar organizations and professional socialization (DiMaggio &amp; Powell, 1983; Boselie </w:t>
      </w:r>
      <w:r w:rsidRPr="00452E2E">
        <w:rPr>
          <w:i/>
        </w:rPr>
        <w:t>et al</w:t>
      </w:r>
      <w:r w:rsidRPr="00452E2E">
        <w:t xml:space="preserve">., 2003). Similarly, there were other contextual factors categorised as ‘stakeholders’ and ‘economic pressures’ that influenced HRM in both sectors. On the other hand, whilst institutional factors categorised as coercive mechanisms such as labour laws, trade unions, regulatory bodies, and government policy were found to influence HRM, the degree of influence was much stronger in the public sector, due largely to weak enforcement of labour legislation and attempts by private organizations to adopt neo-liberal approaches in managing human resources. This finding resonates in part with new institutionalism (DiMaggio &amp; Powell, 1983); but more in line </w:t>
      </w:r>
      <w:r w:rsidR="001F6EB9" w:rsidRPr="00452E2E">
        <w:t xml:space="preserve">with </w:t>
      </w:r>
      <w:r w:rsidRPr="00452E2E">
        <w:t xml:space="preserve">the literature on segmented business system theory (Wood &amp; Frynas, 2006). Segmented business system theory ‘highlights uneven nature of institutional coverage and great internal variations according to firm type or sector’ (Wood &amp; Horwitz, 2015 p. 23). </w:t>
      </w:r>
    </w:p>
    <w:p w:rsidR="00D03A8E" w:rsidRPr="00452E2E" w:rsidRDefault="00D03A8E" w:rsidP="00D03A8E">
      <w:pPr>
        <w:spacing w:line="360" w:lineRule="auto"/>
        <w:jc w:val="both"/>
      </w:pPr>
      <w:r w:rsidRPr="00452E2E">
        <w:t xml:space="preserve">The second finding from study 1 which relates to the specific techniques of HRM adopted by public and private sector organizations indicate that whilst there was evidence of the use of best practices by few organizations across both sectors, the main difference found was that compared to public sector organizations, those in the private sector were more likely to adopt HR practices that were characterised by informality, low employee participation, cost-cutting and disregard for labour legislation. This is consistent with findings of research on HRM in Mozambique (Webster &amp; Wood, 2005; Wood </w:t>
      </w:r>
      <w:r w:rsidRPr="00452E2E">
        <w:rPr>
          <w:i/>
        </w:rPr>
        <w:t>et al</w:t>
      </w:r>
      <w:r w:rsidRPr="00452E2E">
        <w:t xml:space="preserve">., 2011) and also in line with the literature on segmented business system theory (Wood &amp; Frynas, 2006; Wood </w:t>
      </w:r>
      <w:r w:rsidRPr="00452E2E">
        <w:rPr>
          <w:i/>
        </w:rPr>
        <w:t>et al</w:t>
      </w:r>
      <w:r w:rsidRPr="00452E2E">
        <w:t>., 2011).</w:t>
      </w:r>
    </w:p>
    <w:p w:rsidR="00D03A8E" w:rsidRPr="00452E2E" w:rsidRDefault="00D03A8E" w:rsidP="00D03A8E">
      <w:pPr>
        <w:spacing w:line="360" w:lineRule="auto"/>
        <w:jc w:val="both"/>
      </w:pPr>
      <w:r w:rsidRPr="00452E2E">
        <w:t>Whilst the first finding specifically form</w:t>
      </w:r>
      <w:r w:rsidR="00EA7169" w:rsidRPr="00452E2E">
        <w:t>s</w:t>
      </w:r>
      <w:r w:rsidRPr="00452E2E">
        <w:t xml:space="preserve"> the basis for developing context-specific hypotheses for study 1 in the next chapter, the researcher </w:t>
      </w:r>
      <w:r w:rsidR="00402C3A" w:rsidRPr="00452E2E">
        <w:t>will</w:t>
      </w:r>
      <w:r w:rsidRPr="00452E2E">
        <w:t xml:space="preserve"> draw insights from these two findings to explain the results of study 2 which involves examining the </w:t>
      </w:r>
      <w:r w:rsidRPr="00452E2E">
        <w:lastRenderedPageBreak/>
        <w:t xml:space="preserve">effects of HR practices on employee attitudes in public and private sector. Meanwhile, the findings from study 1 along with those of study 2 </w:t>
      </w:r>
      <w:r w:rsidR="00402C3A" w:rsidRPr="00452E2E">
        <w:t>will</w:t>
      </w:r>
      <w:r w:rsidRPr="00452E2E">
        <w:t xml:space="preserve"> be discussed in detail in chapter eight.</w:t>
      </w:r>
    </w:p>
    <w:p w:rsidR="00D03A8E" w:rsidRPr="00452E2E" w:rsidRDefault="00D03A8E" w:rsidP="00D03A8E">
      <w:r w:rsidRPr="00452E2E">
        <w:br w:type="page"/>
      </w:r>
    </w:p>
    <w:p w:rsidR="00D03A8E" w:rsidRPr="00452E2E" w:rsidRDefault="00D03A8E" w:rsidP="00D03A8E">
      <w:pPr>
        <w:pStyle w:val="Heading1"/>
        <w:numPr>
          <w:ilvl w:val="0"/>
          <w:numId w:val="0"/>
        </w:numPr>
      </w:pPr>
      <w:bookmarkStart w:id="145" w:name="_Toc473808173"/>
      <w:r w:rsidRPr="00452E2E">
        <w:lastRenderedPageBreak/>
        <w:t>CHAPTER SIX</w:t>
      </w:r>
      <w:bookmarkEnd w:id="145"/>
    </w:p>
    <w:p w:rsidR="00D03A8E" w:rsidRPr="00452E2E" w:rsidRDefault="00B21255" w:rsidP="00D03A8E">
      <w:pPr>
        <w:pStyle w:val="Heading2"/>
      </w:pPr>
      <w:bookmarkStart w:id="146" w:name="_Toc465271196"/>
      <w:bookmarkStart w:id="147" w:name="_Toc473808174"/>
      <w:r w:rsidRPr="00452E2E">
        <w:t>DEVELOPING</w:t>
      </w:r>
      <w:r w:rsidR="00D03A8E" w:rsidRPr="00452E2E">
        <w:t xml:space="preserve"> HYPOTHESES FOR STUDY 2</w:t>
      </w:r>
      <w:bookmarkEnd w:id="146"/>
      <w:bookmarkEnd w:id="147"/>
    </w:p>
    <w:p w:rsidR="00D03A8E" w:rsidRPr="00452E2E" w:rsidRDefault="00D03A8E" w:rsidP="00D03A8E"/>
    <w:p w:rsidR="00D03A8E" w:rsidRPr="00452E2E" w:rsidRDefault="00D03A8E" w:rsidP="00170224">
      <w:pPr>
        <w:pStyle w:val="Heading3"/>
      </w:pPr>
      <w:bookmarkStart w:id="148" w:name="_Toc465271197"/>
      <w:bookmarkStart w:id="149" w:name="_Toc473808175"/>
      <w:r w:rsidRPr="00452E2E">
        <w:t>6.1 Introduction</w:t>
      </w:r>
      <w:bookmarkEnd w:id="148"/>
      <w:bookmarkEnd w:id="149"/>
    </w:p>
    <w:p w:rsidR="00D03A8E" w:rsidRPr="00452E2E" w:rsidRDefault="00D03A8E" w:rsidP="00D03A8E">
      <w:pPr>
        <w:spacing w:line="360" w:lineRule="auto"/>
        <w:jc w:val="both"/>
      </w:pPr>
      <w:r w:rsidRPr="00452E2E">
        <w:t xml:space="preserve">The aim of this chapter is to formulate hypotheses for study 2 which is concerned with examining the effects of HR practices on employee attitudes in public and private sector. Whilst the development of hypotheses </w:t>
      </w:r>
      <w:r w:rsidR="00EC6E6F" w:rsidRPr="00452E2E">
        <w:t>will</w:t>
      </w:r>
      <w:r w:rsidRPr="00452E2E">
        <w:t xml:space="preserve"> be guided by the literature on HRM and employee attitudes </w:t>
      </w:r>
      <w:r w:rsidR="00B60C45" w:rsidRPr="00452E2E">
        <w:t>generally (see chapter 3)</w:t>
      </w:r>
      <w:r w:rsidRPr="00452E2E">
        <w:t xml:space="preserve">, the findings from study 1 presented in the previous chapter </w:t>
      </w:r>
      <w:r w:rsidR="00CF4922" w:rsidRPr="00452E2E">
        <w:t>could</w:t>
      </w:r>
      <w:r w:rsidRPr="00452E2E">
        <w:t xml:space="preserve"> guide the formulation of context-specific hypotheses involving the moderation effects of sector. The chapter begins </w:t>
      </w:r>
      <w:r w:rsidR="00B60C45" w:rsidRPr="00452E2E">
        <w:t xml:space="preserve">with the formulation of </w:t>
      </w:r>
      <w:r w:rsidRPr="00452E2E">
        <w:t xml:space="preserve">hypotheses </w:t>
      </w:r>
      <w:r w:rsidR="00B60C45" w:rsidRPr="00452E2E">
        <w:t xml:space="preserve">showing the direct relationship between HR practices. </w:t>
      </w:r>
      <w:r w:rsidRPr="00452E2E">
        <w:t>This is followed by examining the mediating effect of procedural justice and the moderating effect of sector. Finally, the mediating effect of HR attributions and the moderating effects of sector are discussed, with relevant hypotheses presented.</w:t>
      </w:r>
    </w:p>
    <w:p w:rsidR="00D03A8E" w:rsidRPr="00452E2E" w:rsidRDefault="00D03A8E" w:rsidP="00170224">
      <w:pPr>
        <w:pStyle w:val="Heading3"/>
      </w:pPr>
      <w:bookmarkStart w:id="150" w:name="_Toc465271198"/>
      <w:bookmarkStart w:id="151" w:name="_Toc473808176"/>
      <w:r w:rsidRPr="00452E2E">
        <w:t xml:space="preserve">6.2 </w:t>
      </w:r>
      <w:bookmarkEnd w:id="150"/>
      <w:r w:rsidR="00F75649" w:rsidRPr="00452E2E">
        <w:t>The Direct Relationship between HR Practices and Employee Attitudes</w:t>
      </w:r>
      <w:bookmarkEnd w:id="151"/>
    </w:p>
    <w:p w:rsidR="00D03A8E" w:rsidRPr="00452E2E" w:rsidRDefault="00D03A8E" w:rsidP="00D03A8E">
      <w:pPr>
        <w:spacing w:line="360" w:lineRule="auto"/>
        <w:jc w:val="both"/>
        <w:rPr>
          <w:szCs w:val="24"/>
        </w:rPr>
      </w:pPr>
      <w:r w:rsidRPr="00452E2E">
        <w:rPr>
          <w:szCs w:val="24"/>
        </w:rPr>
        <w:t xml:space="preserve">Based on the </w:t>
      </w:r>
      <w:r w:rsidR="00313EDE" w:rsidRPr="00452E2E">
        <w:rPr>
          <w:szCs w:val="24"/>
        </w:rPr>
        <w:t xml:space="preserve">theoretical </w:t>
      </w:r>
      <w:r w:rsidRPr="00452E2E">
        <w:rPr>
          <w:szCs w:val="24"/>
        </w:rPr>
        <w:t xml:space="preserve">arguments </w:t>
      </w:r>
      <w:r w:rsidR="00313EDE" w:rsidRPr="00452E2E">
        <w:rPr>
          <w:szCs w:val="24"/>
        </w:rPr>
        <w:t xml:space="preserve">showing the link between HR practices and employee attitudes </w:t>
      </w:r>
      <w:r w:rsidRPr="00452E2E">
        <w:rPr>
          <w:szCs w:val="24"/>
        </w:rPr>
        <w:t xml:space="preserve">presented </w:t>
      </w:r>
      <w:r w:rsidR="00313EDE" w:rsidRPr="00452E2E">
        <w:rPr>
          <w:szCs w:val="24"/>
        </w:rPr>
        <w:t xml:space="preserve">in section 3.4.1 in chapter 3 and the results of previous studies (see sections 3.4.2 and 3.4.2 in chapter 3), </w:t>
      </w:r>
      <w:r w:rsidRPr="00452E2E">
        <w:rPr>
          <w:szCs w:val="24"/>
        </w:rPr>
        <w:t>it is hypothesized as follows:</w:t>
      </w:r>
    </w:p>
    <w:p w:rsidR="00D03A8E" w:rsidRPr="00452E2E" w:rsidRDefault="00D03A8E" w:rsidP="00D03A8E">
      <w:pPr>
        <w:spacing w:line="240" w:lineRule="auto"/>
        <w:jc w:val="both"/>
      </w:pPr>
      <w:r w:rsidRPr="00452E2E">
        <w:rPr>
          <w:i/>
        </w:rPr>
        <w:t>Hypothesis 1</w:t>
      </w:r>
      <w:r w:rsidRPr="00452E2E">
        <w:t xml:space="preserve">: </w:t>
      </w:r>
      <w:r w:rsidRPr="00452E2E">
        <w:tab/>
        <w:t xml:space="preserve">There is a positive relationship between HR practices and job satisfaction. </w:t>
      </w:r>
    </w:p>
    <w:p w:rsidR="00D03A8E" w:rsidRPr="00452E2E" w:rsidRDefault="00D03A8E" w:rsidP="00D03A8E">
      <w:pPr>
        <w:spacing w:line="240" w:lineRule="auto"/>
        <w:jc w:val="both"/>
      </w:pPr>
      <w:r w:rsidRPr="00452E2E">
        <w:rPr>
          <w:i/>
        </w:rPr>
        <w:t>Hypothesis 2a</w:t>
      </w:r>
      <w:r w:rsidR="00294BAC" w:rsidRPr="00452E2E">
        <w:t xml:space="preserve">: </w:t>
      </w:r>
      <w:r w:rsidRPr="00452E2E">
        <w:t xml:space="preserve">There is a positive relationship between HR practices and affective commitment. </w:t>
      </w:r>
    </w:p>
    <w:p w:rsidR="00D03A8E" w:rsidRPr="00452E2E" w:rsidRDefault="00D03A8E" w:rsidP="00D03A8E">
      <w:pPr>
        <w:spacing w:line="240" w:lineRule="auto"/>
        <w:jc w:val="both"/>
      </w:pPr>
      <w:r w:rsidRPr="00452E2E">
        <w:rPr>
          <w:i/>
        </w:rPr>
        <w:t>Hypothesis 2b</w:t>
      </w:r>
      <w:r w:rsidRPr="00452E2E">
        <w:t xml:space="preserve">: There is a positive relationship between HR practices and normative commitment. </w:t>
      </w:r>
    </w:p>
    <w:p w:rsidR="00D03A8E" w:rsidRPr="00452E2E" w:rsidRDefault="00D03A8E" w:rsidP="00D03A8E">
      <w:pPr>
        <w:spacing w:line="240" w:lineRule="auto"/>
        <w:jc w:val="both"/>
      </w:pPr>
      <w:r w:rsidRPr="00452E2E">
        <w:rPr>
          <w:i/>
        </w:rPr>
        <w:t>Hypothesis 2c</w:t>
      </w:r>
      <w:r w:rsidRPr="00452E2E">
        <w:t xml:space="preserve">: There is a positive relationship between HR practices and continuance commitment. </w:t>
      </w:r>
    </w:p>
    <w:p w:rsidR="00D03A8E" w:rsidRPr="00452E2E" w:rsidRDefault="00D03A8E" w:rsidP="00D03A8E">
      <w:pPr>
        <w:spacing w:line="360" w:lineRule="auto"/>
        <w:jc w:val="both"/>
        <w:rPr>
          <w:b/>
        </w:rPr>
      </w:pPr>
    </w:p>
    <w:p w:rsidR="00D03A8E" w:rsidRPr="00452E2E" w:rsidRDefault="00D03A8E" w:rsidP="00170224">
      <w:pPr>
        <w:pStyle w:val="Heading3"/>
      </w:pPr>
      <w:bookmarkStart w:id="152" w:name="_Toc465271199"/>
      <w:bookmarkStart w:id="153" w:name="_Toc473808177"/>
      <w:r w:rsidRPr="00452E2E">
        <w:t>6.3 The Mediating Role of Procedural Justice and the Moderating Effect of Sector</w:t>
      </w:r>
      <w:bookmarkEnd w:id="152"/>
      <w:bookmarkEnd w:id="153"/>
    </w:p>
    <w:p w:rsidR="00D03A8E" w:rsidRPr="00452E2E" w:rsidRDefault="00D03A8E" w:rsidP="00D03A8E">
      <w:pPr>
        <w:spacing w:line="360" w:lineRule="auto"/>
        <w:jc w:val="both"/>
      </w:pPr>
      <w:r w:rsidRPr="00452E2E">
        <w:t xml:space="preserve">Despite research evidence establishing a positive effects of HR practices on employee attitudes, researchers have realized that this relationship is not always direct and may depend on other variables </w:t>
      </w:r>
      <w:r w:rsidRPr="00452E2E">
        <w:fldChar w:fldCharType="begin" w:fldLock="1"/>
      </w:r>
      <w:r w:rsidRPr="00452E2E">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"id" : "ITEM-2", "itemData" : { "abstract" : "UN ART\u00cdCULO SOBRE C\u00d3MO LAS PERSONAS PERCIBEN LAS PR\u00c1CTICAS PARA EL ART\u00cdCULO 2. No utiliza informaci\u00f3n de la direcci\u00f3n (single ifnromant - a nivel de trabajador). No es multinivel", "author" : [ { "dropping-particle" : "", "family" : "Boon", "given" : "Corine", "non-dropping-particle" : "", "parse-names" : false, "suffix" : "" }, { "dropping-particle" : "", "family" : "Hartog", "given" : "Deanne", "non-dropping-particle" : "Den", "parse-names" : false, "suffix" : "" }, { "dropping-particle" : "", "family" : "Boselie", "given" : "Paul", "non-dropping-particle" : "", "parse-names" : false, "suffix" : "" }, { "dropping-particle" : "", "family" : "Paauwe", "given" : "Jaap", "non-dropping-particle" : "", "parse-names" : false, "suffix" : "" } ], "container-title" : "The International Journal of Human Resource Management", "id" : "ITEM-2", "issue" : "1", "issued" : { "date-parts" : [ [ "2011" ] ] }, "page" : "138-162", "title" : "The relationship between perceptions of HR practices and employee outcomes: Examining the role of person\u2013organisation and person\u2013job fit", "type" : "article-journal", "volume" : "22" }, "uris" : [ "http://www.mendeley.com/documents/?uuid=72bc470f-5d56-44e6-a128-94410e7a3f77" ] }, { "id" : "ITEM-3",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"ITEM-3", "issue" : "1", "issued" : { "date-parts" : [ [ "2011" ] ] }, "page" : "5-23", "title" : "High commitment performance management: the roles of justice and trust", "type" : "article-journal", "volume" : "40" }, "uris" : [ "http://www.mendeley.com/documents/?uuid=1d416136-441a-4178-a5d0-8f497239e9e4" ] }, { "id" : "ITEM-4",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"ITEM-4", "issue" : "2", "issued" : { "date-parts" : [ [ "2016" ] ] }, "page" : "451-466", "title" : "High-performance work systems and job satisfaction: A multilevel model", "type" : "article-journal", "volume" : "31" }, "uris" : [ "http://www.mendeley.com/documents/?uuid=510679f5-e4b3-41b7-a365-8ece414591d1" ] } ], "mendeley" : { "formattedCitation" : "(Wright &amp; Kim 2004; Boon et al. 2011; Farndale, Hope-Hailey, et al. 2011; Garc\u00eda-Chas et al. 2016)", "manualFormatting" : "(Wright &amp; Kim, 2004; Farndale et al., 2011; Hefferman &amp; Dundon, 2016)", "plainTextFormattedCitation" : "(Wright &amp; Kim 2004; Boon et al. 2011; Farndale, Hope-Hailey, et al. 2011; Garc\u00eda-Chas et al. 2016)", "previouslyFormattedCitation" : "(Wright &amp; Kim 2004; Boon et al. 2011; Farndale, Hope-Hailey, et al. 2011; Garc\u00eda-Chas et al. 2016)" }, "properties" : { "noteIndex" : 0 }, "schema" : "https://github.com/citation-style-language/schema/raw/master/csl-citation.json" }</w:instrText>
      </w:r>
      <w:r w:rsidRPr="00452E2E">
        <w:fldChar w:fldCharType="separate"/>
      </w:r>
      <w:r w:rsidRPr="00452E2E">
        <w:rPr>
          <w:noProof/>
        </w:rPr>
        <w:t xml:space="preserve">(Wright &amp; Kim, 2004; Farndale </w:t>
      </w:r>
      <w:r w:rsidRPr="00452E2E">
        <w:rPr>
          <w:i/>
          <w:noProof/>
        </w:rPr>
        <w:t>et al</w:t>
      </w:r>
      <w:r w:rsidRPr="00452E2E">
        <w:rPr>
          <w:noProof/>
        </w:rPr>
        <w:t xml:space="preserve">., </w:t>
      </w:r>
      <w:r w:rsidRPr="00452E2E">
        <w:rPr>
          <w:noProof/>
        </w:rPr>
        <w:lastRenderedPageBreak/>
        <w:t>2011; Hefferman &amp; Dundon, 2016)</w:t>
      </w:r>
      <w:r w:rsidRPr="00452E2E">
        <w:fldChar w:fldCharType="end"/>
      </w:r>
      <w:r w:rsidRPr="00452E2E">
        <w:t xml:space="preserve">. Hence, the need to for researchers and practitioners to have a better understanding of the process by which HR practices can relate to employee attitudes has been highlighted by many scholars </w:t>
      </w:r>
      <w:r w:rsidRPr="00452E2E">
        <w:fldChar w:fldCharType="begin" w:fldLock="1"/>
      </w:r>
      <w:r w:rsidRPr="00452E2E">
        <w:instrText>ADDIN CSL_CITATION { "citationItems" : [ { "id" : "ITEM-1",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"id" : "ITEM-2", "itemData" : { "author" : [ { "dropping-particle" : "", "family" : "Ollo-L\u00f3pez", "given" : "A", "non-dropping-particle" : "", "parse-names" : false, "suffix" : "" }, { "dropping-particle" : "", "family" : "Bayo-Moriones", "given" : "A", "non-dropping-particle" : "", "parse-names" : false, "suffix" : "" }, { "dropping-particle" : "", "family" : "Larraza-Kintana", "given" : "M", "non-dropping-particle" : "", "parse-names" : false, "suffix" : "" } ], "container-title" : "Employee Relations", "id" : "ITEM-2", "issue" : "4", "issued" : { "date-parts" : [ [ "2016" ] ] }, "page" : "620-642", "title" : "Disentangling the relationship between high-involvement-work-systems and job satisfaction", "type" : "article-journal", "volume" : "38" }, "uris" : [ "http://www.mendeley.com/documents/?uuid=6204f3e9-0dd6-4974-b029-46f489e701a3" ] } ], "mendeley" : { "formattedCitation" : "(Heffernan &amp; Dundon 2016; Ollo-L\u00f3pez et al. 2016)", "manualFormatting" : "(Heffernan &amp; Dundon, 2016; Ollo-L\u00f3pez et al., 2016)", "plainTextFormattedCitation" : "(Heffernan &amp; Dundon 2016; Ollo-L\u00f3pez et al. 2016)", "previouslyFormattedCitation" : "(Heffernan &amp; Dundon 2016; Ollo-L\u00f3pez et al. 2016)" }, "properties" : { "noteIndex" : 0 }, "schema" : "https://github.com/citation-style-language/schema/raw/master/csl-citation.json" }</w:instrText>
      </w:r>
      <w:r w:rsidRPr="00452E2E">
        <w:fldChar w:fldCharType="separate"/>
      </w:r>
      <w:r w:rsidRPr="00452E2E">
        <w:rPr>
          <w:noProof/>
        </w:rPr>
        <w:t xml:space="preserve">(Heffernan &amp; Dundon, 2016; Ollo-López </w:t>
      </w:r>
      <w:r w:rsidRPr="00452E2E">
        <w:rPr>
          <w:i/>
          <w:noProof/>
        </w:rPr>
        <w:t>et al</w:t>
      </w:r>
      <w:r w:rsidRPr="00452E2E">
        <w:rPr>
          <w:noProof/>
        </w:rPr>
        <w:t>., 2016)</w:t>
      </w:r>
      <w:r w:rsidRPr="00452E2E">
        <w:fldChar w:fldCharType="end"/>
      </w:r>
      <w:r w:rsidRPr="00452E2E">
        <w:t xml:space="preserve">. One of such variables through which HR practices can relate to employee attitudes is organizational justice </w:t>
      </w:r>
      <w:r w:rsidRPr="00452E2E">
        <w:fldChar w:fldCharType="begin" w:fldLock="1"/>
      </w:r>
      <w:r w:rsidRPr="00452E2E">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"ITEM-2",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"ITEM-2",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"ITEM-3",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"ITEM-3",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"(Wu &amp; Chaturvedi 2009; Ko &amp; Hur 2014; Heffernan &amp; Dundon 2016)", "manualFormatting" : "(Wu &amp; Chaturvedi, 2009; Ko &amp; Hur, 2014; Heffernan &amp; Dundon, 2016)", "plainTextFormattedCitation" : "(Wu &amp; Chaturvedi 2009; Ko &amp; Hur 2014; Heffernan &amp; Dundon 2016)", "previouslyFormattedCitation" : "(Wu &amp; Chaturvedi 2009; Ko &amp; Hur 2014; Heffernan &amp; Dundon 2016)" }, "properties" : { "noteIndex" : 0 }, "schema" : "https://github.com/citation-style-language/schema/raw/master/csl-citation.json" }</w:instrText>
      </w:r>
      <w:r w:rsidRPr="00452E2E">
        <w:fldChar w:fldCharType="separate"/>
      </w:r>
      <w:r w:rsidRPr="00452E2E">
        <w:rPr>
          <w:noProof/>
        </w:rPr>
        <w:t>(Wu &amp; Chaturvedi, 2009; Ko &amp; Hur, 2014; Heffernan &amp; Dundon, 2016)</w:t>
      </w:r>
      <w:r w:rsidRPr="00452E2E">
        <w:fldChar w:fldCharType="end"/>
      </w:r>
      <w:r w:rsidRPr="00452E2E">
        <w:t xml:space="preserve">. “Organizational justice is concerned with the ways in which employees determine if they have been treated fairly in their jobs and the ways in which those determinations influence other work-related variables” </w:t>
      </w:r>
      <w:r w:rsidRPr="00452E2E">
        <w:fldChar w:fldCharType="begin" w:fldLock="1"/>
      </w:r>
      <w:r w:rsidRPr="00452E2E">
        <w:instrText>ADDIN CSL_CITATION { "citationItems" : [ { "id" : "ITEM-1", "itemData" : { "author" : [ { "dropping-particle" : "", "family" : "Moorman", "given" : "Robert H", "non-dropping-particle" : "", "parse-names" : false, "suffix" : "" } ], "container-title" : "Journal of Applied Psychology", "id" : "ITEM-1", "issue" : "6", "issued" : { "date-parts" : [ [ "1991" ] ] }, "page" : "845-855", "title" : "Relationship between organizational justice and organizational citizenship behaviors : Do fairness perceptions influence employee citizenship?", "type" : "article-journal", "volume" : "76" }, "uris" : [ "http://www.mendeley.com/documents/?uuid=f6bc80b6-d493-40f6-8f3d-7e39d4a3d62c" ] } ], "mendeley" : { "formattedCitation" : "(Moorman 1991)", "manualFormatting" : "(Moorman 1991 p. 845)", "plainTextFormattedCitation" : "(Moorman 1991)", "previouslyFormattedCitation" : "(Moorman 1991)" }, "properties" : { "noteIndex" : 0 }, "schema" : "https://github.com/citation-style-language/schema/raw/master/csl-citation.json" }</w:instrText>
      </w:r>
      <w:r w:rsidRPr="00452E2E">
        <w:fldChar w:fldCharType="separate"/>
      </w:r>
      <w:r w:rsidRPr="00452E2E">
        <w:rPr>
          <w:noProof/>
        </w:rPr>
        <w:t>(Moorman 1991 p. 845)</w:t>
      </w:r>
      <w:r w:rsidRPr="00452E2E">
        <w:fldChar w:fldCharType="end"/>
      </w:r>
      <w:r w:rsidRPr="00452E2E">
        <w:t xml:space="preserve">. It emphasizes that organizations function effectively when they operate on the principles of justice and fairness </w:t>
      </w:r>
      <w:r w:rsidRPr="00452E2E">
        <w:fldChar w:fldCharType="begin" w:fldLock="1"/>
      </w:r>
      <w:r w:rsidRPr="00452E2E">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"mendeley" : { "formattedCitation" : "(Farndale, Hope-Hailey, et al. 2011)", "manualFormatting" : "(Farndale et al., 2011)", "plainTextFormattedCitation" : "(Farndale, Hope-Hailey, et al. 2011)", "previouslyFormattedCitation" : "(Farndale, Hope-Hailey, et al. 2011)" }, "properties" : { "noteIndex" : 0 }, "schema" : "https://github.com/citation-style-language/schema/raw/master/csl-citation.json" }</w:instrText>
      </w:r>
      <w:r w:rsidRPr="00452E2E">
        <w:fldChar w:fldCharType="separate"/>
      </w:r>
      <w:r w:rsidRPr="00452E2E">
        <w:rPr>
          <w:noProof/>
        </w:rPr>
        <w:t xml:space="preserve">(Farndale </w:t>
      </w:r>
      <w:r w:rsidRPr="00452E2E">
        <w:rPr>
          <w:i/>
          <w:noProof/>
        </w:rPr>
        <w:t>et al</w:t>
      </w:r>
      <w:r w:rsidRPr="00452E2E">
        <w:rPr>
          <w:noProof/>
        </w:rPr>
        <w:t>., 2011)</w:t>
      </w:r>
      <w:r w:rsidRPr="00452E2E">
        <w:fldChar w:fldCharType="end"/>
      </w:r>
      <w:r w:rsidRPr="00452E2E">
        <w:t xml:space="preserve">. This means that organizational justice is an important yardstick for employees to gauge their relationship with the organization </w:t>
      </w:r>
      <w:r w:rsidRPr="00452E2E">
        <w:fldChar w:fldCharType="begin" w:fldLock="1"/>
      </w:r>
      <w:r w:rsidRPr="00452E2E">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"mendeley" : { "formattedCitation" : "(Farndale, Hope-Hailey, et al. 2011)", "manualFormatting" : "(Farndale et al., 2011; Ko &amp; Hur, 2014)", "plainTextFormattedCitation" : "(Farndale, Hope-Hailey, et al. 2011)", "previouslyFormattedCitation" : "(Farndale, Hope-Hailey, et al. 2011)" }, "properties" : { "noteIndex" : 0 }, "schema" : "https://github.com/citation-style-language/schema/raw/master/csl-citation.json" }</w:instrText>
      </w:r>
      <w:r w:rsidRPr="00452E2E">
        <w:fldChar w:fldCharType="separate"/>
      </w:r>
      <w:r w:rsidRPr="00452E2E">
        <w:rPr>
          <w:noProof/>
        </w:rPr>
        <w:t xml:space="preserve">(Farndale </w:t>
      </w:r>
      <w:r w:rsidRPr="00452E2E">
        <w:rPr>
          <w:i/>
          <w:noProof/>
        </w:rPr>
        <w:t>et al</w:t>
      </w:r>
      <w:r w:rsidRPr="00452E2E">
        <w:rPr>
          <w:noProof/>
        </w:rPr>
        <w:t>., 2011; Ko &amp; Hur, 2014)</w:t>
      </w:r>
      <w:r w:rsidRPr="00452E2E">
        <w:fldChar w:fldCharType="end"/>
      </w:r>
      <w:r w:rsidRPr="00452E2E">
        <w:t xml:space="preserve">. </w:t>
      </w:r>
    </w:p>
    <w:p w:rsidR="00D03A8E" w:rsidRPr="00452E2E" w:rsidRDefault="00E05EB5" w:rsidP="00D03A8E">
      <w:pPr>
        <w:spacing w:line="360" w:lineRule="auto"/>
        <w:jc w:val="both"/>
      </w:pPr>
      <w:r w:rsidRPr="00452E2E">
        <w:t>O</w:t>
      </w:r>
      <w:r w:rsidR="00D03A8E" w:rsidRPr="00452E2E">
        <w:t xml:space="preserve">rganizations can build social exchange relationships with employees by being fair to them </w:t>
      </w:r>
      <w:r w:rsidR="00D03A8E" w:rsidRPr="00452E2E">
        <w:fldChar w:fldCharType="begin" w:fldLock="1"/>
      </w:r>
      <w:r w:rsidR="00D03A8E" w:rsidRPr="00452E2E">
        <w:instrText>ADDIN CSL_CITATION { "citationItems" : [ { "id" : "ITEM-1",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"ITEM-1",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"mendeley" : { "formattedCitation" : "(Ko &amp; Hur 2014)", "manualFormatting" : "(Ko &amp; Hur, 2014)", "plainTextFormattedCitation" : "(Ko &amp; Hur 2014)", "previouslyFormattedCitation" : "(Ko &amp; Hur 2014)" }, "properties" : { "noteIndex" : 0 }, "schema" : "https://github.com/citation-style-language/schema/raw/master/csl-citation.json" }</w:instrText>
      </w:r>
      <w:r w:rsidR="00D03A8E" w:rsidRPr="00452E2E">
        <w:fldChar w:fldCharType="separate"/>
      </w:r>
      <w:r w:rsidR="00D03A8E" w:rsidRPr="00452E2E">
        <w:rPr>
          <w:noProof/>
        </w:rPr>
        <w:t>(Ko &amp; Hur, 2014)</w:t>
      </w:r>
      <w:r w:rsidR="00D03A8E" w:rsidRPr="00452E2E">
        <w:fldChar w:fldCharType="end"/>
      </w:r>
      <w:r w:rsidR="00D03A8E" w:rsidRPr="00452E2E">
        <w:t xml:space="preserve">. Researchers interested in understanding justice perceptions in organizations have identified three types of organizational justice namely, distributive, procedural, and interactional justice </w:t>
      </w:r>
      <w:r w:rsidR="00D03A8E" w:rsidRPr="00452E2E">
        <w:fldChar w:fldCharType="begin" w:fldLock="1"/>
      </w:r>
      <w:r w:rsidR="00D03A8E" w:rsidRPr="00452E2E">
        <w:instrText>ADDIN CSL_CITATION { "citationItems" : [ { "id" : "ITEM-1", "itemData" : { "author" : [ { "dropping-particle" : "", "family" : "Colquitt", "given" : "Jason A.", "non-dropping-particle" : "", "parse-names" : false, "suffix" : "" }, { "dropping-particle" : "", "family" : "Conlon", "given" : "D.E", "non-dropping-particle" : "", "parse-names" : false, "suffix" : "" }, { "dropping-particle" : "", "family" : "Wesson", "given" : "M.J", "non-dropping-particle" : "", "parse-names" : false, "suffix" : "" }, { "dropping-particle" : "", "family" : "Porter", "given" : "C.O", "non-dropping-particle" : "", "parse-names" : false, "suffix" : "" }, { "dropping-particle" : "", "family" : "Ng", "given" : "K.Y", "non-dropping-particle" : "", "parse-names" : false, "suffix" : "" } ], "container-title" : "Journal of Applied Psychology", "id" : "ITEM-1", "issue" : "3", "issued" : { "date-parts" : [ [ "2001" ] ] }, "page" : "425-445", "title" : "Justice at the millenium: A meta-analytic review of 25 years of organizational justice research", "type" : "article-journal", "volume" : "86" }, "uris" : [ "http://www.mendeley.com/documents/?uuid=d6aad5e6-045b-44c5-96fd-6b9e825fcf24" ] } ], "mendeley" : { "formattedCitation" : "(Colquitt et al. 2001)", "manualFormatting" : "(Colquitt et al., 2001)", "plainTextFormattedCitation" : "(Colquitt et al. 2001)", "previouslyFormattedCitation" : "(Colquitt et al. 2001)" }, "properties" : { "noteIndex" : 0 }, "schema" : "https://github.com/citation-style-language/schema/raw/master/csl-citation.json" }</w:instrText>
      </w:r>
      <w:r w:rsidR="00D03A8E" w:rsidRPr="00452E2E">
        <w:fldChar w:fldCharType="separate"/>
      </w:r>
      <w:r w:rsidR="00D03A8E" w:rsidRPr="00452E2E">
        <w:rPr>
          <w:noProof/>
        </w:rPr>
        <w:t xml:space="preserve">(Colquitt </w:t>
      </w:r>
      <w:r w:rsidR="00D03A8E" w:rsidRPr="00452E2E">
        <w:rPr>
          <w:i/>
          <w:noProof/>
        </w:rPr>
        <w:t>et al</w:t>
      </w:r>
      <w:r w:rsidR="00D03A8E" w:rsidRPr="00452E2E">
        <w:rPr>
          <w:noProof/>
        </w:rPr>
        <w:t>., 2001)</w:t>
      </w:r>
      <w:r w:rsidR="00D03A8E" w:rsidRPr="00452E2E">
        <w:fldChar w:fldCharType="end"/>
      </w:r>
      <w:r w:rsidR="00D03A8E" w:rsidRPr="00452E2E">
        <w:t xml:space="preserve">. Distributive justice is the evaluation of whether the outcome received is fair; procedural justice is the perception of fairness of the procedures leading to the allocation of outcomes; whilst interactional justice is the perception of the interpersonal relationship with superiors </w:t>
      </w:r>
      <w:r w:rsidR="00D03A8E" w:rsidRPr="00452E2E">
        <w:fldChar w:fldCharType="begin" w:fldLock="1"/>
      </w:r>
      <w:r w:rsidR="00D03A8E" w:rsidRPr="00452E2E">
        <w:instrText>ADDIN CSL_CITATION { "citationItems" : [ { "id" : "ITEM-1", "itemData" : { "author" : [ { "dropping-particle" : "", "family" : "Colquitt", "given" : "Jason A.", "non-dropping-particle" : "", "parse-names" : false, "suffix" : "" }, { "dropping-particle" : "", "family" : "Conlon", "given" : "D.E", "non-dropping-particle" : "", "parse-names" : false, "suffix" : "" }, { "dropping-particle" : "", "family" : "Wesson", "given" : "M.J", "non-dropping-particle" : "", "parse-names" : false, "suffix" : "" }, { "dropping-particle" : "", "family" : "Porter", "given" : "C.O", "non-dropping-particle" : "", "parse-names" : false, "suffix" : "" }, { "dropping-particle" : "", "family" : "Ng", "given" : "K.Y", "non-dropping-particle" : "", "parse-names" : false, "suffix" : "" } ], "container-title" : "Journal of Applied Psychology", "id" : "ITEM-1", "issue" : "3", "issued" : { "date-parts" : [ [ "2001" ] ] }, "page" : "425-445", "title" : "Justice at the millenium: A meta-analytic review of 25 years of organizational justice research", "type" : "article-journal", "volume" : "86" }, "uris" : [ "http://www.mendeley.com/documents/?uuid=d6aad5e6-045b-44c5-96fd-6b9e825fcf24" ] } ], "mendeley" : { "formattedCitation" : "(Colquitt et al. 2001)", "manualFormatting" : "(Colquitt et al., 2001)", "plainTextFormattedCitation" : "(Colquitt et al. 2001)", "previouslyFormattedCitation" : "(Colquitt et al. 2001)" }, "properties" : { "noteIndex" : 0 }, "schema" : "https://github.com/citation-style-language/schema/raw/master/csl-citation.json" }</w:instrText>
      </w:r>
      <w:r w:rsidR="00D03A8E" w:rsidRPr="00452E2E">
        <w:fldChar w:fldCharType="separate"/>
      </w:r>
      <w:r w:rsidR="00D03A8E" w:rsidRPr="00452E2E">
        <w:rPr>
          <w:noProof/>
        </w:rPr>
        <w:t xml:space="preserve">(Colquitt </w:t>
      </w:r>
      <w:r w:rsidR="00D03A8E" w:rsidRPr="00452E2E">
        <w:rPr>
          <w:i/>
          <w:noProof/>
        </w:rPr>
        <w:t>et al</w:t>
      </w:r>
      <w:r w:rsidR="00D03A8E" w:rsidRPr="00452E2E">
        <w:rPr>
          <w:noProof/>
        </w:rPr>
        <w:t>., 2001)</w:t>
      </w:r>
      <w:r w:rsidR="00D03A8E" w:rsidRPr="00452E2E">
        <w:fldChar w:fldCharType="end"/>
      </w:r>
      <w:r w:rsidR="00D03A8E" w:rsidRPr="00452E2E">
        <w:t xml:space="preserve">. Although all three types of justice are important, procedural justice, which is the focus of this research has been found to be the strongest predictor of attitudes and behaviour </w:t>
      </w:r>
      <w:r w:rsidR="00D03A8E" w:rsidRPr="00452E2E">
        <w:fldChar w:fldCharType="begin" w:fldLock="1"/>
      </w:r>
      <w:r w:rsidR="00D03A8E" w:rsidRPr="00452E2E">
        <w:instrText>ADDIN CSL_CITATION { "citationItems" : [ { "id" : "ITEM-1", "itemData" : { "author" : [ { "dropping-particle" : "", "family" : "Sweeney", "given" : "P.D", "non-dropping-particle" : "", "parse-names" : false, "suffix" : "" }, { "dropping-particle" : "", "family" : "McFarlin", "given" : "D.B", "non-dropping-particle" : "", "parse-names" : false, "suffix" : "" } ], "container-title" : "Organizational Behavior and Human Decision Processes", "id" : "ITEM-1", "issued" : { "date-parts" : [ [ "1993" ] ] }, "page" : "23-40", "title" : "Workers' evaluations of the \"ends\" and \"means\": An examination of four models of distributive and procedural justice", "type" : "article-journal", "volume" : "55" }, "uris" : [ "http://www.mendeley.com/documents/?uuid=93ff399b-83e7-4b06-9b92-1ca2707a3414" ] }, { "id" : "ITEM-2", "itemData" : { "abstract" : "The correlates of distributive, procedural, and interactional justice were examined using 190 studies samples, totaling 64,757 participants. We found the distinction between the three justice types to be merited. While organizational practices and outcomes were related to the three justice types, demographic characteris-tics of the perceiver were, in large part, unrelated to perceived justice. were mainly related to procedural justice, whereas organizational citizenship behavior was similarly predicted by distributive and procedural justice. Most satisfaction measures were similarly related to all justice types. Although organizational commitment and trust were mainly related to procedural justice, they were also substan-tially related to the other types of justice. Findings from labora-tory and field studies are not always in agreement. Future research agendas are discussed. \u1b67", "author" : [ { "dropping-particle" : "", "family" : "Cohen-Charash", "given" : "Yochi", "non-dropping-particle" : "", "parse-names" : false, "suffix" : "" }, { "dropping-particle" : "", "family" : "Spector", "given" : "Paul E", "non-dropping-particle" : "", "parse-names" : false, "suffix" : "" } ], "container-title" : "Organizational Behavior and Human Decision Processes", "id" : "ITEM-2", "issue" : "2", "issued" : { "date-parts" : [ [ "2001" ] ] }, "page" : "278-321", "title" : "The role of justice in organizations: A meta-analysis", "type" : "article-journal", "volume" : "86" }, "uris" : [ "http://www.mendeley.com/documents/?uuid=7c08a527-14a0-4b2a-8c8f-695a84970df6" ] } ], "mendeley" : { "formattedCitation" : "(Sweeney &amp; McFarlin 1993; Cohen-Charash &amp; Spector 2001)", "manualFormatting" : "(Sweeney &amp; McFarlin, 1993; Cohen-Charash &amp; Spector, 2001)", "plainTextFormattedCitation" : "(Sweeney &amp; McFarlin 1993; Cohen-Charash &amp; Spector 2001)", "previouslyFormattedCitation" : "(Sweeney &amp; McFarlin 1993; Cohen-Charash &amp; Spector 2001)" }, "properties" : { "noteIndex" : 0 }, "schema" : "https://github.com/citation-style-language/schema/raw/master/csl-citation.json" }</w:instrText>
      </w:r>
      <w:r w:rsidR="00D03A8E" w:rsidRPr="00452E2E">
        <w:fldChar w:fldCharType="separate"/>
      </w:r>
      <w:r w:rsidR="00D03A8E" w:rsidRPr="00452E2E">
        <w:rPr>
          <w:noProof/>
        </w:rPr>
        <w:t>(Sweeney &amp; McFarlin, 1993; Cohen-Charash &amp; Spector, 2001)</w:t>
      </w:r>
      <w:r w:rsidR="00D03A8E" w:rsidRPr="00452E2E">
        <w:fldChar w:fldCharType="end"/>
      </w:r>
      <w:r w:rsidR="00D03A8E" w:rsidRPr="00452E2E">
        <w:t>.</w:t>
      </w:r>
    </w:p>
    <w:p w:rsidR="00D03A8E" w:rsidRPr="00452E2E" w:rsidRDefault="00D03A8E" w:rsidP="00D03A8E">
      <w:pPr>
        <w:spacing w:line="360" w:lineRule="auto"/>
        <w:jc w:val="both"/>
      </w:pPr>
      <w:r w:rsidRPr="00452E2E">
        <w:t xml:space="preserve">Fairness of processes in organizations send signals to employees that their well-being is valued by the organization. Based on social exchange, employees will likely respond with positive attitudes. Previous studies have established a positive relationship between procedural justice and employee attitudes such as job satisfaction </w:t>
      </w:r>
      <w:r w:rsidRPr="00452E2E">
        <w:fldChar w:fldCharType="begin" w:fldLock="1"/>
      </w:r>
      <w:r w:rsidRPr="00452E2E">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"ITEM-2",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"ITEM-2",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"ITEM-3",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"ITEM-3",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"(Wu &amp; Chaturvedi 2009; Ko &amp; Hur 2014; Heffernan &amp; Dundon 2016)", "plainTextFormattedCitation" : "(Wu &amp; Chaturvedi 2009; Ko &amp; Hur 2014; Heffernan &amp; Dundon 2016)", "previouslyFormattedCitation" : "(Wu &amp; Chaturvedi 2009; Ko &amp; Hur 2014; Heffernan &amp; Dundon 2016)" }, "properties" : { "noteIndex" : 0 }, "schema" : "https://github.com/citation-style-language/schema/raw/master/csl-citation.json" }</w:instrText>
      </w:r>
      <w:r w:rsidRPr="00452E2E">
        <w:fldChar w:fldCharType="separate"/>
      </w:r>
      <w:r w:rsidRPr="00452E2E">
        <w:rPr>
          <w:noProof/>
        </w:rPr>
        <w:t>(Wu &amp; Chaturvedi</w:t>
      </w:r>
      <w:r w:rsidR="000E7283" w:rsidRPr="00452E2E">
        <w:rPr>
          <w:noProof/>
        </w:rPr>
        <w:t>,</w:t>
      </w:r>
      <w:r w:rsidRPr="00452E2E">
        <w:rPr>
          <w:noProof/>
        </w:rPr>
        <w:t xml:space="preserve"> 2009; Ko &amp; Hur</w:t>
      </w:r>
      <w:r w:rsidR="000E7283" w:rsidRPr="00452E2E">
        <w:rPr>
          <w:noProof/>
        </w:rPr>
        <w:t>,</w:t>
      </w:r>
      <w:r w:rsidRPr="00452E2E">
        <w:rPr>
          <w:noProof/>
        </w:rPr>
        <w:t xml:space="preserve"> 2014; Heffernan &amp; Dundon</w:t>
      </w:r>
      <w:r w:rsidR="000E7283" w:rsidRPr="00452E2E">
        <w:rPr>
          <w:noProof/>
        </w:rPr>
        <w:t>,</w:t>
      </w:r>
      <w:r w:rsidRPr="00452E2E">
        <w:rPr>
          <w:noProof/>
        </w:rPr>
        <w:t xml:space="preserve"> 2016)</w:t>
      </w:r>
      <w:r w:rsidRPr="00452E2E">
        <w:fldChar w:fldCharType="end"/>
      </w:r>
      <w:r w:rsidRPr="00452E2E">
        <w:t xml:space="preserve">;  affective commitment </w:t>
      </w:r>
      <w:r w:rsidRPr="00452E2E">
        <w:fldChar w:fldCharType="begin" w:fldLock="1"/>
      </w:r>
      <w:r w:rsidRPr="00452E2E">
        <w:instrText>ADDIN CSL_CITATION { "citationItems" : [ { "id" : "ITEM-1", "itemData" : { "DOI" : "10.1007/BF01419445", "ISBN" : "08927545", "ISSN" : "08927545", "PMID" : "9312281849", "abstract" : "This article presents information related to the relative contribution of perceptions of procedural justice in the prediction of organizational citizenship behavior (OCB). The search for the relationship between job attitudes and job performance has a long history. Lengthy reviews have reported numerous attempts to show definitively that job attitudes are related to or even cause job performance, yet most efforts, have resulted in only a weak relationship, far below that suggested by conventional wisdom. Organizational commitment describes the relative strength of an individual's identification with and involvement in a particular organization and has been suggested as an antecedent to OCB because it reflects an employee's willingness to aid the organization even if direct reward is not contingent upon that aid. Employees who demonstrate conscientiousness toward their work, try to prevent problems with other employees, inform others before taking important actions, and refrain from excessively complaining about work. They do so because the organization has treated them in a fair manner. Fairness invokes moral or quasimoral obligations that go beyond affective response.", "author" : [ { "dropping-particle" : "", "family" : "Moorman", "given" : "Robert H.", "non-dropping-particle" : "", "parse-names" : false, "suffix" : "" }, { "dropping-particle" : "", "family" : "Niehoff", "given" : "Brian P.", "non-dropping-particle" : "", "parse-names" : false, "suffix" : "" }, { "dropping-particle" : "", "family" : "Organ", "given" : "Dennis W.", "non-dropping-particle" : "", "parse-names" : false, "suffix" : "" } ], "container-title" : "Employee Responsibilities and Rights Journal", "id" : "ITEM-1", "issue" : "3", "issued" : { "date-parts" : [ [ "1993" ] ] }, "page" : "209-225", "title" : "Treating employees fairly and organizational citizenship behavior: Sorting the effects of job satisfaction, organizational commitment, and procedural justice", "type" : "article-journal", "volume" : "6" }, "uris" : [ "http://www.mendeley.com/documents/?uuid=ef833adf-0d87-4f0f-a296-8a5b4df85481" ] }, { "id" : "ITEM-2",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"ITEM-2", "issue" : "4", "issued" : { "date-parts" : [ [ "2000" ] ] }, "page" : "319-331", "title" : "HRM practices and organizational commitment: Test of a mediation model", "type" : "article-journal", "volume" : "17" }, "uris" : [ "http://www.mendeley.com/documents/?uuid=13e21476-e84f-4966-8457-f612c8f3bd5b" ] }, { "id" : "ITEM-3",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"ITEM-3",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"ITEM-4",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"ITEM-4", "issue" : "1", "issued" : { "date-parts" : [ [ "2011" ] ] }, "page" : "5-23", "title" : "High commitment performance management: the roles of justice and trust", "type" : "article-journal", "volume" : "40" }, "uris" : [ "http://www.mendeley.com/documents/?uuid=1d416136-441a-4178-a5d0-8f497239e9e4" ] }, { "id" : "ITEM-5",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"ITEM-5",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"(Moorman et al. 1993; Meyer &amp; Smith 2000; Wu &amp; Chaturvedi 2009; Farndale, Hope-Hailey, et al. 2011; Heffernan &amp; Dundon 2016)", "manualFormatting" : "(Moorman et al., 1993; Meyer &amp; Smith, 2000; Wu &amp; Chaturvedi, 2009; Farndale et al., 2011a; Heffernan &amp; Dundon, 2016)", "plainTextFormattedCitation" : "(Moorman et al. 1993; Meyer &amp; Smith 2000; Wu &amp; Chaturvedi 2009; Farndale, Hope-Hailey, et al. 2011; Heffernan &amp; Dundon 2016)", "previouslyFormattedCitation" : "(Moorman et al. 1993; Meyer &amp; Smith 2000; Wu &amp; Chaturvedi 2009; Farndale, Hope-Hailey, et al. 2011; Heffernan &amp; Dundon 2016)" }, "properties" : { "noteIndex" : 0 }, "schema" : "https://github.com/citation-style-language/schema/raw/master/csl-citation.json" }</w:instrText>
      </w:r>
      <w:r w:rsidRPr="00452E2E">
        <w:fldChar w:fldCharType="separate"/>
      </w:r>
      <w:r w:rsidRPr="00452E2E">
        <w:rPr>
          <w:noProof/>
        </w:rPr>
        <w:t xml:space="preserve">(Moorman </w:t>
      </w:r>
      <w:r w:rsidRPr="00452E2E">
        <w:rPr>
          <w:i/>
          <w:noProof/>
        </w:rPr>
        <w:t>et al</w:t>
      </w:r>
      <w:r w:rsidRPr="00452E2E">
        <w:rPr>
          <w:noProof/>
        </w:rPr>
        <w:t xml:space="preserve">., 1993; Meyer &amp; Smith, 2000; Wu &amp; Chaturvedi, 2009; Farndale </w:t>
      </w:r>
      <w:r w:rsidRPr="00452E2E">
        <w:rPr>
          <w:i/>
          <w:noProof/>
        </w:rPr>
        <w:t>et al</w:t>
      </w:r>
      <w:r w:rsidRPr="00452E2E">
        <w:rPr>
          <w:noProof/>
        </w:rPr>
        <w:t>., 2011</w:t>
      </w:r>
      <w:r w:rsidRPr="00452E2E">
        <w:rPr>
          <w:i/>
          <w:noProof/>
        </w:rPr>
        <w:t>a</w:t>
      </w:r>
      <w:r w:rsidRPr="00452E2E">
        <w:rPr>
          <w:noProof/>
        </w:rPr>
        <w:t>; Heffernan &amp; Dundon, 2016)</w:t>
      </w:r>
      <w:r w:rsidRPr="00452E2E">
        <w:fldChar w:fldCharType="end"/>
      </w:r>
      <w:r w:rsidRPr="00452E2E">
        <w:t xml:space="preserve"> and normative commitment </w:t>
      </w:r>
      <w:r w:rsidRPr="00452E2E">
        <w:fldChar w:fldCharType="begin" w:fldLock="1"/>
      </w:r>
      <w:r w:rsidRPr="00452E2E">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&amp; Smith, 2000)", "plainTextFormattedCitation" : "(Meyer &amp; Smith 2000)", "previouslyFormattedCitation" : "(Meyer &amp; Smith 2000)" }, "properties" : { "noteIndex" : 0 }, "schema" : "https://github.com/citation-style-language/schema/raw/master/csl-citation.json" }</w:instrText>
      </w:r>
      <w:r w:rsidRPr="00452E2E">
        <w:fldChar w:fldCharType="separate"/>
      </w:r>
      <w:r w:rsidRPr="00452E2E">
        <w:rPr>
          <w:noProof/>
        </w:rPr>
        <w:t>(Meyer &amp; Smith, 2000)</w:t>
      </w:r>
      <w:r w:rsidRPr="00452E2E">
        <w:fldChar w:fldCharType="end"/>
      </w:r>
      <w:r w:rsidRPr="00452E2E">
        <w:t xml:space="preserve">. The relationship between </w:t>
      </w:r>
      <w:r w:rsidRPr="00452E2E">
        <w:lastRenderedPageBreak/>
        <w:t xml:space="preserve">procedural justice and continuance commitment is however mixed; with both positive </w:t>
      </w:r>
      <w:r w:rsidRPr="00452E2E">
        <w:fldChar w:fldCharType="begin" w:fldLock="1"/>
      </w:r>
      <w:r w:rsidRPr="00452E2E">
        <w:instrText>ADDIN CSL_CITATION { "citationItems" : [ { "id" : "ITEM-1", "itemData" : { "DOI" : "10.1007/BF01419445", "ISBN" : "08927545", "ISSN" : "08927545", "PMID" : "9312281849", "abstract" : "This article presents information related to the relative contribution of perceptions of procedural justice in the prediction of organizational citizenship behavior (OCB). The search for the relationship between job attitudes and job performance has a long history. Lengthy reviews have reported numerous attempts to show definitively that job attitudes are related to or even cause job performance, yet most efforts, have resulted in only a weak relationship, far below that suggested by conventional wisdom. Organizational commitment describes the relative strength of an individual's identification with and involvement in a particular organization and has been suggested as an antecedent to OCB because it reflects an employee's willingness to aid the organization even if direct reward is not contingent upon that aid. Employees who demonstrate conscientiousness toward their work, try to prevent problems with other employees, inform others before taking important actions, and refrain from excessively complaining about work. They do so because the organization has treated them in a fair manner. Fairness invokes moral or quasimoral obligations that go beyond affective response.", "author" : [ { "dropping-particle" : "", "family" : "Moorman", "given" : "Robert H.", "non-dropping-particle" : "", "parse-names" : false, "suffix" : "" }, { "dropping-particle" : "", "family" : "Niehoff", "given" : "Brian P.", "non-dropping-particle" : "", "parse-names" : false, "suffix" : "" }, { "dropping-particle" : "", "family" : "Organ", "given" : "Dennis W.", "non-dropping-particle" : "", "parse-names" : false, "suffix" : "" } ], "container-title" : "Employee Responsibilities and Rights Journal", "id" : "ITEM-1", "issue" : "3", "issued" : { "date-parts" : [ [ "1993" ] ] }, "page" : "209-225", "title" : "Treating employees fairly and organizational citizenship behavior: Sorting the effects of job satisfaction, organizational commitment, and procedural justice", "type" : "article-journal", "volume" : "6" }, "uris" : [ "http://www.mendeley.com/documents/?uuid=ef833adf-0d87-4f0f-a296-8a5b4df85481" ] } ], "mendeley" : { "formattedCitation" : "(Moorman et al. 1993)", "manualFormatting" : "(Moorman et al., 1993)", "plainTextFormattedCitation" : "(Moorman et al. 1993)", "previouslyFormattedCitation" : "(Moorman et al. 1993)" }, "properties" : { "noteIndex" : 0 }, "schema" : "https://github.com/citation-style-language/schema/raw/master/csl-citation.json" }</w:instrText>
      </w:r>
      <w:r w:rsidRPr="00452E2E">
        <w:fldChar w:fldCharType="separate"/>
      </w:r>
      <w:r w:rsidRPr="00452E2E">
        <w:rPr>
          <w:noProof/>
        </w:rPr>
        <w:t xml:space="preserve">(Moorman </w:t>
      </w:r>
      <w:r w:rsidRPr="00452E2E">
        <w:rPr>
          <w:i/>
          <w:noProof/>
        </w:rPr>
        <w:t>et al</w:t>
      </w:r>
      <w:r w:rsidRPr="00452E2E">
        <w:rPr>
          <w:noProof/>
        </w:rPr>
        <w:t>., 1993)</w:t>
      </w:r>
      <w:r w:rsidRPr="00452E2E">
        <w:fldChar w:fldCharType="end"/>
      </w:r>
      <w:r w:rsidRPr="00452E2E">
        <w:t xml:space="preserve"> and negative </w:t>
      </w:r>
      <w:r w:rsidRPr="00452E2E">
        <w:fldChar w:fldCharType="begin" w:fldLock="1"/>
      </w:r>
      <w:r w:rsidRPr="00452E2E">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&amp; Smith, 2000)", "plainTextFormattedCitation" : "(Meyer &amp; Smith 2000)", "previouslyFormattedCitation" : "(Meyer &amp; Smith 2000)" }, "properties" : { "noteIndex" : 0 }, "schema" : "https://github.com/citation-style-language/schema/raw/master/csl-citation.json" }</w:instrText>
      </w:r>
      <w:r w:rsidRPr="00452E2E">
        <w:fldChar w:fldCharType="separate"/>
      </w:r>
      <w:r w:rsidRPr="00452E2E">
        <w:rPr>
          <w:noProof/>
        </w:rPr>
        <w:t>(Meyer &amp; Smith, 2000)</w:t>
      </w:r>
      <w:r w:rsidRPr="00452E2E">
        <w:fldChar w:fldCharType="end"/>
      </w:r>
      <w:r w:rsidRPr="00452E2E">
        <w:t xml:space="preserve"> relationships reported. However, we would predict a positive relationship between procedural justice and continuance commitment in this research since this study is conducted in a context where unemployment levels are high. This means that employees will likely remain committed to their organizations as a result of a lack of job alternatives. </w:t>
      </w:r>
    </w:p>
    <w:p w:rsidR="00D03A8E" w:rsidRPr="00452E2E" w:rsidRDefault="00D03A8E" w:rsidP="00D03A8E">
      <w:pPr>
        <w:spacing w:line="360" w:lineRule="auto"/>
        <w:jc w:val="both"/>
      </w:pPr>
      <w:r w:rsidRPr="00452E2E">
        <w:t>Thus, it is hypothesized as follows:</w:t>
      </w:r>
    </w:p>
    <w:p w:rsidR="00D03A8E" w:rsidRPr="00452E2E" w:rsidRDefault="00D03A8E" w:rsidP="00D03A8E">
      <w:pPr>
        <w:spacing w:line="240" w:lineRule="auto"/>
        <w:jc w:val="both"/>
      </w:pPr>
      <w:r w:rsidRPr="00452E2E">
        <w:rPr>
          <w:i/>
        </w:rPr>
        <w:t>Hypothesis 3:</w:t>
      </w:r>
      <w:r w:rsidRPr="00452E2E">
        <w:t xml:space="preserve"> There is a positive relationship between procedural justice and job satisfaction.</w:t>
      </w:r>
    </w:p>
    <w:p w:rsidR="00D03A8E" w:rsidRPr="00452E2E" w:rsidRDefault="00D03A8E" w:rsidP="00D03A8E">
      <w:pPr>
        <w:spacing w:line="240" w:lineRule="auto"/>
        <w:jc w:val="both"/>
      </w:pPr>
      <w:r w:rsidRPr="00452E2E">
        <w:rPr>
          <w:i/>
        </w:rPr>
        <w:t>Hypothesis</w:t>
      </w:r>
      <w:r w:rsidRPr="00452E2E">
        <w:t xml:space="preserve"> </w:t>
      </w:r>
      <w:r w:rsidRPr="00452E2E">
        <w:rPr>
          <w:i/>
        </w:rPr>
        <w:t>4a:</w:t>
      </w:r>
      <w:r w:rsidRPr="00452E2E">
        <w:t xml:space="preserve"> There is a positive relationship between procedural justice and affective commitment.</w:t>
      </w:r>
    </w:p>
    <w:p w:rsidR="00D03A8E" w:rsidRPr="00452E2E" w:rsidRDefault="00D03A8E" w:rsidP="00D03A8E">
      <w:pPr>
        <w:spacing w:line="240" w:lineRule="auto"/>
        <w:jc w:val="both"/>
      </w:pPr>
      <w:r w:rsidRPr="00452E2E">
        <w:rPr>
          <w:i/>
        </w:rPr>
        <w:t>Hypothesis 4b:</w:t>
      </w:r>
      <w:r w:rsidR="00BF1B08" w:rsidRPr="00452E2E">
        <w:t xml:space="preserve"> </w:t>
      </w:r>
      <w:r w:rsidRPr="00452E2E">
        <w:t>There is a positive relationship between procedural justice and normative commitment.</w:t>
      </w:r>
    </w:p>
    <w:p w:rsidR="00D03A8E" w:rsidRPr="00452E2E" w:rsidRDefault="00D03A8E" w:rsidP="00BF35DD">
      <w:pPr>
        <w:spacing w:line="240" w:lineRule="auto"/>
        <w:jc w:val="both"/>
      </w:pPr>
      <w:r w:rsidRPr="00452E2E">
        <w:rPr>
          <w:i/>
        </w:rPr>
        <w:t>Hypothesis</w:t>
      </w:r>
      <w:r w:rsidRPr="00452E2E">
        <w:t xml:space="preserve"> </w:t>
      </w:r>
      <w:r w:rsidRPr="00452E2E">
        <w:rPr>
          <w:i/>
        </w:rPr>
        <w:t>4c:</w:t>
      </w:r>
      <w:r w:rsidRPr="00452E2E">
        <w:tab/>
      </w:r>
      <w:r w:rsidR="00BF1B08" w:rsidRPr="00452E2E">
        <w:t xml:space="preserve"> </w:t>
      </w:r>
      <w:r w:rsidRPr="00452E2E">
        <w:t>There is a positive relationship between procedural justice and continuance commitment.</w:t>
      </w:r>
    </w:p>
    <w:p w:rsidR="00BF35DD" w:rsidRPr="00452E2E" w:rsidRDefault="00BF35DD" w:rsidP="00BF35DD">
      <w:pPr>
        <w:spacing w:line="240" w:lineRule="auto"/>
        <w:jc w:val="both"/>
      </w:pPr>
    </w:p>
    <w:p w:rsidR="00443AE3" w:rsidRPr="00452E2E" w:rsidRDefault="00D03A8E" w:rsidP="00D03A8E">
      <w:pPr>
        <w:spacing w:line="360" w:lineRule="auto"/>
        <w:jc w:val="both"/>
      </w:pPr>
      <w:r w:rsidRPr="00452E2E">
        <w:t xml:space="preserve">Procedural justice entails that the decision procedure is transparent and that the inputs of employees are incorporated </w:t>
      </w:r>
      <w:r w:rsidRPr="00452E2E">
        <w:fldChar w:fldCharType="begin" w:fldLock="1"/>
      </w:r>
      <w:r w:rsidRPr="00452E2E">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"mendeley" : { "formattedCitation" : "(Wu &amp; Chaturvedi 2009)", "manualFormatting" : "(Wu &amp; Chaturvedi, 2009)", "plainTextFormattedCitation" : "(Wu &amp; Chaturvedi 2009)", "previouslyFormattedCitation" : "(Wu &amp; Chaturvedi 2009)" }, "properties" : { "noteIndex" : 0 }, "schema" : "https://github.com/citation-style-language/schema/raw/master/csl-citation.json" }</w:instrText>
      </w:r>
      <w:r w:rsidRPr="00452E2E">
        <w:fldChar w:fldCharType="separate"/>
      </w:r>
      <w:r w:rsidRPr="00452E2E">
        <w:rPr>
          <w:noProof/>
        </w:rPr>
        <w:t>(Wu &amp; Chaturvedi, 2009)</w:t>
      </w:r>
      <w:r w:rsidRPr="00452E2E">
        <w:fldChar w:fldCharType="end"/>
      </w:r>
      <w:r w:rsidRPr="00452E2E">
        <w:t xml:space="preserve">. Hence, procedural justice is an evaluation of employees’ experience of HR practices </w:t>
      </w:r>
      <w:r w:rsidRPr="00452E2E">
        <w:fldChar w:fldCharType="begin" w:fldLock="1"/>
      </w:r>
      <w:r w:rsidRPr="00452E2E">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"mendeley" : { "formattedCitation" : "(Farndale, Hope-Hailey, et al. 2011)", "manualFormatting" : "(Farndale et al., 2011)", "plainTextFormattedCitation" : "(Farndale, Hope-Hailey, et al. 2011)", "previouslyFormattedCitation" : "(Farndale, Hope-Hailey, et al. 2011)" }, "properties" : { "noteIndex" : 0 }, "schema" : "https://github.com/citation-style-language/schema/raw/master/csl-citation.json" }</w:instrText>
      </w:r>
      <w:r w:rsidRPr="00452E2E">
        <w:fldChar w:fldCharType="separate"/>
      </w:r>
      <w:r w:rsidRPr="00452E2E">
        <w:rPr>
          <w:noProof/>
        </w:rPr>
        <w:t xml:space="preserve">(Farndale </w:t>
      </w:r>
      <w:r w:rsidRPr="00452E2E">
        <w:rPr>
          <w:i/>
          <w:noProof/>
        </w:rPr>
        <w:t>et al</w:t>
      </w:r>
      <w:r w:rsidRPr="00452E2E">
        <w:rPr>
          <w:noProof/>
        </w:rPr>
        <w:t>., 2011)</w:t>
      </w:r>
      <w:r w:rsidRPr="00452E2E">
        <w:fldChar w:fldCharType="end"/>
      </w:r>
      <w:r w:rsidRPr="00452E2E">
        <w:t xml:space="preserve">. This suggests that even if HR practices are favourable to employees, any perception of procedural injustice will most likely cause dissatisfaction </w:t>
      </w:r>
      <w:r w:rsidRPr="00452E2E">
        <w:fldChar w:fldCharType="begin" w:fldLock="1"/>
      </w:r>
      <w:r w:rsidRPr="00452E2E">
        <w:instrText>ADDIN CSL_CITATION { "citationItems" : [ { "id" : "ITEM-1",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"ITEM-1",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"mendeley" : { "formattedCitation" : "(Ko &amp; Hur 2014)", "manualFormatting" : "(Ko &amp; Hur, 2014)", "plainTextFormattedCitation" : "(Ko &amp; Hur 2014)", "previouslyFormattedCitation" : "(Ko &amp; Hur 2014)" }, "properties" : { "noteIndex" : 0 }, "schema" : "https://github.com/citation-style-language/schema/raw/master/csl-citation.json" }</w:instrText>
      </w:r>
      <w:r w:rsidRPr="00452E2E">
        <w:fldChar w:fldCharType="separate"/>
      </w:r>
      <w:r w:rsidRPr="00452E2E">
        <w:rPr>
          <w:noProof/>
        </w:rPr>
        <w:t>(Ko &amp; Hur, 2014)</w:t>
      </w:r>
      <w:r w:rsidRPr="00452E2E">
        <w:fldChar w:fldCharType="end"/>
      </w:r>
      <w:r w:rsidRPr="00452E2E">
        <w:t xml:space="preserve">. Hence, the amount and quality of HR practices organizations provide may not matter if the procedure for providing such practices is not perceived by employees as being fair </w:t>
      </w:r>
      <w:r w:rsidRPr="00452E2E">
        <w:fldChar w:fldCharType="begin" w:fldLock="1"/>
      </w:r>
      <w:r w:rsidRPr="00452E2E">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"ITEM-2",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"ITEM-2",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"(Wu &amp; Chaturvedi 2009; Heffernan &amp; Dundon 2016)", "manualFormatting" : "(Wu &amp; Chaturvedi 2009; Ko &amp; Hur, 2014)", "plainTextFormattedCitation" : "(Wu &amp; Chaturvedi 2009; Heffernan &amp; Dundon 2016)", "previouslyFormattedCitation" : "(Wu &amp; Chaturvedi 2009; Heffernan &amp; Dundon 2016)" }, "properties" : { "noteIndex" : 0 }, "schema" : "https://github.com/citation-style-language/schema/raw/master/csl-citation.json" }</w:instrText>
      </w:r>
      <w:r w:rsidRPr="00452E2E">
        <w:fldChar w:fldCharType="separate"/>
      </w:r>
      <w:r w:rsidRPr="00452E2E">
        <w:rPr>
          <w:noProof/>
        </w:rPr>
        <w:t>(Wu &amp; Chaturvedi 2009; Ko &amp; Hur, 2014)</w:t>
      </w:r>
      <w:r w:rsidRPr="00452E2E">
        <w:fldChar w:fldCharType="end"/>
      </w:r>
      <w:r w:rsidRPr="00452E2E">
        <w:t xml:space="preserve">. Thus, employees’ perception of procedural justice is important since it may accentuate the gap between intended HR practices and actual practices encountered by employees </w:t>
      </w:r>
      <w:r w:rsidRPr="00452E2E">
        <w:fldChar w:fldCharType="begin" w:fldLock="1"/>
      </w:r>
      <w:r w:rsidRPr="00452E2E">
        <w:instrText>ADDIN CSL_CITATION { "citationItems" : [ { "id" : "ITEM-1",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"(Heffernan &amp; Dundon 2016)", "manualFormatting" : "(cf. Heffernan &amp; Dundon, 2016)", "plainTextFormattedCitation" : "(Heffernan &amp; Dundon 2016)", "previouslyFormattedCitation" : "(Heffernan &amp; Dundon 2016)" }, "properties" : { "noteIndex" : 0 }, "schema" : "https://github.com/citation-style-language/schema/raw/master/csl-citation.json" }</w:instrText>
      </w:r>
      <w:r w:rsidRPr="00452E2E">
        <w:fldChar w:fldCharType="separate"/>
      </w:r>
      <w:r w:rsidRPr="00452E2E">
        <w:rPr>
          <w:noProof/>
        </w:rPr>
        <w:t>(cf. Heffernan &amp; Dundon, 2016)</w:t>
      </w:r>
      <w:r w:rsidRPr="00452E2E">
        <w:fldChar w:fldCharType="end"/>
      </w:r>
      <w:r w:rsidRPr="00452E2E">
        <w:t xml:space="preserve">. Previous studies have shown a positive relationship between HR practices and procedural justice which in turn mediates the relationship between HR practices and employee attitudes </w:t>
      </w:r>
      <w:r w:rsidRPr="00452E2E">
        <w:fldChar w:fldCharType="begin" w:fldLock="1"/>
      </w:r>
      <w:r w:rsidRPr="00452E2E">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"DOI" : "10.1177/009102600603500205", "ISSN" : "00910260", "abstract" : "Training is a vital function for all organizations. However, determining the contribution of training is oftentimes an elusive task. This paper examines training's impact on organizationai variables that have been shown to positively impact an organization's employees. Specifically, this paper investigates the reiationship between training, job satisfaction, organizational commitment, organizational justice and turnover cognitions. Results from a sample of 218 employees from state local subdivision indicate positive relationships between training and organizationai outcomes such as job satisfaction, organizational commitment and turnover cognitions. Further, organizational justice variables were shown to mediate those relationships.", "author" : [ { "dropping-particle" : "", "family" : "Owens", "given" : "Patrick L Jr", "non-dropping-particle" : "", "parse-names" : false, "suffix" : "" } ], "container-title" : "Public Personnel Management", "id" : "ITEM-2", "issue" : "2", "issued" : { "date-parts" : [ [ "2006" ] ] }, "page" : "163-172", "title" : "One more reason not to cut your training budget: The relationship between training and organizational outcomes", "type" : "article-journal", "volume" : "35" }, "uris" : [ "http://www.mendeley.com/documents/?uuid=6e9c7210-fee1-43c3-a1f3-632480fd2839" ] }, { "id" : "ITEM-3",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"ITEM-3",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"ITEM-4",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"ITEM-4", "issue" : "1", "issued" : { "date-parts" : [ [ "2011" ] ] }, "page" : "5-23", "title" : "High commitment performance management: the roles of justice and trust", "type" : "article-journal", "volume" : "40" }, "uris" : [ "http://www.mendeley.com/documents/?uuid=1d416136-441a-4178-a5d0-8f497239e9e4" ] }, { "id" : "ITEM-5",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"ITEM-5",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"ITEM-6",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"ITEM-6",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"(Meyer &amp; Smith 2000; Owens 2006; Wu &amp; Chaturvedi 2009; Farndale, Hope-Hailey, et al. 2011; Ko &amp; Hur 2014; Heffernan &amp; Dundon 2016)", "manualFormatting" : "(e.g. Meyer &amp; Smith, 2000; Owens, 2006; Wu &amp; Chaturvedi, 2009; Farndale et al., 2011; Ko &amp; Hur, 2014; Heffernan &amp; Dundon, 2016)", "plainTextFormattedCitation" : "(Meyer &amp; Smith 2000; Owens 2006; Wu &amp; Chaturvedi 2009; Farndale, Hope-Hailey, et al. 2011; Ko &amp; Hur 2014; Heffernan &amp; Dundon 2016)", "previouslyFormattedCitation" : "(Meyer &amp; Smith 2000; Owens 2006; Wu &amp; Chaturvedi 2009; Farndale, Hope-Hailey, et al. 2011; Ko &amp; Hur 2014; Heffernan &amp; Dundon 2016)" }, "properties" : { "noteIndex" : 0 }, "schema" : "https://github.com/citation-style-language/schema/raw/master/csl-citation.json" }</w:instrText>
      </w:r>
      <w:r w:rsidRPr="00452E2E">
        <w:fldChar w:fldCharType="separate"/>
      </w:r>
      <w:r w:rsidRPr="00452E2E">
        <w:rPr>
          <w:noProof/>
        </w:rPr>
        <w:t xml:space="preserve">(e.g. Meyer &amp; Smith, 2000; Owens, 2006; Wu &amp; Chaturvedi, 2009; Farndale </w:t>
      </w:r>
      <w:r w:rsidRPr="00452E2E">
        <w:rPr>
          <w:i/>
          <w:noProof/>
        </w:rPr>
        <w:t>et al</w:t>
      </w:r>
      <w:r w:rsidRPr="00452E2E">
        <w:rPr>
          <w:noProof/>
        </w:rPr>
        <w:t>., 2011; Ko &amp; Hur, 2014; Heffernan &amp; Dundon, 2016)</w:t>
      </w:r>
      <w:r w:rsidRPr="00452E2E">
        <w:fldChar w:fldCharType="end"/>
      </w:r>
      <w:r w:rsidRPr="00452E2E">
        <w:t xml:space="preserve">. </w:t>
      </w:r>
    </w:p>
    <w:p w:rsidR="00D03A8E" w:rsidRPr="00452E2E" w:rsidRDefault="00D03A8E" w:rsidP="00D03A8E">
      <w:pPr>
        <w:spacing w:line="360" w:lineRule="auto"/>
        <w:jc w:val="both"/>
      </w:pPr>
      <w:r w:rsidRPr="00452E2E">
        <w:t>It is therefore hypothesized as follows:</w:t>
      </w:r>
    </w:p>
    <w:p w:rsidR="00D03A8E" w:rsidRPr="00452E2E" w:rsidRDefault="00D03A8E" w:rsidP="00D03A8E">
      <w:pPr>
        <w:spacing w:line="240" w:lineRule="auto"/>
        <w:jc w:val="both"/>
      </w:pPr>
      <w:r w:rsidRPr="00452E2E">
        <w:rPr>
          <w:i/>
        </w:rPr>
        <w:lastRenderedPageBreak/>
        <w:t>Hypothesis 5:</w:t>
      </w:r>
      <w:r w:rsidRPr="00452E2E">
        <w:t xml:space="preserve"> Procedural justice will mediate the relationship between HR practices and job satisfaction. </w:t>
      </w:r>
    </w:p>
    <w:p w:rsidR="00D03A8E" w:rsidRPr="00452E2E" w:rsidRDefault="00D03A8E" w:rsidP="00D03A8E">
      <w:pPr>
        <w:spacing w:line="240" w:lineRule="auto"/>
        <w:jc w:val="both"/>
      </w:pPr>
      <w:r w:rsidRPr="00452E2E">
        <w:rPr>
          <w:i/>
        </w:rPr>
        <w:t>Hypothesis 6a:</w:t>
      </w:r>
      <w:r w:rsidRPr="00452E2E">
        <w:t xml:space="preserve"> Procedural justice will mediate the relationship between HR practices and affective commitment. </w:t>
      </w:r>
    </w:p>
    <w:p w:rsidR="00D03A8E" w:rsidRPr="00452E2E" w:rsidRDefault="00D03A8E" w:rsidP="00D03A8E">
      <w:pPr>
        <w:spacing w:line="240" w:lineRule="auto"/>
        <w:jc w:val="both"/>
      </w:pPr>
      <w:r w:rsidRPr="00452E2E">
        <w:rPr>
          <w:i/>
        </w:rPr>
        <w:t>Hypothesis 6b:</w:t>
      </w:r>
      <w:r w:rsidRPr="00452E2E">
        <w:t xml:space="preserve"> Procedural justice will mediate the relationship between HR practices and normative commitment. </w:t>
      </w:r>
    </w:p>
    <w:p w:rsidR="00D03A8E" w:rsidRPr="00452E2E" w:rsidRDefault="00D03A8E" w:rsidP="00D03A8E">
      <w:pPr>
        <w:spacing w:line="240" w:lineRule="auto"/>
        <w:jc w:val="both"/>
      </w:pPr>
      <w:r w:rsidRPr="00452E2E">
        <w:rPr>
          <w:i/>
        </w:rPr>
        <w:t>Hypothesis 6c:</w:t>
      </w:r>
      <w:r w:rsidRPr="00452E2E">
        <w:t xml:space="preserve"> Procedural justice will mediate the relationship between HR practices and continuance commitment. </w:t>
      </w:r>
    </w:p>
    <w:p w:rsidR="00D03A8E" w:rsidRPr="00452E2E" w:rsidRDefault="00D03A8E" w:rsidP="00D03A8E">
      <w:pPr>
        <w:spacing w:line="360" w:lineRule="auto"/>
        <w:jc w:val="both"/>
      </w:pPr>
    </w:p>
    <w:p w:rsidR="00D03A8E" w:rsidRPr="00452E2E" w:rsidRDefault="00443AE3" w:rsidP="00D03A8E">
      <w:pPr>
        <w:spacing w:line="360" w:lineRule="auto"/>
        <w:jc w:val="both"/>
      </w:pPr>
      <w:r w:rsidRPr="00452E2E">
        <w:t xml:space="preserve">However, because procedural justice emphasizes the inputs of employees in decision making </w:t>
      </w:r>
      <w:r w:rsidRPr="00452E2E">
        <w:fldChar w:fldCharType="begin" w:fldLock="1"/>
      </w:r>
      <w:r w:rsidRPr="00452E2E">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"ITEM-2",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"ITEM-2", "issue" : "1", "issued" : { "date-parts" : [ [ "2011" ] ] }, "page" : "5-23", "title" : "High commitment performance management: the roles of justice and trust", "type" : "article-journal", "volume" : "40" }, "uris" : [ "http://www.mendeley.com/documents/?uuid=1d416136-441a-4178-a5d0-8f497239e9e4" ] } ], "mendeley" : { "formattedCitation" : "(Wu &amp; Chaturvedi 2009; Farndale, Hope-Hailey, et al. 2011)", "manualFormatting" : "(Wu &amp; Chaturvedi, 2009; Farndale et al., 2011)", "plainTextFormattedCitation" : "(Wu &amp; Chaturvedi 2009; Farndale, Hope-Hailey, et al. 2011)", "previouslyFormattedCitation" : "(Wu &amp; Chaturvedi 2009; Farndale, Hope-Hailey, et al. 2011)" }, "properties" : { "noteIndex" : 0 }, "schema" : "https://github.com/citation-style-language/schema/raw/master/csl-citation.json" }</w:instrText>
      </w:r>
      <w:r w:rsidRPr="00452E2E">
        <w:fldChar w:fldCharType="separate"/>
      </w:r>
      <w:r w:rsidRPr="00452E2E">
        <w:rPr>
          <w:noProof/>
        </w:rPr>
        <w:t xml:space="preserve">(Wu &amp; Chaturvedi, 2009; Farndale </w:t>
      </w:r>
      <w:r w:rsidRPr="00452E2E">
        <w:rPr>
          <w:i/>
          <w:noProof/>
        </w:rPr>
        <w:t>et al</w:t>
      </w:r>
      <w:r w:rsidRPr="00452E2E">
        <w:rPr>
          <w:noProof/>
        </w:rPr>
        <w:t>., 2011)</w:t>
      </w:r>
      <w:r w:rsidRPr="00452E2E">
        <w:fldChar w:fldCharType="end"/>
      </w:r>
      <w:r w:rsidRPr="00452E2E">
        <w:t xml:space="preserve">, it is expected that procedural justice will relate to both HR practices and employee attitudes more positively in contexts where employees have the opportunity to influence management’s decisions. </w:t>
      </w:r>
      <w:r w:rsidR="00D03A8E" w:rsidRPr="00452E2E">
        <w:t xml:space="preserve">The findings from </w:t>
      </w:r>
      <w:r w:rsidR="00D03A8E" w:rsidRPr="00452E2E">
        <w:rPr>
          <w:i/>
        </w:rPr>
        <w:t>study 1</w:t>
      </w:r>
      <w:r w:rsidR="00D03A8E" w:rsidRPr="00452E2E">
        <w:t xml:space="preserve"> reported in chapter five of this thesis indicate that private sector managers have negative attitudes towards unionism. In fact, most of them view trade unions as being antagonistic to management decisions. As a result, employees are not even allowed to join trade unions. The contrary is the case in the public sector where employees have the right to join trade unions and managers themselves acknowledge that their decisions on HRM are influenced by trade unions. This will suggest that whilst public sector employees have the opportunity to influence management’s decisions at the higher level, this may not be the case in the private sector. </w:t>
      </w:r>
      <w:r w:rsidR="00194C32" w:rsidRPr="00452E2E">
        <w:t>Equally, t</w:t>
      </w:r>
      <w:r w:rsidR="00DA7A79" w:rsidRPr="00452E2E">
        <w:t xml:space="preserve">he findings from </w:t>
      </w:r>
      <w:r w:rsidR="00DA7A79" w:rsidRPr="00452E2E">
        <w:rPr>
          <w:i/>
        </w:rPr>
        <w:t>study 1</w:t>
      </w:r>
      <w:r w:rsidR="00DA7A79" w:rsidRPr="00452E2E">
        <w:t xml:space="preserve"> indicate that public sector organizations have more opportunities for employee consultation than private sector organizations. </w:t>
      </w:r>
      <w:r w:rsidR="00D03A8E" w:rsidRPr="00452E2E">
        <w:t xml:space="preserve">Researchers have argued that when employees have the opportunity to influence decisions, they are more likely to accept the outcome of the decision thereby increasing their procedural justice perceptions </w:t>
      </w:r>
      <w:r w:rsidR="00D03A8E" w:rsidRPr="00452E2E">
        <w:fldChar w:fldCharType="begin" w:fldLock="1"/>
      </w:r>
      <w:r w:rsidR="00D03A8E" w:rsidRPr="00452E2E">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"mendeley" : { "formattedCitation" : "(Farndale, Hope-Hailey, et al. 2011)", "manualFormatting" : "(Farndale et al., 2011a)", "plainTextFormattedCitation" : "(Farndale, Hope-Hailey, et al. 2011)", "previouslyFormattedCitation" : "(Farndale, Hope-Hailey, et al. 2011)" }, "properties" : { "noteIndex" : 0 }, "schema" : "https://github.com/citation-style-language/schema/raw/master/csl-citation.json" }</w:instrText>
      </w:r>
      <w:r w:rsidR="00D03A8E" w:rsidRPr="00452E2E">
        <w:fldChar w:fldCharType="separate"/>
      </w:r>
      <w:r w:rsidR="00D03A8E" w:rsidRPr="00452E2E">
        <w:rPr>
          <w:noProof/>
        </w:rPr>
        <w:t xml:space="preserve">(Farndale </w:t>
      </w:r>
      <w:r w:rsidR="00D03A8E" w:rsidRPr="00452E2E">
        <w:rPr>
          <w:i/>
          <w:noProof/>
        </w:rPr>
        <w:t>et al</w:t>
      </w:r>
      <w:r w:rsidR="00D03A8E" w:rsidRPr="00452E2E">
        <w:rPr>
          <w:noProof/>
        </w:rPr>
        <w:t>., 2011a)</w:t>
      </w:r>
      <w:r w:rsidR="00D03A8E" w:rsidRPr="00452E2E">
        <w:fldChar w:fldCharType="end"/>
      </w:r>
      <w:r w:rsidR="00D03A8E" w:rsidRPr="00452E2E">
        <w:t xml:space="preserve">. </w:t>
      </w:r>
    </w:p>
    <w:p w:rsidR="00D03A8E" w:rsidRPr="00452E2E" w:rsidRDefault="00D03A8E" w:rsidP="00D03A8E">
      <w:pPr>
        <w:spacing w:line="360" w:lineRule="auto"/>
        <w:jc w:val="both"/>
      </w:pPr>
      <w:r w:rsidRPr="00452E2E">
        <w:t xml:space="preserve">Hence, taking together findings from previous studies and the findings from </w:t>
      </w:r>
      <w:r w:rsidRPr="00452E2E">
        <w:rPr>
          <w:i/>
        </w:rPr>
        <w:t>study 1</w:t>
      </w:r>
      <w:r w:rsidRPr="00452E2E">
        <w:t xml:space="preserve"> of this </w:t>
      </w:r>
      <w:r w:rsidR="00316ED9" w:rsidRPr="00452E2E">
        <w:t>research</w:t>
      </w:r>
      <w:r w:rsidRPr="00452E2E">
        <w:t>, it is hypothesized as follows:</w:t>
      </w:r>
    </w:p>
    <w:p w:rsidR="00D03A8E" w:rsidRPr="00452E2E" w:rsidRDefault="00D03A8E" w:rsidP="00D03A8E">
      <w:pPr>
        <w:spacing w:line="240" w:lineRule="auto"/>
        <w:jc w:val="both"/>
      </w:pPr>
      <w:r w:rsidRPr="00452E2E">
        <w:rPr>
          <w:i/>
        </w:rPr>
        <w:t>Hypothesis 7</w:t>
      </w:r>
      <w:r w:rsidRPr="00452E2E">
        <w:t xml:space="preserve">: The mediating effect of procedural justice on the relationship between HR practices and job satisfaction will be stronger in the public sector. </w:t>
      </w:r>
    </w:p>
    <w:p w:rsidR="00D03A8E" w:rsidRPr="00452E2E" w:rsidRDefault="00D03A8E" w:rsidP="00D03A8E">
      <w:pPr>
        <w:spacing w:line="240" w:lineRule="auto"/>
        <w:jc w:val="both"/>
      </w:pPr>
      <w:r w:rsidRPr="00452E2E">
        <w:rPr>
          <w:i/>
        </w:rPr>
        <w:t>Hypothesis 8a</w:t>
      </w:r>
      <w:r w:rsidRPr="00452E2E">
        <w:t>: The mediating effect of procedural justice on the relationship between HR practices and affective commitment will be stronger in the public sector.</w:t>
      </w:r>
    </w:p>
    <w:p w:rsidR="00D03A8E" w:rsidRPr="00452E2E" w:rsidRDefault="00D03A8E" w:rsidP="00D03A8E">
      <w:pPr>
        <w:spacing w:line="240" w:lineRule="auto"/>
        <w:jc w:val="both"/>
      </w:pPr>
      <w:r w:rsidRPr="00452E2E">
        <w:rPr>
          <w:i/>
        </w:rPr>
        <w:lastRenderedPageBreak/>
        <w:t>Hypothesis 8b</w:t>
      </w:r>
      <w:r w:rsidRPr="00452E2E">
        <w:t xml:space="preserve">: The mediating effect of procedural justice on the relationship between HR practices and normative commitment will be stronger in the public sector. </w:t>
      </w:r>
    </w:p>
    <w:p w:rsidR="00D03A8E" w:rsidRPr="00452E2E" w:rsidRDefault="00D03A8E" w:rsidP="00D03A8E">
      <w:pPr>
        <w:spacing w:line="240" w:lineRule="auto"/>
        <w:jc w:val="both"/>
      </w:pPr>
      <w:r w:rsidRPr="00452E2E">
        <w:rPr>
          <w:i/>
        </w:rPr>
        <w:t>Hypothesis 8c</w:t>
      </w:r>
      <w:r w:rsidRPr="00452E2E">
        <w:t xml:space="preserve">: The mediating effect of procedural justice on the relationship between HR practices and continuance commitment will be stronger in the public sector. </w:t>
      </w:r>
    </w:p>
    <w:p w:rsidR="00D03A8E" w:rsidRPr="00452E2E" w:rsidRDefault="00D03A8E" w:rsidP="00D03A8E">
      <w:pPr>
        <w:spacing w:line="360" w:lineRule="auto"/>
        <w:jc w:val="both"/>
      </w:pPr>
    </w:p>
    <w:p w:rsidR="00D03A8E" w:rsidRPr="00452E2E" w:rsidRDefault="00D03A8E" w:rsidP="00170224">
      <w:pPr>
        <w:pStyle w:val="Heading3"/>
      </w:pPr>
      <w:bookmarkStart w:id="154" w:name="_Toc465271200"/>
      <w:bookmarkStart w:id="155" w:name="_Toc473808178"/>
      <w:r w:rsidRPr="00452E2E">
        <w:t>6.4 The Mediating Role of HR Attributions and the Moderating Effect of Sector</w:t>
      </w:r>
      <w:bookmarkEnd w:id="154"/>
      <w:bookmarkEnd w:id="155"/>
    </w:p>
    <w:p w:rsidR="00D03A8E" w:rsidRPr="00452E2E" w:rsidRDefault="00D03A8E" w:rsidP="00D03A8E">
      <w:pPr>
        <w:spacing w:line="360" w:lineRule="auto"/>
        <w:jc w:val="both"/>
      </w:pPr>
      <w:r w:rsidRPr="00452E2E">
        <w:t xml:space="preserve">The construct of HR attributions suggest that the link between HR practices and employee attitudes is complex; meaning that HR practices are effective in engendering positive outcomes to the extent that employees perceive and interpret such practices subjectively in a manner that will elicit positive attitudes </w:t>
      </w:r>
      <w:r w:rsidRPr="00452E2E">
        <w:fldChar w:fldCharType="begin" w:fldLock="1"/>
      </w:r>
      <w:r w:rsidRPr="00452E2E">
        <w:instrText>ADDIN CSL_CITATION { "citationItems" : [ { "id" : "ITEM-1", "itemData" : { "author" : [ { "dropping-particle" : "", "family" : "Bowen", "given" : "David E", "non-dropping-particle" : "", "parse-names" : false, "suffix" : "" }, { "dropping-particle" : "", "family" : "Ostroff", "given" : "Cheri", "non-dropping-particle" : "", "parse-names" : false, "suffix" : "" } ], "container-title" : "The Academy of Management Review", "id" : "ITEM-1", "issue" : "2", "issued" : { "date-parts" : [ [ "2004" ] ] }, "page" : "203-221", "title" : "Understanding HRM-firm performance linkages: The role of the \"strength\" of the HRM system", "type" : "article-journal", "volume" : "29" }, "uris" : [ "http://www.mendeley.com/documents/?uuid=cb9ef55e-10bb-4470-993e-c246e8d257ed" ] }, { "id" : "ITEM-2",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"ITEM-2",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"id" : "ITEM-3", "itemData" : { "DOI" : "10.1108/00483481211263773", "ISBN" : "0967073051059", "ISSN" : "0048-3486", "abstract" : "Purpose - Outsourced information technology (IT) workers establish two\\ndifferent employment relationships: one with the outsourcing company\\nthat hires them and another with the client organization where they work\\ndaily. The attitudes that an employee has towards both organisations may\\nbe influenced by the interpretations or attributions that employees make\\nabout the reasons behind the human resource (HR) management practices\\nimplemented by the outsourcing company. This paper aims to propose that\\ncommitment-focused HR attributions are positively and control-focused HR\\nattributions are negatively related to the affective commitment to the\\nclient organization, through the affective commitment to the outsourcing\\ncompany.\\nDesign/methodology/approach - These hypotheses were tested with a sample\\nof 158 highly skilled outsourced employees from the IT sector. Data were\\nanalyzed with structural equation modeling (SEM).\\nFindings - The paper's hypotheses were supported. It can conclude that,\\nif an employee interprets the HR practices as part of a\\ncommitment-focused strategy of the outsourcing company, it has clear\\nattitudinal benefits. The study found that the relationship between HR\\nattributions and the commitment to the client organization is mediated\\nby the commitment to the outsourcing company.\\nPractical implications - These findings hint at the critical role of\\noutsourcing companies in managing the careers of these highly marketable\\nemployees.\\nOriginality/value - This paper is the first to apply the concept of FIR\\nattributions to contingent employment literature in general and to\\noutsourced IT workers in particular.", "author" : [ { "dropping-particle" : "", "family" : "Fontinha", "given" : "Rita", "non-dropping-particle" : "", "parse-names" : false, "suffix" : "" }, { "dropping-particle" : "", "family" : "Chambel", "given" : "Maria Jos\u00e9", "non-dropping-particle" : "", "parse-names" : false, "suffix" : "" }, { "dropping-particle" : "", "family" : "Cuyper", "given" : "Nele", "non-dropping-particle" : "De", "parse-names" : false, "suffix" : "" } ], "container-title" : "Personnel Review", "id" : "ITEM-3", "issue" : "6", "issued" : { "date-parts" : [ [ "2012" ] ] }, "page" : "832-848", "title" : "HR attributions and the dual commitment of outsourced IT workers", "type" : "article-journal", "volume" : "41" }, "uris" : [ "http://www.mendeley.com/documents/?uuid=67ff7303-a6b6-4f91-a508-6180e24dc1ea" ] }, { "id" : "ITEM-4",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attributionswere associated with higher levels of job strain. The findings of this study hig</w:instrText>
      </w:r>
      <w:r w:rsidRPr="00452E2E">
        <w:rPr>
          <w:lang w:val="nl-NL"/>
        </w:rPr>
        <w:instrText>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"ITEM-4",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"(Bowen &amp; Ostroff 2004; Nishii et al. 2008; Fontinha et al. 2012; Van De Voorde &amp; Beijer 2015)", "manualFormatting" : "(Bowen &amp; Ostroff, 2004; Nishii et al., 2008; Fontinha et al., 2012; Van De Voorde &amp; Beijer, 2015)", "plainTextFormattedCitation" : "(Bowen &amp; Ostroff 2004; Nishii et al. 2008; Fontinha et al. 2012; Van De Voorde &amp; Beijer 2015)", "previouslyFormattedCitation" : "(Bowen &amp; Ostroff 2004; Nishii et al. 2008; Fontinha et al. 2012; Van De Voorde &amp; Beijer 2015)" }, "properties" : { "noteIndex" : 0 }, "schema" : "https://github.com/citation-style-language/schema/raw/master/csl-citation.json" }</w:instrText>
      </w:r>
      <w:r w:rsidRPr="00452E2E">
        <w:fldChar w:fldCharType="separate"/>
      </w:r>
      <w:r w:rsidRPr="00452E2E">
        <w:rPr>
          <w:noProof/>
          <w:lang w:val="nl-NL"/>
        </w:rPr>
        <w:t xml:space="preserve">(Bowen &amp; Ostroff, 2004; Nishii </w:t>
      </w:r>
      <w:r w:rsidRPr="00452E2E">
        <w:rPr>
          <w:i/>
          <w:noProof/>
          <w:lang w:val="nl-NL"/>
        </w:rPr>
        <w:t>et al</w:t>
      </w:r>
      <w:r w:rsidRPr="00452E2E">
        <w:rPr>
          <w:noProof/>
          <w:lang w:val="nl-NL"/>
        </w:rPr>
        <w:t xml:space="preserve">., 2008; Fontinha </w:t>
      </w:r>
      <w:r w:rsidRPr="00452E2E">
        <w:rPr>
          <w:i/>
          <w:noProof/>
          <w:lang w:val="nl-NL"/>
        </w:rPr>
        <w:t>et al</w:t>
      </w:r>
      <w:r w:rsidRPr="00452E2E">
        <w:rPr>
          <w:noProof/>
          <w:lang w:val="nl-NL"/>
        </w:rPr>
        <w:t>., 2012; Van De Voorde &amp; Beijer, 2015)</w:t>
      </w:r>
      <w:r w:rsidRPr="00452E2E">
        <w:fldChar w:fldCharType="end"/>
      </w:r>
      <w:r w:rsidRPr="00452E2E">
        <w:rPr>
          <w:lang w:val="nl-NL"/>
        </w:rPr>
        <w:t xml:space="preserve">. </w:t>
      </w:r>
      <w:r w:rsidRPr="00452E2E">
        <w:t xml:space="preserve">This indicates that beyond the content of actual HR practices, it is the meanings attached to HR practices that can generate a positive change in employee attitudes </w:t>
      </w:r>
      <w:r w:rsidRPr="00452E2E">
        <w:fldChar w:fldCharType="begin" w:fldLock="1"/>
      </w:r>
      <w:r w:rsidRPr="00452E2E">
        <w:instrText>ADDIN CSL_CITATION { "citationItems" : [ { "id" : "ITEM-1", "itemData" : { "author" : [ { "dropping-particle" : "", "family" : "Bowen", "given" : "David E", "non-dropping-particle" : "", "parse-names" : false, "suffix" : "" }, { "dropping-particle" : "", "family" : "Ostroff", "given" : "Cheri", "non-dropping-particle" : "", "parse-names" : false, "suffix" : "" } ], "container-title" : "The Academy of Management Review", "id" : "ITEM-1", "issue" : "2", "issued" : { "date-parts" : [ [ "2004" ] ] }, "page" : "203-221", "title" : "Understanding HRM-firm performance linkages: The role of the \"strength\" of the HRM system", "type" : "article-journal", "volume" : "29" }, "uris" : [ "http://www.mendeley.com/documents/?uuid=cb9ef55e-10bb-4470-993e-c246e8d257ed" ] }, { "id" : "ITEM-2", "itemData" : { "author" : [ { "dropping-particle" : "", "family" : "Nishii", "given" : "L.H", "non-dropping-particle" : "", "parse-names" : false, "suffix" : "" }, { "dropping-particle" : "", "family" : "Wright", "given" : "Patrick M.", "non-dropping-particle" : "", "parse-names" : false, "suffix" : "" } ], "container-title" : "The people make the place", "editor" : [ { "dropping-particle" : "", "family" : "Smith", "given" : "D.B", "non-dropping-particle" : "", "parse-names" : false, "suffix" : "" } ], "id" : "ITEM-2", "issued" : { "date-parts" : [ [ "2008" ] ] }, "page" : "225-248", "publisher" : "Erlbaum", "publisher-place" : "Mahwah, NJ", "title" : "Variability at multiple levels of analysis: Implications for strategic human resource management", "type" : "chapter" }, "uris" : [ "http://www.mendeley.com/documents/?uuid=280000c5-a7fe-4988-a8bd-b93304581617" ] } ], "mendeley" : { "formattedCitation" : "(Bowen &amp; Ostroff 2004; Nishii &amp; Wright 2008)", "manualFormatting" : "(Bowen &amp; Ostroff, 2004; Nishii &amp; Wright, 2008)", "plainTextFormattedCitation" : "(Bowen &amp; Ostroff 2004; Nishii &amp; Wright 2008)", "previouslyFormattedCitation" : "(Bowen &amp; Ostroff 2004; Nishii &amp; Wright 2008)" }, "properties" : { "noteIndex" : 0 }, "schema" : "https://github.com/citation-style-language/schema/raw/master/csl-citation.json" }</w:instrText>
      </w:r>
      <w:r w:rsidRPr="00452E2E">
        <w:fldChar w:fldCharType="separate"/>
      </w:r>
      <w:r w:rsidRPr="00452E2E">
        <w:rPr>
          <w:noProof/>
        </w:rPr>
        <w:t>(Bowen &amp; Ostroff, 2004; Nishii &amp; Wright, 2008)</w:t>
      </w:r>
      <w:r w:rsidRPr="00452E2E">
        <w:fldChar w:fldCharType="end"/>
      </w:r>
      <w:r w:rsidRPr="00452E2E">
        <w:t xml:space="preserve">. Drawing from the theory of perception </w:t>
      </w:r>
      <w:r w:rsidRPr="00452E2E">
        <w:fldChar w:fldCharType="begin" w:fldLock="1"/>
      </w:r>
      <w:r w:rsidRPr="00452E2E">
        <w:instrText>ADDIN CSL_CITATION { "citationItems" : [ { "id" : "ITEM-1", "itemData" : { "author" : [ { "dropping-particle" : "", "family" : "Fiske", "given" : "S.T", "non-dropping-particle" : "", "parse-names" : false, "suffix" : "" }, { "dropping-particle" : "", "family" : "Taylor", "given" : "S.E", "non-dropping-particle" : "", "parse-names" : false, "suffix" : "" } ], "edition" : "2nd ed", "id" : "ITEM-1", "issued" : { "date-parts" : [ [ "1991" ] ] }, "publisher" : "McGraw-Hill", "publisher-place" : "New York", "title" : "Social cognition", "type" : "book" }, "uris" : [ "http://www.mendeley.com/documents/?uuid=88d782dc-959c-4eed-aaac-87c209248a1f" ] } ], "mendeley" : { "formattedCitation" : "(Fiske &amp; Taylor 1991)", "manualFormatting" : "(Fiske &amp; Taylor, 1991)", "plainTextFormattedCitation" : "(Fiske &amp; Taylor 1991)", "previouslyFormattedCitation" : "(Fiske &amp; Taylor 1991)" }, "properties" : { "noteIndex" : 0 }, "schema" : "https://github.com/citation-style-language/schema/raw/master/csl-citation.json" }</w:instrText>
      </w:r>
      <w:r w:rsidRPr="00452E2E">
        <w:fldChar w:fldCharType="separate"/>
      </w:r>
      <w:r w:rsidRPr="00452E2E">
        <w:rPr>
          <w:noProof/>
        </w:rPr>
        <w:t>(Fiske &amp; Taylor, 1991)</w:t>
      </w:r>
      <w:r w:rsidRPr="00452E2E">
        <w:fldChar w:fldCharType="end"/>
      </w:r>
      <w:r w:rsidRPr="00452E2E">
        <w:t xml:space="preserve"> which suggests that perception and reality are different, Nishii </w:t>
      </w:r>
      <w:r w:rsidRPr="00452E2E">
        <w:rPr>
          <w:i/>
        </w:rPr>
        <w:t>et al</w:t>
      </w:r>
      <w:r w:rsidR="00D072FE" w:rsidRPr="00452E2E">
        <w:rPr>
          <w:i/>
        </w:rPr>
        <w:t>.</w:t>
      </w:r>
      <w:r w:rsidRPr="00452E2E">
        <w:t xml:space="preserve"> (2008) argued that it is possible for employees to ascribe to the same HR practices different meanings, and that the effects of HR practices on employee attitudes will in turn, depend on the meanings employees attach to them. They built on Bowen </w:t>
      </w:r>
      <w:r w:rsidR="00581BEB" w:rsidRPr="00452E2E">
        <w:t>&amp;</w:t>
      </w:r>
      <w:r w:rsidRPr="00452E2E">
        <w:t xml:space="preserve"> Ostroff’s (2004) </w:t>
      </w:r>
      <w:r w:rsidR="004E5350" w:rsidRPr="00452E2E">
        <w:t>argument</w:t>
      </w:r>
      <w:r w:rsidRPr="00452E2E">
        <w:t xml:space="preserve"> that HR practices influence organizational climate perceptions by fostering appropriate behaviours that are expected and rewarded by management. </w:t>
      </w:r>
    </w:p>
    <w:p w:rsidR="004169FF" w:rsidRPr="00452E2E" w:rsidRDefault="00D03A8E" w:rsidP="00D03A8E">
      <w:pPr>
        <w:spacing w:line="360" w:lineRule="auto"/>
        <w:jc w:val="both"/>
      </w:pPr>
      <w:r w:rsidRPr="00452E2E">
        <w:t xml:space="preserve">However, whilst agreeing with Bowen </w:t>
      </w:r>
      <w:r w:rsidR="001D7332" w:rsidRPr="00452E2E">
        <w:t>&amp;</w:t>
      </w:r>
      <w:r w:rsidRPr="00452E2E">
        <w:t xml:space="preserve"> Ostroff (2004) on the importance of employee perceptions of HR practices, Nishii </w:t>
      </w:r>
      <w:r w:rsidRPr="00452E2E">
        <w:rPr>
          <w:i/>
        </w:rPr>
        <w:t>et al</w:t>
      </w:r>
      <w:r w:rsidR="001D7332" w:rsidRPr="00452E2E">
        <w:rPr>
          <w:i/>
        </w:rPr>
        <w:t>.</w:t>
      </w:r>
      <w:r w:rsidRPr="00452E2E">
        <w:t xml:space="preserve"> (2008) instead focused on employees’ perceptions of why HR practices exist as a possible explanation of the link between HR practices and employee attitudes, as opposed to Bowen </w:t>
      </w:r>
      <w:r w:rsidR="00733083" w:rsidRPr="00452E2E">
        <w:t>&amp;</w:t>
      </w:r>
      <w:r w:rsidRPr="00452E2E">
        <w:t xml:space="preserve"> Ostroff’s (2004) focus on organizational climate. They argued that employees’ perceptions of management’s motivations for enacting HR practices can influence their perception of HR practices and concomitantly influence their behaviour and attitudes. Hence</w:t>
      </w:r>
      <w:r w:rsidR="002054D0" w:rsidRPr="00452E2E">
        <w:t>,</w:t>
      </w:r>
      <w:r w:rsidRPr="00452E2E">
        <w:t xml:space="preserve"> the construct of HR attribution</w:t>
      </w:r>
      <w:r w:rsidR="003C6AD0" w:rsidRPr="00452E2E">
        <w:t>s</w:t>
      </w:r>
      <w:r w:rsidRPr="00452E2E">
        <w:t xml:space="preserve"> is defined as </w:t>
      </w:r>
      <w:r w:rsidRPr="00452E2E">
        <w:lastRenderedPageBreak/>
        <w:t xml:space="preserve">“causal explanations that employees make regarding management’s motivations for using particular HR practices” (Nishii </w:t>
      </w:r>
      <w:r w:rsidRPr="00452E2E">
        <w:rPr>
          <w:i/>
        </w:rPr>
        <w:t>et al</w:t>
      </w:r>
      <w:r w:rsidRPr="00452E2E">
        <w:t xml:space="preserve">., 2008 p.507). </w:t>
      </w:r>
    </w:p>
    <w:p w:rsidR="00D03A8E" w:rsidRPr="00452E2E" w:rsidRDefault="00D03A8E" w:rsidP="00D03A8E">
      <w:pPr>
        <w:spacing w:line="360" w:lineRule="auto"/>
        <w:jc w:val="both"/>
      </w:pPr>
      <w:r w:rsidRPr="00452E2E">
        <w:t xml:space="preserve">Of course, employees can offer different explanations for the existence of HR practices such as training, employee benefits or participation. Whilst some may allude to the implementation of HR practices out of management’s desire to improve employee well-being, others may perceive the reason for the same practices as a means for cutting costs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"id" : "ITEM-2", "itemData" : { "DOI" : "10.1108/00483481211263773", "ISBN" : "0967073051059", "ISSN" : "0048-3486", "abstract" : "Purpose - Outsourced information technology (IT) workers establish two\\ndifferent employment relationships: one with the outsourcing company\\nthat hires them and another with the client organization where they work\\ndaily. The attitudes that an employee has towards both organisations may\\nbe influenced by the interpretations or attributions that employees make\\nabout the reasons behind the human resource (HR) management practices\\nimplemented by the outsourcing company. This paper aims to propose that\\ncommitment-focused HR attributions are positively and control-focused HR\\nattributions are negatively related to the affective commitment to the\\nclient organization, through the affective commitment to the outsourcing\\ncompany.\\nDesign/methodology/approach - These hypotheses were tested with a sample\\nof 158 highly skilled outsourced employees from the IT sector. Data were\\nanalyzed with structural equation modeling (SEM).\\nFindings - The paper's hypotheses were supported. It can conclude that,\\nif an employee interprets the HR practices as part of a\\ncommitment-focused strategy of the outsourcing company, it has clear\\nattitudinal benefits. The study found that the relationship between HR\\nattributions and the commitment to the client organization is mediated\\nby the commitment to the outsourcing company.\\nPractical implications - These findings hint at the critical role of\\noutsourcing companies in managing the careers of these highly marketable\\nemployees.\\nOriginality/value - This paper is the first to apply the concept of FIR\\nattributions to contingent employment literature in general and to\\noutsourced IT workers in particular.", "author" : [ { "dropping-particle" : "", "family" : "Fontinha", "given" : "Rita", "non-dropping-particle" : "", "parse-names" : false, "suffix" : "" }, { "dropping-particle" : "", "family" : "Chambel", "given" : "Maria Jos\u00e9", "non-dropping-particle" : "", "parse-names" : false, "suffix" : "" }, { "dropping-particle" : "", "family" : "Cuyper", "given" : "Nele", "non-dropping-particle" : "De", "parse-names" : false, "suffix" : "" } ], "container-title" : "Personnel Review", "id" : "ITEM-2", "issue" : "6", "issued" : { "date-parts" : [ [ "2012" ] ] }, "page" : "832-848", "title" : "HR attributions and the dual commitment of outsourced IT workers", "type" : "article-journal", "volume" : "41" }, "uris" : [ "http://www.mendeley.com/documents/?uuid=67ff7303-a6b6-4f91-a508-6180e24dc1ea" ] }, { "id" : "ITEM-3",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w:instrText>
      </w:r>
      <w:r w:rsidRPr="00452E2E">
        <w:rPr>
          <w:lang w:val="nl-NL"/>
        </w:rPr>
        <w:instrText>ributionswere associated with higher levels of job strain. The findings of this study highlight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"ITEM-3",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"(Nishii et al. 2008; Fontinha et al. 2012; Van De Voorde &amp; Beijer 2015)", "manualFormatting" : "(Nishii et al., 2008; Fontinha et al., 2012; Van De Voorde &amp; Beijer, 2015)", "plainTextFormattedCitation" : "(Nishii et al. 2008; Fontinha et al. 2012; Van De Voorde &amp; Beijer 2015)", "previouslyFormattedCitation" : "(Nishii et al. 2008; Fontinha et al. 2012; Van De Voorde &amp; Beijer 2015)" }, "properties" : { "noteIndex" : 0 }, "schema" : "https://github.com/citation-style-language/schema/raw/master/csl-citation.json" }</w:instrText>
      </w:r>
      <w:r w:rsidRPr="00452E2E">
        <w:fldChar w:fldCharType="separate"/>
      </w:r>
      <w:r w:rsidRPr="00452E2E">
        <w:rPr>
          <w:noProof/>
          <w:lang w:val="nl-NL"/>
        </w:rPr>
        <w:t xml:space="preserve">(Nishii </w:t>
      </w:r>
      <w:r w:rsidRPr="00452E2E">
        <w:rPr>
          <w:i/>
          <w:noProof/>
          <w:lang w:val="nl-NL"/>
        </w:rPr>
        <w:t>et al</w:t>
      </w:r>
      <w:r w:rsidRPr="00452E2E">
        <w:rPr>
          <w:noProof/>
          <w:lang w:val="nl-NL"/>
        </w:rPr>
        <w:t xml:space="preserve">., 2008; Fontinha </w:t>
      </w:r>
      <w:r w:rsidRPr="00452E2E">
        <w:rPr>
          <w:i/>
          <w:noProof/>
          <w:lang w:val="nl-NL"/>
        </w:rPr>
        <w:t>et al</w:t>
      </w:r>
      <w:r w:rsidRPr="00452E2E">
        <w:rPr>
          <w:noProof/>
          <w:lang w:val="nl-NL"/>
        </w:rPr>
        <w:t>., 2012; Van De Voorde &amp; Beijer, 2015)</w:t>
      </w:r>
      <w:r w:rsidRPr="00452E2E">
        <w:fldChar w:fldCharType="end"/>
      </w:r>
      <w:r w:rsidRPr="00452E2E">
        <w:rPr>
          <w:lang w:val="nl-NL"/>
        </w:rPr>
        <w:t xml:space="preserve">. </w:t>
      </w:r>
      <w:r w:rsidRPr="00452E2E">
        <w:t xml:space="preserve">Yet, other employees may attribute the existence of the same HR practices to the need for management to comply with union or regulatory requirements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"id" : "ITEM-2", "itemData" : { "author" : [ { "dropping-particle" : "", "family" : "Nishii", "given" : "L.H", "non-dropping-particle" : "", "parse-names" : false, "suffix" : "" }, { "dropping-particle" : "", "family" : "Wright", "given" : "Patrick M.", "non-dropping-particle" : "", "parse-names" : false, "suffix" : "" } ], "container-title" : "The people make the place", "editor" : [ { "dropping-particle" : "", "family" : "Smith", "given" : "D.B", "non-dropping-particle" : "", "parse-names" : false, "suffix" : "" } ], "id" : "ITEM-2", "issued" : { "date-parts" : [ [ "2008" ] ] }, "page" : "225-248", "publisher" : "Erlbaum", "publisher-place" : "Mahwah, NJ", "title" : "Variability at multiple levels of analysis: Implications for strategic human resource management", "type" : "chapter" }, "uris" : [ "http://www.mendeley.com/documents/?uuid=280000c5-a7fe-4988-a8bd-b93304581617" ] }, { "id" : "ITEM-3",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"ITEM-3",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"(Nishii et al. 2008; Nishii &amp; Wright 2008; Kim &amp; Wright 2011)", "manualFormatting" : "(Nishii et al., 2008; Nishii &amp; Wright, 2008; Kim &amp; Wright, 2011)", "plainTextFormattedCitation" : "(Nishii et al. 2008; Nishii &amp; Wright 2008; Kim &amp; Wright 2011)", "previouslyFormattedCitation" : "(Nishii et al. 2008; Nishii &amp; Wright 2008; Kim &amp; Wright 2011)" }, "properties" : { "noteIndex" : 0 }, "schema" : "https://github.com/citation-style-language/schema/raw/master/csl-citation.json" }</w:instrText>
      </w:r>
      <w:r w:rsidRPr="00452E2E">
        <w:fldChar w:fldCharType="separate"/>
      </w:r>
      <w:r w:rsidRPr="00452E2E">
        <w:rPr>
          <w:noProof/>
        </w:rPr>
        <w:t xml:space="preserve">(Nishii </w:t>
      </w:r>
      <w:r w:rsidRPr="00452E2E">
        <w:rPr>
          <w:i/>
          <w:noProof/>
        </w:rPr>
        <w:t>et al</w:t>
      </w:r>
      <w:r w:rsidRPr="00452E2E">
        <w:rPr>
          <w:noProof/>
        </w:rPr>
        <w:t>., 2008; Nishii &amp; Wright, 2008; Kim &amp; Wright, 2011)</w:t>
      </w:r>
      <w:r w:rsidRPr="00452E2E">
        <w:fldChar w:fldCharType="end"/>
      </w:r>
      <w:r w:rsidRPr="00452E2E">
        <w:t xml:space="preserve">. </w:t>
      </w:r>
    </w:p>
    <w:p w:rsidR="00D03A8E" w:rsidRPr="00452E2E" w:rsidRDefault="00D03A8E" w:rsidP="00D03A8E">
      <w:pPr>
        <w:spacing w:line="360" w:lineRule="auto"/>
        <w:jc w:val="both"/>
      </w:pPr>
      <w:r w:rsidRPr="00452E2E">
        <w:t xml:space="preserve">Drawing from attribution theory in social psychology </w:t>
      </w:r>
      <w:r w:rsidRPr="00452E2E">
        <w:fldChar w:fldCharType="begin" w:fldLock="1"/>
      </w:r>
      <w:r w:rsidRPr="00452E2E">
        <w:instrText>ADDIN CSL_CITATION { "citationItems" : [ { "id" : "ITEM-1", "itemData" : { "author" : [ { "dropping-particle" : "", "family" : "Kelley", "given" : "H.H", "non-dropping-particle" : "", "parse-names" : false, "suffix" : "" } ], "container-title" : "Nebraska symposium on motivation, Vol 15,", "editor" : [ { "dropping-particle" : "", "family" : "Levine", "given" : "D", "non-dropping-particle" : "", "parse-names" : false, "suffix" : "" } ], "id" : "ITEM-1", "issued" : { "date-parts" : [ [ "1967" ] ] }, "page" : "192-240", "publisher" : "University of Nebraska Press", "publisher-place" : "Lincoln", "title" : "Attribution theory in social psychology", "type" : "chapter" }, "uris" : [ "http://www.mendeley.com/documents/?uuid=b24f1b90-03e3-44da-9904-b37a8da82f1c" ] } ], "mendeley" : { "formattedCitation" : "(Kelley 1967)", "manualFormatting" : "(Kelley, 1967)", "plainTextFormattedCitation" : "(Kelley 1967)", "previouslyFormattedCitation" : "(Kelley 1967)" }, "properties" : { "noteIndex" : 0 }, "schema" : "https://github.com/citation-style-language/schema/raw/master/csl-citation.json" }</w:instrText>
      </w:r>
      <w:r w:rsidRPr="00452E2E">
        <w:fldChar w:fldCharType="separate"/>
      </w:r>
      <w:r w:rsidRPr="00452E2E">
        <w:rPr>
          <w:noProof/>
        </w:rPr>
        <w:t>(Kelley, 1967)</w:t>
      </w:r>
      <w:r w:rsidRPr="00452E2E">
        <w:fldChar w:fldCharType="end"/>
      </w:r>
      <w:r w:rsidRPr="00452E2E">
        <w:t xml:space="preserve">, individuals can attach various meanings to causes and their attitudes and behaviours towards similar causes will depend on the interpretations they make. Relating this to HRM, Nishii </w:t>
      </w:r>
      <w:r w:rsidRPr="00452E2E">
        <w:rPr>
          <w:i/>
        </w:rPr>
        <w:t>et al</w:t>
      </w:r>
      <w:r w:rsidR="00E01B9D" w:rsidRPr="00452E2E">
        <w:rPr>
          <w:i/>
        </w:rPr>
        <w:t>.</w:t>
      </w:r>
      <w:r w:rsidRPr="00452E2E">
        <w:t xml:space="preserve"> (2008) argued that the relationship between HR practices and employee attitudes may depend on employees’ attributions of the purpose of such HR practices. This means that the relationship between HR practices will be mediated by HR attributions </w:t>
      </w:r>
      <w:r w:rsidRPr="00452E2E">
        <w:fldChar w:fldCharType="begin" w:fldLock="1"/>
      </w:r>
      <w:r w:rsidRPr="00452E2E">
        <w:instrText>ADDIN CSL_CITATION { "citationItems" : [ { "id" : "ITEM-1",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"ITEM-1",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"id" : "ITEM-2",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attributionswere associated with higher levels of job strain. The findings of this study highlight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"ITEM-2",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"(Kim &amp; Wright 2011; Van De Voorde &amp; Beijer 2015)", "manualFormatting" : "(Kim &amp; Wright, 2011; Van De Voorde &amp; Beijer, 2015)", "plainTextFormattedCitation" : "(Kim &amp; Wright 2011; Van De Voorde &amp; Beijer 2015)", "previouslyFormattedCitation" : "(Kim &amp; Wright 2011; Van De Voorde &amp; Beijer 2015)" }, "properties" : { "noteIndex" : 0 }, "schema" : "https://github.com/citation-style-language/schema/raw/master/csl-citation.json" }</w:instrText>
      </w:r>
      <w:r w:rsidRPr="00452E2E">
        <w:fldChar w:fldCharType="separate"/>
      </w:r>
      <w:r w:rsidRPr="00452E2E">
        <w:rPr>
          <w:noProof/>
        </w:rPr>
        <w:t>(Kim &amp; Wright, 2011; Van De Voorde &amp; Beijer, 2015)</w:t>
      </w:r>
      <w:r w:rsidRPr="00452E2E">
        <w:fldChar w:fldCharType="end"/>
      </w:r>
      <w:r w:rsidRPr="00452E2E">
        <w:t xml:space="preserve">. Attribution theorists suggest that attribution can be internal or external </w:t>
      </w:r>
      <w:r w:rsidRPr="00452E2E">
        <w:fldChar w:fldCharType="begin" w:fldLock="1"/>
      </w:r>
      <w:r w:rsidRPr="00452E2E">
        <w:instrText>ADDIN CSL_CITATION { "citationItems" : [ { "id" : "ITEM-1", "itemData" : { "author" : [ { "dropping-particle" : "", "family" : "Heider", "given" : "F", "non-dropping-particle" : "", "parse-names" : false, "suffix" : "" } ], "id" : "ITEM-1", "issued" : { "date-parts" : [ [ "1958" ] ] }, "publisher" : "Wiley", "publisher-place" : "New York", "title" : "The psychology of interpersonal relation", "type" : "book" }, "uris" : [ "http://www.mendeley.com/documents/?uuid=40d58d52-43a2-4b3e-834b-9e9a8267f719" ] } ], "mendeley" : { "formattedCitation" : "(Heider 1958)", "manualFormatting" : "(Heider, 1958)", "plainTextFormattedCitation" : "(Heider 1958)", "previouslyFormattedCitation" : "(Heider 1958)" }, "properties" : { "noteIndex" : 0 }, "schema" : "https://github.com/citation-style-language/schema/raw/master/csl-citation.json" }</w:instrText>
      </w:r>
      <w:r w:rsidRPr="00452E2E">
        <w:fldChar w:fldCharType="separate"/>
      </w:r>
      <w:r w:rsidRPr="00452E2E">
        <w:rPr>
          <w:noProof/>
        </w:rPr>
        <w:t>(Heider, 1958)</w:t>
      </w:r>
      <w:r w:rsidRPr="00452E2E">
        <w:fldChar w:fldCharType="end"/>
      </w:r>
      <w:r w:rsidRPr="00452E2E">
        <w:t xml:space="preserve">. Whilst the former attributes the cause of behaviour to the individual; meaning that the individual has control over subsequent behaviour, the latter attributes the cause of behaviour to situational or external factors that are beyond the control of the individual </w:t>
      </w:r>
      <w:r w:rsidRPr="00452E2E">
        <w:fldChar w:fldCharType="begin" w:fldLock="1"/>
      </w:r>
      <w:r w:rsidRPr="00452E2E">
        <w:instrText>ADDIN CSL_CITATION { "citationItems" : [ { "id" : "ITEM-1", "itemData" : { "author" : [ { "dropping-particle" : "", "family" : "Koys", "given" : "D", "non-dropping-particle" : "", "parse-names" : false, "suffix" : "" } ], "container-title" : "Employee responsibilities and Rights Journal", "id" : "ITEM-1", "issue" : "16", "issued" : { "date-parts" : [ [ "1988" ] ] }, "page" : "57-68", "title" : "Human Resource Management and a Culture of Respect: Effects on Employee\u2019 organization commitment.", "type" : "article-journal", "volume" : "1" }, "uris" : [ "http://www.mendeley.com/documents/?uuid=d521439d-53e0-4fd3-8f9b-90a06f00c326" ] }, { "id" : "ITEM-2",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"ITEM-2",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"id" : "ITEM-3", "itemData" : { "DOI" : "10.1108/00483481211263773", "ISBN" : "0967073051059", "ISSN" : "0048-3486", "abstract" : "Purpose - Outsourced information technology (IT) workers establish two\\ndifferent employment relationships: one with the outsourcing company\\nthat hires them and another with the client organization where they work\\ndaily. The attitudes that an employee has towards both organisations may\\nbe influenced by the interpretations or attributions that employees make\\nabout the reasons behind the human resource (HR) management practices\\nimplemented by the outsourcing company. This paper aims to propose that\\ncommitment-focused HR attributions are positively and control-focused HR\\nattributions are negatively related to the affective commitment to the\\nclient organization, through the affective commitment to the outsourcing\\ncompany.\\nDesign/methodology/approach - These hypotheses were tested with a sample\\nof 158 highly skilled outsourced employees from the IT sector. Data were\\nanalyzed with structural equation modeling (SEM).\\nFindings - The paper's hypotheses were supported. It can conclude that,\\nif an employee interprets the HR practices as part of a\\ncommitment-focused strategy of the outsourcing company, it has clear\\nattitudinal benefits. The study found that the relationship between HR\\nattributions and the commitment to the client organization is mediated\\nby the commitment to the outsourcing company.\\nPractical implications - These findings hint at the critical role of\\noutsourcing companies in managing the careers of these highly marketable\\nemployees.\\nOriginality/value - This paper is the first to apply the concept of FIR\\nattributions to contingent employment literature in general and to\\noutsourced IT workers in particular.", "author" : [ { "dropping-particle" : "", "family" : "Fontinha", "given" : "Rita", "non-dropping-particle" : "", "parse-names" : false, "suffix" : "" }, { "dropping-particle" : "", "family" : "Chambel", "given" : "Maria Jos\u00e9", "non-dropping-particle" : "", "parse-names" : false, "suffix" : "" }, { "dropping-particle" : "", "family" : "Cuyper", "given" : "Nele", "non-dropping-particle" : "De", "parse-names" : false, "suffix" : "" } ], "container-title" : "Personnel Review", "id" : "ITEM-3", "issue" : "6", "issued" : { "date-parts" : [ [ "2012" ] ] }, "page" : "832-848", "title" : "HR attributions and the dual commitment of outsourced IT workers", "type" : "article-journal", "volume" : "41" }, "uris" : [ "http://www.mendeley.com/documents/?uuid=67ff7303-a6b6-4f91-a508-6180e24dc1ea" ] }, { "id" : "ITEM-4",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attributionswere associated with higher levels of job strain. The findings of this study highlight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"ITEM-4",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"(Koys 1988; Nishii et al. 2008; Fontinha et al. 2012; Van De Voorde &amp; Beijer 2015)", "manualFormatting" : "(Heider, 1958; Koys 1988; Nishii et al., 2008; Van De Voorde &amp; Beijer 2015)", "plainTextFormattedCitation" : "(Koys 1988; Nishii et al. 2008; Fontinha et al. 2012; Van De Voorde &amp; Beijer 2015)", "previouslyFormattedCitation" : "(Koys 1988; Nishii et al. 2008; Fontinha et al. 2012; Van De Voorde &amp; Beijer 2015)" }, "properties" : { "noteIndex" : 0 }, "schema" : "https://github.com/citation-style-language/schema/raw/master/csl-citation.json" }</w:instrText>
      </w:r>
      <w:r w:rsidRPr="00452E2E">
        <w:fldChar w:fldCharType="separate"/>
      </w:r>
      <w:r w:rsidRPr="00452E2E">
        <w:rPr>
          <w:noProof/>
        </w:rPr>
        <w:t xml:space="preserve">(Heider, 1958; Koys 1988; Nishii </w:t>
      </w:r>
      <w:r w:rsidRPr="00452E2E">
        <w:rPr>
          <w:i/>
          <w:noProof/>
        </w:rPr>
        <w:t>et al</w:t>
      </w:r>
      <w:r w:rsidRPr="00452E2E">
        <w:rPr>
          <w:noProof/>
        </w:rPr>
        <w:t>., 2008; Van De Voorde &amp; Beijer</w:t>
      </w:r>
      <w:r w:rsidR="00E62C5F" w:rsidRPr="00452E2E">
        <w:rPr>
          <w:noProof/>
        </w:rPr>
        <w:t>,</w:t>
      </w:r>
      <w:r w:rsidRPr="00452E2E">
        <w:rPr>
          <w:noProof/>
        </w:rPr>
        <w:t xml:space="preserve"> 2015)</w:t>
      </w:r>
      <w:r w:rsidRPr="00452E2E">
        <w:fldChar w:fldCharType="end"/>
      </w:r>
      <w:r w:rsidRPr="00452E2E">
        <w:t xml:space="preserve">. </w:t>
      </w:r>
    </w:p>
    <w:p w:rsidR="00D03A8E" w:rsidRPr="00452E2E" w:rsidRDefault="00D03A8E" w:rsidP="00D03A8E">
      <w:pPr>
        <w:spacing w:line="360" w:lineRule="auto"/>
        <w:jc w:val="both"/>
      </w:pPr>
      <w:r w:rsidRPr="00452E2E">
        <w:t xml:space="preserve">Research has shown that compared to internal attributions, external attributions are less strongly related to attitudes and behaviours </w:t>
      </w:r>
      <w:r w:rsidRPr="00452E2E">
        <w:fldChar w:fldCharType="begin" w:fldLock="1"/>
      </w:r>
      <w:r w:rsidRPr="00452E2E">
        <w:instrText>ADDIN CSL_CITATION { "citationItems" : [ { "id" : "ITEM-1", "itemData" : { "author" : [ { "dropping-particle" : "", "family" : "Koys", "given" : "D", "non-dropping-particle" : "", "parse-names" : false, "suffix" : "" } ], "container-title" : "Employee responsibilities and Rights Journal", "id" : "ITEM-1", "issue" : "16", "issued" : { "date-parts" : [ [ "1988" ] ] }, "page" : "57-68", "title" : "Human Resource Management and a Culture of Respect: Effects on Employee\u2019 organization commitment.", "type" : "article-journal", "volume" : "1" }, "uris" : [ "http://www.mendeley.com/documents/?uuid=d521439d-53e0-4fd3-8f9b-90a06f00c326" ] }, { "id" : "ITEM-2",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"ITEM-2",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"(Koys 1988; Nishii et al. 2008)", "manualFormatting" : "(Nishii et al., 2008)", "plainTextFormattedCitation" : "(Koys 1988; Nishii et al. 2008)", "previouslyFormattedCitation" : "(Koys 1988; Nishii et al. 2008)" }, "properties" : { "noteIndex" : 0 }, "schema" : "https://github.com/citation-style-language/schema/raw/master/csl-citation.json" }</w:instrText>
      </w:r>
      <w:r w:rsidRPr="00452E2E">
        <w:fldChar w:fldCharType="separate"/>
      </w:r>
      <w:r w:rsidRPr="00452E2E">
        <w:rPr>
          <w:noProof/>
        </w:rPr>
        <w:t xml:space="preserve">(Nishii </w:t>
      </w:r>
      <w:r w:rsidRPr="00452E2E">
        <w:rPr>
          <w:i/>
          <w:noProof/>
        </w:rPr>
        <w:t>et al</w:t>
      </w:r>
      <w:r w:rsidRPr="00452E2E">
        <w:rPr>
          <w:noProof/>
        </w:rPr>
        <w:t>., 2008)</w:t>
      </w:r>
      <w:r w:rsidRPr="00452E2E">
        <w:fldChar w:fldCharType="end"/>
      </w:r>
      <w:r w:rsidRPr="00452E2E">
        <w:t xml:space="preserve">. Earlier, Koys (1988) distinguished between internal and external attributions for HR and found that internal attributions for HR were positively related to organizational commitment whilst external attributions for HR were not related to organizational commitment. However, Nishii </w:t>
      </w:r>
      <w:r w:rsidRPr="00452E2E">
        <w:rPr>
          <w:i/>
        </w:rPr>
        <w:t>et al</w:t>
      </w:r>
      <w:r w:rsidR="002D3B6F" w:rsidRPr="00452E2E">
        <w:rPr>
          <w:i/>
        </w:rPr>
        <w:t>.</w:t>
      </w:r>
      <w:r w:rsidRPr="00452E2E">
        <w:t xml:space="preserve"> (2008) questioned the basis for Koy’s (1988) distinction between these dimensions of HR attributions, suggesting that the dis</w:t>
      </w:r>
      <w:r w:rsidR="009F300D" w:rsidRPr="00452E2E">
        <w:t>tinction was done arbitrarily. Hence, d</w:t>
      </w:r>
      <w:r w:rsidRPr="00452E2E">
        <w:t xml:space="preserve">rawing from the </w:t>
      </w:r>
      <w:r w:rsidRPr="00452E2E">
        <w:lastRenderedPageBreak/>
        <w:t xml:space="preserve">literature on strategic </w:t>
      </w:r>
      <w:r w:rsidR="008524A5" w:rsidRPr="00452E2E">
        <w:t>HRM</w:t>
      </w:r>
      <w:r w:rsidRPr="00452E2E">
        <w:t xml:space="preserve">, Nishii </w:t>
      </w:r>
      <w:r w:rsidRPr="00452E2E">
        <w:rPr>
          <w:i/>
        </w:rPr>
        <w:t>et al</w:t>
      </w:r>
      <w:r w:rsidRPr="00452E2E">
        <w:t xml:space="preserve"> (2008) argued that internal HR attributions can be multifaceted. They identified two dimensions of internal HR attributions namely, commitment-focused HR attribution and control-focused HR attributions. Whilst commitment-focused HR attribution is based on employees’ perceptions that HR practices are implemented due to the desire of management to improve service delivery and employee well-being, control-focused HR attribution connotes the perception that HR practices are implemented as a means of cost reduction and employee exploitation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"id" : "ITEM-2", "itemData" : { "DOI" : "10.1108/00483481211263773", "ISBN" : "0967073051059", "ISSN" : "0048-3486", "abstract" : "Purpose - Outsourced information technology (IT) workers establish two\\ndifferent employment relationships: one with the outsourcing company\\nthat hires them and another with the client organization where they work\\ndaily. The attitudes that an employee has towards both organisations may\\nbe influenced by the interpretations or attributions that employees make\\nabout the reasons behind the human resource (HR) management practices\\nimplemented by the outsourcing company. This paper aims to propose that\\ncommitment-focused HR attributions are positively and control-focused HR\\nattributions are negatively related to the affective commitment to the\\nclient organization, through the affective commitment to the outsourcing\\ncompany.\\nDesign/methodology/approach - These hypotheses were tested with a sample\\nof 158 highly skilled outsourced employees from the IT sector. Data were\\nanalyzed with structural equation modeling (SEM).\\nFindings - The paper's hypotheses were supported. It can conclude that,\\nif an employee interprets the HR practices as part of a\\ncommitment-focused strategy of the outsourcing company, it has clear\\nattitudinal benefits. The study found that the relationship between HR\\nattributions and the commitment to the client organization is mediated\\nby the commitment to the outsourcing company.\\nPractical implications - These findings hint at the critical role of\\noutsourcing companies in managing the careers of these highly marketable\\nemployees.\\nOriginality/value - This paper is the first to apply the concept of FIR\\nattributions to contingent employment literature in general and to\\noutsourced IT workers in particular.", "author" : [ { "dropping-particle" : "", "family" : "Fontinha", "given" : "Rita", "non-dropping-particle" : "", "parse-names" : false, "suffix" : "" }, { "dropping-particle" : "", "family" : "Chambel", "given" : "Maria Jos\u00e9", "non-dropping-particle" : "", "parse-names" : false, "suffix" : "" }, { "dropping-particle" : "", "family" : "Cuyper", "given" : "Nele", "non-dropping-particle" : "De", "parse-names" : false, "suffix" : "" } ], "container-title" : "Personnel Review", "id" : "ITEM-2", "issue" : "6", "issued" : { "date-parts" : [ [ "2012" ] ] }, "page" : "832-848", "title" : "HR attributions and the dual commitment of outsourced IT workers", "type" : "article-journal", "volume" : "41" }, "uris" : [ "http://www.mendeley.com/documents/?uuid=67ff7303-a6b6-4f91-a508-6180e24dc1ea" ] }, { "id" : "ITEM-3",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w:instrText>
      </w:r>
      <w:r w:rsidRPr="00452E2E">
        <w:rPr>
          <w:lang w:val="nl-NL"/>
        </w:rPr>
        <w:instrText>ributionswere associated with higher levels of job strain. The findings of this study highlight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"ITEM-3",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"(Nishii et al. 2008; Fontinha et al. 2012; Van De Voorde &amp; Beijer 2015)", "manualFormatting" : "(Nishii et al., 2008; Fontinha et al., 2012; Van De Voorde &amp; Beijer, 2015)", "plainTextFormattedCitation" : "(Nishii et al. 2008; Fontinha et al. 2012; Van De Voorde &amp; Beijer 2015)", "previouslyFormattedCitation" : "(Nishii et al. 2008; Fontinha et al. 2012; Van De Voorde &amp; Beijer 2015)" }, "properties" : { "noteIndex" : 0 }, "schema" : "https://github.com/citation-style-language/schema/raw/master/csl-citation.json" }</w:instrText>
      </w:r>
      <w:r w:rsidRPr="00452E2E">
        <w:fldChar w:fldCharType="separate"/>
      </w:r>
      <w:r w:rsidRPr="00452E2E">
        <w:rPr>
          <w:noProof/>
          <w:lang w:val="nl-NL"/>
        </w:rPr>
        <w:t xml:space="preserve">(Nishii </w:t>
      </w:r>
      <w:r w:rsidRPr="00452E2E">
        <w:rPr>
          <w:i/>
          <w:noProof/>
          <w:lang w:val="nl-NL"/>
        </w:rPr>
        <w:t>et al</w:t>
      </w:r>
      <w:r w:rsidRPr="00452E2E">
        <w:rPr>
          <w:noProof/>
          <w:lang w:val="nl-NL"/>
        </w:rPr>
        <w:t xml:space="preserve">., 2008; Fontinha </w:t>
      </w:r>
      <w:r w:rsidRPr="00452E2E">
        <w:rPr>
          <w:i/>
          <w:noProof/>
          <w:lang w:val="nl-NL"/>
        </w:rPr>
        <w:t>et al</w:t>
      </w:r>
      <w:r w:rsidRPr="00452E2E">
        <w:rPr>
          <w:noProof/>
          <w:lang w:val="nl-NL"/>
        </w:rPr>
        <w:t>., 2012; Van De Voorde &amp; Beijer, 2015)</w:t>
      </w:r>
      <w:r w:rsidRPr="00452E2E">
        <w:fldChar w:fldCharType="end"/>
      </w:r>
      <w:r w:rsidRPr="00452E2E">
        <w:rPr>
          <w:lang w:val="nl-NL"/>
        </w:rPr>
        <w:t xml:space="preserve">. </w:t>
      </w:r>
      <w:r w:rsidRPr="00452E2E">
        <w:t xml:space="preserve">These two dimensions of internal HR attributions resonate with the distinction of commitment versus control HR practices in strategic HRM research </w:t>
      </w:r>
      <w:r w:rsidRPr="00452E2E">
        <w:fldChar w:fldCharType="begin" w:fldLock="1"/>
      </w:r>
      <w:r w:rsidRPr="00452E2E">
        <w:instrText>ADDIN CSL_CITATION { "citationItems" : [ { "id" : "ITEM-1", "itemData" : { "author" : [ { "dropping-particle" : "", "family" : "Arthur", "given" : "Jeffrey B", "non-dropping-particle" : "", "parse-names" : false, "suffix" : "" } ], "container-title" : "The Academy of Management Journal", "id" : "ITEM-1", "issue" : "3", "issued" : { "date-parts" : [ [ "1994" ] ] }, "page" : "670-687", "title" : "Effects of human reource systems on manufacturing performance and turnover", "type" : "article-journal", "volume" : "37" }, "uris" : [ "http://www.mendeley.com/documents/?uuid=c81c413c-6ba0-4a28-a60c-fc0f87f5ab48" ] }, { "id" : "ITEM-2",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"ITEM-2",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"ITEM-3",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"ITEM-3",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"(Arthur 1994; Boselie et al. 2003; Nishii et al. 2008)", "manualFormatting" : "(Arthur, 1994; Boselie et al., 2003; cf. Nishii et al., 2008)", "plainTextFormattedCitation" : "(Arthur 1994; Boselie et al. 2003; Nishii et al. 2008)", "previouslyFormattedCitation" : "(Arthur 1994; Boselie et al. 2003; Nishii et al. 2008)" }, "properties" : { "noteIndex" : 0 }, "schema" : "https://github.com/citation-style-language/schema/raw/master/csl-citation.json" }</w:instrText>
      </w:r>
      <w:r w:rsidRPr="00452E2E">
        <w:fldChar w:fldCharType="separate"/>
      </w:r>
      <w:r w:rsidRPr="00452E2E">
        <w:rPr>
          <w:noProof/>
        </w:rPr>
        <w:t xml:space="preserve">(Arthur, 1994; Boselie </w:t>
      </w:r>
      <w:r w:rsidRPr="00452E2E">
        <w:rPr>
          <w:i/>
          <w:noProof/>
        </w:rPr>
        <w:t>et al</w:t>
      </w:r>
      <w:r w:rsidRPr="00452E2E">
        <w:rPr>
          <w:noProof/>
        </w:rPr>
        <w:t xml:space="preserve">., 2003; cf. Nishii </w:t>
      </w:r>
      <w:r w:rsidRPr="00452E2E">
        <w:rPr>
          <w:i/>
          <w:noProof/>
        </w:rPr>
        <w:t>et al</w:t>
      </w:r>
      <w:r w:rsidRPr="00452E2E">
        <w:rPr>
          <w:noProof/>
        </w:rPr>
        <w:t>., 2008)</w:t>
      </w:r>
      <w:r w:rsidRPr="00452E2E">
        <w:fldChar w:fldCharType="end"/>
      </w:r>
      <w:r w:rsidRPr="00452E2E">
        <w:t xml:space="preserve">. </w:t>
      </w:r>
    </w:p>
    <w:p w:rsidR="00363F93" w:rsidRPr="00452E2E" w:rsidRDefault="00D03A8E" w:rsidP="00D03A8E">
      <w:pPr>
        <w:spacing w:line="360" w:lineRule="auto"/>
        <w:jc w:val="both"/>
      </w:pPr>
      <w:r w:rsidRPr="00452E2E">
        <w:t xml:space="preserve">When employees have course to believe that HR practices implemented in their organization are aimed at improving quality service delivery the well-being of employees, our knowledge of social exchange </w:t>
      </w:r>
      <w:r w:rsidRPr="00452E2E">
        <w:fldChar w:fldCharType="begin" w:fldLock="1"/>
      </w:r>
      <w:r w:rsidRPr="00452E2E">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"mendeley" : { "formattedCitation" : "(Blau 1964)", "plainTextFormattedCitation" : "(Blau 1964)", "previouslyFormattedCitation" : "(Blau 1964)" }, "properties" : { "noteIndex" : 0 }, "schema" : "https://github.com/citation-style-language/schema/raw/master/csl-citation.json" }</w:instrText>
      </w:r>
      <w:r w:rsidRPr="00452E2E">
        <w:fldChar w:fldCharType="separate"/>
      </w:r>
      <w:r w:rsidRPr="00452E2E">
        <w:rPr>
          <w:noProof/>
        </w:rPr>
        <w:t>(Blau</w:t>
      </w:r>
      <w:r w:rsidR="00E727D8" w:rsidRPr="00452E2E">
        <w:rPr>
          <w:noProof/>
        </w:rPr>
        <w:t>,</w:t>
      </w:r>
      <w:r w:rsidRPr="00452E2E">
        <w:rPr>
          <w:noProof/>
        </w:rPr>
        <w:t xml:space="preserve"> 1964)</w:t>
      </w:r>
      <w:r w:rsidRPr="00452E2E">
        <w:fldChar w:fldCharType="end"/>
      </w:r>
      <w:r w:rsidRPr="00452E2E">
        <w:t xml:space="preserve"> and perceived organizational support </w:t>
      </w:r>
      <w:r w:rsidRPr="00452E2E">
        <w:fldChar w:fldCharType="begin" w:fldLock="1"/>
      </w:r>
      <w:r w:rsidRPr="00452E2E">
        <w:instrText>ADDIN CSL_CITATION { "citationItems" : [ { "id" : "ITEM-1", "itemData" : { "DOI" : "10.1037//0021-9010.87.4.698", "ISBN" : "0021-9010", "ISSN" : "0021-9010", "PMID" : "12130443", "author" : [ { "dropping-particle" : "", "family" : "Rhoades", "given" : "Linda", "non-dropping-particle" : "", "parse-names" : false, "suffix" : "" }, { "dropping-particle" : "", "family" : "Eisenberger", "given" : "Robert", "non-dropping-particle" : "", "parse-names" : false, "suffix" : "" } ], "container-title" : "Journal of Applied Psychology", "id" : "ITEM-1", "issue" : "4", "issued" : { "date-parts" : [ [ "2002" ] ] }, "page" : "698-714", "title" : "Perceived organizational support: A review of the literature", "type" : "article-journal", "volume" : "87" }, "uris" : [ "http://www.mendeley.com/documents/?uuid=05fa9f60-bc12-4704-b3af-d9801fb50251" ] } ], "mendeley" : { "formattedCitation" : "(Rhoades &amp; Eisenberger 2002)", "manualFormatting" : "(Rhoades &amp; Eisenberger, 2002)", "plainTextFormattedCitation" : "(Rhoades &amp; Eisenberger 2002)", "previouslyFormattedCitation" : "(Rhoades &amp; Eisenberger 2002)" }, "properties" : { "noteIndex" : 0 }, "schema" : "https://github.com/citation-style-language/schema/raw/master/csl-citation.json" }</w:instrText>
      </w:r>
      <w:r w:rsidRPr="00452E2E">
        <w:fldChar w:fldCharType="separate"/>
      </w:r>
      <w:r w:rsidRPr="00452E2E">
        <w:rPr>
          <w:noProof/>
        </w:rPr>
        <w:t>(Rhoades &amp; Eisenberger, 2002)</w:t>
      </w:r>
      <w:r w:rsidRPr="00452E2E">
        <w:fldChar w:fldCharType="end"/>
      </w:r>
      <w:r w:rsidRPr="00452E2E">
        <w:t xml:space="preserve"> suggests that that they (employees) will likely reciprocate this favour, by exhibiting positive attitudes in the form of job satisfaction and organizational commitment. Conversely, when employees’ perception is that HR practices are intended to achieve cost reduction and in turn exploit them, this will result to lower job satisfaction and organizational commitment levels. </w:t>
      </w:r>
    </w:p>
    <w:p w:rsidR="00D03A8E" w:rsidRPr="00452E2E" w:rsidRDefault="00D03A8E" w:rsidP="00D03A8E">
      <w:pPr>
        <w:spacing w:line="360" w:lineRule="auto"/>
        <w:jc w:val="both"/>
      </w:pPr>
      <w:r w:rsidRPr="00452E2E">
        <w:t xml:space="preserve">Empirically, Nishii </w:t>
      </w:r>
      <w:r w:rsidRPr="00452E2E">
        <w:rPr>
          <w:i/>
        </w:rPr>
        <w:t>et al</w:t>
      </w:r>
      <w:r w:rsidRPr="00452E2E">
        <w:t xml:space="preserve">. (2008) found in their study of a large service firm in USA that positive association exists between commitment-focused HR attribution and employee attitudes whilst there was a negative relationship between control-focused HR attribution and employee attitudes. Similarly, Fontinha </w:t>
      </w:r>
      <w:r w:rsidRPr="00452E2E">
        <w:rPr>
          <w:i/>
        </w:rPr>
        <w:t>et al</w:t>
      </w:r>
      <w:r w:rsidRPr="00452E2E">
        <w:t xml:space="preserve">. (2012) found a positive effect of commitment-focused HR attribution on affective commitment among outsourced IT employees, whilst the relationship between control-focused HR attribution and affective commitment was negative. Recently, Van De Voorde &amp; Beijer (2015) examined the effects of internal HR attributions on organizational commitment and job strain. They found that commitment-focused (labelled as </w:t>
      </w:r>
      <w:r w:rsidRPr="00452E2E">
        <w:rPr>
          <w:i/>
        </w:rPr>
        <w:t>well-being-focused</w:t>
      </w:r>
      <w:r w:rsidRPr="00452E2E">
        <w:t xml:space="preserve">) HR attribution was associated positively with organizational commitment and negatively with job strain. Conversely, the </w:t>
      </w:r>
      <w:r w:rsidRPr="00452E2E">
        <w:lastRenderedPageBreak/>
        <w:t xml:space="preserve">study found that control-focused (labelled as </w:t>
      </w:r>
      <w:r w:rsidRPr="00452E2E">
        <w:rPr>
          <w:i/>
        </w:rPr>
        <w:t>performance-focused</w:t>
      </w:r>
      <w:r w:rsidRPr="00452E2E">
        <w:t xml:space="preserve">) HR attribution was negatively associated with organizational commitment and positively associated with job strain. This confirms, as Nishii </w:t>
      </w:r>
      <w:r w:rsidRPr="00452E2E">
        <w:rPr>
          <w:i/>
        </w:rPr>
        <w:t>et al</w:t>
      </w:r>
      <w:r w:rsidR="006C15D4" w:rsidRPr="00452E2E">
        <w:rPr>
          <w:i/>
        </w:rPr>
        <w:t>.</w:t>
      </w:r>
      <w:r w:rsidRPr="00452E2E">
        <w:t xml:space="preserve"> (2008) earlier argued, that control-focused HR attribution is associated with employees’ perceptions of management’s exploitative behaviour that relates to reducing cost and getting the most of out of workers. </w:t>
      </w:r>
    </w:p>
    <w:p w:rsidR="00D03A8E" w:rsidRPr="00452E2E" w:rsidRDefault="00363F93" w:rsidP="00D03A8E">
      <w:pPr>
        <w:spacing w:line="360" w:lineRule="auto"/>
        <w:jc w:val="both"/>
      </w:pPr>
      <w:r w:rsidRPr="00452E2E">
        <w:t>B</w:t>
      </w:r>
      <w:r w:rsidR="00D03A8E" w:rsidRPr="00452E2E">
        <w:t>ased on the results of previous studies and consistent with our earlier conceptualization of job satisfaction and the three dimensions of organizational commitment, it is hypothesized as follows:</w:t>
      </w:r>
    </w:p>
    <w:p w:rsidR="00D03A8E" w:rsidRPr="00452E2E" w:rsidRDefault="00D03A8E" w:rsidP="00D03A8E">
      <w:pPr>
        <w:spacing w:line="240" w:lineRule="auto"/>
        <w:jc w:val="both"/>
      </w:pPr>
      <w:r w:rsidRPr="00452E2E">
        <w:rPr>
          <w:i/>
        </w:rPr>
        <w:t xml:space="preserve">Hypothesis 9: </w:t>
      </w:r>
      <w:r w:rsidRPr="00452E2E">
        <w:t xml:space="preserve">There is a positive relationship between commitment-focused HR attribution and job satisfaction.   </w:t>
      </w:r>
    </w:p>
    <w:p w:rsidR="00D03A8E" w:rsidRPr="00452E2E" w:rsidRDefault="00D03A8E" w:rsidP="00D03A8E">
      <w:pPr>
        <w:spacing w:line="240" w:lineRule="auto"/>
        <w:jc w:val="both"/>
      </w:pPr>
      <w:r w:rsidRPr="00452E2E">
        <w:rPr>
          <w:i/>
        </w:rPr>
        <w:t xml:space="preserve">Hypothesis 10a: </w:t>
      </w:r>
      <w:r w:rsidRPr="00452E2E">
        <w:t>There is a positive relationship between commitment-focused HR attribution and affective commitment.</w:t>
      </w:r>
    </w:p>
    <w:p w:rsidR="00D03A8E" w:rsidRPr="00452E2E" w:rsidRDefault="00D03A8E" w:rsidP="00D03A8E">
      <w:pPr>
        <w:spacing w:line="240" w:lineRule="auto"/>
        <w:jc w:val="both"/>
      </w:pPr>
      <w:r w:rsidRPr="00452E2E">
        <w:rPr>
          <w:i/>
        </w:rPr>
        <w:t xml:space="preserve">Hypothesis 10b: </w:t>
      </w:r>
      <w:r w:rsidRPr="00452E2E">
        <w:t>There is a positive relationship between commitment-focused HR attribution and normative commitment.</w:t>
      </w:r>
    </w:p>
    <w:p w:rsidR="00D03A8E" w:rsidRPr="00452E2E" w:rsidRDefault="00D03A8E" w:rsidP="00D03A8E">
      <w:pPr>
        <w:spacing w:line="240" w:lineRule="auto"/>
        <w:jc w:val="both"/>
      </w:pPr>
      <w:r w:rsidRPr="00452E2E">
        <w:rPr>
          <w:i/>
        </w:rPr>
        <w:t xml:space="preserve">Hypothesis 10c: </w:t>
      </w:r>
      <w:r w:rsidRPr="00452E2E">
        <w:t>There is a positive relationship between commitment-focused HR attribution and continuance commitment.</w:t>
      </w:r>
    </w:p>
    <w:p w:rsidR="00D03A8E" w:rsidRPr="00452E2E" w:rsidRDefault="00D03A8E" w:rsidP="00D03A8E">
      <w:pPr>
        <w:spacing w:line="240" w:lineRule="auto"/>
        <w:jc w:val="both"/>
      </w:pPr>
      <w:r w:rsidRPr="00452E2E">
        <w:rPr>
          <w:i/>
        </w:rPr>
        <w:t xml:space="preserve">Hypothesis 11: </w:t>
      </w:r>
      <w:r w:rsidRPr="00452E2E">
        <w:t xml:space="preserve">There is a negative relationship between control-focused HR attribution and job satisfaction.   </w:t>
      </w:r>
    </w:p>
    <w:p w:rsidR="00D03A8E" w:rsidRPr="00452E2E" w:rsidRDefault="00D03A8E" w:rsidP="00D03A8E">
      <w:pPr>
        <w:spacing w:line="240" w:lineRule="auto"/>
        <w:jc w:val="both"/>
      </w:pPr>
      <w:r w:rsidRPr="00452E2E">
        <w:rPr>
          <w:i/>
        </w:rPr>
        <w:t xml:space="preserve">Hypothesis 12a: </w:t>
      </w:r>
      <w:r w:rsidRPr="00452E2E">
        <w:t>There is a negative relationship between control-focused HR attribution and affective commitment.</w:t>
      </w:r>
    </w:p>
    <w:p w:rsidR="00D03A8E" w:rsidRPr="00452E2E" w:rsidRDefault="00D03A8E" w:rsidP="00D03A8E">
      <w:pPr>
        <w:spacing w:line="240" w:lineRule="auto"/>
        <w:jc w:val="both"/>
      </w:pPr>
      <w:r w:rsidRPr="00452E2E">
        <w:rPr>
          <w:i/>
        </w:rPr>
        <w:t xml:space="preserve">Hypothesis 12b: </w:t>
      </w:r>
      <w:r w:rsidRPr="00452E2E">
        <w:t>There is a negative relationship between control-focused HR attribution and normative commitment.</w:t>
      </w:r>
    </w:p>
    <w:p w:rsidR="00D03A8E" w:rsidRPr="00452E2E" w:rsidRDefault="00D03A8E" w:rsidP="00D03A8E">
      <w:pPr>
        <w:spacing w:line="240" w:lineRule="auto"/>
        <w:jc w:val="both"/>
      </w:pPr>
      <w:r w:rsidRPr="00452E2E">
        <w:rPr>
          <w:i/>
        </w:rPr>
        <w:t xml:space="preserve">Hypothesis 12c: </w:t>
      </w:r>
      <w:r w:rsidRPr="00452E2E">
        <w:t>There is a negative relationship between control-focused HR attribution and continuance commitment.</w:t>
      </w:r>
    </w:p>
    <w:p w:rsidR="00D03A8E" w:rsidRPr="00452E2E" w:rsidRDefault="00D03A8E" w:rsidP="00D03A8E">
      <w:pPr>
        <w:spacing w:line="240" w:lineRule="auto"/>
        <w:jc w:val="both"/>
      </w:pPr>
    </w:p>
    <w:p w:rsidR="00D03A8E" w:rsidRPr="00452E2E" w:rsidRDefault="00D03A8E" w:rsidP="00D03A8E">
      <w:pPr>
        <w:spacing w:line="360" w:lineRule="auto"/>
        <w:jc w:val="both"/>
      </w:pPr>
      <w:r w:rsidRPr="00452E2E">
        <w:t xml:space="preserve">Turning to external HR attribution, Nishii </w:t>
      </w:r>
      <w:r w:rsidRPr="00452E2E">
        <w:rPr>
          <w:i/>
        </w:rPr>
        <w:t>et al</w:t>
      </w:r>
      <w:r w:rsidR="00AD7015" w:rsidRPr="00452E2E">
        <w:rPr>
          <w:i/>
        </w:rPr>
        <w:t>.</w:t>
      </w:r>
      <w:r w:rsidRPr="00452E2E">
        <w:t xml:space="preserve"> (2008) acknowledged that some of the decisions of management may be influenced by external circumstances. This means that certain HR practices may be implemented in order to comply with external environmental demands </w:t>
      </w:r>
      <w:r w:rsidRPr="00452E2E">
        <w:fldChar w:fldCharType="begin" w:fldLock="1"/>
      </w:r>
      <w:r w:rsidRPr="00452E2E">
        <w:instrText>ADDIN CSL_CITATION { "citationItems" : [ { "id" : "ITEM-1", "itemData" : { "author" : [ { "dropping-particle" : "", "family" : "DiMaggio", "given" : "P.J.", "non-dropping-particle" : "", "parse-names" : false, "suffix" : "" }, { "dropping-particle" : "", "family" : "Powell", "given" : "W.W.", "non-dropping-particle" : "", "parse-names" : false, "suffix" : "" } ], "container-title" : "American Sociological Review", "id" : "ITEM-1", "issue" : "2", "issued" : { "date-parts" : [ [ "1983" ] ] }, "page" : "147-160", "title" : "The iron cage revisited: Institutional isomorphism and collective rationality in organizational fields", "type" : "article-journal", "volume" : "48" }, "uris" : [ "http://www.mendeley.com/documents/?uuid=173aaf26-bb0f-440b-9525-ae2f5aa9b9fc" ] }, { "id" : "ITEM-2",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"ITEM-2", "issued" : { "date-parts" : [ [ "2007" ] ] }, "page" : "166-184", "publisher" : "Oxford University Press", "publisher-place" : "New York", "title" : "HRM and societal embeddedness", "type" : "chapter" }, "uris" : [ "http://www.mendeley.com/documents/?uuid=bc50bffa-b076-4ece-b963-52ac09293458" ] } ], "mendeley" : { "formattedCitation" : "(DiMaggio &amp; Powell 1983; Paauwe &amp; Boselie 2007)", "manualFormatting" : "(DiMaggio &amp; Powell 1983; Paauwe &amp; Boselie, 2007)", "plainTextFormattedCitation" : "(DiMaggio &amp; Powell 1983; Paauwe &amp; Boselie 2007)", "previouslyFormattedCitation" : "(DiMaggio &amp; Powell 1983; Paauwe &amp; Boselie 2007)" }, "properties" : { "noteIndex" : 0 }, "schema" : "https://github.com/citation-style-language/schema/raw/master/csl-citation.json" }</w:instrText>
      </w:r>
      <w:r w:rsidRPr="00452E2E">
        <w:fldChar w:fldCharType="separate"/>
      </w:r>
      <w:r w:rsidRPr="00452E2E">
        <w:rPr>
          <w:noProof/>
        </w:rPr>
        <w:t>(DiMaggio &amp; Powell</w:t>
      </w:r>
      <w:r w:rsidR="00E91ABE" w:rsidRPr="00452E2E">
        <w:rPr>
          <w:noProof/>
        </w:rPr>
        <w:t>,</w:t>
      </w:r>
      <w:r w:rsidRPr="00452E2E">
        <w:rPr>
          <w:noProof/>
        </w:rPr>
        <w:t xml:space="preserve"> 1983; Paauwe &amp; Boselie, 2007)</w:t>
      </w:r>
      <w:r w:rsidRPr="00452E2E">
        <w:fldChar w:fldCharType="end"/>
      </w:r>
      <w:r w:rsidRPr="00452E2E">
        <w:t xml:space="preserve">. Thus, Nishii </w:t>
      </w:r>
      <w:r w:rsidRPr="00452E2E">
        <w:rPr>
          <w:i/>
        </w:rPr>
        <w:t>et al</w:t>
      </w:r>
      <w:r w:rsidR="0010788F" w:rsidRPr="00452E2E">
        <w:rPr>
          <w:i/>
        </w:rPr>
        <w:t>.</w:t>
      </w:r>
      <w:r w:rsidRPr="00452E2E">
        <w:t xml:space="preserve"> (2008) identified a dimension of external HR attribution and labelled this union compliance HR attribution. The construct of union compliance HR attribution reflects employees’ perceptions that HR practices are implemented in order to comply with union contracts (Nishii </w:t>
      </w:r>
      <w:r w:rsidRPr="00452E2E">
        <w:rPr>
          <w:i/>
        </w:rPr>
        <w:t>et al</w:t>
      </w:r>
      <w:r w:rsidRPr="00452E2E">
        <w:t xml:space="preserve">., </w:t>
      </w:r>
      <w:r w:rsidRPr="00452E2E">
        <w:lastRenderedPageBreak/>
        <w:t xml:space="preserve">2008). This means that the decision to implement HR practices is outside the control of management and hence, they are coerced into providing such practices. The inclusion of external HR attribution is remarkable since less attention has been given to the role of the external environment on HRM in strategic HRM scholarship. Meanwhile, researchers have now agreed that even in the most unregulated contexts, management’s decisions, including those related to HRM, may be influenced by regulatory requirements </w:t>
      </w:r>
      <w:r w:rsidRPr="00452E2E">
        <w:fldChar w:fldCharType="begin" w:fldLock="1"/>
      </w:r>
      <w:r w:rsidRPr="00452E2E">
        <w:instrText>ADDIN CSL_CITATION { "citationItems" : [ { "id" : "ITEM-1",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"1-23", "publisher" : "Edward Elgar", "publisher-place" : "Cheltenham, UK", "title" : "Comparative human resource management: An introduction", "type" : "chapter" }, "uris" : [ "http://www.mendeley.com/documents/?uuid=3c9bc995-b399-4f2b-920d-18cfbc74a1c0" ] }, { "id" : "ITEM-2", "itemData" : { "author" : [ { "dropping-particle" : "", "family" : "Wood", "given" : "Geoffrey", "non-dropping-particle" : "", "parse-names" : false, "suffix" : "" }, { "dropping-particle" : "", "family" : "Psychogios", "given" : "Alexandros", "non-dropping-particle" : "", "parse-names" : false, "suffix" : "" }, { "dropping-particle" : "", "family" : "Szamosi", "given" : "Leslie T.", "non-dropping-particle" : "", "parse-names" : false, "suffix" : "" }, { "dropping-particle" : "", "family" : "Collings", "given" : "David G.", "non-dropping-particle" : "", "parse-names" : false, "suffix" : "" } ], "chapter-number" : "2",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"27-50", "publisher" : "Edward Elgar", "publisher-place" : "Cheltenham, UK", "title" : "Institutional approaches to comparative HRM", "type" : "chapter" }, "uris" : [ "http://www.mendeley.com/documents/?uuid=114bb210-2b22-471c-be19-75c88558b0de" ] } ], "mendeley" : { "formattedCitation" : "(Brewster &amp; Mayrhofer 2012; Wood et al. 2012)", "plainTextFormattedCitation" : "(Brewster &amp; Mayrhofer 2012; Wood et al. 2012)", "previouslyFormattedCitation" : "(Brewster &amp; Mayrhofer 2012; Wood et al. 2012)" }, "properties" : { "noteIndex" : 0 }, "schema" : "https://github.com/citation-style-language/schema/raw/master/csl-citation.json" }</w:instrText>
      </w:r>
      <w:r w:rsidRPr="00452E2E">
        <w:fldChar w:fldCharType="separate"/>
      </w:r>
      <w:r w:rsidRPr="00452E2E">
        <w:rPr>
          <w:noProof/>
        </w:rPr>
        <w:t>(Brewster &amp; Mayrhofer</w:t>
      </w:r>
      <w:r w:rsidR="00A11944" w:rsidRPr="00452E2E">
        <w:rPr>
          <w:noProof/>
        </w:rPr>
        <w:t>,</w:t>
      </w:r>
      <w:r w:rsidRPr="00452E2E">
        <w:rPr>
          <w:noProof/>
        </w:rPr>
        <w:t xml:space="preserve"> 2012; Wood </w:t>
      </w:r>
      <w:r w:rsidRPr="00452E2E">
        <w:rPr>
          <w:i/>
          <w:noProof/>
        </w:rPr>
        <w:t>et al</w:t>
      </w:r>
      <w:r w:rsidRPr="00452E2E">
        <w:rPr>
          <w:noProof/>
        </w:rPr>
        <w:t>.</w:t>
      </w:r>
      <w:r w:rsidR="00A11944" w:rsidRPr="00452E2E">
        <w:rPr>
          <w:noProof/>
        </w:rPr>
        <w:t>,</w:t>
      </w:r>
      <w:r w:rsidRPr="00452E2E">
        <w:rPr>
          <w:noProof/>
        </w:rPr>
        <w:t xml:space="preserve"> 2012)</w:t>
      </w:r>
      <w:r w:rsidRPr="00452E2E">
        <w:fldChar w:fldCharType="end"/>
      </w:r>
      <w:r w:rsidRPr="00452E2E">
        <w:t xml:space="preserve">. </w:t>
      </w:r>
    </w:p>
    <w:p w:rsidR="00D03A8E" w:rsidRPr="00452E2E" w:rsidRDefault="00D03A8E" w:rsidP="00D03A8E">
      <w:pPr>
        <w:spacing w:line="360" w:lineRule="auto"/>
        <w:jc w:val="both"/>
      </w:pPr>
      <w:r w:rsidRPr="00452E2E">
        <w:t xml:space="preserve">However, whilst the literature on institutional theory suggests that other factors such as labour legislation are influential in coercing management to adopt HR practices </w:t>
      </w:r>
      <w:r w:rsidRPr="00452E2E">
        <w:fldChar w:fldCharType="begin" w:fldLock="1"/>
      </w:r>
      <w:r w:rsidRPr="00452E2E">
        <w:instrText>ADDIN CSL_CITATION { "citationItems" : [ { "id" : "ITEM-1", "itemData" : { "DOI" : "10.1111/j.1748-8583.2003.tb00098.x", "ISBN" : "09545395", "ISSN" : "0954-5395", "PMID" : "10927598", "abstract" : "One of the more fundamental aspects of the ongoing debate about the added value of HRM relates to `best practice versus `best-fit. Best practice suggests the universal success of certain HR practices, while best-fit acknowledges the relevant impact of contextual factors. We argue that differences in embeddedness and in institutional settings between, for example, countries affect the nature of HRM. To understand this phenomenon, we are in need of additional theory. In this article we will use the theory of new institutionalism as a better way to understand the shaping of HR policies and practices in different settings. After a concise review of the latest debates in the area of strategic HRM, in which the resource-based view is the dominant perspective, we turn to an analysis of HRM in different institutional settings, which suggests the need for additional theory: ie new institutionalism. We offer propositions to explain the impact of different institutional mechanisms, including coercive, normative and mimetic ones, on the shaping of HR policies and practices in organisations. The remainder of the article then focuses on possible implications for practitioners, theoretical implications for future research, and challenges for strategic HRM.", "author" : [ { "dropping-particle" : "", "family" : "Paauwe", "given" : "Jaap", "non-dropping-particle" : "", "parse-names" : false, "suffix" : "" }, { "dropping-particle" : "", "family" : "Boselie", "given" : "Paul", "non-dropping-particle" : "", "parse-names" : false, "suffix" : "" } ], "container-title" : "Human Resource Management Journal", "id" : "ITEM-1", "issue" : "3", "issued" : { "date-parts" : [ [ "2003" ] ] }, "page" : "56-70", "title" : "Relevance of the Institutional Setting", "type" : "article-journal", "volume" : "13" }, "uris" : [ "http://www.mendeley.com/documents/?uuid=61580e75-d6a5-469c-a876-16e247e5ed6e" ] }, { "id" : "ITEM-2", "itemData" : { "abstract" : "The relationship between Human Resource Management (HRM) and firm performance has been a hotly debated topic over the last decade, especially in the United States (e.g. Osterman, 1994; Huselid, 1995; MacDuffie, 1995). The question arises whether the domination of USA oriented models, however appropriate they might be for, say, the USA, hold in other for example more institutionalised contexts. Now we have the opportunity to study recent empirical data on the effectiveness of human resource management in the Netherlands, using Control versus Commitment HR Theory (Walton, 1985; Arthur, 1994) in combination with New Institutionalism (Dimaggio and Powell, 1983). We were able to include three different Dutch sectors/branches of industry i.e. Health care, Local Government and Tourism. Empirical results suggest that the effect of HRM is lower in highly institutionalised sectors (hospitals and local governments) governments) than in a less institutionalised sector like hotels.", "author" : [ { "dropping-particle" : "", "family" : "Boselie", "given" : "Paul", "non-dropping-particle" : "", "parse-names" : false, "suffix" : "" }, { "dropping-particle" : "", "family" : "Paauwe", "given" : "Jaap", "non-dropping-particle" : "", "parse-names" : false, "suffix" : "" }, { "dropping-particle" : "", "family" : "Richardson", "given" : "Ray", "non-dropping-particle" : "", "parse-names" : false, "suffix" : "" } ], "container-title" : "The International Journal of Human Resource Management", "id" : "ITEM-2", "issue" : "8", "issued" : { "date-parts" : [ [ "2003" ] ] }, "page" : "1407-1429", "title" : "Human resource management, institutionalization and organizational performance: A comparison of hospitals, hotels and local government", "type" : "article-journal", "volume" : "14" }, "uris" : [ "http://www.mendeley.com/documents/?uuid=0cb16c04-87cd-4942-9cea-7795963a758c" ] }, { "id" : "ITEM-3", "itemData" : { "abstract" : "Purpose \u2013 Research in strategic human resource management (HRM) has focused mainly on the effects of HRM practices or systems on organizational effectiveness. However, institutional theory argues that besides being financially successful, organizations also need legitimacy to survive.Owingto the tension between competitive and institutional pressures, organizations balance between the degree of conformity and the degree of differentiation from competitors regarding HRM. The purpose of this paper is to address how institutional pressures help shape HRM. Design/methodology/approach \u2013 Using the concepts of leeway, human agency and strategic choice, differences in three types of institutional fit are highlighted: innovative, conformist and deviant. A comparative case study approach is used in order to illustrate the framework, using document analysis and 43 interviews in three organizations in The Netherlands. Findings \u2013 This paper shows how balancing competitive and institutional pressures in organizations affects HRM. The cases illustrate the proposed theoretical framework, showing leeway, human agency, strategic choice and the nature of institutional fit.Theorganizations each illustrate a type of institutional fit. Moreover, not the institutional context itself, but the organization\u2019s response seems to make a difference for the nature of institutional fit. Originality/value \u2013 While previous studies focus on the effects of HRM on organizational effectiveness, this paper examines how the balance between competitive and institutional pressures affectsHRMand aims toshow that institutional fit can contribute to strategicHRMby providing insight in this more balanced goal setting of organizations.", "author" : [ { "dropping-particle" : "", "family" : "Boon", "given" : "Corine", "non-dropping-particle" : "", "parse-names" : false, "suffix" : "" }, { "dropping-particle" : "", "family" : "Paauwe", "given" : "Jaap", "non-dropping-particle" : "", "parse-names" : false, "suffix" : "" }, { "dropping-particle" : "", "family" : "Boselie", "given" : "Paul", "non-dropping-particle" : "", "parse-names" : false, "suffix" : "" }, { "dropping-particle" : "", "family" : "Hartog", "given" : "Deane", "non-dropping-particle" : "Den", "parse-names" : false, "suffix" : "" } ], "container-title" : "Personnel Review", "id" : "ITEM-3", "issue" : "5", "issued" : { "date-parts" : [ [ "2009" ] ] }, "page" : "492-508", "title" : "Institutional pressures and HRM: Developing institutional fit", "type" : "article-journal", "volume" : "38" }, "uris" : [ "http://www.mendeley.com/documents/?uuid=d7f5441f-2750-48bc-ac06-5b21ceb45e58" ] } ], "mendeley" : { "formattedCitation" : "(Paauwe &amp; Boselie 2003; Boselie et al. 2003; Boon et al. 2009)", "manualFormatting" : "(DiMaggio &amp; Powell, 1983; Paauwe &amp; Boselie, 2007; Boon et al., 2009)", "plainTextFormattedCitation" : "(Paauwe &amp; Boselie 2003; Boselie et al. 2003; Boon et al. 2009)", "previouslyFormattedCitation" : "(Paauwe &amp; Boselie 2003; Boselie et al. 2003; Boon et al. 2009)" }, "properties" : { "noteIndex" : 0 }, "schema" : "https://github.com/citation-style-language/schema/raw/master/csl-citation.json" }</w:instrText>
      </w:r>
      <w:r w:rsidRPr="00452E2E">
        <w:fldChar w:fldCharType="separate"/>
      </w:r>
      <w:r w:rsidRPr="00452E2E">
        <w:rPr>
          <w:noProof/>
        </w:rPr>
        <w:t xml:space="preserve">(DiMaggio &amp; Powell, 1983; Paauwe &amp; Boselie, 2007; Boon </w:t>
      </w:r>
      <w:r w:rsidRPr="00452E2E">
        <w:rPr>
          <w:i/>
          <w:noProof/>
        </w:rPr>
        <w:t>et al</w:t>
      </w:r>
      <w:r w:rsidRPr="00452E2E">
        <w:rPr>
          <w:noProof/>
        </w:rPr>
        <w:t>., 2009)</w:t>
      </w:r>
      <w:r w:rsidRPr="00452E2E">
        <w:fldChar w:fldCharType="end"/>
      </w:r>
      <w:r w:rsidRPr="00452E2E">
        <w:t xml:space="preserve">, it is unclear why Nishii </w:t>
      </w:r>
      <w:r w:rsidRPr="00452E2E">
        <w:rPr>
          <w:i/>
        </w:rPr>
        <w:t>et al</w:t>
      </w:r>
      <w:r w:rsidR="006E7D21" w:rsidRPr="00452E2E">
        <w:rPr>
          <w:i/>
        </w:rPr>
        <w:t>.</w:t>
      </w:r>
      <w:r w:rsidRPr="00452E2E">
        <w:t xml:space="preserve"> (2008) chose to focus only on union compliance as a coercive mechanism in their model of external HR attributions. Perhaps, a plausible explanation for this may be that union contracts are embedded in labour legislation, meaning that labour agreements and indeed employment relationships are subject to national regulatory requirements </w:t>
      </w:r>
      <w:r w:rsidRPr="00452E2E">
        <w:fldChar w:fldCharType="begin" w:fldLock="1"/>
      </w:r>
      <w:r w:rsidRPr="00452E2E">
        <w:instrText>ADDIN CSL_CITATION { "citationItems" : [ { "id" : "ITEM-1",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"1-23", "publisher" : "Edward Elgar", "publisher-place" : "Cheltenham, UK", "title" : "Comparative human resource management: An introduction", "type" : "chapter" }, "uris" : [ "http://www.mendeley.com/documents/?uuid=3c9bc995-b399-4f2b-920d-18cfbc74a1c0" ] }, { "id" : "ITEM-2", "itemData" : { "author"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"container-title" : "The Oxford handbook of employment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"ITEM-2", "issued" : { "date-parts" : [ [ "2014" ] ] }, "page" : "1-20", "publisher" : "Oxford University Press", "publisher-place" : "New York", "title" : "Comparative employment systems", "type" : "chapter" }, "uris" : [ "http://www.mendeley.com/documents/?uuid=ad3f875f-66d8-49a6-9fdf-d1f22f2b5b51" ] } ], "mendeley" : { "formattedCitation" : "(Brewster &amp; Mayrhofer 2012; Wilkinson et al. 2014)", "manualFormatting" : "(Brewster &amp; Mayrhofer, 2012; Wilkinson et al., 2014)", "plainTextFormattedCitation" : "(Brewster &amp; Mayrhofer 2012; Wilkinson et al. 2014)", "previouslyFormattedCitation" : "(Brewster &amp; Mayrhofer 2012; Wilkinson et al. 2014)" }, "properties" : { "noteIndex" : 0 }, "schema" : "https://github.com/citation-style-language/schema/raw/master/csl-citation.json" }</w:instrText>
      </w:r>
      <w:r w:rsidRPr="00452E2E">
        <w:fldChar w:fldCharType="separate"/>
      </w:r>
      <w:r w:rsidRPr="00452E2E">
        <w:rPr>
          <w:noProof/>
        </w:rPr>
        <w:t xml:space="preserve">(Brewster &amp; Mayrhofer, 2012; Wilkinson </w:t>
      </w:r>
      <w:r w:rsidRPr="00452E2E">
        <w:rPr>
          <w:i/>
          <w:noProof/>
        </w:rPr>
        <w:t>et al</w:t>
      </w:r>
      <w:r w:rsidRPr="00452E2E">
        <w:rPr>
          <w:noProof/>
        </w:rPr>
        <w:t>., 2014)</w:t>
      </w:r>
      <w:r w:rsidRPr="00452E2E">
        <w:fldChar w:fldCharType="end"/>
      </w:r>
      <w:r w:rsidRPr="00452E2E">
        <w:t xml:space="preserve">. Hence, in performing the traditional role of promoting the welfare of its members, trade unions act as a check on management, ensuring that management implements practices that conform to regulatory requirements </w:t>
      </w:r>
      <w:r w:rsidRPr="00452E2E">
        <w:fldChar w:fldCharType="begin" w:fldLock="1"/>
      </w:r>
      <w:r w:rsidRPr="00452E2E">
        <w:instrText>ADDIN CSL_CITATION { "citationItems" : [ { "id" : "ITEM-1", "itemData" : { "abstract" : "Organizations worldwide are confronted with different contextual constraints. Jackson and Schuler [1995, \u2018Understanding Human Resource Management in the Context of Organizations and their Environments,' Annual Review of Psychology, 46, 237\u2013264], in their classical review, highlight the importance of the impact of the internal and external organizational context on human resource management (HRM) practices. This paper uses data collected through a survey of firms located in Uruguay, in a context where HR function and trade unions have gone through significant changes, to determine their impact on the adoption of different HRM practices. The authors find that organizations with an HR function strategically involved and with higher degree of union presence have more person-centred HRM practices, while performance-centred HRM practices were positively influenced by HR function strategic role. However, the findings do not support the moderating role of trade union presence on the relationship between the HR function strategic role and HRM practices.", "author" : [ { "dropping-particle" : "", "family" : "Cristiani", "given" : "Alvaro", "non-dropping-particle" : "", "parse-names" : false, "suffix" : "" }, { "dropping-particle" : "", "family" : "Peir\u00f3", "given" : "Jos\u00e9 Mar\u00eda", "non-dropping-particle" : "", "parse-names" : false, "suffix" : "" } ], "container-title" : "The International Journal of Human Resource Management", "id" : "ITEM-1", "issue" : "3", "issued" : { "date-parts" : [ [ "2014" ] ] }, "page" : "381-400", "title" : "Human resource function strategic role and trade unions: Exploring their impact on human resource management practices in Uruguayan firms", "type" : "article-journal", "volume" : "26" }, "uris" : [ "http://www.mendeley.com/documents/?uuid=97608bc6-02bb-4478-b594-90c4ed83aa99" ] } ], "mendeley" : { "formattedCitation" : "(Cristiani &amp; Peir\u00f3 2014)", "manualFormatting" : "(Cristiani &amp; Peir\u00f3, 2014)", "plainTextFormattedCitation" : "(Cristiani &amp; Peir\u00f3 2014)", "previouslyFormattedCitation" : "(Cristiani &amp; Peir\u00f3 2014)" }, "properties" : { "noteIndex" : 0 }, "schema" : "https://github.com/citation-style-language/schema/raw/master/csl-citation.json" }</w:instrText>
      </w:r>
      <w:r w:rsidRPr="00452E2E">
        <w:fldChar w:fldCharType="separate"/>
      </w:r>
      <w:r w:rsidRPr="00452E2E">
        <w:rPr>
          <w:noProof/>
        </w:rPr>
        <w:t>(Cristiani &amp; Peiró, 2014)</w:t>
      </w:r>
      <w:r w:rsidRPr="00452E2E">
        <w:fldChar w:fldCharType="end"/>
      </w:r>
      <w:r w:rsidRPr="00452E2E">
        <w:t xml:space="preserve">. Accordingly, union compliance HR attribution in Nishii </w:t>
      </w:r>
      <w:r w:rsidRPr="00452E2E">
        <w:rPr>
          <w:i/>
        </w:rPr>
        <w:t>et al</w:t>
      </w:r>
      <w:r w:rsidR="00DF5CA3" w:rsidRPr="00452E2E">
        <w:rPr>
          <w:i/>
        </w:rPr>
        <w:t>.</w:t>
      </w:r>
      <w:r w:rsidRPr="00452E2E">
        <w:t xml:space="preserve">’s (2008) framework adequately captures employees’ perceptions of whether HR practices are implemented based on the need to comply with regulatory requirements. </w:t>
      </w:r>
    </w:p>
    <w:p w:rsidR="00D03A8E" w:rsidRPr="00452E2E" w:rsidRDefault="00D03A8E" w:rsidP="00D03A8E">
      <w:pPr>
        <w:spacing w:line="360" w:lineRule="auto"/>
        <w:jc w:val="both"/>
      </w:pPr>
      <w:r w:rsidRPr="00452E2E">
        <w:t xml:space="preserve">Indeed, Nishi </w:t>
      </w:r>
      <w:r w:rsidRPr="00452E2E">
        <w:rPr>
          <w:i/>
        </w:rPr>
        <w:t>et al</w:t>
      </w:r>
      <w:r w:rsidR="00E64E73" w:rsidRPr="00452E2E">
        <w:rPr>
          <w:i/>
        </w:rPr>
        <w:t>.</w:t>
      </w:r>
      <w:r w:rsidRPr="00452E2E">
        <w:t xml:space="preserve"> (2008) suggested that union compliance HR attribution may connote both positive and negative perceptions. They argued that on one hand, employees may perceive the desire of management to comply with union requirements as a commitment towards enforcing workers’ rights, which may engender positive attitudinal responses from employees; on the other hand, employees may view union compliance as a sign that management do not genuinely care about their well-being but are only interested in doing the minimum in order to meet union requirements so as to avoid sanctions. This resonates with what Meyer </w:t>
      </w:r>
      <w:r w:rsidR="00E64E73" w:rsidRPr="00452E2E">
        <w:t>&amp;</w:t>
      </w:r>
      <w:r w:rsidRPr="00452E2E">
        <w:t xml:space="preserve"> Rowan (1977) referred to as </w:t>
      </w:r>
      <w:r w:rsidR="00D930C3" w:rsidRPr="00452E2E">
        <w:t>‘</w:t>
      </w:r>
      <w:r w:rsidRPr="00452E2E">
        <w:t>ceremonial adoption</w:t>
      </w:r>
      <w:r w:rsidR="00D930C3" w:rsidRPr="00452E2E">
        <w:t>’</w:t>
      </w:r>
      <w:r w:rsidRPr="00452E2E">
        <w:t xml:space="preserve"> </w:t>
      </w:r>
      <w:r w:rsidRPr="00452E2E">
        <w:lastRenderedPageBreak/>
        <w:t xml:space="preserve">of practices. Thus, Nishii </w:t>
      </w:r>
      <w:r w:rsidRPr="00452E2E">
        <w:rPr>
          <w:i/>
        </w:rPr>
        <w:t>et al</w:t>
      </w:r>
      <w:r w:rsidR="00E64E73" w:rsidRPr="00452E2E">
        <w:rPr>
          <w:i/>
        </w:rPr>
        <w:t>.</w:t>
      </w:r>
      <w:r w:rsidRPr="00452E2E">
        <w:t xml:space="preserve"> (2008) predicted and found a non-significant relationship between union compliance HR attribution and employee attitudes.  Unfortunately, apart from Nishii </w:t>
      </w:r>
      <w:r w:rsidRPr="00452E2E">
        <w:rPr>
          <w:i/>
        </w:rPr>
        <w:t>et al</w:t>
      </w:r>
      <w:r w:rsidR="00E64E73" w:rsidRPr="00452E2E">
        <w:rPr>
          <w:i/>
        </w:rPr>
        <w:t>.</w:t>
      </w:r>
      <w:r w:rsidRPr="00452E2E">
        <w:t xml:space="preserve">’s (2008) study, other studies that have examined the effects of HR attributions on employee attitudes have focused on internal HR attributions to the neglect of external HR attributions (Fontinha </w:t>
      </w:r>
      <w:r w:rsidRPr="00452E2E">
        <w:rPr>
          <w:i/>
        </w:rPr>
        <w:t>et al</w:t>
      </w:r>
      <w:r w:rsidRPr="00452E2E">
        <w:t xml:space="preserve">., 2012; Van De Voorde &amp; Beijer, 2015). Thus, it is uncertain whether the finding that union compliance HR attribution and employee attitudes are unrelated is tenable in other contexts. </w:t>
      </w:r>
    </w:p>
    <w:p w:rsidR="00D03A8E" w:rsidRPr="00452E2E" w:rsidRDefault="00D03A8E" w:rsidP="00D03A8E">
      <w:pPr>
        <w:spacing w:line="360" w:lineRule="auto"/>
        <w:jc w:val="both"/>
      </w:pPr>
      <w:r w:rsidRPr="00452E2E">
        <w:t xml:space="preserve">Research has shown that when employees have the opportunity to influence decisions at higher levels in the organization either directly as individuals or indirectly through trade unions, they feel a sense of control and reciprocate with positive attitudes </w:t>
      </w:r>
      <w:r w:rsidRPr="00452E2E">
        <w:fldChar w:fldCharType="begin" w:fldLock="1"/>
      </w:r>
      <w:r w:rsidRPr="00452E2E">
        <w:instrText>ADDIN CSL_CITATION { "citationItems" : [ { "id" : "ITEM-1", "itemData" : { "DOI" : "10.1002/hrm", "ISBN" : "0086029826654", "ISSN" : "0090-4848", "PMID" : "31163372",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"Farndale", "given" : "Elaine", "non-dropping-particle" : "", "parse-names" : false, "suffix" : "" }, { "dropping-particle" : "", "family" : "Ruiten", "given" : "Joppe", "non-dropping-particle" : "Van", "parse-names" : false, "suffix" : "" }, { "dropping-particle" : "", "family" : "Kelliher", "given" : "Clare", "non-dropping-particle" : "", "parse-names" : false, "suffix" : "" }, { "dropping-particle" : "", "family" : "Hope-Hailey", "given" : "Veronica", "non-dropping-particle" : "", "parse-names" : false, "suffix" : "" } ], "container-title" : "Human Resource Management", "id" : "ITEM-1", "issue" : "1", "issued" : { "date-parts" : [ [ "2011" ] ] }, "page" : "113-129", "title" : "The influence of perceived employee voice on organizational commitment: an exchange perspective", "type" : "article-journal", "volume" : "50" }, "uris" : [ "http://www.mendeley.com/documents/?uuid=01bf87d8-1907-4136-9ada-7ca0bc69a1ad" ] } ], "mendeley" : { "formattedCitation" : "(Farndale, Van Ruiten, et al. 2011)", "manualFormatting" : "(Farndale et al., 2011b)", "plainTextFormattedCitation" : "(Farndale, Van Ruiten, et al. 2011)", "previouslyFormattedCitation" : "(Farndale, Van Ruiten, et al. 2011)" }, "properties" : { "noteIndex" : 0 }, "schema" : "https://github.com/citation-style-language/schema/raw/master/csl-citation.json" }</w:instrText>
      </w:r>
      <w:r w:rsidRPr="00452E2E">
        <w:fldChar w:fldCharType="separate"/>
      </w:r>
      <w:r w:rsidRPr="00452E2E">
        <w:rPr>
          <w:noProof/>
        </w:rPr>
        <w:t xml:space="preserve">(Farndale </w:t>
      </w:r>
      <w:r w:rsidRPr="00452E2E">
        <w:rPr>
          <w:i/>
          <w:noProof/>
        </w:rPr>
        <w:t>et al</w:t>
      </w:r>
      <w:r w:rsidRPr="00452E2E">
        <w:rPr>
          <w:noProof/>
        </w:rPr>
        <w:t>., 2011</w:t>
      </w:r>
      <w:r w:rsidRPr="00452E2E">
        <w:rPr>
          <w:i/>
          <w:noProof/>
        </w:rPr>
        <w:t>b</w:t>
      </w:r>
      <w:r w:rsidRPr="00452E2E">
        <w:rPr>
          <w:noProof/>
        </w:rPr>
        <w:t>)</w:t>
      </w:r>
      <w:r w:rsidRPr="00452E2E">
        <w:fldChar w:fldCharType="end"/>
      </w:r>
      <w:r w:rsidRPr="00452E2E">
        <w:t xml:space="preserve">. This means that employees will likely view management’s compliance with union agreements as their input in organizational decisions and will respond with favourable attitudes in the form of job satisfaction and organizational commitment (Farndale </w:t>
      </w:r>
      <w:r w:rsidRPr="00452E2E">
        <w:rPr>
          <w:i/>
        </w:rPr>
        <w:t>et al</w:t>
      </w:r>
      <w:r w:rsidRPr="00452E2E">
        <w:t>., 2011</w:t>
      </w:r>
      <w:r w:rsidRPr="00452E2E">
        <w:rPr>
          <w:i/>
        </w:rPr>
        <w:t>b</w:t>
      </w:r>
      <w:r w:rsidRPr="00452E2E">
        <w:t xml:space="preserve">). Moreover, in the context of Nigeria where employers are notorious for reneging on agreements with unions and where trade unionism may be viewed in negative light as evidenced in the findings </w:t>
      </w:r>
      <w:r w:rsidR="007D3207" w:rsidRPr="00452E2E">
        <w:t>from</w:t>
      </w:r>
      <w:r w:rsidRPr="00452E2E">
        <w:t xml:space="preserve"> </w:t>
      </w:r>
      <w:r w:rsidRPr="00452E2E">
        <w:rPr>
          <w:i/>
        </w:rPr>
        <w:t>study 1</w:t>
      </w:r>
      <w:r w:rsidR="007D3207" w:rsidRPr="00452E2E">
        <w:rPr>
          <w:i/>
        </w:rPr>
        <w:t xml:space="preserve"> </w:t>
      </w:r>
      <w:r w:rsidR="007D3207" w:rsidRPr="00452E2E">
        <w:t>of this research</w:t>
      </w:r>
      <w:r w:rsidRPr="00452E2E">
        <w:t>, employees will most likely view those employers who comply with union requirements in positive light even if they (employers) engage</w:t>
      </w:r>
      <w:r w:rsidR="001406CB" w:rsidRPr="00452E2E">
        <w:t>d</w:t>
      </w:r>
      <w:r w:rsidRPr="00452E2E">
        <w:t xml:space="preserve"> in ceremonial adoption of HR practices (Meyer &amp; Rowan, 1977). Hence, consistent with social exchange (Blau, 1964), employees in Nigeria who perceive that the adoption of HR practices is borne out of the need to comply with union requirements will respond with positive attitudes. </w:t>
      </w:r>
    </w:p>
    <w:p w:rsidR="00D03A8E" w:rsidRPr="00452E2E" w:rsidRDefault="00D03A8E" w:rsidP="00D03A8E">
      <w:pPr>
        <w:spacing w:line="360" w:lineRule="auto"/>
        <w:jc w:val="both"/>
      </w:pPr>
      <w:r w:rsidRPr="00452E2E">
        <w:t xml:space="preserve">Therefore, in contrast to Nishii </w:t>
      </w:r>
      <w:r w:rsidRPr="00452E2E">
        <w:rPr>
          <w:i/>
        </w:rPr>
        <w:t>et al</w:t>
      </w:r>
      <w:r w:rsidRPr="00452E2E">
        <w:t>. (2008), it is hypothesized thus:</w:t>
      </w:r>
    </w:p>
    <w:p w:rsidR="00D03A8E" w:rsidRPr="00452E2E" w:rsidRDefault="006F4241" w:rsidP="00D03A8E">
      <w:pPr>
        <w:spacing w:line="240" w:lineRule="auto"/>
        <w:jc w:val="both"/>
      </w:pPr>
      <w:r w:rsidRPr="00452E2E">
        <w:rPr>
          <w:i/>
        </w:rPr>
        <w:t xml:space="preserve">Hypothesis 13: </w:t>
      </w:r>
      <w:r w:rsidR="00D03A8E" w:rsidRPr="00452E2E">
        <w:t xml:space="preserve">There is a positive relationship between union compliance HR attribution and job satisfaction.   </w:t>
      </w:r>
    </w:p>
    <w:p w:rsidR="00D03A8E" w:rsidRPr="00452E2E" w:rsidRDefault="00D03A8E" w:rsidP="00D03A8E">
      <w:pPr>
        <w:spacing w:line="240" w:lineRule="auto"/>
        <w:jc w:val="both"/>
      </w:pPr>
      <w:r w:rsidRPr="00452E2E">
        <w:rPr>
          <w:i/>
        </w:rPr>
        <w:t xml:space="preserve">Hypothesis 14a: </w:t>
      </w:r>
      <w:r w:rsidRPr="00452E2E">
        <w:t>There is a positive relationship between union compliance HR attribution and affective commitment.</w:t>
      </w:r>
    </w:p>
    <w:p w:rsidR="00D03A8E" w:rsidRPr="00452E2E" w:rsidRDefault="00D03A8E" w:rsidP="00D03A8E">
      <w:pPr>
        <w:spacing w:line="240" w:lineRule="auto"/>
        <w:jc w:val="both"/>
      </w:pPr>
      <w:r w:rsidRPr="00452E2E">
        <w:rPr>
          <w:i/>
        </w:rPr>
        <w:t xml:space="preserve">Hypothesis 14b: </w:t>
      </w:r>
      <w:r w:rsidRPr="00452E2E">
        <w:t>There is a positive relationship between union compliance HR attribution    and normative commitment.</w:t>
      </w:r>
    </w:p>
    <w:p w:rsidR="00D03A8E" w:rsidRPr="00452E2E" w:rsidRDefault="00D03A8E" w:rsidP="00D03A8E">
      <w:pPr>
        <w:spacing w:line="240" w:lineRule="auto"/>
        <w:jc w:val="both"/>
      </w:pPr>
      <w:r w:rsidRPr="00452E2E">
        <w:rPr>
          <w:i/>
        </w:rPr>
        <w:t xml:space="preserve">Hypothesis 14c: </w:t>
      </w:r>
      <w:r w:rsidRPr="00452E2E">
        <w:t>There is a positive relationship between union compliance HR attribution and continuance commitment.</w:t>
      </w:r>
    </w:p>
    <w:p w:rsidR="00E67283" w:rsidRPr="00452E2E" w:rsidRDefault="00E67283" w:rsidP="00D03A8E">
      <w:pPr>
        <w:spacing w:line="360" w:lineRule="auto"/>
        <w:jc w:val="both"/>
      </w:pPr>
    </w:p>
    <w:p w:rsidR="00D03A8E" w:rsidRPr="00452E2E" w:rsidRDefault="00D03A8E" w:rsidP="00D03A8E">
      <w:pPr>
        <w:spacing w:line="360" w:lineRule="auto"/>
        <w:jc w:val="both"/>
      </w:pPr>
      <w:r w:rsidRPr="00452E2E">
        <w:t xml:space="preserve">Research has shown that commitment-focused HR attribution and control-focused HR attributions mediate the relationship between HR practices and work outcomes </w:t>
      </w:r>
      <w:r w:rsidRPr="00452E2E">
        <w:fldChar w:fldCharType="begin" w:fldLock="1"/>
      </w:r>
      <w:r w:rsidRPr="00452E2E">
        <w:instrText>ADDIN CSL_CITATION { "citationItems" : [ { "id" : "ITEM-1",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attributionswere associated with higher levels of job strain. The findings of this study highlight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"ITEM-1",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"(Van De Voorde &amp; Beijer 2015)", "manualFormatting" : "(Van De Voorde &amp; Beijer, 2015)", "plainTextFormattedCitation" : "(Van De Voorde &amp; Beijer 2015)", "previouslyFormattedCitation" : "(Van De Voorde &amp; Beijer 2015)" }, "properties" : { "noteIndex" : 0 }, "schema" : "https://github.com/citation-style-language/schema/raw/master/csl-citation.json" }</w:instrText>
      </w:r>
      <w:r w:rsidRPr="00452E2E">
        <w:fldChar w:fldCharType="separate"/>
      </w:r>
      <w:r w:rsidRPr="00452E2E">
        <w:rPr>
          <w:noProof/>
        </w:rPr>
        <w:t>(Van De Voorde &amp; Beijer, 2015)</w:t>
      </w:r>
      <w:r w:rsidRPr="00452E2E">
        <w:fldChar w:fldCharType="end"/>
      </w:r>
      <w:r w:rsidRPr="00452E2E">
        <w:t xml:space="preserve">. The basis for this mediating effect is that employees’ perceptions of HR practices will be influenced by the attributions they make for why the practices are implemented in their organization which in turn will determine their attitudinal responses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"id" : "ITEM-2", "itemData" : { "DOI" : "10.1108/00483481211263773", "ISBN" : "0967073051059", "ISSN" : "0048-3486", "abstract" : "Purpose - Outsourced information technology (IT) workers establish two\\ndifferent employment relationships: one with the outsourcing company\\nthat hires them and another with the client organization where they work\\ndaily. The attitudes that an employee has towards both organisations may\\nbe influenced by the interpretations or attributions that employees make\\nabout the reasons behind the human resource (HR) management practices\\nimplemented by the outsourcing company. This paper aims to propose that\\ncommitment-focused HR attributions are positively and control-focused HR\\nattributions are negatively related to the affective commitment to the\\nclient organization, through the affective commitment to the outsourcing\\ncompany.\\nDesign/methodology/approach - These hypotheses were tested with a sample\\nof 158 highly skilled outsourced employees from the IT sector. Data were\\nanalyzed with structural equation modeling (SEM).\\nFindings - The paper's hypotheses were supported. It can conclude that,\\nif an employee interprets the HR practices as part of a\\ncommitment-focused strategy of the outsourcing company, it has clear\\nattitudinal benefits. The study found that the relationship between HR\\nattributions and the commitment to the client organization is mediated\\nby the commitment to the outsourcing company.\\nPractical implications - These findings hint at the critical role of\\noutsourcing companies in managing the careers of these highly marketable\\nemployees.\\nOriginality/value - This paper is the first to apply the concept of FIR\\nattributions to contingent employment literature in general and to\\noutsourced IT workers in particular.", "author" : [ { "dropping-particle" : "", "family" : "Fontinha", "given" : "Rita", "non-dropping-particle" : "", "parse-names" : false, "suffix" : "" }, { "dropping-particle" : "", "family" : "Chambel", "given" : "Maria Jos\u00e9", "non-dropping-particle" : "", "parse-names" : false, "suffix" : "" }, { "dropping-particle" : "", "family" : "Cuyper", "given" : "Nele", "non-dropping-particle" : "De", "parse-names" : false, "suffix" : "" } ], "container-title" : "Personnel Review", "id" : "ITEM-2", "issue" : "6", "issued" : { "date-parts" : [ [ "2012" ] ] }, "page" : "832-848", "title" : "HR attributions and the dual commitment of outsourced IT workers", "type" : "article-journal", "volume" : "41" }, "uris" : [ "http://www.mendeley.com/documents/?uuid=67ff7303-a6b6-4f91-a508-6180e24dc1ea" ] } ], "mendeley" : { "formattedCitation" : "(Nishii et al. 2008; Fontinha et al. 2012)", "manualFormatting" : "(Nishii et al., 2008; Fontinha et al., 2012)", "plainTextFormattedCitation" : "(Nishii et al. 2008; Fontinha et al. 2012)", "previouslyFormattedCitation" : "(Nishii et al. 2008; Fontinha et al. 2012)" }, "properties" : { "noteIndex" : 0 }, "schema" : "https://github.com/citation-style-language/schema/raw/master/csl-citation.json" }</w:instrText>
      </w:r>
      <w:r w:rsidRPr="00452E2E">
        <w:fldChar w:fldCharType="separate"/>
      </w:r>
      <w:r w:rsidRPr="00452E2E">
        <w:rPr>
          <w:noProof/>
        </w:rPr>
        <w:t xml:space="preserve">(Nishii </w:t>
      </w:r>
      <w:r w:rsidRPr="00452E2E">
        <w:rPr>
          <w:i/>
          <w:noProof/>
        </w:rPr>
        <w:t>et al</w:t>
      </w:r>
      <w:r w:rsidRPr="00452E2E">
        <w:rPr>
          <w:noProof/>
        </w:rPr>
        <w:t xml:space="preserve">., 2008; Fontinha </w:t>
      </w:r>
      <w:r w:rsidRPr="00452E2E">
        <w:rPr>
          <w:i/>
          <w:noProof/>
        </w:rPr>
        <w:t>et al</w:t>
      </w:r>
      <w:r w:rsidRPr="00452E2E">
        <w:rPr>
          <w:noProof/>
        </w:rPr>
        <w:t>., 2012)</w:t>
      </w:r>
      <w:r w:rsidRPr="00452E2E">
        <w:fldChar w:fldCharType="end"/>
      </w:r>
      <w:r w:rsidRPr="00452E2E">
        <w:t xml:space="preserve">. Whilst there is no </w:t>
      </w:r>
      <w:r w:rsidR="000838AF" w:rsidRPr="00452E2E">
        <w:t xml:space="preserve">previous </w:t>
      </w:r>
      <w:r w:rsidRPr="00452E2E">
        <w:t xml:space="preserve">research examining the mediating effect of union compliance HR attributions on work outcomes, based on the theorization of this form of HR attribution in this research, it is expected that just </w:t>
      </w:r>
      <w:r w:rsidR="00D16F78" w:rsidRPr="00452E2E">
        <w:t xml:space="preserve">like </w:t>
      </w:r>
      <w:r w:rsidRPr="00452E2E">
        <w:t xml:space="preserve">the other two HR attribution types, union compliance will equally mediate the relationship between HR practices and employee attitudes. </w:t>
      </w:r>
    </w:p>
    <w:p w:rsidR="00D03A8E" w:rsidRPr="00452E2E" w:rsidRDefault="00D03A8E" w:rsidP="00D03A8E">
      <w:pPr>
        <w:spacing w:line="360" w:lineRule="auto"/>
        <w:jc w:val="both"/>
      </w:pPr>
      <w:r w:rsidRPr="00452E2E">
        <w:t>Accordingly, it is hypothesized thus:</w:t>
      </w:r>
    </w:p>
    <w:p w:rsidR="00D03A8E" w:rsidRPr="00452E2E" w:rsidRDefault="00D03A8E" w:rsidP="00D03A8E">
      <w:pPr>
        <w:spacing w:line="240" w:lineRule="auto"/>
        <w:jc w:val="both"/>
      </w:pPr>
      <w:r w:rsidRPr="00452E2E">
        <w:rPr>
          <w:i/>
        </w:rPr>
        <w:t>Hypothesis 15</w:t>
      </w:r>
      <w:r w:rsidR="00D972E4" w:rsidRPr="00452E2E">
        <w:t xml:space="preserve">: </w:t>
      </w:r>
      <w:r w:rsidRPr="00452E2E">
        <w:t xml:space="preserve">Commitment-focused HR attribution will mediate the relationship between HR practices and job satisfaction. </w:t>
      </w:r>
    </w:p>
    <w:p w:rsidR="00D03A8E" w:rsidRPr="00452E2E" w:rsidRDefault="00D972E4" w:rsidP="00D03A8E">
      <w:pPr>
        <w:spacing w:line="240" w:lineRule="auto"/>
        <w:jc w:val="both"/>
      </w:pPr>
      <w:r w:rsidRPr="00452E2E">
        <w:rPr>
          <w:i/>
        </w:rPr>
        <w:t xml:space="preserve">Hypothesis </w:t>
      </w:r>
      <w:r w:rsidR="00D03A8E" w:rsidRPr="00452E2E">
        <w:rPr>
          <w:i/>
        </w:rPr>
        <w:t>16a</w:t>
      </w:r>
      <w:r w:rsidRPr="00452E2E">
        <w:t xml:space="preserve">: </w:t>
      </w:r>
      <w:r w:rsidR="00D03A8E" w:rsidRPr="00452E2E">
        <w:t xml:space="preserve">Commitment-focused HR attribution will mediate the relationship between HR practices and affective commitment. </w:t>
      </w:r>
    </w:p>
    <w:p w:rsidR="00D03A8E" w:rsidRPr="00452E2E" w:rsidRDefault="00D03A8E" w:rsidP="00D03A8E">
      <w:pPr>
        <w:spacing w:line="240" w:lineRule="auto"/>
        <w:jc w:val="both"/>
      </w:pPr>
      <w:r w:rsidRPr="00452E2E">
        <w:rPr>
          <w:i/>
        </w:rPr>
        <w:t>Hypothesis 16b</w:t>
      </w:r>
      <w:r w:rsidR="00A34FC3" w:rsidRPr="00452E2E">
        <w:t xml:space="preserve">: </w:t>
      </w:r>
      <w:r w:rsidRPr="00452E2E">
        <w:t xml:space="preserve">Commitment-focused HR attribution will mediate the relationship between HR practices and normative commitment. </w:t>
      </w:r>
    </w:p>
    <w:p w:rsidR="00D03A8E" w:rsidRPr="00452E2E" w:rsidRDefault="00D03A8E" w:rsidP="00D03A8E">
      <w:pPr>
        <w:spacing w:line="240" w:lineRule="auto"/>
        <w:jc w:val="both"/>
      </w:pPr>
      <w:r w:rsidRPr="00452E2E">
        <w:rPr>
          <w:i/>
        </w:rPr>
        <w:t>Hypothesis 16c</w:t>
      </w:r>
      <w:r w:rsidR="00A34FC3" w:rsidRPr="00452E2E">
        <w:t xml:space="preserve">: </w:t>
      </w:r>
      <w:r w:rsidRPr="00452E2E">
        <w:t xml:space="preserve">Commitment-focused HR attribution will mediate the relationship between HR practices and continuance commitment. </w:t>
      </w:r>
    </w:p>
    <w:p w:rsidR="00D03A8E" w:rsidRPr="00452E2E" w:rsidRDefault="00D03A8E" w:rsidP="00D03A8E">
      <w:pPr>
        <w:spacing w:line="240" w:lineRule="auto"/>
        <w:jc w:val="both"/>
      </w:pPr>
      <w:r w:rsidRPr="00452E2E">
        <w:rPr>
          <w:i/>
        </w:rPr>
        <w:t>Hypothesis 17</w:t>
      </w:r>
      <w:r w:rsidR="00A34FC3" w:rsidRPr="00452E2E">
        <w:t xml:space="preserve">: </w:t>
      </w:r>
      <w:r w:rsidRPr="00452E2E">
        <w:t>Control-focused HR attribution will mediate the relationship between HR practices and job satisfaction.</w:t>
      </w:r>
    </w:p>
    <w:p w:rsidR="00D03A8E" w:rsidRPr="00452E2E" w:rsidRDefault="00D03A8E" w:rsidP="00D03A8E">
      <w:pPr>
        <w:spacing w:line="240" w:lineRule="auto"/>
        <w:jc w:val="both"/>
      </w:pPr>
      <w:r w:rsidRPr="00452E2E">
        <w:rPr>
          <w:i/>
        </w:rPr>
        <w:t>Hypothesis 18a</w:t>
      </w:r>
      <w:r w:rsidRPr="00452E2E">
        <w:t>: Control-focused HR attribution will mediate the relationship between HR practices and affective commitment.</w:t>
      </w:r>
    </w:p>
    <w:p w:rsidR="00D03A8E" w:rsidRPr="00452E2E" w:rsidRDefault="00D03A8E" w:rsidP="00D03A8E">
      <w:pPr>
        <w:spacing w:line="240" w:lineRule="auto"/>
        <w:jc w:val="both"/>
      </w:pPr>
      <w:r w:rsidRPr="00452E2E">
        <w:rPr>
          <w:i/>
        </w:rPr>
        <w:t>Hypothesis 18b</w:t>
      </w:r>
      <w:r w:rsidRPr="00452E2E">
        <w:t>: Control-focused HR attribution will mediate the relationship between HR practices and normative commitment.</w:t>
      </w:r>
    </w:p>
    <w:p w:rsidR="00D03A8E" w:rsidRPr="00452E2E" w:rsidRDefault="00D03A8E" w:rsidP="00D03A8E">
      <w:pPr>
        <w:spacing w:line="240" w:lineRule="auto"/>
        <w:jc w:val="both"/>
      </w:pPr>
      <w:r w:rsidRPr="00452E2E">
        <w:rPr>
          <w:i/>
        </w:rPr>
        <w:t>Hypothesis 18c</w:t>
      </w:r>
      <w:r w:rsidRPr="00452E2E">
        <w:t>: Control-focused HR attribution will mediate the relationship between HR practices and continuance commitment.</w:t>
      </w:r>
    </w:p>
    <w:p w:rsidR="00D03A8E" w:rsidRPr="00452E2E" w:rsidRDefault="00D03A8E" w:rsidP="00D03A8E">
      <w:pPr>
        <w:spacing w:line="240" w:lineRule="auto"/>
        <w:jc w:val="both"/>
      </w:pPr>
      <w:r w:rsidRPr="00452E2E">
        <w:rPr>
          <w:i/>
        </w:rPr>
        <w:t>Hypothesis 19</w:t>
      </w:r>
      <w:r w:rsidR="00C30E2D" w:rsidRPr="00452E2E">
        <w:t xml:space="preserve">: </w:t>
      </w:r>
      <w:r w:rsidRPr="00452E2E">
        <w:t xml:space="preserve">Union compliance HR attribution will mediate the relationship between HR practices and job satisfaction. </w:t>
      </w:r>
    </w:p>
    <w:p w:rsidR="00D03A8E" w:rsidRPr="00452E2E" w:rsidRDefault="00D03A8E" w:rsidP="00D03A8E">
      <w:pPr>
        <w:spacing w:line="240" w:lineRule="auto"/>
        <w:jc w:val="both"/>
      </w:pPr>
      <w:r w:rsidRPr="00452E2E">
        <w:rPr>
          <w:i/>
        </w:rPr>
        <w:t>Hypothesis 20a</w:t>
      </w:r>
      <w:r w:rsidRPr="00452E2E">
        <w:t>: Union compliance HR attribution will mediate the relationship between HR practices and affective commitment.</w:t>
      </w:r>
    </w:p>
    <w:p w:rsidR="00D03A8E" w:rsidRPr="00452E2E" w:rsidRDefault="00D03A8E" w:rsidP="00D03A8E">
      <w:pPr>
        <w:spacing w:line="240" w:lineRule="auto"/>
        <w:jc w:val="both"/>
      </w:pPr>
      <w:r w:rsidRPr="00452E2E">
        <w:rPr>
          <w:i/>
        </w:rPr>
        <w:t>Hypothesis 20b</w:t>
      </w:r>
      <w:r w:rsidR="00C30E2D" w:rsidRPr="00452E2E">
        <w:t xml:space="preserve">: </w:t>
      </w:r>
      <w:r w:rsidRPr="00452E2E">
        <w:t>Union compliance HR attribution will mediate the relationship between HR practices and normative commitment.</w:t>
      </w:r>
    </w:p>
    <w:p w:rsidR="00D03A8E" w:rsidRPr="00452E2E" w:rsidRDefault="00D03A8E" w:rsidP="00D03A8E">
      <w:pPr>
        <w:spacing w:line="240" w:lineRule="auto"/>
        <w:jc w:val="both"/>
      </w:pPr>
      <w:r w:rsidRPr="00452E2E">
        <w:rPr>
          <w:i/>
        </w:rPr>
        <w:lastRenderedPageBreak/>
        <w:t>Hypothesis 20c</w:t>
      </w:r>
      <w:r w:rsidR="00C30E2D" w:rsidRPr="00452E2E">
        <w:t xml:space="preserve">: </w:t>
      </w:r>
      <w:r w:rsidRPr="00452E2E">
        <w:t>Union compliance HR attribution will mediate the relationship between HR practices and continuance commitment.</w:t>
      </w:r>
    </w:p>
    <w:p w:rsidR="00D03A8E" w:rsidRPr="00452E2E" w:rsidRDefault="00D03A8E" w:rsidP="00D03A8E">
      <w:pPr>
        <w:spacing w:line="240" w:lineRule="auto"/>
        <w:jc w:val="both"/>
      </w:pPr>
    </w:p>
    <w:p w:rsidR="00D03A8E" w:rsidRPr="00452E2E" w:rsidRDefault="00D03A8E" w:rsidP="00D03A8E">
      <w:pPr>
        <w:spacing w:line="360" w:lineRule="auto"/>
        <w:jc w:val="both"/>
      </w:pPr>
      <w:r w:rsidRPr="00452E2E">
        <w:t xml:space="preserve">There is research evidence indicating that HR practices relate differently to work outcomes in different institutional settings. In their study of the effects of HRM on performance across three sectors in Netherlands, Boselie </w:t>
      </w:r>
      <w:r w:rsidRPr="00452E2E">
        <w:rPr>
          <w:i/>
        </w:rPr>
        <w:t>et al</w:t>
      </w:r>
      <w:r w:rsidR="00167349" w:rsidRPr="00452E2E">
        <w:rPr>
          <w:i/>
        </w:rPr>
        <w:t>.</w:t>
      </w:r>
      <w:r w:rsidRPr="00452E2E">
        <w:t xml:space="preserve"> (2003) found that the effect of HRM on performance was weaker in sectors that were highly institutionalized. Similarly, several studies have found differences in HRM between LMEs and CMEs </w:t>
      </w:r>
      <w:r w:rsidRPr="00452E2E">
        <w:fldChar w:fldCharType="begin" w:fldLock="1"/>
      </w:r>
      <w:r w:rsidRPr="00452E2E">
        <w:instrText>ADDIN CSL_CITATION { "citationItems" : [ { "id" : "ITEM-1", "itemData" : { "DOI" : "10.1080/09585190701393582", "ISBN" : "0958-5192", "ISSN" : "0958-5192", "PMID" : "26446933",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"http://www.mendeley.com/documents/?uuid=f9736010-c296-43a8-9306-8e892af3a052" ] }, { "id" : "ITEM-2",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"ITEM-2", "issue" : "1", "issued" : { "date-parts" : [ [ "2009" ] ] }, "page" : "37-61", "title" : "The rise of post-bureaucracy: Theorists' fancy or organizational praxis?", "type" : "article-journal", "volume" : "24" }, "uris" : [ "http://www.mendeley.com/documents/?uuid=34301c7c-ab72-4a8c-a149-b61552e4a0db" ] }, { "id" : "ITEM-3", "itemData" : { "DOI" : "10.2753/JEI0021-3624430111", "ISBN" : "0021-3624", "ISSN" : "0021-3624", "abstract" : "This is a study of the nature of internal diversity within liberal and collaborative market economies. Based on large scale comparative survey data, we assess the extent to which specific clusters of practices are associated with specific varieties of capitalism. Given that recent literature has pointed to internal diversity within specific national contexts, we explore the nature of internal diversity within both liberal and collaborative market economies, and what makes each variety of capitalism distinct. We find that more than one cluster of practices is indeed likely to be encountered in a particular national context, but that this diversity was bounded: only a limited number of alternative paradigms are likely to emerge and persist. The survey findings not only shed light on the nature of this internal diversity, but also reveal the fact that liberal and collaborative markets remain distinct, with the rights accruing to employees being more deeply embedded in a wide cross section of firms within the latter.", "author" : [ { "dropping-particle" : "", "family" : "Wood", "given" : "Geoffrey", "non-dropping-particle" : "", "parse-names" : false, "suffix" : "" }, { "dropping-particle" : "", "family" : "Croucher", "given" : "Richard", "non-dropping-particle" : "", "parse-names" : false, "suffix" : "" }, { "dropping-particle" : "", "family" : "Brewster", "given" : "Chris", "non-dropping-particle" : "", "parse-names" : false, "suffix" : "" }, { "dropping-particle" : "", "family" : "Collings", "given" : "David G.", "non-dropping-particle" : "", "parse-names" : false, "suffix" : "" }, { "dropping-particle" : "", "family" : "Brookes", "given" : "Michael", "non-dropping-particle" : "", "parse-names" : false, "suffix" : "" } ], "container-title" : "Journal of Economic Issues", "id" : "ITEM-3", "issue" : "1", "issued" : { "date-parts" : [ [ "2009" ] ] }, "page" : "239-258", "title" : "Varieties of firm: Complementarity and bounded diversity", "type" : "article-journal", "volume" : "XLIII" }, "uris" : [ "http://www.mendeley.com/documents/?uuid=9c8f1ff4-ccf8-4f8d-88a0-97169400b233" ] }, { "id" : "ITEM-4", "itemData" : { "abstract" : "This article investigates where financial participation is most likely to be encountered, and explores its compatibility with collective forms of employee voice. It is based on the findings of a major international survey of human resource management (HRM) practices. We found that financial participation was not affected by collective employee voice, but that national context and associated HRM strategies had significant effects on its nature and extent. As financial participation is likely to make for greater variation in wage rates, it tends to weaken industry-level bargaining. By re-casting the fundamental determinants of wages, it is also likely to facilitate greater wage dispersion within the firm. Hence, it was found that financial participation is more commonly encountered in liberal market contexts, and in firms practising calculative HRM, where countervailing employee power is weak, whether or not collective bargaining is formally present.", "author" : [ { "dropping-particle" : "", "family" : "Croucher", "given" : "Richard", "non-dropping-particle" : "", "parse-names" : false, "suffix" : "" }, { "dropping-particle" : "", "family" : "Brookes", "given" : "Michael", "non-dropping-particle" : "", "parse-names" : false, "suffix" : "" }, { "dropping-particle" : "", "family" : "Wood", "given" : "Geoffrey", "non-dropping-particle" : "", "parse-names" : false, "suffix" : "" }, { "dropping-particle" : "", "family" : "Brewster", "given" : "Chris", "non-dropping-particle" : "", "parse-names" : false, "suffix" : "" } ], "container-title" : "Human Relations", "id" : "ITEM-4", "issue" : "6", "issued" : { "date-parts" : [ [ "2010" ] ] }, "page" : "835-855", "title" : "Context, strategy and financial participation: A comparative analysis", "type" : "article-journal", "volume" : "63" }, "uris" : [ "http://www.mendeley.com/documents/?uuid=1a4498b8-6f5d-4bba-a909-d8f7556db225" ] }, { "id" : "ITEM-5",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"ITEM-5", "issue" : "SUPPL. 1", "issued" : { "date-parts" : [ [ "2012" ] ] }, "page" : "501-527", "title" : "Varieties of Capitalism and Investments in Human Capital", "type" : "article-journal", "volume" : "51" }, "uris" : [ "http://www.mendeley.com/documents/?uuid=ae647cdd-4633-40ec-850d-1659470e58cc" ] }, { "id" : "ITEM-6",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w:instrText>
      </w:r>
      <w:r w:rsidRPr="00452E2E">
        <w:rPr>
          <w:lang w:val="fr-FR"/>
        </w:rPr>
        <w:instrText>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"ITEM-6",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2007; Johnson et al. 2009; Wood et al. 2009; Croucher et al. 2010; Goergen et al. 2012; Brewster et al. 2014)", "manualFormatting" : "(e.g. Brewster et al. 2007; Johnson et al. 2009; Wood et al. 2009; Croucher et al. 2010; Goergen et al. 2012; Brewster et al. 2014)", "plainTextFormattedCitation" : "(Brewster et al. 2007; Johnson et al. 2009; Wood et al. 2009; Croucher et al. 2010; Goergen et al. 2012; Brewster et al. 2014)", "previouslyFormattedCitation" : "(Brewster et al. 2007; Johnson et al. 2009; Wood et al. 2009; Croucher et al. 2010; Goergen et al. 2012; Brewster et al. 2014)" }, "properties" : { "noteIndex" : 0 }, "schema" : "https://github.com/citation-style-language/schema/raw/master/csl-citation.json" }</w:instrText>
      </w:r>
      <w:r w:rsidRPr="00452E2E">
        <w:fldChar w:fldCharType="separate"/>
      </w:r>
      <w:r w:rsidRPr="00452E2E">
        <w:rPr>
          <w:noProof/>
          <w:lang w:val="fr-FR"/>
        </w:rPr>
        <w:t xml:space="preserve">(e.g. Brewster </w:t>
      </w:r>
      <w:r w:rsidRPr="00452E2E">
        <w:rPr>
          <w:i/>
          <w:noProof/>
          <w:lang w:val="fr-FR"/>
        </w:rPr>
        <w:t>et al</w:t>
      </w:r>
      <w:r w:rsidRPr="00452E2E">
        <w:rPr>
          <w:noProof/>
          <w:lang w:val="fr-FR"/>
        </w:rPr>
        <w:t>.</w:t>
      </w:r>
      <w:r w:rsidR="002022A7" w:rsidRPr="00452E2E">
        <w:rPr>
          <w:noProof/>
          <w:lang w:val="fr-FR"/>
        </w:rPr>
        <w:t>,</w:t>
      </w:r>
      <w:r w:rsidRPr="00452E2E">
        <w:rPr>
          <w:noProof/>
          <w:lang w:val="fr-FR"/>
        </w:rPr>
        <w:t xml:space="preserve"> 2007; Johnson </w:t>
      </w:r>
      <w:r w:rsidRPr="00452E2E">
        <w:rPr>
          <w:i/>
          <w:noProof/>
          <w:lang w:val="fr-FR"/>
        </w:rPr>
        <w:t>et al</w:t>
      </w:r>
      <w:r w:rsidRPr="00452E2E">
        <w:rPr>
          <w:noProof/>
          <w:lang w:val="fr-FR"/>
        </w:rPr>
        <w:t>.</w:t>
      </w:r>
      <w:r w:rsidR="002022A7" w:rsidRPr="00452E2E">
        <w:rPr>
          <w:noProof/>
          <w:lang w:val="fr-FR"/>
        </w:rPr>
        <w:t>,</w:t>
      </w:r>
      <w:r w:rsidRPr="00452E2E">
        <w:rPr>
          <w:noProof/>
          <w:lang w:val="fr-FR"/>
        </w:rPr>
        <w:t xml:space="preserve"> 2009; Wood </w:t>
      </w:r>
      <w:r w:rsidRPr="00452E2E">
        <w:rPr>
          <w:i/>
          <w:noProof/>
          <w:lang w:val="fr-FR"/>
        </w:rPr>
        <w:t>et al</w:t>
      </w:r>
      <w:r w:rsidRPr="00452E2E">
        <w:rPr>
          <w:noProof/>
          <w:lang w:val="fr-FR"/>
        </w:rPr>
        <w:t>.</w:t>
      </w:r>
      <w:r w:rsidR="002022A7" w:rsidRPr="00452E2E">
        <w:rPr>
          <w:noProof/>
          <w:lang w:val="fr-FR"/>
        </w:rPr>
        <w:t>,</w:t>
      </w:r>
      <w:r w:rsidRPr="00452E2E">
        <w:rPr>
          <w:noProof/>
          <w:lang w:val="fr-FR"/>
        </w:rPr>
        <w:t xml:space="preserve"> 2009; Croucher </w:t>
      </w:r>
      <w:r w:rsidRPr="00452E2E">
        <w:rPr>
          <w:i/>
          <w:noProof/>
          <w:lang w:val="fr-FR"/>
        </w:rPr>
        <w:t>et al</w:t>
      </w:r>
      <w:r w:rsidRPr="00452E2E">
        <w:rPr>
          <w:noProof/>
          <w:lang w:val="fr-FR"/>
        </w:rPr>
        <w:t>.</w:t>
      </w:r>
      <w:r w:rsidR="002022A7" w:rsidRPr="00452E2E">
        <w:rPr>
          <w:noProof/>
          <w:lang w:val="fr-FR"/>
        </w:rPr>
        <w:t>,</w:t>
      </w:r>
      <w:r w:rsidRPr="00452E2E">
        <w:rPr>
          <w:noProof/>
          <w:lang w:val="fr-FR"/>
        </w:rPr>
        <w:t xml:space="preserve"> 2010; Goergen </w:t>
      </w:r>
      <w:r w:rsidRPr="00452E2E">
        <w:rPr>
          <w:i/>
          <w:noProof/>
          <w:lang w:val="fr-FR"/>
        </w:rPr>
        <w:t>et al</w:t>
      </w:r>
      <w:r w:rsidRPr="00452E2E">
        <w:rPr>
          <w:noProof/>
          <w:lang w:val="fr-FR"/>
        </w:rPr>
        <w:t>.</w:t>
      </w:r>
      <w:r w:rsidR="002022A7" w:rsidRPr="00452E2E">
        <w:rPr>
          <w:noProof/>
          <w:lang w:val="fr-FR"/>
        </w:rPr>
        <w:t>,</w:t>
      </w:r>
      <w:r w:rsidRPr="00452E2E">
        <w:rPr>
          <w:noProof/>
          <w:lang w:val="fr-FR"/>
        </w:rPr>
        <w:t xml:space="preserve"> 2012; Brewster </w:t>
      </w:r>
      <w:r w:rsidRPr="00452E2E">
        <w:rPr>
          <w:i/>
          <w:noProof/>
          <w:lang w:val="fr-FR"/>
        </w:rPr>
        <w:t>et al</w:t>
      </w:r>
      <w:r w:rsidRPr="00452E2E">
        <w:rPr>
          <w:noProof/>
          <w:lang w:val="fr-FR"/>
        </w:rPr>
        <w:t>.</w:t>
      </w:r>
      <w:r w:rsidR="002022A7" w:rsidRPr="00452E2E">
        <w:rPr>
          <w:noProof/>
          <w:lang w:val="fr-FR"/>
        </w:rPr>
        <w:t>,</w:t>
      </w:r>
      <w:r w:rsidRPr="00452E2E">
        <w:rPr>
          <w:noProof/>
          <w:lang w:val="fr-FR"/>
        </w:rPr>
        <w:t xml:space="preserve"> 2014)</w:t>
      </w:r>
      <w:r w:rsidRPr="00452E2E">
        <w:fldChar w:fldCharType="end"/>
      </w:r>
      <w:r w:rsidRPr="00452E2E">
        <w:rPr>
          <w:lang w:val="fr-FR"/>
        </w:rPr>
        <w:t xml:space="preserve">. </w:t>
      </w:r>
      <w:r w:rsidRPr="00452E2E">
        <w:t xml:space="preserve">Interestingly, most studies comparing HRM across institutional settings have often focused on national institutional differences </w:t>
      </w:r>
      <w:r w:rsidRPr="00452E2E">
        <w:fldChar w:fldCharType="begin" w:fldLock="1"/>
      </w:r>
      <w:r w:rsidRPr="00452E2E">
        <w:instrText>ADDIN CSL_CITATION { "citationItems" : [ { "id" : "ITEM-1", "itemData" : { "DOI" : "10.1080/09585190701393582", "ISBN" : "0958-5192", "ISSN" : "0958-5192", "PMID" : "26446933", "abstract" : "This paper uses longitudinal survey data from Britain, Germany and Sweden to examine whether, as some researchers have suggested, there has been a convergence internationally towards individual forms of employee voice mechanism and, if so, to measure the extent and trajectory of change. The paper begins by examining the importance of the employee voice issue. It then reviews competing accounts of the utility of different forms of employee voice and their manifestations within different varieties of capitalism. It is hypothesized that there has been a general trend away from collective and towards individual voice mechanisms; this reflects the predominant trajectory of managerial practices towards convergence with the liberal market model. This hypothesis is largely rejected. The data showed only very limited evidence of directional convergence towards individual voice models in the three countries. Collective voice remains significant in larger organizations, and although it takes a wide range of forms that include but go beyond unions and works councils, this is a positive finding for proponents of those institutions.", "author" : [ { "dropping-particle" : "", "family" : "Brewster", "given" : "Chris", "non-dropping-particle" : "", "parse-names" : false, "suffix" : "" }, { "dropping-particle" : "", "family" : "Croucher", "given" : "Richard", "non-dropping-particle" : "", "parse-names" : false, "suffix" : "" }, { "dropping-particle" : "", "family" : "Wood", "given" : "Geoff", "non-dropping-particle" : "", "parse-names" : false, "suffix" : "" }, { "dropping-particle" : "", "family" : "Brookes", "given" : "Michael", "non-dropping-particle" : "", "parse-names" : false, "suffix" : "" } ], "container-title" : "The International Journal of Human Resource Management", "id" : "ITEM-1", "issue" : "7", "issued" : { "date-parts" : [ [ "2007" ] ] }, "page" : "1246-1262", "title" : "Collective and individual voice: Convergence in Europe?", "type" : "article-journal", "volume" : "18" }, "uris" : [ "http://www.mendeley.com/documents/?uuid=f9736010-c296-43a8-9306-8e892af3a052" ] }, { "id" : "ITEM-2", "itemData" : { "DOI" : "10.1177/0268580908100246", "ISBN" : "02685809 (ISSN)", "ISSN" : "0268-5809", "abstract" : "Theories of post-bureaucracy point to a breakdown of traditional modes of managerial authority in the face of a range of pressures commonly associated with globalization and technological advance. This may make for a proliferation of alternative practices and/or allow for a genuine sharing of power in the workplace, associated with higher levels of responsible autonomy. Based on the findings of a series of transnational surveys, this article confirms a tendency, over time, for organizations to make greater use of mechanisms to promote responsible autonomy, in a wide range of national contexts. This would seemingly support a central proposition of theories of post-bureaucracy: a tendency for organizations to delegate more power to employees over time, reflecting the breakdown of traditional bureaucratically ordered power relations. At the same time, however, the research highlighted an uneven and contested process of change, reflecting both the persistent effects of national, regional and sectoral modes of regulation, and the non-linear and episodic nature of organizational change. \u00ac\u00a9 International Sociological Association.", "author" : [ { "dropping-particle" : "", "family" : "Johnson", "given" : "Phil", "non-dropping-particle" : "", "parse-names" : false, "suffix" : "" }, { "dropping-particle" : "", "family" : "Wood", "given" : "Geoffrey", "non-dropping-particle" : "", "parse-names" : false, "suffix" : "" }, { "dropping-particle" : "", "family" : "Brewster", "given" : "Chris", "non-dropping-particle" : "", "parse-names" : false, "suffix" : "" }, { "dropping-particle" : "", "family" : "Brookes", "given" : "Michael", "non-dropping-particle" : "", "parse-names" : false, "suffix" : "" } ], "container-title" : "International Sociology", "id" : "ITEM-2", "issue" : "1", "issued" : { "date-parts" : [ [ "2009" ] ] }, "page" : "37-61", "title" : "The rise of post-bureaucracy: Theorists' fancy or organizational praxis?", "type" : "article-journal", "volume" : "24" }, "uris" : [ "http://www.mendeley.com/documents/?uuid=34301c7c-ab72-4a8c-a149-b61552e4a0db" ] }, { "id" : "ITEM-3", "itemData" : { "DOI" : "10.2753/JEI0021-3624430111", "ISBN" : "0021-3624", "ISSN" : "0021-3624", "abstract" : "This is a study of the nature of internal diversity within liberal and collaborative market economies. Based on large scale comparative survey data, we assess the extent to which specific clusters of practices are associated with specific varieties of capitalism. Given that recent literature has pointed to internal diversity within specific national contexts, we explore the nature of internal diversity within both liberal and collaborative market economies, and what makes each variety of capitalism distinct. We find that more than one cluster of practices is indeed likely to be encountered in a particular national context, but that this diversity was bounded: only a limited number of alternative paradigms are likely to emerge and persist. The survey findings not only shed light on the nature of this internal diversity, but also reveal the fact that liberal and collaborative markets remain distinct, with the rights accruing to employees being more deeply embedded in a wide cross section of firms within the latter.", "author" : [ { "dropping-particle" : "", "family" : "Wood", "given" : "Geoffrey", "non-dropping-particle" : "", "parse-names" : false, "suffix" : "" }, { "dropping-particle" : "", "family" : "Croucher", "given" : "Richard", "non-dropping-particle" : "", "parse-names" : false, "suffix" : "" }, { "dropping-particle" : "", "family" : "Brewster", "given" : "Chris", "non-dropping-particle" : "", "parse-names" : false, "suffix" : "" }, { "dropping-particle" : "", "family" : "Collings", "given" : "David G.", "non-dropping-particle" : "", "parse-names" : false, "suffix" : "" }, { "dropping-particle" : "", "family" : "Brookes", "given" : "Michael", "non-dropping-particle" : "", "parse-names" : false, "suffix" : "" } ], "container-title" : "Journal of Economic Issues", "id" : "ITEM-3", "issue" : "1", "issued" : { "date-parts" : [ [ "2009" ] ] }, "page" : "239-258", "title" : "Varieties of firm: Complementarity and bounded diversity", "type" : "article-journal", "volume" : "XLIII" }, "uris" : [ "http://www.mendeley.com/documents/?uuid=9c8f1ff4-ccf8-4f8d-88a0-97169400b233" ] }, { "id" : "ITEM-4", "itemData" : { "abstract" : "This article investigates where financial participation is most likely to be encountered, and explores its compatibility with collective forms of employee voice. It is based on the findings of a major international survey of human resource management (HRM) practices. We found that financial participation was not affected by collective employee voice, but that national context and associated HRM strategies had significant effects on its nature and extent. As financial participation is likely to make for greater variation in wage rates, it tends to weaken industry-level bargaining. By re-casting the fundamental determinants of wages, it is also likely to facilitate greater wage dispersion within the firm. Hence, it was found that financial participation is more commonly encountered in liberal market contexts, and in firms practising calculative HRM, where countervailing employee power is weak, whether or not collective bargaining is formally present.", "author" : [ { "dropping-particle" : "", "family" : "Croucher", "given" : "Richard", "non-dropping-particle" : "", "parse-names" : false, "suffix" : "" }, { "dropping-particle" : "", "family" : "Brookes", "given" : "Michael", "non-dropping-particle" : "", "parse-names" : false, "suffix" : "" }, { "dropping-particle" : "", "family" : "Wood", "given" : "Geoffrey", "non-dropping-particle" : "", "parse-names" : false, "suffix" : "" }, { "dropping-particle" : "", "family" : "Brewster", "given" : "Chris", "non-dropping-particle" : "", "parse-names" : false, "suffix" : "" } ], "container-title" : "Human Relations", "id" : "ITEM-4", "issue" : "6", "issued" : { "date-parts" : [ [ "2010" ] ] }, "page" : "835-855", "title" : "Context, strategy and financial participation: A comparative analysis", "type" : "article-journal", "volume" : "63" }, "uris" : [ "http://www.mendeley.com/documents/?uuid=1a4498b8-6f5d-4bba-a909-d8f7556db225" ] }, { "id" : "ITEM-5", "itemData" : { "ISSN" : "00198676", "abstract" : "This paper explores the relationship between national institutional archetypes and investments in training and development. A recent trend within the literature on comparative capitalism has been to explore the nature and extent of heterogeneity within the coordinated market economies (CMEs) of Europe. Based on a review of the existing comparative literature on training and development, and comparative firm-level survey evidence of differences in training and development practices, we both support and critique existing country clusters and argue for a more nuanced and flexible categorization.", "author" : [ { "dropping-particle" : "", "family" : "Goergen", "given" : "Marc", "non-dropping-particle" : "", "parse-names" : false, "suffix" : "" }, { "dropping-particle" : "", "family" : "Brewster", "given" : "Chris", "non-dropping-particle" : "", "parse-names" : false, "suffix" : "" }, { "dropping-particle" : "", "family" : "Wood", "given" : "Geoffrey", "non-dropping-particle" : "", "parse-names" : false, "suffix" : "" }, { "dropping-particle" : "", "family" : "Wilkinson", "given" : "Adrian", "non-dropping-particle" : "", "parse-names" : false, "suffix" : "" } ], "container-title" : "Industrial Relations", "id" : "ITEM-5", "issue" : "SUPPL. 1", "issued" : { "date-parts" : [ [ "2012" ] ] }, "page" : "501-527", "title" : "Varieties of Capitalism and Investments in Human Capital", "type" : "article-journal", "volume" : "51" }, "uris" : [ "http://www.mendeley.com/documents/?uuid=ae647cdd-4633-40ec-850d-1659470e58cc" ] }, { "id" : "ITEM-6",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"ITEM-6",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2007; Johnson et al. 2009; Wood et al. 2009; Croucher et al. 2010; Goergen et al. 2012; Brewster et al. 2014)", "manualFormatting" : "(e.g. Brewster et al. 2007; Johnson et al. 2009; Wood et al. 2009; Croucher et al. 2010; Goergen et al. 2012; Brewster et al. 2014)", "plainTextFormattedCitation" : "(Brewster et al. 2007; Johnson et al. 2009; Wood et al. 2009; Croucher et al. 2010; Goergen et al. 2012; Brewster et al. 2014)", "previouslyFormattedCitation" : "(Brewster et al. 2007; Johnson et al. 2009; Wood et al. 2009; Croucher et al. 2010; Goergen et al. 2012; Brewster et al. 2014)" }, "properties" : { "noteIndex" : 0 }, "schema" : "https://github.com/citation-style-language/schema/raw/master/csl-citation.json" }</w:instrText>
      </w:r>
      <w:r w:rsidRPr="00452E2E">
        <w:fldChar w:fldCharType="separate"/>
      </w:r>
      <w:r w:rsidRPr="00452E2E">
        <w:rPr>
          <w:noProof/>
        </w:rPr>
        <w:t xml:space="preserve">(e.g. Brewster </w:t>
      </w:r>
      <w:r w:rsidRPr="00452E2E">
        <w:rPr>
          <w:i/>
          <w:noProof/>
        </w:rPr>
        <w:t>et al</w:t>
      </w:r>
      <w:r w:rsidRPr="00452E2E">
        <w:rPr>
          <w:noProof/>
        </w:rPr>
        <w:t>.</w:t>
      </w:r>
      <w:r w:rsidR="00E944BF" w:rsidRPr="00452E2E">
        <w:rPr>
          <w:noProof/>
        </w:rPr>
        <w:t>,</w:t>
      </w:r>
      <w:r w:rsidRPr="00452E2E">
        <w:rPr>
          <w:noProof/>
        </w:rPr>
        <w:t xml:space="preserve"> 2007; Johnson </w:t>
      </w:r>
      <w:r w:rsidRPr="00452E2E">
        <w:rPr>
          <w:i/>
          <w:noProof/>
        </w:rPr>
        <w:t>et al</w:t>
      </w:r>
      <w:r w:rsidRPr="00452E2E">
        <w:rPr>
          <w:noProof/>
        </w:rPr>
        <w:t>.</w:t>
      </w:r>
      <w:r w:rsidR="00E944BF" w:rsidRPr="00452E2E">
        <w:rPr>
          <w:noProof/>
        </w:rPr>
        <w:t>,</w:t>
      </w:r>
      <w:r w:rsidRPr="00452E2E">
        <w:rPr>
          <w:noProof/>
        </w:rPr>
        <w:t xml:space="preserve"> 2009; Wood </w:t>
      </w:r>
      <w:r w:rsidRPr="00452E2E">
        <w:rPr>
          <w:i/>
          <w:noProof/>
        </w:rPr>
        <w:t>et al</w:t>
      </w:r>
      <w:r w:rsidRPr="00452E2E">
        <w:rPr>
          <w:noProof/>
        </w:rPr>
        <w:t>.</w:t>
      </w:r>
      <w:r w:rsidR="00E944BF" w:rsidRPr="00452E2E">
        <w:rPr>
          <w:noProof/>
        </w:rPr>
        <w:t>,</w:t>
      </w:r>
      <w:r w:rsidRPr="00452E2E">
        <w:rPr>
          <w:noProof/>
        </w:rPr>
        <w:t xml:space="preserve"> 2009; Croucher </w:t>
      </w:r>
      <w:r w:rsidRPr="00452E2E">
        <w:rPr>
          <w:i/>
          <w:noProof/>
        </w:rPr>
        <w:t>et al</w:t>
      </w:r>
      <w:r w:rsidRPr="00452E2E">
        <w:rPr>
          <w:noProof/>
        </w:rPr>
        <w:t>.</w:t>
      </w:r>
      <w:r w:rsidR="00E944BF" w:rsidRPr="00452E2E">
        <w:rPr>
          <w:noProof/>
        </w:rPr>
        <w:t>,</w:t>
      </w:r>
      <w:r w:rsidRPr="00452E2E">
        <w:rPr>
          <w:noProof/>
        </w:rPr>
        <w:t xml:space="preserve"> 2010; Goergen </w:t>
      </w:r>
      <w:r w:rsidRPr="00452E2E">
        <w:rPr>
          <w:i/>
          <w:noProof/>
        </w:rPr>
        <w:t>et al</w:t>
      </w:r>
      <w:r w:rsidRPr="00452E2E">
        <w:rPr>
          <w:noProof/>
        </w:rPr>
        <w:t>.</w:t>
      </w:r>
      <w:r w:rsidR="00E944BF" w:rsidRPr="00452E2E">
        <w:rPr>
          <w:noProof/>
        </w:rPr>
        <w:t>,</w:t>
      </w:r>
      <w:r w:rsidRPr="00452E2E">
        <w:rPr>
          <w:noProof/>
        </w:rPr>
        <w:t xml:space="preserve"> 2012; Brewster </w:t>
      </w:r>
      <w:r w:rsidRPr="00452E2E">
        <w:rPr>
          <w:i/>
          <w:noProof/>
        </w:rPr>
        <w:t>et al</w:t>
      </w:r>
      <w:r w:rsidRPr="00452E2E">
        <w:rPr>
          <w:noProof/>
        </w:rPr>
        <w:t>.</w:t>
      </w:r>
      <w:r w:rsidR="00E944BF" w:rsidRPr="00452E2E">
        <w:rPr>
          <w:noProof/>
        </w:rPr>
        <w:t>,</w:t>
      </w:r>
      <w:r w:rsidRPr="00452E2E">
        <w:rPr>
          <w:noProof/>
        </w:rPr>
        <w:t xml:space="preserve"> 2014)</w:t>
      </w:r>
      <w:r w:rsidRPr="00452E2E">
        <w:fldChar w:fldCharType="end"/>
      </w:r>
      <w:r w:rsidRPr="00452E2E">
        <w:t xml:space="preserve"> or on differences between parent multinational companies and their subsidiaries </w:t>
      </w:r>
      <w:r w:rsidRPr="00452E2E">
        <w:fldChar w:fldCharType="begin" w:fldLock="1"/>
      </w:r>
      <w:r w:rsidRPr="00452E2E">
        <w:instrText>ADDIN CSL_CITATION { "citationItems" : [ { "id" : "ITEM-1", "itemData" : { "author" : [ { "dropping-particle" : "", "family" : "Bj\u00f6rkman", "given" : "Ingmar", "non-dropping-particle" : "", "parse-names" : false, "suffix" : "" }, { "dropping-particle" : "", "family" : "Fey", "given" : "C.F.", "non-dropping-particle" : "", "parse-names" : false, "suffix" : "" }, { "dropping-particle" : "", "family" : "Park", "given" : "H.J.", "non-dropping-particle" : "", "parse-names" : false, "suffix" : "" } ], "container-title" : "Journal of International Business Studies", "id" : "ITEM-1", "issue" : "3", "issued" : { "date-parts" : [ [ "2007" ] ] }, "page" : "430-446", "title" : "Institutional theory and MNC subsidiary HRM practices : Evidence from a three-country study", "type" : "article-journal", "volume" : "38" }, "uris" : [ "http://www.mendeley.com/documents/?uuid=e07de43c-9a6e-4e75-bc28-565616c8d2cf" ] }, { "id" : "ITEM-2", "itemData" : { "abstract" : "Purpose: Drawing on institutional theory and existing international business practice transfer and e-HRM models this paper develops an e-HRM diffusion model to ascertain the institutional factors that determine the successful diffusion of e-HRM practices in multinational corporations (MNC). The paper aims to discuss these issues. Design/methodology/approach: The research is based on the analysis of 25 semi-structured interviews with 15 key stakeholders in the German and Irish subsidiaries of a single US-based MNC as well as two interviews with a senior manager in one of its main competitors. Findings: The findings suggest that the successful transfer of e-HRM is mediated by an interchange of various institutional-level factors (external, relational, organizational and individual) within the corporation and its subsidiaries. Successful implementation of e-HRM is synonymous with the successful integration and institutionalization of e-HRM practices in the subsidiaries. Research limitations/implications: As this analysis is founded upon a single case study, it is difficult to make assumptions concerning the broad population of all MNC and their subsidiaries. Further research may be required to test the model and the findings presented in this paper. Practical implications: The findings and the model presented in this paper demonstrate the impact of the institutional context and of key success factors of technology implementation on e-HRM diffusion success. These findings may be of particular relevance to organizations and practitioners who are embarking on an e-HRM installation in an international context. Originality/value: This paper enriches the e-HRM and international management debate by identifying the key institutional factors impacting the diffusion of e-HRM practices in the subsidiaries of an MNC. In addition, the model put forward in the paper shows how these factors interact and how successful e-HRM diffusion can be characterized. \u00a9 Emerald Group Publishing Limited.", "author" : [ { "dropping-particle" : "", "family" : "Burbach", "given" : "Ralf", "non-dropping-particle" : "", "parse-names" : false, "suffix" : "" }, { "dropping-particle" : "", "family" : "Royle", "given" : "Tony", "non-dropping-particle" : "", "parse-names" : false, "suffix" : "" } ], "container-title" : "Employee Relations", "id" : "ITEM-2", "issue" : "4", "issued" : { "date-parts" : [ [ "2014" ] ] }, "page" : "354-375", "title" : "Institutional determinants of e-HRM diffusion success", "type" : "article-journal", "volume" : "36" }, "uris" : [ "http://www.mendeley.com/documents/?uuid=b3816d45-f80b-4578-995d-73e9259e51a3" ] }, { "id" : "ITEM-3", "itemData" : { "author" : [ { "dropping-particle" : "", "family" : "Kostova", "given" : "Tatiana", "non-dropping-particle" : "", "parse-names" : false, "suffix" : "" }, { "dropping-particle" : "", "family" : "Roth", "given" : "Kendall", "non-dropping-particle" : "", "parse-names" : false, "suffix" : "" } ], "container-title" : "The Academy of Management Journal", "id" : "ITEM-3", "issue" : "1", "issued" : { "date-parts" : [ [ "2002" ] ] }, "page" : "215-233", "title" : "Adoption of an organizational practice by subsidiaries of multinational corporations : Institutional and relational effects", "type" : "article-journal", "volume" : "45" }, "uris" : [ "http://www.mendeley.com/documents/?uuid=4d4f8532-086b-4179-970f-7d831f364e8b" ] }, { "id" : "ITEM-4", "itemData" : { "author" : [ { "dropping-particle" : "", "family" : "Kostova", "given" : "Tatiana", "non-dropping-particle" : "", "parse-names" : false, "suffix" : "" }, { "dropping-particle" : "", "family" : "Roth", "given" : "Kendall", "non-dropping-particle" : "", "parse-names" : false, "suffix" : "" }, { "dropping-particle" : "", "family" : "Dacin", "given" : "Tina", "non-dropping-particle" : "", "parse-names" : false, "suffix" : "" } ], "container-title" : "The Academy of Management Review", "id" : "ITEM-4", "issue" : "4", "issued" : { "date-parts" : [ [ "2008" ] ] }, "page" : "994-1006", "title" : "Institutional theory in the study of multinational corporations : A critique and new directions", "type" : "article-journal", "volume" : "33" }, "uris" : [ "http://www.mendeley.com/documents/?uuid=e5176f9f-4a77-4949-ae2d-30365a71a78a" ] } ], "mendeley" : { "formattedCitation" : "(Bj\u00f6rkman et al. 2007; Burbach &amp; Royle 2014; Kostova &amp; Roth 2002; Kostova et al. 2008)", "manualFormatting" : "(e.g. Bj\u00f6rkman et al., 2007; Burbach &amp; Royle, 2014; Kostova &amp; Roth, 2002; Kostova et al., 2008)", "plainTextFormattedCitation" : "(Bj\u00f6rkman et al. 2007; Burbach &amp; Royle 2014; Kostova &amp; Roth 2002; Kostova et al. 2008)", "previouslyFormattedCitation" : "(Bj\u00f6rkman et al. 2007; Burbach &amp; Royle 2014; Kostova &amp; Roth 2002; Kostova et al. 2008)" }, "properties" : { "noteIndex" : 0 }, "schema" : "https://github.com/citation-style-language/schema/raw/master/csl-citation.json" }</w:instrText>
      </w:r>
      <w:r w:rsidRPr="00452E2E">
        <w:fldChar w:fldCharType="separate"/>
      </w:r>
      <w:r w:rsidRPr="00452E2E">
        <w:rPr>
          <w:noProof/>
        </w:rPr>
        <w:t xml:space="preserve">(e.g. </w:t>
      </w:r>
      <w:r w:rsidR="009F6B0C" w:rsidRPr="00452E2E">
        <w:rPr>
          <w:noProof/>
        </w:rPr>
        <w:t xml:space="preserve">Kostova &amp; Roth, 2002; </w:t>
      </w:r>
      <w:r w:rsidRPr="00452E2E">
        <w:rPr>
          <w:noProof/>
        </w:rPr>
        <w:t xml:space="preserve">Björkman </w:t>
      </w:r>
      <w:r w:rsidRPr="00452E2E">
        <w:rPr>
          <w:i/>
          <w:noProof/>
        </w:rPr>
        <w:t>et al</w:t>
      </w:r>
      <w:r w:rsidR="009F6B0C" w:rsidRPr="00452E2E">
        <w:rPr>
          <w:noProof/>
        </w:rPr>
        <w:t xml:space="preserve">., 2007; Kostova </w:t>
      </w:r>
      <w:r w:rsidR="009F6B0C" w:rsidRPr="00452E2E">
        <w:rPr>
          <w:i/>
          <w:noProof/>
        </w:rPr>
        <w:t>et al</w:t>
      </w:r>
      <w:r w:rsidR="009F6B0C" w:rsidRPr="00452E2E">
        <w:rPr>
          <w:noProof/>
        </w:rPr>
        <w:t>., 2008; Burbach &amp; Royle, 2014</w:t>
      </w:r>
      <w:r w:rsidRPr="00452E2E">
        <w:rPr>
          <w:noProof/>
        </w:rPr>
        <w:t>)</w:t>
      </w:r>
      <w:r w:rsidRPr="00452E2E">
        <w:fldChar w:fldCharType="end"/>
      </w:r>
      <w:r w:rsidRPr="00452E2E">
        <w:t xml:space="preserve">. </w:t>
      </w:r>
    </w:p>
    <w:p w:rsidR="00D03A8E" w:rsidRPr="00452E2E" w:rsidRDefault="00D03A8E" w:rsidP="00D03A8E">
      <w:pPr>
        <w:spacing w:line="360" w:lineRule="auto"/>
        <w:jc w:val="both"/>
      </w:pPr>
      <w:r w:rsidRPr="00452E2E">
        <w:t xml:space="preserve">However, only few studies have adopted institutional frameworks in comparing sectoral differences in HRM within a single country (e.g. Boselie </w:t>
      </w:r>
      <w:r w:rsidRPr="00452E2E">
        <w:rPr>
          <w:i/>
        </w:rPr>
        <w:t>et al</w:t>
      </w:r>
      <w:r w:rsidRPr="00452E2E">
        <w:t xml:space="preserve">., 2003; Wood </w:t>
      </w:r>
      <w:r w:rsidRPr="00452E2E">
        <w:rPr>
          <w:i/>
        </w:rPr>
        <w:t>et al</w:t>
      </w:r>
      <w:r w:rsidRPr="00452E2E">
        <w:t>., 2011). Nevertheless, the literatu</w:t>
      </w:r>
      <w:r w:rsidR="005D1B19" w:rsidRPr="00452E2E">
        <w:t>re on segmented business system</w:t>
      </w:r>
      <w:r w:rsidRPr="00452E2E">
        <w:t xml:space="preserve"> theory (Wood &amp; Frynas, 2006; Wood </w:t>
      </w:r>
      <w:r w:rsidRPr="00452E2E">
        <w:rPr>
          <w:i/>
        </w:rPr>
        <w:t>et al</w:t>
      </w:r>
      <w:r w:rsidRPr="00452E2E">
        <w:t xml:space="preserve">., 2011) and institutional diversity and change (Lane &amp; Wood, 2009) suggest the existence of within-country </w:t>
      </w:r>
      <w:r w:rsidR="00FB72B2" w:rsidRPr="00452E2E">
        <w:t xml:space="preserve">differences in the influence of </w:t>
      </w:r>
      <w:r w:rsidRPr="00452E2E">
        <w:t>instit</w:t>
      </w:r>
      <w:r w:rsidR="00FB72B2" w:rsidRPr="00452E2E">
        <w:t>utions on organizational practices.</w:t>
      </w:r>
      <w:r w:rsidRPr="00452E2E">
        <w:t xml:space="preserve"> In fact, institutional diversity and change provides the impetus for researchers to adopt different institutional frameworks to examine both between-country and within-country institutional differences in the adoption of HR practices (Wood </w:t>
      </w:r>
      <w:r w:rsidRPr="00452E2E">
        <w:rPr>
          <w:i/>
        </w:rPr>
        <w:t>et al</w:t>
      </w:r>
      <w:r w:rsidRPr="00452E2E">
        <w:t xml:space="preserve">., 2014a). </w:t>
      </w:r>
    </w:p>
    <w:p w:rsidR="00D03A8E" w:rsidRPr="00452E2E" w:rsidRDefault="00D03A8E" w:rsidP="00D03A8E">
      <w:pPr>
        <w:spacing w:line="360" w:lineRule="auto"/>
        <w:jc w:val="both"/>
      </w:pPr>
      <w:r w:rsidRPr="00452E2E">
        <w:t xml:space="preserve">Based on the knowledge that HR practices are influenced by the institutional environment in which organizations operate, Kim </w:t>
      </w:r>
      <w:r w:rsidR="00D142EC" w:rsidRPr="00452E2E">
        <w:t>&amp;</w:t>
      </w:r>
      <w:r w:rsidRPr="00452E2E">
        <w:t xml:space="preserve"> Wright (2011) argued that the attributions that employees make about management’s motivation to adopt HR practices will vary in different institutional contexts. They argued that as a result, the mediation effect of HR attributions on the relationship between HR practices and employee attitudes and behaviour will be moderated by the institutional context such that this relationship will be stronger in contexts where </w:t>
      </w:r>
      <w:r w:rsidRPr="00452E2E">
        <w:lastRenderedPageBreak/>
        <w:t>“regulatory institutions are less restrictive, giving management more autonomy over human resource management decisions” (Kim &amp; Wright, 2011 p.153). Indeed,</w:t>
      </w:r>
      <w:r w:rsidR="008B41C7" w:rsidRPr="00452E2E">
        <w:t xml:space="preserve"> Kim &amp; Wright (2011) suggest</w:t>
      </w:r>
      <w:r w:rsidRPr="00452E2E">
        <w:t xml:space="preserve"> that employees will value HR practices the most when they understand that such practices were willingly adopted by management without external pressures to do so. In such contexts, Kim </w:t>
      </w:r>
      <w:r w:rsidR="005D2D73" w:rsidRPr="00452E2E">
        <w:t>&amp;</w:t>
      </w:r>
      <w:r w:rsidRPr="00452E2E">
        <w:t xml:space="preserve"> Wright (2011) argued, employees will most likely view HR practices as a demonstration of management’s concern for their well-being; thereby resulting to high</w:t>
      </w:r>
      <w:r w:rsidR="007A10C0" w:rsidRPr="00452E2E">
        <w:t>er</w:t>
      </w:r>
      <w:r w:rsidRPr="00452E2E">
        <w:t xml:space="preserve"> commitment-focused HR attribution. They further argued that </w:t>
      </w:r>
      <w:r w:rsidR="00A4149D" w:rsidRPr="00452E2E">
        <w:t xml:space="preserve">this </w:t>
      </w:r>
      <w:r w:rsidRPr="00452E2E">
        <w:t xml:space="preserve">will result to positive employee attitudes more than in contexts where regulatory institutions restrict management’s decisions on the adoption of HR practices. In other words, HR practices should engender positive employee attitudes in contexts where there is weaker employees’ rights and stronger employers’ rights (Botero </w:t>
      </w:r>
      <w:r w:rsidRPr="00452E2E">
        <w:rPr>
          <w:i/>
        </w:rPr>
        <w:t>et al</w:t>
      </w:r>
      <w:r w:rsidRPr="00452E2E">
        <w:t xml:space="preserve">., 2004). </w:t>
      </w:r>
    </w:p>
    <w:p w:rsidR="00D03A8E" w:rsidRPr="00452E2E" w:rsidRDefault="00D03A8E" w:rsidP="00D03A8E">
      <w:pPr>
        <w:spacing w:line="360" w:lineRule="auto"/>
        <w:jc w:val="both"/>
      </w:pPr>
      <w:r w:rsidRPr="00452E2E">
        <w:t xml:space="preserve">Whilst not disagreeing completely with Kim </w:t>
      </w:r>
      <w:r w:rsidR="004D653D" w:rsidRPr="00452E2E">
        <w:t>&amp;</w:t>
      </w:r>
      <w:r w:rsidRPr="00452E2E">
        <w:t xml:space="preserve"> Wright’s (2011) assertion, it is the argument of this research that although employees’ commitment-focused HR attribution will be higher if employers willingly adopt commitment</w:t>
      </w:r>
      <w:r w:rsidR="00DD199E" w:rsidRPr="00452E2E">
        <w:t>-</w:t>
      </w:r>
      <w:r w:rsidRPr="00452E2E">
        <w:t xml:space="preserve">focused HR practices such as training, employee benefits and participation; equally, employees will demonstrate higher union compliance HR attribution in contexts where employers’ decisions on HRM are restricted and both forms of HR attributions should result to positive employee attitudes. Research on comparative capitalism has indicated that HRM approaches are effective in enhancing the performance of both liberal and coordinated market economies (Wood </w:t>
      </w:r>
      <w:r w:rsidRPr="00452E2E">
        <w:rPr>
          <w:i/>
        </w:rPr>
        <w:t>et al</w:t>
      </w:r>
      <w:r w:rsidRPr="00452E2E">
        <w:t xml:space="preserve">., 2012). LMEs and CMEs are examples of contexts where employees’ rights are weaker and stronger respectively. Thus, if employee attitudes are at the centre of organizational productivity (Guest, 2011), then HR practices should result to positive attitudes, whether or not employees’ rights are weak. And if anything, the overall effect of HR practices on employee attitudes should be higher in contexts where employees’ rights are </w:t>
      </w:r>
      <w:r w:rsidR="008B715F" w:rsidRPr="00452E2E">
        <w:t>stronger</w:t>
      </w:r>
      <w:r w:rsidRPr="00452E2E">
        <w:t xml:space="preserve"> because employees will likely make positive attributions regarding HRM when they have a voice in HRM decisions.  </w:t>
      </w:r>
    </w:p>
    <w:p w:rsidR="00D03A8E" w:rsidRPr="00452E2E" w:rsidRDefault="00D03A8E" w:rsidP="00D03A8E">
      <w:pPr>
        <w:spacing w:line="360" w:lineRule="auto"/>
        <w:jc w:val="both"/>
      </w:pPr>
      <w:r w:rsidRPr="00452E2E">
        <w:t xml:space="preserve">Turning to the present research, the </w:t>
      </w:r>
      <w:r w:rsidR="00A66FB0" w:rsidRPr="00452E2E">
        <w:t>findings from</w:t>
      </w:r>
      <w:r w:rsidRPr="00452E2E">
        <w:t xml:space="preserve"> </w:t>
      </w:r>
      <w:r w:rsidRPr="00452E2E">
        <w:rPr>
          <w:i/>
        </w:rPr>
        <w:t>study 1</w:t>
      </w:r>
      <w:r w:rsidRPr="00452E2E">
        <w:t xml:space="preserve"> indicate that whilst HRM in Nigeria is influenced by institutional mechanisms (DiMaggio &amp; Powell, </w:t>
      </w:r>
      <w:r w:rsidRPr="00452E2E">
        <w:lastRenderedPageBreak/>
        <w:t xml:space="preserve">1983; Boselie </w:t>
      </w:r>
      <w:r w:rsidRPr="00452E2E">
        <w:rPr>
          <w:i/>
        </w:rPr>
        <w:t>et al</w:t>
      </w:r>
      <w:r w:rsidRPr="00452E2E">
        <w:t xml:space="preserve">., 2003), the pattern of influence resonates with the features of a segmented business system where employees’ rights are stronger in the public sector and weaker in the private sector (Wood &amp; Frynas, 2006). Specifically, the study shows that managers in the private sector have more leeway in their choice of HR practices compared to those in the public sector whose choices are restricted by institutional forces, notably the influence of trade unions. We would therefore expect that employees in the private sector should view management’s adoption of commitment-enhancing HR practices such as training, employee benefits, and employee participation as a demonstration of concern for their well-being. This should translate to higher perception of commitment-focused HR attribution and low union compliance HR attribution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Pr="00452E2E">
        <w:fldChar w:fldCharType="separate"/>
      </w:r>
      <w:r w:rsidRPr="00452E2E">
        <w:rPr>
          <w:noProof/>
        </w:rPr>
        <w:t xml:space="preserve">(Nishii </w:t>
      </w:r>
      <w:r w:rsidRPr="00452E2E">
        <w:rPr>
          <w:i/>
          <w:noProof/>
        </w:rPr>
        <w:t>et al</w:t>
      </w:r>
      <w:r w:rsidRPr="00452E2E">
        <w:rPr>
          <w:noProof/>
        </w:rPr>
        <w:t>., 2008)</w:t>
      </w:r>
      <w:r w:rsidRPr="00452E2E">
        <w:fldChar w:fldCharType="end"/>
      </w:r>
      <w:r w:rsidRPr="00452E2E">
        <w:t xml:space="preserve">. </w:t>
      </w:r>
    </w:p>
    <w:p w:rsidR="00D03A8E" w:rsidRPr="00452E2E" w:rsidRDefault="00D03A8E" w:rsidP="00D03A8E">
      <w:pPr>
        <w:spacing w:line="360" w:lineRule="auto"/>
        <w:jc w:val="both"/>
      </w:pPr>
      <w:r w:rsidRPr="00452E2E">
        <w:t xml:space="preserve">Although public sector employees in Nigeria will also rank high on commitment-focused HR attribution, their union compliance HR attribution will be higher. In terms of control-focused HR attribution, whilst it is expected that this form of HR attribution will mediate the relationship between HR practices and employee attitudes </w:t>
      </w:r>
      <w:r w:rsidRPr="00452E2E">
        <w:fldChar w:fldCharType="begin" w:fldLock="1"/>
      </w:r>
      <w:r w:rsidRPr="00452E2E">
        <w:instrText>ADDIN CSL_CITATION { "citationItems" : [ { "id" : "ITEM-1",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attributionswere associated with higher levels of job strain. The findings of this study highlight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"ITEM-1",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"(Van De Voorde &amp; Beijer 2015)", "manualFormatting" : "(Van De Voorde &amp; Beijer, 2015)", "plainTextFormattedCitation" : "(Van De Voorde &amp; Beijer 2015)", "previouslyFormattedCitation" : "(Van De Voorde &amp; Beijer 2015)" }, "properties" : { "noteIndex" : 0 }, "schema" : "https://github.com/citation-style-language/schema/raw/master/csl-citation.json" }</w:instrText>
      </w:r>
      <w:r w:rsidRPr="00452E2E">
        <w:fldChar w:fldCharType="separate"/>
      </w:r>
      <w:r w:rsidRPr="00452E2E">
        <w:rPr>
          <w:noProof/>
        </w:rPr>
        <w:t>(Van De Voorde &amp; Beijer, 2015)</w:t>
      </w:r>
      <w:r w:rsidRPr="00452E2E">
        <w:fldChar w:fldCharType="end"/>
      </w:r>
      <w:r w:rsidRPr="00452E2E">
        <w:t xml:space="preserve">, we do not expect any moderation effect of sector. This is because it is difficult in reality for organizations to implement commitment-focused HR practices without some elements of control-focused HR practices that are aimed at minimising cost </w:t>
      </w:r>
      <w:r w:rsidRPr="00452E2E">
        <w:fldChar w:fldCharType="begin" w:fldLock="1"/>
      </w:r>
      <w:r w:rsidRPr="00452E2E">
        <w:instrText>ADDIN CSL_CITATION { "citationItems" : [ { "id" : "ITEM-1", "itemData" : { "author" : [ { "dropping-particle" : "", "family" : "Legge", "given" : "Karen", "non-dropping-particle" : "", "parse-names" : false, "suffix" : "" } ], "edition" : "Anniversar", "id" : "ITEM-1", "issued" : { "date-parts" : [ [ "2005" ] ] }, "publisher" : "Palgrave Macmillan", "publisher-place" : "Basingstoke", "title" : "Human resource management: rhetorics and realities", "type" : "book" }, "uris" : [ "http://www.mendeley.com/documents/?uuid=d6259ab7-de87-4dd8-a03b-d68c91a8d8f8" ] }, { "id" : "ITEM-2", "itemData" : { "author"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"container-title" : "The Oxford handbook of employment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"ITEM-2", "issued" : { "date-parts" : [ [ "2014" ] ] }, "page" : "1-20", "publisher" : "Oxford University Press", "publisher-place" : "New York", "title" : "Comparative employment systems", "type" : "chapter" }, "uris" : [ "http://www.mendeley.com/documents/?uuid=ad3f875f-66d8-49a6-9fdf-d1f22f2b5b51" ] } ], "mendeley" : { "formattedCitation" : "(Legge 2005; Wilkinson et al. 2014)", "manualFormatting" : "(Legge, 2005; Wilkinson et al., 2014)", "plainTextFormattedCitation" : "(Legge 2005; Wilkinson et al. 2014)", "previouslyFormattedCitation" : "(Legge 2005; Wilkinson et al. 2014)" }, "properties" : { "noteIndex" : 0 }, "schema" : "https://github.com/citation-style-language/schema/raw/master/csl-citation.json" }</w:instrText>
      </w:r>
      <w:r w:rsidRPr="00452E2E">
        <w:fldChar w:fldCharType="separate"/>
      </w:r>
      <w:r w:rsidRPr="00452E2E">
        <w:rPr>
          <w:noProof/>
        </w:rPr>
        <w:t xml:space="preserve">(Legge, 2005; Wilkinson </w:t>
      </w:r>
      <w:r w:rsidRPr="00452E2E">
        <w:rPr>
          <w:i/>
          <w:noProof/>
        </w:rPr>
        <w:t>et al</w:t>
      </w:r>
      <w:r w:rsidRPr="00452E2E">
        <w:rPr>
          <w:noProof/>
        </w:rPr>
        <w:t>., 2014)</w:t>
      </w:r>
      <w:r w:rsidRPr="00452E2E">
        <w:fldChar w:fldCharType="end"/>
      </w:r>
      <w:r w:rsidRPr="00452E2E">
        <w:t xml:space="preserve">. Because private sector organizations in most developing countries compete on the basis of cost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private sector employees will encounter practices that are aimed at cost minimization even where their commitment-focused attribution was high. Similarly, neo-liberal new public management reforms in the public sector in advanced countries that have resulted to the adoption of cost-cutting-HR practices </w:t>
      </w:r>
      <w:r w:rsidRPr="00452E2E">
        <w:fldChar w:fldCharType="begin" w:fldLock="1"/>
      </w:r>
      <w:r w:rsidRPr="00452E2E">
        <w:instrText>ADDIN CSL_CITATION { "citationItems" : [ { "id" : "ITEM-1", "itemData" : { "abstract" : "A wide variety of initiatives characterized under the umbrella term of new public management have been introduced over the past two decades to improve efficiency and cost-effectiveness in the public sector. The implications of these initiatives for public sector employment relationships have been the subject of on-going debate. This article contributes to this debate through examining how employees within local authorities are managed in a time of personal crisis with a particular focus on long-term sickness absence in the context of increased management drives for efficiency under the NPM agenda. The findings reveal that for managers in two local authorities that form the focus of this study there is a tension in struggling to achieve a workable balance between the needs of employees and wider operational requirements, resulting in role ambiguity for line managers and detrimental effects for vulnerable public service workers.", "author" : [ { "dropping-particle" : "", "family" : "Cunningham", "given" : "I.", "non-dropping-particle" : "", "parse-names" : false, "suffix" : "" }, { "dropping-particle" : "", "family" : "James", "given" : "P.", "non-dropping-particle" : "", "parse-names" : false, "suffix" : "" }, { "dropping-particle" : "", "family" : "Dibben", "given" : "P.", "non-dropping-particle" : "", "parse-names" : false, "suffix" : "" } ], "container-title" : "Public Management Review", "id" : "ITEM-1", "issue" : "2", "issued" : { "date-parts" : [ [ "2006" ] ] }, "page" : "207-225", "title" : "Tensions in local government employment relationships: The case of long-term sickness absence", "type" : "article-journal", "volume" : "8" }, "uris" : [ "http://www.mendeley.com/documents/?uuid=8531f75b-46f6-4024-8093-82baa323f4e4" ] } ], "mendeley" : { "formattedCitation" : "(Cunningham et al. 2006)", "manualFormatting" : "(Cunningham et al., 2006)", "plainTextFormattedCitation" : "(Cunningham et al. 2006)", "previouslyFormattedCitation" : "(Cunningham et al. 2006)" }, "properties" : { "noteIndex" : 0 }, "schema" : "https://github.com/citation-style-language/schema/raw/master/csl-citation.json" }</w:instrText>
      </w:r>
      <w:r w:rsidRPr="00452E2E">
        <w:fldChar w:fldCharType="separate"/>
      </w:r>
      <w:r w:rsidRPr="00452E2E">
        <w:rPr>
          <w:noProof/>
        </w:rPr>
        <w:t xml:space="preserve">(Cunningham </w:t>
      </w:r>
      <w:r w:rsidRPr="00452E2E">
        <w:rPr>
          <w:i/>
          <w:noProof/>
        </w:rPr>
        <w:t>et al</w:t>
      </w:r>
      <w:r w:rsidRPr="00452E2E">
        <w:rPr>
          <w:noProof/>
        </w:rPr>
        <w:t>., 2006)</w:t>
      </w:r>
      <w:r w:rsidRPr="00452E2E">
        <w:fldChar w:fldCharType="end"/>
      </w:r>
      <w:r w:rsidRPr="00452E2E">
        <w:t xml:space="preserve"> have found their way in the public sector in Nigeria via the instrumentality of the World Bank and its affiliate agencies </w:t>
      </w:r>
      <w:r w:rsidRPr="00452E2E">
        <w:fldChar w:fldCharType="begin" w:fldLock="1"/>
      </w:r>
      <w:r w:rsidRPr="00452E2E">
        <w:instrText>ADDIN CSL_CITATION { "citationItems" : [ { "id" : "ITEM-1", "itemData" : { "author" : [ { "dropping-particle" : "", "family" : "Adewumi", "given" : "Funmi",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"ITEM-1", "issued" : { "date-parts" : [ [ "2012" ] ] }, "page" : "111-128", "publisher" : "CODESRIA", "publisher-place" : "Dakar", "title" : "Victims as sacrificial lambs: A critique of public service reforms in Nigeria", "type" : "chapter" }, "uris" : [ "http://www.mendeley.com/documents/?uuid=c2fd0c7d-7bf4-4d52-ab7c-cac2e8767455" ] } ], "mendeley" : { "formattedCitation" : "(Adewumi 2012)", "manualFormatting" : "(Adewumi, 2012b)", "plainTextFormattedCitation" : "(Adewumi 2012)", "previouslyFormattedCitation" : "(Adewumi 2012)" }, "properties" : { "noteIndex" : 0 }, "schema" : "https://github.com/citation-style-language/schema/raw/master/csl-citation.json" }</w:instrText>
      </w:r>
      <w:r w:rsidRPr="00452E2E">
        <w:fldChar w:fldCharType="separate"/>
      </w:r>
      <w:r w:rsidRPr="00452E2E">
        <w:rPr>
          <w:noProof/>
        </w:rPr>
        <w:t>(Adewumi, 2012</w:t>
      </w:r>
      <w:r w:rsidRPr="00452E2E">
        <w:rPr>
          <w:i/>
          <w:noProof/>
        </w:rPr>
        <w:t>b</w:t>
      </w:r>
      <w:r w:rsidRPr="00452E2E">
        <w:rPr>
          <w:noProof/>
        </w:rPr>
        <w:t>)</w:t>
      </w:r>
      <w:r w:rsidRPr="00452E2E">
        <w:fldChar w:fldCharType="end"/>
      </w:r>
      <w:r w:rsidRPr="00452E2E">
        <w:t xml:space="preserve">. Therefore, both public and private sector employees will sense some elements of cost minimization in the practices they encounter thereby resulting to similar levels of their perception of control-focused HR attribution. </w:t>
      </w:r>
    </w:p>
    <w:p w:rsidR="00D03A8E" w:rsidRPr="00452E2E" w:rsidRDefault="00D03A8E" w:rsidP="00D03A8E">
      <w:pPr>
        <w:spacing w:line="360" w:lineRule="auto"/>
        <w:jc w:val="both"/>
      </w:pPr>
      <w:r w:rsidRPr="00452E2E">
        <w:t>Based on the foregoing, it is hypothesized thus:</w:t>
      </w:r>
    </w:p>
    <w:p w:rsidR="00D03A8E" w:rsidRPr="00452E2E" w:rsidRDefault="00D03A8E" w:rsidP="00D03A8E">
      <w:pPr>
        <w:spacing w:line="240" w:lineRule="auto"/>
        <w:jc w:val="both"/>
      </w:pPr>
      <w:r w:rsidRPr="00452E2E">
        <w:rPr>
          <w:i/>
        </w:rPr>
        <w:lastRenderedPageBreak/>
        <w:t>Hypothesis 21</w:t>
      </w:r>
      <w:r w:rsidRPr="00452E2E">
        <w:t>: The mediation effect of commitment-focused HR attribution on the relationship between HR practices and job satisfaction will be higher in the private sector.</w:t>
      </w:r>
    </w:p>
    <w:p w:rsidR="00D03A8E" w:rsidRPr="00452E2E" w:rsidRDefault="00D03A8E" w:rsidP="00D03A8E">
      <w:pPr>
        <w:spacing w:line="240" w:lineRule="auto"/>
        <w:jc w:val="both"/>
      </w:pPr>
      <w:r w:rsidRPr="00452E2E">
        <w:rPr>
          <w:i/>
        </w:rPr>
        <w:t>Hypothesis 22a</w:t>
      </w:r>
      <w:r w:rsidR="00606368" w:rsidRPr="00452E2E">
        <w:t xml:space="preserve">: </w:t>
      </w:r>
      <w:r w:rsidRPr="00452E2E">
        <w:t>The mediation effect of commitment-focused HR attribution on the relationship between HR practices and affective commitment will be higher in the private sector.</w:t>
      </w:r>
    </w:p>
    <w:p w:rsidR="00D03A8E" w:rsidRPr="00452E2E" w:rsidRDefault="00D03A8E" w:rsidP="00D03A8E">
      <w:pPr>
        <w:spacing w:line="240" w:lineRule="auto"/>
        <w:jc w:val="both"/>
      </w:pPr>
      <w:r w:rsidRPr="00452E2E">
        <w:rPr>
          <w:i/>
        </w:rPr>
        <w:t>Hypothesis 22b</w:t>
      </w:r>
      <w:r w:rsidRPr="00452E2E">
        <w:t>: The mediation effect of commitment-focused HR attribution on the relationship between HR practices and normative commitment will be higher in the private sector.</w:t>
      </w:r>
    </w:p>
    <w:p w:rsidR="00D03A8E" w:rsidRPr="00452E2E" w:rsidRDefault="00D03A8E" w:rsidP="00D03A8E">
      <w:pPr>
        <w:spacing w:line="240" w:lineRule="auto"/>
        <w:jc w:val="both"/>
      </w:pPr>
      <w:r w:rsidRPr="00452E2E">
        <w:rPr>
          <w:i/>
        </w:rPr>
        <w:t>Hypothesis 22c</w:t>
      </w:r>
      <w:r w:rsidR="00606368" w:rsidRPr="00452E2E">
        <w:t xml:space="preserve">: </w:t>
      </w:r>
      <w:r w:rsidRPr="00452E2E">
        <w:t>The mediation effect of commitment-focused HR attribution on the relationship between HR practices and continuance commitment will be higher in the private sector.</w:t>
      </w:r>
    </w:p>
    <w:p w:rsidR="00D03A8E" w:rsidRPr="00452E2E" w:rsidRDefault="00D03A8E" w:rsidP="00D03A8E">
      <w:pPr>
        <w:spacing w:line="240" w:lineRule="auto"/>
        <w:jc w:val="both"/>
      </w:pPr>
      <w:r w:rsidRPr="00452E2E">
        <w:rPr>
          <w:i/>
        </w:rPr>
        <w:t>Hypothesis 23</w:t>
      </w:r>
      <w:r w:rsidR="00606368" w:rsidRPr="00452E2E">
        <w:t xml:space="preserve">: </w:t>
      </w:r>
      <w:r w:rsidRPr="00452E2E">
        <w:t>The mediation effect of control-focused HR attribution on the relationship between HR practices and job satisfaction will be the same in both public and private sector.</w:t>
      </w:r>
    </w:p>
    <w:p w:rsidR="00D03A8E" w:rsidRPr="00452E2E" w:rsidRDefault="00D03A8E" w:rsidP="00D03A8E">
      <w:pPr>
        <w:spacing w:line="240" w:lineRule="auto"/>
        <w:jc w:val="both"/>
      </w:pPr>
      <w:r w:rsidRPr="00452E2E">
        <w:rPr>
          <w:i/>
        </w:rPr>
        <w:t>Hypothesis 24a</w:t>
      </w:r>
      <w:r w:rsidR="00606368" w:rsidRPr="00452E2E">
        <w:t xml:space="preserve">: </w:t>
      </w:r>
      <w:r w:rsidRPr="00452E2E">
        <w:t>The mediation effect of control-focused HR attribution on the relationship between HR practices and affective commitment will be the same in both public and private sector.</w:t>
      </w:r>
    </w:p>
    <w:p w:rsidR="00D03A8E" w:rsidRPr="00452E2E" w:rsidRDefault="00D03A8E" w:rsidP="00D03A8E">
      <w:pPr>
        <w:spacing w:line="240" w:lineRule="auto"/>
        <w:jc w:val="both"/>
      </w:pPr>
      <w:r w:rsidRPr="00452E2E">
        <w:rPr>
          <w:i/>
        </w:rPr>
        <w:t>Hypothesis 24b</w:t>
      </w:r>
      <w:r w:rsidR="00606368" w:rsidRPr="00452E2E">
        <w:t xml:space="preserve">: </w:t>
      </w:r>
      <w:r w:rsidRPr="00452E2E">
        <w:t>The mediation effect of control-focused HR attribution on the relationship between HR practices and normative commitment will be the same in both public and private sector.</w:t>
      </w:r>
    </w:p>
    <w:p w:rsidR="00D03A8E" w:rsidRPr="00452E2E" w:rsidRDefault="00D03A8E" w:rsidP="00D03A8E">
      <w:pPr>
        <w:spacing w:line="240" w:lineRule="auto"/>
        <w:jc w:val="both"/>
      </w:pPr>
      <w:r w:rsidRPr="00452E2E">
        <w:rPr>
          <w:i/>
        </w:rPr>
        <w:t>Hypothesis 24c</w:t>
      </w:r>
      <w:r w:rsidR="00606368" w:rsidRPr="00452E2E">
        <w:t xml:space="preserve">: </w:t>
      </w:r>
      <w:r w:rsidRPr="00452E2E">
        <w:t>The mediation effect of control-focused HR attribution on the relationship between HR practices and continuance commitment will be the same in both public and private sector.</w:t>
      </w:r>
    </w:p>
    <w:p w:rsidR="00D03A8E" w:rsidRPr="00452E2E" w:rsidRDefault="00D03A8E" w:rsidP="00D03A8E">
      <w:pPr>
        <w:spacing w:line="240" w:lineRule="auto"/>
        <w:jc w:val="both"/>
      </w:pPr>
      <w:r w:rsidRPr="00452E2E">
        <w:rPr>
          <w:i/>
        </w:rPr>
        <w:t>Hypothesis 25</w:t>
      </w:r>
      <w:r w:rsidRPr="00452E2E">
        <w:t>: The mediation effect of union compliance HR attribution on the relationship between HR practices and job satisfaction will be higher in the public sector.</w:t>
      </w:r>
    </w:p>
    <w:p w:rsidR="00D03A8E" w:rsidRPr="00452E2E" w:rsidRDefault="00D03A8E" w:rsidP="00D03A8E">
      <w:pPr>
        <w:spacing w:line="240" w:lineRule="auto"/>
        <w:jc w:val="both"/>
      </w:pPr>
      <w:r w:rsidRPr="00452E2E">
        <w:rPr>
          <w:i/>
        </w:rPr>
        <w:t>Hypothesis 26a</w:t>
      </w:r>
      <w:r w:rsidR="00606368" w:rsidRPr="00452E2E">
        <w:t xml:space="preserve">: </w:t>
      </w:r>
      <w:r w:rsidRPr="00452E2E">
        <w:t>The mediation effect of union compliance HR attribution on the relationship between HR practices and affective commitment will be higher in the public sector.</w:t>
      </w:r>
    </w:p>
    <w:p w:rsidR="00D03A8E" w:rsidRPr="00452E2E" w:rsidRDefault="00D03A8E" w:rsidP="00D03A8E">
      <w:pPr>
        <w:spacing w:line="240" w:lineRule="auto"/>
        <w:jc w:val="both"/>
      </w:pPr>
      <w:r w:rsidRPr="00452E2E">
        <w:rPr>
          <w:i/>
        </w:rPr>
        <w:t>Hypothesis 26b</w:t>
      </w:r>
      <w:r w:rsidR="00606368" w:rsidRPr="00452E2E">
        <w:t xml:space="preserve">: </w:t>
      </w:r>
      <w:r w:rsidRPr="00452E2E">
        <w:t>The mediation effect of union compliance HR attribution on the relationship between HR practices and normative commitment will be higher in the public sector.</w:t>
      </w:r>
    </w:p>
    <w:p w:rsidR="00D03A8E" w:rsidRPr="00452E2E" w:rsidRDefault="00D03A8E" w:rsidP="00D03A8E">
      <w:pPr>
        <w:spacing w:line="240" w:lineRule="auto"/>
        <w:jc w:val="both"/>
      </w:pPr>
      <w:r w:rsidRPr="00452E2E">
        <w:rPr>
          <w:i/>
        </w:rPr>
        <w:t>Hypothesis 26c</w:t>
      </w:r>
      <w:r w:rsidR="00606368" w:rsidRPr="00452E2E">
        <w:t xml:space="preserve">: </w:t>
      </w:r>
      <w:r w:rsidRPr="00452E2E">
        <w:t>The mediation effect of union compliance HR attribution on the relationship between HR practices and continuance commitment will be higher in the public sector.</w:t>
      </w:r>
    </w:p>
    <w:p w:rsidR="00D03A8E" w:rsidRPr="00452E2E" w:rsidRDefault="00D03A8E" w:rsidP="00D03A8E">
      <w:pPr>
        <w:spacing w:line="360" w:lineRule="auto"/>
        <w:jc w:val="both"/>
      </w:pPr>
    </w:p>
    <w:p w:rsidR="00D03A8E" w:rsidRPr="00452E2E" w:rsidRDefault="00D03A8E" w:rsidP="00170224">
      <w:pPr>
        <w:pStyle w:val="Heading3"/>
      </w:pPr>
      <w:bookmarkStart w:id="156" w:name="_Toc465271201"/>
      <w:bookmarkStart w:id="157" w:name="_Toc473808179"/>
      <w:r w:rsidRPr="00452E2E">
        <w:t>6.5 Summary</w:t>
      </w:r>
      <w:bookmarkEnd w:id="156"/>
      <w:bookmarkEnd w:id="157"/>
    </w:p>
    <w:p w:rsidR="0007147C" w:rsidRPr="00452E2E" w:rsidRDefault="00D03A8E" w:rsidP="00D03A8E">
      <w:pPr>
        <w:spacing w:line="360" w:lineRule="auto"/>
        <w:jc w:val="both"/>
        <w:sectPr w:rsidR="0007147C" w:rsidRPr="00452E2E" w:rsidSect="00B57950">
          <w:pgSz w:w="11906" w:h="16838"/>
          <w:pgMar w:top="1440" w:right="1440" w:bottom="1440" w:left="2268" w:header="708" w:footer="708" w:gutter="0"/>
          <w:cols w:space="708"/>
          <w:docGrid w:linePitch="360"/>
        </w:sectPr>
      </w:pPr>
      <w:r w:rsidRPr="00452E2E">
        <w:t xml:space="preserve">In this chapter, </w:t>
      </w:r>
      <w:r w:rsidR="00AC4EB5" w:rsidRPr="00452E2E">
        <w:t>hypotheses were</w:t>
      </w:r>
      <w:r w:rsidRPr="00452E2E">
        <w:t xml:space="preserve"> formulate</w:t>
      </w:r>
      <w:r w:rsidR="00AC4EB5" w:rsidRPr="00452E2E">
        <w:t>d</w:t>
      </w:r>
      <w:r w:rsidRPr="00452E2E">
        <w:t xml:space="preserve"> on the effects of HR practices on employee attitudes. In addition, and in contrast to previous studies, context-</w:t>
      </w:r>
      <w:r w:rsidRPr="00452E2E">
        <w:lastRenderedPageBreak/>
        <w:t xml:space="preserve">specific hypotheses were formulated to suggest differences in the effects of HR practices on employee attitudes in public and private sector based on institutional theory and the findings </w:t>
      </w:r>
      <w:r w:rsidR="00800349" w:rsidRPr="00452E2E">
        <w:t>from</w:t>
      </w:r>
      <w:r w:rsidRPr="00452E2E">
        <w:t xml:space="preserve"> </w:t>
      </w:r>
      <w:r w:rsidRPr="00452E2E">
        <w:rPr>
          <w:i/>
        </w:rPr>
        <w:t>study 1</w:t>
      </w:r>
      <w:r w:rsidRPr="00452E2E">
        <w:t xml:space="preserve"> reported in the previous chapter. These hypotheses </w:t>
      </w:r>
      <w:r w:rsidR="00DA6AA7" w:rsidRPr="00452E2E">
        <w:t>will</w:t>
      </w:r>
      <w:r w:rsidRPr="00452E2E">
        <w:t xml:space="preserve"> be tested in the next chapter based on data collected from public and priv</w:t>
      </w:r>
      <w:r w:rsidR="0007147C" w:rsidRPr="00452E2E">
        <w:t>ate sector employees in Nigeria</w:t>
      </w:r>
      <w:r w:rsidR="004D2595" w:rsidRPr="00452E2E">
        <w:t>.</w:t>
      </w:r>
    </w:p>
    <w:p w:rsidR="00BF7225" w:rsidRPr="00452E2E" w:rsidRDefault="00BF7225" w:rsidP="00D03A8E">
      <w:pPr>
        <w:spacing w:line="360" w:lineRule="auto"/>
        <w:jc w:val="both"/>
      </w:pPr>
    </w:p>
    <w:p w:rsidR="00D03A8E" w:rsidRPr="00452E2E" w:rsidRDefault="00D03A8E" w:rsidP="00D03A8E">
      <w:pPr>
        <w:pStyle w:val="Heading1"/>
        <w:numPr>
          <w:ilvl w:val="0"/>
          <w:numId w:val="0"/>
        </w:numPr>
      </w:pPr>
      <w:bookmarkStart w:id="158" w:name="_Toc473808180"/>
      <w:r w:rsidRPr="00452E2E">
        <w:t>CHAPTER SEVEN</w:t>
      </w:r>
      <w:bookmarkEnd w:id="158"/>
    </w:p>
    <w:p w:rsidR="00D03A8E" w:rsidRPr="00452E2E" w:rsidRDefault="00D03A8E" w:rsidP="00D03A8E">
      <w:pPr>
        <w:pStyle w:val="Heading2"/>
      </w:pPr>
      <w:bookmarkStart w:id="159" w:name="_Toc473808181"/>
      <w:r w:rsidRPr="00452E2E">
        <w:t>DATA ANALYSIS AND FINDINGS FROM STUDY 2</w:t>
      </w:r>
      <w:bookmarkEnd w:id="159"/>
    </w:p>
    <w:p w:rsidR="00D03A8E" w:rsidRPr="00452E2E" w:rsidRDefault="00D03A8E" w:rsidP="00D03A8E">
      <w:pPr>
        <w:spacing w:line="360" w:lineRule="auto"/>
        <w:jc w:val="both"/>
        <w:rPr>
          <w:b/>
        </w:rPr>
      </w:pPr>
    </w:p>
    <w:p w:rsidR="00D03A8E" w:rsidRPr="00452E2E" w:rsidRDefault="00D03A8E" w:rsidP="00170224">
      <w:pPr>
        <w:pStyle w:val="Heading3"/>
      </w:pPr>
      <w:bookmarkStart w:id="160" w:name="_Toc473808182"/>
      <w:r w:rsidRPr="00452E2E">
        <w:t>7.1 Introduction</w:t>
      </w:r>
      <w:bookmarkEnd w:id="160"/>
    </w:p>
    <w:p w:rsidR="00D03A8E" w:rsidRPr="00452E2E" w:rsidRDefault="00D03A8E" w:rsidP="00D03A8E">
      <w:pPr>
        <w:spacing w:line="360" w:lineRule="auto"/>
        <w:jc w:val="both"/>
      </w:pPr>
      <w:r w:rsidRPr="00452E2E">
        <w:t xml:space="preserve">This chapter deals with data analysis and findings from study 2 of this research. The chapter is focused on analysing data collected from public and private sector employees. Hypotheses for study 2 that were presented in the previous chapter are tested in order to achieve the third objective of the research which is to examine the effects of HR practices on employee attitudes in </w:t>
      </w:r>
      <w:r w:rsidR="00175F24" w:rsidRPr="00452E2E">
        <w:t xml:space="preserve">the </w:t>
      </w:r>
      <w:r w:rsidRPr="00452E2E">
        <w:t xml:space="preserve">public and private sector in Nigeria. The chapter begins with a description of the response rate </w:t>
      </w:r>
      <w:r w:rsidR="0065169E" w:rsidRPr="00452E2E">
        <w:t xml:space="preserve">and </w:t>
      </w:r>
      <w:r w:rsidRPr="00452E2E">
        <w:t>the method for handling missing data after which the characteristics of the sample are outlined. This is followed by analysis of data by providing basic descriptive statistics as well as establishing validity and reliability of the constructs in the study. Thereafter, hypotheses are tested whilst a summary of the resul</w:t>
      </w:r>
      <w:r w:rsidR="001611AE" w:rsidRPr="00452E2E">
        <w:t>ts of the hypotheses is presented</w:t>
      </w:r>
      <w:r w:rsidRPr="00452E2E">
        <w:t xml:space="preserve">. </w:t>
      </w:r>
    </w:p>
    <w:p w:rsidR="00D03A8E" w:rsidRPr="00452E2E" w:rsidRDefault="00D03A8E" w:rsidP="00170224">
      <w:pPr>
        <w:pStyle w:val="Heading3"/>
      </w:pPr>
      <w:bookmarkStart w:id="161" w:name="_Toc473808183"/>
      <w:r w:rsidRPr="00452E2E">
        <w:t>7.2 Response Rate and Dealing with Missing Data</w:t>
      </w:r>
      <w:bookmarkEnd w:id="161"/>
    </w:p>
    <w:p w:rsidR="00D03A8E" w:rsidRPr="00452E2E" w:rsidRDefault="00D03A8E" w:rsidP="00D03A8E">
      <w:pPr>
        <w:spacing w:line="360" w:lineRule="auto"/>
        <w:jc w:val="both"/>
      </w:pPr>
      <w:r w:rsidRPr="00452E2E">
        <w:t xml:space="preserve">A total of 1000 questionnaires were administered to employees in </w:t>
      </w:r>
      <w:r w:rsidR="004957CF" w:rsidRPr="00452E2E">
        <w:t xml:space="preserve">13 </w:t>
      </w:r>
      <w:r w:rsidRPr="00452E2E">
        <w:t xml:space="preserve">public and private sector banks and hospitals in Nigeria. Out of this number, 539 questionnaires were returned, yielding a response rate of 53.9%. However, due to the presence of missing data, which is common in survey research </w:t>
      </w:r>
      <w:r w:rsidRPr="00452E2E">
        <w:fldChar w:fldCharType="begin" w:fldLock="1"/>
      </w:r>
      <w:r w:rsidRPr="00452E2E">
        <w:instrText>ADDIN CSL_CITATION { "citationItems" : [ { "id" : "ITEM-1", "itemData" : { "DOI" : "10.1016/j.pmrj.2015.07.011", "ISBN" : "1934-1482", "ISSN" : "19341482", "PMID" : "17347570", "abstract" : "What is done with missing data? Does the missingness mechanism matter? Is it a good idea to just use the default options in the major statistical packages? Even some highly trained statisticians do this, so can the non-statistician analysing their own data cope with some of the better techniques for handling missing data? This paper shows how the mean and standard deviation are affected by different methods of imputation, given different missingness mechanisms. Better options than the standard default options are available in the major statistical software, offering the chance to 'do the right thing' to the statistical and non-statistical community alike", "author" : [ { "dropping-particle" : "", "family" : "Scheffer", "given" : "J", "non-dropping-particle" : "", "parse-names" : false, "suffix" : "" } ], "container-title" : "Research Letters in the Information and Mathematical Sciences", "id" : "ITEM-1", "issued" : { "date-parts" : [ [ "2002" ] ] }, "page" : "153-160", "title" : "Dealing with missing data", "type" : "article-journal", "volume" : "3" }, "uris" : [ "http://www.mendeley.com/documents/?uuid=d09e394f-f02e-4b54-a483-2e3b4f0cd69f" ] } ], "mendeley" : { "formattedCitation" : "(Scheffer 2002)", "manualFormatting" : "(Scheffer, 2002)", "plainTextFormattedCitation" : "(Scheffer 2002)", "previouslyFormattedCitation" : "(Scheffer 2002)" }, "properties" : { "noteIndex" : 0 }, "schema" : "https://github.com/citation-style-language/schema/raw/master/csl-citation.json" }</w:instrText>
      </w:r>
      <w:r w:rsidRPr="00452E2E">
        <w:fldChar w:fldCharType="separate"/>
      </w:r>
      <w:r w:rsidRPr="00452E2E">
        <w:rPr>
          <w:noProof/>
        </w:rPr>
        <w:t>(Scheffer, 2002)</w:t>
      </w:r>
      <w:r w:rsidRPr="00452E2E">
        <w:fldChar w:fldCharType="end"/>
      </w:r>
      <w:r w:rsidRPr="00452E2E">
        <w:t xml:space="preserve">, 18 questionnaires with missing data were discarded thereby giving a sample size of 521 at 52.1% response rate. This method of completely eliminating missing cases was considered appropriate since a careful analysis of the missing data suggested that the data was missing at random </w:t>
      </w:r>
      <w:r w:rsidRPr="00452E2E">
        <w:fldChar w:fldCharType="begin" w:fldLock="1"/>
      </w:r>
      <w:r w:rsidRPr="00452E2E">
        <w:instrText>ADDIN CSL_CITATION { "citationItems" : [ { "id" : "ITEM-1", "itemData" : { "DOI" : "10.1146/annurev.psych.58.110405.085530", "ISBN" : "0066-4308 (Print) 0066-4308 (Linking)", "ISSN" : "0066-4308", "PMID" : "18652544", "abstract" : "This review presents a practical summary of the missing data literature, including a sketch of missing data theory and descriptions of normal-model multiple imputation (MI) and maximum likelihood methods. Practical missing data analysis issues are discussed, most notably the inclusion of auxiliary variables for improving power and reducing bias. Solutions are given for missing data challenges such as handling longitudinal, categorical, and clustered data with normal-model MI; including interactions in the missing data model; and handling large numbers of variables. The discussion of attrition and nonignorable missingness emphasizes the need for longitudinal diagnostics and for reducing the uncertainty about the missing data mechanism under attrition. Strategies suggested for reducing attrition bias include using auxiliary variables, collecting follow-up data on a sample of those initially missing, and collecting data on intent to drop out. Suggestions are given for moving forward with research on missing data and attrition.", "author" : [ { "dropping-particle" : "", "family" : "Graham", "given" : "JW", "non-dropping-particle" : "", "parse-names" : false, "suffix" : "" } ], "container-title" : "Annual Review of Psychology", "id" : "ITEM-1", "issued" : { "date-parts" : [ [ "2009" ] ] }, "page" : "549-576", "title" : "Missing data analysis: making it work in the real world", "type" : "article-journal", "volume" : "60" }, "uris" : [ "http://www.mendeley.com/documents/?uuid=bb534647-f816-4875-80ac-624ea974a6cc" ] } ], "mendeley" : { "formattedCitation" : "(Graham 2009)", "manualFormatting" : "(Graham, 2009)", "plainTextFormattedCitation" : "(Graham 2009)", "previouslyFormattedCitation" : "(Graham 2009)" }, "properties" : { "noteIndex" : 0 }, "schema" : "https://github.com/citation-style-language/schema/raw/master/csl-citation.json" }</w:instrText>
      </w:r>
      <w:r w:rsidRPr="00452E2E">
        <w:fldChar w:fldCharType="separate"/>
      </w:r>
      <w:r w:rsidRPr="00452E2E">
        <w:rPr>
          <w:noProof/>
        </w:rPr>
        <w:t>(Graham, 2009)</w:t>
      </w:r>
      <w:r w:rsidRPr="00452E2E">
        <w:fldChar w:fldCharType="end"/>
      </w:r>
      <w:r w:rsidRPr="00452E2E">
        <w:t xml:space="preserve">. Indeed, the cases with missing data cut across the sub-segments of the sample, namely industry and sector that are considered the most important background variables in this research. Although this method resulted in a reduction of the sample size, this was considered inconsequential since the sample size is large and the number of cases with missing data were small (less than 5%) relative to the sample size </w:t>
      </w:r>
      <w:r w:rsidRPr="00452E2E">
        <w:fldChar w:fldCharType="begin" w:fldLock="1"/>
      </w:r>
      <w:r w:rsidRPr="00452E2E">
        <w:instrText>ADDIN CSL_CITATION { "citationItems" : [ { "id" : "ITEM-1", "itemData" : { "DOI" : "10.1146/annurev.psych.58.110405.085530", "ISBN" : "0066-4308 (Print) 0066-4308 (Linking)", "ISSN" : "0066-4308", "PMID" : "18652544", "abstract" : "This review presents a practical summary of the missing data literature, including a sketch of missing data theory and descriptions of normal-model multiple imputation (MI) and maximum likelihood methods. Practical missing data analysis issues are discussed, most notably the inclusion of auxiliary variables for improving power and reducing bias. Solutions are given for missing data challenges such as handling longitudinal, categorical, and clustered data with normal-model MI; including interactions in the missing data model; and handling large numbers of variables. The discussion of attrition and nonignorable missingness emphasizes the need for longitudinal diagnostics and for reducing the uncertainty about the missing data mechanism under attrition. Strategies suggested for reducing attrition bias include using auxiliary variables, collecting follow-up data on a sample of those initially missing, and collecting data on intent to drop out. Suggestions are given for moving forward with research on missing data and attrition.", "author" : [ { "dropping-particle" : "", "family" : "Graham", "given" : "JW", "non-dropping-particle" : "", "parse-names" : false, "suffix" : "" } ], "container-title" : "Annual Review of Psychology", "id" : "ITEM-1", "issued" : { "date-parts" : [ [ "2009" ] ] }, "page" : "549-576", "title" : "Missing data analysis: making it work in the real world", "type" : "article-journal", "volume" : "60" }, "uris" : [ "http://www.mendeley.com/documents/?uuid=bb534647-f816-4875-80ac-624ea974a6cc" ] } ], "mendeley" : { "formattedCitation" : "(Graham 2009)", "manualFormatting" : "(Graham, 2009)", "plainTextFormattedCitation" : "(Graham 2009)", "previouslyFormattedCitation" : "(Graham 2009)" }, "properties" : { "noteIndex" : 0 }, "schema" : "https://github.com/citation-style-language/schema/raw/master/csl-citation.json" }</w:instrText>
      </w:r>
      <w:r w:rsidRPr="00452E2E">
        <w:fldChar w:fldCharType="separate"/>
      </w:r>
      <w:r w:rsidRPr="00452E2E">
        <w:rPr>
          <w:noProof/>
        </w:rPr>
        <w:t>(Graham, 2009)</w:t>
      </w:r>
      <w:r w:rsidRPr="00452E2E">
        <w:fldChar w:fldCharType="end"/>
      </w:r>
      <w:r w:rsidRPr="00452E2E">
        <w:t xml:space="preserve">. In addition, this method of handling random missing data produces unbiased parameter estimates in statistical data analysis </w:t>
      </w:r>
      <w:r w:rsidRPr="00452E2E">
        <w:lastRenderedPageBreak/>
        <w:t xml:space="preserve">whilst also preventing the loss of statistical power associated with missing data </w:t>
      </w:r>
      <w:r w:rsidRPr="00452E2E">
        <w:fldChar w:fldCharType="begin" w:fldLock="1"/>
      </w:r>
      <w:r w:rsidRPr="00452E2E">
        <w:instrText>ADDIN CSL_CITATION { "citationItems" : [ { "id" : "ITEM-1", "itemData" : { "DOI" : "10.1146/annurev.psych.58.110405.085530", "ISBN" : "0066-4308 (Print) 0066-4308 (Linking)", "ISSN" : "0066-4308", "PMID" : "18652544", "abstract" : "This review presents a practical summary of the missing data literature, including a sketch of missing data theory and descriptions of normal-model multiple imputation (MI) and maximum likelihood methods. Practical missing data analysis issues are discussed, most notably the inclusion of auxiliary variables for improving power and reducing bias. Solutions are given for missing data challenges such as handling longitudinal, categorical, and clustered data with normal-model MI; including interactions in the missing data model; and handling large numbers of variables. The discussion of attrition and nonignorable missingness emphasizes the need for longitudinal diagnostics and for reducing the uncertainty about the missing data mechanism under attrition. Strategies suggested for reducing attrition bias include using auxiliary variables, collecting follow-up data on a sample of those initially missing, and collecting data on intent to drop out. Suggestions are given for moving forward with research on missing data and attrition.", "author" : [ { "dropping-particle" : "", "family" : "Graham", "given" : "JW", "non-dropping-particle" : "", "parse-names" : false, "suffix" : "" } ], "container-title" : "Annual Review of Psychology", "id" : "ITEM-1", "issued" : { "date-parts" : [ [ "2009" ] ] }, "page" : "549-576", "title" : "Missing data analysis: making it work in the real world", "type" : "article-journal", "volume" : "60" }, "uris" : [ "http://www.mendeley.com/documents/?uuid=bb534647-f816-4875-80ac-624ea974a6cc" ] }, { "id" : "ITEM-2", "itemData" : { "abstract" : "This tech report p resents the basic concepts and methods used to deal with missing data. After explaining the missing data mechanisms and the patterns of missingness, the main conventional methodologies are reviewed , including L istwise deletion, I mputation methods, Mu ltipl e Im putation, M aximum L ikelihood and B ayesian methods. A dvantages and limitations are specified so that the reader is able to identify the mai n trade - offs when using each method. The report also summarizes how to carry out Multiple Imputation and Maximum Likelihood using SAS and STATA", "author" : [ { "dropping-particle" : "", "family" : "Soley-Bori", "given" : "Marina", "non-dropping-particle" : "", "parse-names" : false, "suffix" : "" } ], "container-title" : "PM931 Directed Study in Health Policy and Management", "id" : "ITEM-2", "issue" : "4", "issued" : { "date-parts" : [ [ "2013" ] ] }, "number-of-pages" : "1-20", "publisher-place" : "Boston", "title" : "Dealing with missing data: key assumptions and methods for applied analysis", "type" : "report" }, "uris" : [ "http://www.mendeley.com/documents/?uuid=ca0433ff-2906-4a67-bd0f-c14615f19f17" ] } ], "mendeley" : { "formattedCitation" : "(Graham 2009; Soley-Bori 2013)", "manualFormatting" : "(Graham, 2009; Soley-Bori, 2013)", "plainTextFormattedCitation" : "(Graham 2009; Soley-Bori 2013)", "previouslyFormattedCitation" : "(Graham 2009; Soley-Bori 2013)" }, "properties" : { "noteIndex" : 0 }, "schema" : "https://github.com/citation-style-language/schema/raw/master/csl-citation.json" }</w:instrText>
      </w:r>
      <w:r w:rsidRPr="00452E2E">
        <w:fldChar w:fldCharType="separate"/>
      </w:r>
      <w:r w:rsidRPr="00452E2E">
        <w:rPr>
          <w:noProof/>
        </w:rPr>
        <w:t>(Graham, 2009; Soley-Bori, 2013)</w:t>
      </w:r>
      <w:r w:rsidRPr="00452E2E">
        <w:fldChar w:fldCharType="end"/>
      </w:r>
      <w:r w:rsidRPr="00452E2E">
        <w:t>. Thus, the statistical data analysis throughout this study is based on a sample size of 521 complete responses.</w:t>
      </w:r>
    </w:p>
    <w:p w:rsidR="00D03A8E" w:rsidRPr="00452E2E" w:rsidRDefault="00D03A8E" w:rsidP="00170224">
      <w:pPr>
        <w:pStyle w:val="Heading3"/>
      </w:pPr>
      <w:bookmarkStart w:id="162" w:name="_Toc473808184"/>
      <w:r w:rsidRPr="00452E2E">
        <w:t>7.3 Characteristics of the Sample</w:t>
      </w:r>
      <w:bookmarkEnd w:id="162"/>
    </w:p>
    <w:p w:rsidR="00D03A8E" w:rsidRPr="00452E2E" w:rsidRDefault="00D03A8E" w:rsidP="000D0BBB">
      <w:pPr>
        <w:spacing w:line="360" w:lineRule="auto"/>
        <w:jc w:val="both"/>
      </w:pPr>
      <w:r w:rsidRPr="00452E2E">
        <w:t>The characteristics of the sample which is presented in table 7.1</w:t>
      </w:r>
      <w:r w:rsidR="00D80BC0" w:rsidRPr="00452E2E">
        <w:t xml:space="preserve"> overleaf </w:t>
      </w:r>
      <w:r w:rsidRPr="00452E2E">
        <w:t>indicates that out of a sample of 521 participants, 59.3% were male whilst the remaining 40.7% were female. In terms of age, majority of the respondents (51.1%) were within the age bracket of 30-39 years. The table also shows that 4.8% were Senior School Certificate (SSCE) holder</w:t>
      </w:r>
      <w:r w:rsidR="004918CB" w:rsidRPr="00452E2E">
        <w:t>s, 25.9% had d</w:t>
      </w:r>
      <w:r w:rsidRPr="00452E2E">
        <w:t>iploma or equiva</w:t>
      </w:r>
      <w:r w:rsidR="004918CB" w:rsidRPr="00452E2E">
        <w:t>lent qualifications, 55.5% had degree or higher national d</w:t>
      </w:r>
      <w:r w:rsidRPr="00452E2E">
        <w:t>iploma certificates, whilst 13.8% ha</w:t>
      </w:r>
      <w:r w:rsidR="002D4984" w:rsidRPr="00452E2E">
        <w:t>d postgraduate or professional d</w:t>
      </w:r>
      <w:r w:rsidRPr="00452E2E">
        <w:t>egrees. In terms of organizational tenure, majority of the respondents (47.4%) had stayed with their organizations between 6-10 years only which reflects the level of job insecurity in Nigeria whilst majority (57.8%) had a monthly pay between N50, 001-N125, 000</w:t>
      </w:r>
      <w:r w:rsidRPr="00BE5AF1">
        <w:rPr>
          <w:rStyle w:val="FootnoteReference"/>
        </w:rPr>
        <w:footnoteReference w:id="12"/>
      </w:r>
      <w:r w:rsidRPr="00452E2E">
        <w:t>. As regards the job category of the respondents, 32.1% belonged to banking operations job category, 19.2% in marketing, 32.8% were clinical staff whilst 15.9% worked in hospital administration. Finally, 51.2% and 48.8% worked in banks and hospitals respectively whilst the private sector and public sector h</w:t>
      </w:r>
      <w:r w:rsidR="000D0BBB" w:rsidRPr="00452E2E">
        <w:t>ad 48.0% and 52.0% respectively.</w:t>
      </w:r>
    </w:p>
    <w:p w:rsidR="00D03A8E" w:rsidRPr="00452E2E" w:rsidRDefault="00D03A8E"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5490A" w:rsidRPr="00452E2E" w:rsidRDefault="00D5490A" w:rsidP="00D03A8E">
      <w:pPr>
        <w:jc w:val="both"/>
        <w:rPr>
          <w:b/>
          <w:sz w:val="18"/>
          <w:szCs w:val="18"/>
        </w:rPr>
      </w:pPr>
    </w:p>
    <w:p w:rsidR="00D03A8E" w:rsidRPr="00452E2E" w:rsidRDefault="00D03A8E" w:rsidP="00D03A8E">
      <w:pPr>
        <w:pStyle w:val="Caption"/>
        <w:rPr>
          <w:b w:val="0"/>
        </w:rPr>
      </w:pPr>
      <w:bookmarkStart w:id="163" w:name="_Toc465419860"/>
      <w:r w:rsidRPr="00452E2E">
        <w:t>Table 7.</w:t>
      </w:r>
      <w:r w:rsidR="00B26571">
        <w:fldChar w:fldCharType="begin"/>
      </w:r>
      <w:r w:rsidR="00B26571">
        <w:instrText xml:space="preserve"> SEQ Table \* ARABIC \s 1 </w:instrText>
      </w:r>
      <w:r w:rsidR="00B26571">
        <w:fldChar w:fldCharType="separate"/>
      </w:r>
      <w:r w:rsidR="00AE2756" w:rsidRPr="00452E2E">
        <w:rPr>
          <w:noProof/>
        </w:rPr>
        <w:t>1</w:t>
      </w:r>
      <w:r w:rsidR="00B26571">
        <w:rPr>
          <w:noProof/>
        </w:rPr>
        <w:fldChar w:fldCharType="end"/>
      </w:r>
      <w:r w:rsidRPr="00452E2E">
        <w:t>: Characteristic of the Sample</w:t>
      </w:r>
      <w:bookmarkEnd w:id="163"/>
    </w:p>
    <w:tbl>
      <w:tblPr>
        <w:tblStyle w:val="TableGrid"/>
        <w:tblW w:w="0" w:type="auto"/>
        <w:tblLook w:val="04A0" w:firstRow="1" w:lastRow="0" w:firstColumn="1" w:lastColumn="0" w:noHBand="0" w:noVBand="1"/>
      </w:tblPr>
      <w:tblGrid>
        <w:gridCol w:w="4508"/>
        <w:gridCol w:w="2717"/>
      </w:tblGrid>
      <w:tr w:rsidR="00452E2E" w:rsidRPr="00452E2E" w:rsidTr="00B57950">
        <w:tc>
          <w:tcPr>
            <w:tcW w:w="4508" w:type="dxa"/>
            <w:tcBorders>
              <w:top w:val="single" w:sz="12" w:space="0" w:color="auto"/>
              <w:left w:val="single" w:sz="4" w:space="0" w:color="FFFFFF" w:themeColor="background1"/>
              <w:bottom w:val="single" w:sz="4" w:space="0" w:color="auto"/>
              <w:right w:val="single" w:sz="4" w:space="0" w:color="FFFFFF" w:themeColor="background1"/>
            </w:tcBorders>
          </w:tcPr>
          <w:p w:rsidR="00D03A8E" w:rsidRPr="00452E2E" w:rsidRDefault="00D03A8E" w:rsidP="00B57950">
            <w:pPr>
              <w:jc w:val="both"/>
              <w:rPr>
                <w:b/>
                <w:sz w:val="18"/>
                <w:szCs w:val="18"/>
              </w:rPr>
            </w:pPr>
            <w:r w:rsidRPr="00452E2E">
              <w:rPr>
                <w:b/>
                <w:sz w:val="18"/>
                <w:szCs w:val="18"/>
              </w:rPr>
              <w:t>Variables</w:t>
            </w:r>
          </w:p>
        </w:tc>
        <w:tc>
          <w:tcPr>
            <w:tcW w:w="2717" w:type="dxa"/>
            <w:tcBorders>
              <w:top w:val="single" w:sz="12" w:space="0" w:color="auto"/>
              <w:left w:val="single" w:sz="4" w:space="0" w:color="FFFFFF" w:themeColor="background1"/>
              <w:bottom w:val="single" w:sz="4" w:space="0" w:color="auto"/>
              <w:right w:val="single" w:sz="4" w:space="0" w:color="FFFFFF" w:themeColor="background1"/>
            </w:tcBorders>
          </w:tcPr>
          <w:p w:rsidR="00D03A8E" w:rsidRPr="00452E2E" w:rsidRDefault="00D03A8E" w:rsidP="00B57950">
            <w:pPr>
              <w:jc w:val="both"/>
              <w:rPr>
                <w:b/>
                <w:sz w:val="18"/>
                <w:szCs w:val="18"/>
              </w:rPr>
            </w:pPr>
            <w:r w:rsidRPr="00452E2E">
              <w:rPr>
                <w:b/>
                <w:sz w:val="18"/>
                <w:szCs w:val="18"/>
              </w:rPr>
              <w:t>Frequency (%)</w:t>
            </w:r>
          </w:p>
        </w:tc>
      </w:tr>
      <w:tr w:rsidR="00452E2E" w:rsidRPr="00452E2E" w:rsidTr="00B57950">
        <w:tc>
          <w:tcPr>
            <w:tcW w:w="4508"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Sex</w:t>
            </w:r>
          </w:p>
        </w:tc>
        <w:tc>
          <w:tcPr>
            <w:tcW w:w="271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b/>
                <w:sz w:val="18"/>
                <w:szCs w:val="18"/>
              </w:rPr>
            </w:pP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Male</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309 (59.3%)</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Female</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212 (40.7%)</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Age</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18-29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134 (25.7%)</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30-39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266 (51.1%)</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40-49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111 (21.3%)</w:t>
            </w:r>
          </w:p>
        </w:tc>
      </w:tr>
      <w:tr w:rsidR="00452E2E" w:rsidRPr="00452E2E" w:rsidTr="00B57950">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50-59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10 (1.9%)</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Education</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SSCE</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25 (4.8%)</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Diploma or Equivalent</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135 (25.9%)</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Degree/HND</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289 (55.5%)</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Postgraduate or Professional Degree</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72 (13.8%)</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Tenure</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0-5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124 (23.8%)</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6-10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247 (47.4%)</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11-15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94 (18.0%)</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16-20 years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38 (7.3%)</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20 years &amp; Above</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18 (3.5%)</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Pay (per month)</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Less or up to N50,000</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143 (27.4%)</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N50,001- N125,000</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301 (57.8%)</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N125,001- N200,000</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62 (11.9%)</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Above N200,000</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15 (2.9%)</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Job Category</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Banking Operations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167 (32.1%)</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Marketing</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100 (19.2%)</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Clinical Staff</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171 (32.8%)</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Hospital Administration</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83 (15.9%)</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Industry</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Banks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267 (51.2%)</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Hospitals</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254 (48.8%)</w:t>
            </w: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b/>
                <w:i/>
                <w:sz w:val="18"/>
                <w:szCs w:val="18"/>
              </w:rPr>
            </w:pPr>
            <w:r w:rsidRPr="00452E2E">
              <w:rPr>
                <w:b/>
                <w:i/>
                <w:sz w:val="18"/>
                <w:szCs w:val="18"/>
              </w:rPr>
              <w:t>Sector</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p>
        </w:tc>
      </w:tr>
      <w:tr w:rsidR="00452E2E" w:rsidRPr="00452E2E" w:rsidTr="00B57950">
        <w:tc>
          <w:tcPr>
            <w:tcW w:w="4508"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D03A8E" w:rsidRPr="00452E2E" w:rsidRDefault="00D03A8E" w:rsidP="00B57950">
            <w:pPr>
              <w:jc w:val="both"/>
              <w:rPr>
                <w:sz w:val="18"/>
                <w:szCs w:val="18"/>
              </w:rPr>
            </w:pPr>
            <w:r w:rsidRPr="00452E2E">
              <w:rPr>
                <w:sz w:val="18"/>
                <w:szCs w:val="18"/>
              </w:rPr>
              <w:t>Private Sector</w:t>
            </w:r>
          </w:p>
        </w:tc>
        <w:tc>
          <w:tcPr>
            <w:tcW w:w="2717"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rsidR="00D03A8E" w:rsidRPr="00452E2E" w:rsidRDefault="00D03A8E" w:rsidP="00B57950">
            <w:pPr>
              <w:jc w:val="both"/>
              <w:rPr>
                <w:sz w:val="18"/>
                <w:szCs w:val="18"/>
              </w:rPr>
            </w:pPr>
            <w:r w:rsidRPr="00452E2E">
              <w:rPr>
                <w:sz w:val="18"/>
                <w:szCs w:val="18"/>
              </w:rPr>
              <w:t>250 (48.0%)</w:t>
            </w:r>
          </w:p>
        </w:tc>
      </w:tr>
      <w:tr w:rsidR="00452E2E" w:rsidRPr="00452E2E" w:rsidTr="00B57950">
        <w:tc>
          <w:tcPr>
            <w:tcW w:w="4508" w:type="dxa"/>
            <w:tcBorders>
              <w:top w:val="single" w:sz="4" w:space="0" w:color="FFFFFF" w:themeColor="background1"/>
              <w:left w:val="single" w:sz="4" w:space="0" w:color="FFFFFF"/>
              <w:bottom w:val="single" w:sz="12" w:space="0" w:color="auto"/>
              <w:right w:val="single" w:sz="4" w:space="0" w:color="FFFFFF" w:themeColor="background1"/>
            </w:tcBorders>
          </w:tcPr>
          <w:p w:rsidR="00D03A8E" w:rsidRPr="00452E2E" w:rsidRDefault="00D03A8E" w:rsidP="00B57950">
            <w:pPr>
              <w:jc w:val="both"/>
              <w:rPr>
                <w:sz w:val="18"/>
                <w:szCs w:val="18"/>
              </w:rPr>
            </w:pPr>
            <w:r w:rsidRPr="00452E2E">
              <w:rPr>
                <w:sz w:val="18"/>
                <w:szCs w:val="18"/>
              </w:rPr>
              <w:t>Public Sector</w:t>
            </w:r>
          </w:p>
        </w:tc>
        <w:tc>
          <w:tcPr>
            <w:tcW w:w="2717" w:type="dxa"/>
            <w:tcBorders>
              <w:top w:val="single" w:sz="4" w:space="0" w:color="FFFFFF" w:themeColor="background1"/>
              <w:left w:val="single" w:sz="4" w:space="0" w:color="FFFFFF" w:themeColor="background1"/>
              <w:bottom w:val="single" w:sz="12" w:space="0" w:color="auto"/>
              <w:right w:val="single" w:sz="4" w:space="0" w:color="FFFFFF"/>
            </w:tcBorders>
          </w:tcPr>
          <w:p w:rsidR="00D03A8E" w:rsidRPr="00452E2E" w:rsidRDefault="00D03A8E" w:rsidP="00B57950">
            <w:pPr>
              <w:jc w:val="both"/>
              <w:rPr>
                <w:sz w:val="18"/>
                <w:szCs w:val="18"/>
              </w:rPr>
            </w:pPr>
            <w:r w:rsidRPr="00452E2E">
              <w:rPr>
                <w:sz w:val="18"/>
                <w:szCs w:val="18"/>
              </w:rPr>
              <w:t>271 (52.0%)</w:t>
            </w:r>
          </w:p>
        </w:tc>
      </w:tr>
    </w:tbl>
    <w:p w:rsidR="00D03A8E" w:rsidRPr="00452E2E" w:rsidRDefault="00D03A8E" w:rsidP="00D03A8E">
      <w:pPr>
        <w:jc w:val="both"/>
        <w:rPr>
          <w:sz w:val="18"/>
          <w:szCs w:val="18"/>
        </w:rPr>
      </w:pPr>
      <w:r w:rsidRPr="00452E2E">
        <w:rPr>
          <w:sz w:val="18"/>
          <w:szCs w:val="18"/>
        </w:rPr>
        <w:t>N= 521</w:t>
      </w:r>
    </w:p>
    <w:p w:rsidR="00D03A8E" w:rsidRPr="00452E2E" w:rsidRDefault="00D03A8E" w:rsidP="00D03A8E">
      <w:pPr>
        <w:jc w:val="both"/>
        <w:rPr>
          <w:b/>
        </w:rPr>
      </w:pPr>
    </w:p>
    <w:p w:rsidR="00D03A8E" w:rsidRPr="00452E2E" w:rsidRDefault="00D03A8E" w:rsidP="00170224">
      <w:pPr>
        <w:pStyle w:val="Heading3"/>
      </w:pPr>
      <w:bookmarkStart w:id="164" w:name="_Toc473808185"/>
      <w:r w:rsidRPr="00452E2E">
        <w:t>7.4 Data Analysis</w:t>
      </w:r>
      <w:bookmarkEnd w:id="164"/>
    </w:p>
    <w:p w:rsidR="00D03A8E" w:rsidRPr="00452E2E" w:rsidRDefault="00D03A8E" w:rsidP="00D03A8E">
      <w:pPr>
        <w:spacing w:line="360" w:lineRule="auto"/>
        <w:jc w:val="both"/>
        <w:rPr>
          <w:szCs w:val="24"/>
        </w:rPr>
      </w:pPr>
      <w:r w:rsidRPr="00452E2E">
        <w:rPr>
          <w:szCs w:val="24"/>
        </w:rPr>
        <w:t xml:space="preserve">Data analysis for this research was done using SPSS version 22, SPSS AMOS version 22 and PROCESS macro. Where a particular data analysis programme was used other </w:t>
      </w:r>
      <w:r w:rsidR="00734A0A" w:rsidRPr="00452E2E">
        <w:rPr>
          <w:szCs w:val="24"/>
        </w:rPr>
        <w:t xml:space="preserve">than </w:t>
      </w:r>
      <w:r w:rsidRPr="00452E2E">
        <w:rPr>
          <w:szCs w:val="24"/>
        </w:rPr>
        <w:t>SPSS version 22, this is stated in the course of data reporting. As a first step, the analysis of measures used in the study was done to establish construct validity and reliability of measures. This was followed by an analysis of means, standard deviations and inter-construct correlations. Results of these analyses are reported in the subsequent se</w:t>
      </w:r>
      <w:r w:rsidR="00366DE1" w:rsidRPr="00452E2E">
        <w:rPr>
          <w:szCs w:val="24"/>
        </w:rPr>
        <w:t xml:space="preserve">ctions. </w:t>
      </w:r>
    </w:p>
    <w:p w:rsidR="00D03A8E" w:rsidRPr="00452E2E" w:rsidRDefault="00D03A8E" w:rsidP="00D03A8E">
      <w:pPr>
        <w:pStyle w:val="Heading4"/>
      </w:pPr>
      <w:bookmarkStart w:id="165" w:name="_Toc473808186"/>
      <w:r w:rsidRPr="00452E2E">
        <w:lastRenderedPageBreak/>
        <w:t>7.4.1 Test of Validity</w:t>
      </w:r>
      <w:bookmarkEnd w:id="165"/>
      <w:r w:rsidRPr="00452E2E">
        <w:t xml:space="preserve"> </w:t>
      </w:r>
    </w:p>
    <w:p w:rsidR="00D03A8E" w:rsidRPr="00452E2E" w:rsidRDefault="00D03A8E" w:rsidP="00D03A8E">
      <w:pPr>
        <w:spacing w:line="360" w:lineRule="auto"/>
        <w:jc w:val="both"/>
        <w:rPr>
          <w:szCs w:val="24"/>
        </w:rPr>
      </w:pPr>
      <w:r w:rsidRPr="00452E2E">
        <w:rPr>
          <w:szCs w:val="24"/>
        </w:rPr>
        <w:t xml:space="preserve">Validity is one of the main criteria for assessing quantitative research </w:t>
      </w:r>
      <w:r w:rsidRPr="00452E2E">
        <w:rPr>
          <w:szCs w:val="24"/>
        </w:rPr>
        <w:fldChar w:fldCharType="begin" w:fldLock="1"/>
      </w:r>
      <w:r w:rsidRPr="00452E2E">
        <w:rPr>
          <w:szCs w:val="24"/>
        </w:rPr>
        <w:instrText>ADDIN CSL_CITATION { "citationItems" : [ { "id" : "ITEM-1", "itemData" : { "author" : [ { "dropping-particle" : "", "family" : "Bryman", "given" : "A", "non-dropping-particle" : "", "parse-names" : false, "suffix" : "" }, { "dropping-particle" : "", "family" : "Bell", "given" : "E", "non-dropping-particle" : "", "parse-names" : false, "suffix" : "" } ], "edition" : "3rd", "id" : "ITEM-1", "issued" : { "date-parts" : [ [ "2011" ] ] }, "publisher" : "Oxford University Press", "publisher-place" : "Oxford", "title" : "Business research methods", "type" : "book" }, "uris" : [ "http://www.mendeley.com/documents/?uuid=4cae4e90-dc5a-4453-b76d-3ba238dca132" ] } ], "mendeley" : { "formattedCitation" : "(Bryman &amp; Bell 2011)", "manualFormatting" : "(Bryman &amp; Bell, 2011)", "plainTextFormattedCitation" : "(Bryman &amp; Bell 2011)", "previouslyFormattedCitation" : "(Bryman &amp; Bell 2011)" }, "properties" : { "noteIndex" : 0 }, "schema" : "https://github.com/citation-style-language/schema/raw/master/csl-citation.json" }</w:instrText>
      </w:r>
      <w:r w:rsidRPr="00452E2E">
        <w:rPr>
          <w:szCs w:val="24"/>
        </w:rPr>
        <w:fldChar w:fldCharType="separate"/>
      </w:r>
      <w:r w:rsidRPr="00452E2E">
        <w:rPr>
          <w:noProof/>
          <w:szCs w:val="24"/>
        </w:rPr>
        <w:t>(Bryman &amp; Bell, 2011)</w:t>
      </w:r>
      <w:r w:rsidRPr="00452E2E">
        <w:rPr>
          <w:szCs w:val="24"/>
        </w:rPr>
        <w:fldChar w:fldCharType="end"/>
      </w:r>
      <w:r w:rsidRPr="00452E2E">
        <w:rPr>
          <w:szCs w:val="24"/>
        </w:rPr>
        <w:t xml:space="preserve">. It is described as the degree of accuracy of a scale and whether it actually measured what it was intended to measure </w:t>
      </w:r>
      <w:r w:rsidRPr="00452E2E">
        <w:rPr>
          <w:szCs w:val="24"/>
        </w:rPr>
        <w:fldChar w:fldCharType="begin" w:fldLock="1"/>
      </w:r>
      <w:r w:rsidRPr="00452E2E">
        <w:rPr>
          <w:szCs w:val="24"/>
        </w:rPr>
        <w:instrText>ADDIN CSL_CITATION { "citationItems" : [ { "id" : "ITEM-1",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"ITEM-1", "issued" : { "date-parts" : [ [ "2010" ] ] }, "publisher" : "Pearson", "publisher-place" : "London", "title" : "Multivariate data analysis: a global perspective", "type" : "book" }, "uris" : [ "http://www.mendeley.com/documents/?uuid=1715b08d-462d-474d-b3d4-d4d380d30d6e" ] }, { "id" : "ITEM-2", "itemData" : { "author" : [ { "dropping-particle" : "", "family" : "Bryman", "given" : "A", "non-dropping-particle" : "", "parse-names" : false, "suffix" : "" }, { "dropping-particle" : "", "family" : "Bell", "given" : "E", "non-dropping-particle" : "", "parse-names" : false, "suffix" : "" } ], "edition" : "3rd", "id" : "ITEM-2", "issued" : { "date-parts" : [ [ "2011" ] ] }, "publisher" : "Oxford University Press", "publisher-place" : "Oxford", "title" : "Business research methods", "type" : "book" }, "uris" : [ "http://www.mendeley.com/documents/?uuid=4cae4e90-dc5a-4453-b76d-3ba238dca132" ] } ], "mendeley" : { "formattedCitation" : "(Hair et al. 2010; Bryman &amp; Bell 2011)", "manualFormatting" : "(Bryman &amp; Bell, 2011)", "plainTextFormattedCitation" : "(Hair et al. 2010; Bryman &amp; Bell 2011)", "previouslyFormattedCitation" : "(Hair et al. 2010; Bryman &amp; Bell 2011)" }, "properties" : { "noteIndex" : 0 }, "schema" : "https://github.com/citation-style-language/schema/raw/master/csl-citation.json" }</w:instrText>
      </w:r>
      <w:r w:rsidRPr="00452E2E">
        <w:rPr>
          <w:szCs w:val="24"/>
        </w:rPr>
        <w:fldChar w:fldCharType="separate"/>
      </w:r>
      <w:r w:rsidRPr="00452E2E">
        <w:rPr>
          <w:noProof/>
          <w:szCs w:val="24"/>
        </w:rPr>
        <w:t>(Bryman &amp; Bell, 2011)</w:t>
      </w:r>
      <w:r w:rsidRPr="00452E2E">
        <w:rPr>
          <w:szCs w:val="24"/>
        </w:rPr>
        <w:fldChar w:fldCharType="end"/>
      </w:r>
      <w:r w:rsidRPr="00452E2E">
        <w:rPr>
          <w:szCs w:val="24"/>
        </w:rPr>
        <w:t xml:space="preserve">. The common type of validity usually assessed in quantitative research is construct validity which seeks to determine if the scales used for measuring a theoretical construct are accurate measures of such a construct </w:t>
      </w:r>
      <w:r w:rsidRPr="00452E2E">
        <w:rPr>
          <w:szCs w:val="24"/>
        </w:rPr>
        <w:fldChar w:fldCharType="begin" w:fldLock="1"/>
      </w:r>
      <w:r w:rsidRPr="00452E2E">
        <w:rPr>
          <w:szCs w:val="24"/>
        </w:rPr>
        <w:instrText>ADDIN CSL_CITATION { "citationItems" : [ { "id" : "ITEM-1", "itemData" : { "author" : [ { "dropping-particle" : "", "family" : "Dawson", "given" : "Jeremy", "non-dropping-particle" : "", "parse-names" : false, "suffix" : "" } ], "id" : "ITEM-1", "issued" : { "date-parts" : [ [ "2016" ] ] }, "publisher" : "SAGE", "publisher-place" : "London", "title" : "Analysing quantitative survey data for business and management students", "type" : "book" }, "uris" : [ "http://www.mendeley.com/documents/?uuid=3997b67d-6377-402f-89ef-9ec0e010082b" ] } ], "mendeley" : { "formattedCitation" : "(Dawson 2016)", "manualFormatting" : "(Dawson, 2016)", "plainTextFormattedCitation" : "(Dawson 2016)", "previouslyFormattedCitation" : "(Dawson 2016)" }, "properties" : { "noteIndex" : 0 }, "schema" : "https://github.com/citation-style-language/schema/raw/master/csl-citation.json" }</w:instrText>
      </w:r>
      <w:r w:rsidRPr="00452E2E">
        <w:rPr>
          <w:szCs w:val="24"/>
        </w:rPr>
        <w:fldChar w:fldCharType="separate"/>
      </w:r>
      <w:r w:rsidRPr="00452E2E">
        <w:rPr>
          <w:noProof/>
          <w:szCs w:val="24"/>
        </w:rPr>
        <w:t>(Dawson, 2016)</w:t>
      </w:r>
      <w:r w:rsidRPr="00452E2E">
        <w:rPr>
          <w:szCs w:val="24"/>
        </w:rPr>
        <w:fldChar w:fldCharType="end"/>
      </w:r>
      <w:r w:rsidRPr="00452E2E">
        <w:rPr>
          <w:szCs w:val="24"/>
        </w:rPr>
        <w:t xml:space="preserve">. If the scales designed for measuring a theoretical construct are invalid, it means that the scales were measuring a different thing and not what the researcher intended to study. Construct validity can be tested statistically using a method known as factor analysis. The objective of a factor analysis is to test for construct validity of scales by finding out whether the items measuring a particular construct are related to each other whilst at the same time distinct from other constructs </w:t>
      </w:r>
      <w:r w:rsidRPr="00452E2E">
        <w:rPr>
          <w:szCs w:val="24"/>
        </w:rPr>
        <w:fldChar w:fldCharType="begin" w:fldLock="1"/>
      </w:r>
      <w:r w:rsidRPr="00452E2E">
        <w:rPr>
          <w:szCs w:val="24"/>
        </w:rPr>
        <w:instrText>ADDIN CSL_CITATION { "citationItems" : [ { "id" : "ITEM-1", "itemData" : { "author" : [ { "dropping-particle" : "", "family" : "Dawson", "given" : "Jeremy", "non-dropping-particle" : "", "parse-names" : false, "suffix" : "" } ], "id" : "ITEM-1", "issued" : { "date-parts" : [ [ "2016" ] ] }, "publisher" : "SAGE", "publisher-place" : "London", "title" : "Analysing quantitative survey data for business and management students", "type" : "book" }, "uris" : [ "http://www.mendeley.com/documents/?uuid=3997b67d-6377-402f-89ef-9ec0e010082b" ] } ], "mendeley" : { "formattedCitation" : "(Dawson 2016)", "manualFormatting" : "(Dawson, 2016)", "plainTextFormattedCitation" : "(Dawson 2016)", "previouslyFormattedCitation" : "(Dawson 2016)" }, "properties" : { "noteIndex" : 0 }, "schema" : "https://github.com/citation-style-language/schema/raw/master/csl-citation.json" }</w:instrText>
      </w:r>
      <w:r w:rsidRPr="00452E2E">
        <w:rPr>
          <w:szCs w:val="24"/>
        </w:rPr>
        <w:fldChar w:fldCharType="separate"/>
      </w:r>
      <w:r w:rsidRPr="00452E2E">
        <w:rPr>
          <w:noProof/>
          <w:szCs w:val="24"/>
        </w:rPr>
        <w:t>(Dawson, 2016)</w:t>
      </w:r>
      <w:r w:rsidRPr="00452E2E">
        <w:rPr>
          <w:szCs w:val="24"/>
        </w:rPr>
        <w:fldChar w:fldCharType="end"/>
      </w:r>
      <w:r w:rsidRPr="00452E2E">
        <w:rPr>
          <w:szCs w:val="24"/>
        </w:rPr>
        <w:t xml:space="preserve">. When the items measuring a theoretical construct correlate with each other, convergent validity is established </w:t>
      </w:r>
      <w:r w:rsidRPr="00452E2E">
        <w:rPr>
          <w:szCs w:val="24"/>
        </w:rPr>
        <w:fldChar w:fldCharType="begin" w:fldLock="1"/>
      </w:r>
      <w:r w:rsidRPr="00452E2E">
        <w:rPr>
          <w:szCs w:val="24"/>
        </w:rPr>
        <w:instrText>ADDIN CSL_CITATION { "citationItems" : [ { "id" : "ITEM-1",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"ITEM-1", "issued" : { "date-parts" : [ [ "2010" ] ] }, "publisher" : "Pearson", "publisher-place" : "London", "title" : "Multivariate data analysis: a global perspective", "type" : "book" }, "uris" : [ "http://www.mendeley.com/documents/?uuid=1715b08d-462d-474d-b3d4-d4d380d30d6e" ] } ], "mendeley" : { "formattedCitation" : "(Hair et al. 2010)", "manualFormatting" : "(Hair et al., 2010)", "plainTextFormattedCitation" : "(Hair et al. 2010)", "previouslyFormattedCitation" : "(Hair et al. 2010)" }, "properties" : { "noteIndex" : 0 }, "schema" : "https://github.com/citation-style-language/schema/raw/master/csl-citation.json" }</w:instrText>
      </w:r>
      <w:r w:rsidRPr="00452E2E">
        <w:rPr>
          <w:szCs w:val="24"/>
        </w:rPr>
        <w:fldChar w:fldCharType="separate"/>
      </w:r>
      <w:r w:rsidRPr="00452E2E">
        <w:rPr>
          <w:noProof/>
          <w:szCs w:val="24"/>
        </w:rPr>
        <w:t xml:space="preserve">(Hair </w:t>
      </w:r>
      <w:r w:rsidRPr="00452E2E">
        <w:rPr>
          <w:i/>
          <w:noProof/>
          <w:szCs w:val="24"/>
        </w:rPr>
        <w:t>et al</w:t>
      </w:r>
      <w:r w:rsidRPr="00452E2E">
        <w:rPr>
          <w:noProof/>
          <w:szCs w:val="24"/>
        </w:rPr>
        <w:t>., 2010)</w:t>
      </w:r>
      <w:r w:rsidRPr="00452E2E">
        <w:rPr>
          <w:szCs w:val="24"/>
        </w:rPr>
        <w:fldChar w:fldCharType="end"/>
      </w:r>
      <w:r w:rsidRPr="00452E2E">
        <w:rPr>
          <w:szCs w:val="24"/>
        </w:rPr>
        <w:t xml:space="preserve">. On the other hand, if the measures of a theoretical construct are dissimilar to measures of other constructs, discriminant validity is established </w:t>
      </w:r>
      <w:r w:rsidRPr="00452E2E">
        <w:rPr>
          <w:szCs w:val="24"/>
        </w:rPr>
        <w:fldChar w:fldCharType="begin" w:fldLock="1"/>
      </w:r>
      <w:r w:rsidRPr="00452E2E">
        <w:rPr>
          <w:szCs w:val="24"/>
        </w:rPr>
        <w:instrText>ADDIN CSL_CITATION { "citationItems" : [ { "id" : "ITEM-1",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"ITEM-1", "issued" : { "date-parts" : [ [ "2010" ] ] }, "publisher" : "Pearson", "publisher-place" : "London", "title" : "Multivariate data analysis: a global perspective", "type" : "book" }, "uris" : [ "http://www.mendeley.com/documents/?uuid=1715b08d-462d-474d-b3d4-d4d380d30d6e" ] } ], "mendeley" : { "formattedCitation" : "(Hair et al. 2010)", "manualFormatting" : "(Hair et al., 2010)", "plainTextFormattedCitation" : "(Hair et al. 2010)", "previouslyFormattedCitation" : "(Hair et al. 2010)" }, "properties" : { "noteIndex" : 0 }, "schema" : "https://github.com/citation-style-language/schema/raw/master/csl-citation.json" }</w:instrText>
      </w:r>
      <w:r w:rsidRPr="00452E2E">
        <w:rPr>
          <w:szCs w:val="24"/>
        </w:rPr>
        <w:fldChar w:fldCharType="separate"/>
      </w:r>
      <w:r w:rsidRPr="00452E2E">
        <w:rPr>
          <w:noProof/>
          <w:szCs w:val="24"/>
        </w:rPr>
        <w:t xml:space="preserve">(Hair </w:t>
      </w:r>
      <w:r w:rsidRPr="00452E2E">
        <w:rPr>
          <w:i/>
          <w:noProof/>
          <w:szCs w:val="24"/>
        </w:rPr>
        <w:t>et al</w:t>
      </w:r>
      <w:r w:rsidRPr="00452E2E">
        <w:rPr>
          <w:noProof/>
          <w:szCs w:val="24"/>
        </w:rPr>
        <w:t>., 2010)</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There are two methods of factor analysis known as exploratory factor analysis (EFA) and confirmatory factor analysis (CFA). Although both EFA and CFA are tests of construct validity, these methods are used under different circumstances and it is advisable not to perform both EFA and CFA on the same data </w:t>
      </w:r>
      <w:r w:rsidRPr="00452E2E">
        <w:rPr>
          <w:szCs w:val="24"/>
        </w:rPr>
        <w:fldChar w:fldCharType="begin" w:fldLock="1"/>
      </w:r>
      <w:r w:rsidRPr="00452E2E">
        <w:rPr>
          <w:szCs w:val="24"/>
        </w:rPr>
        <w:instrText>ADDIN CSL_CITATION { "citationItems" : [ { "id" : "ITEM-1", "itemData" : { "author" : [ { "dropping-particle" : "", "family" : "Dawson", "given" : "Jeremy", "non-dropping-particle" : "", "parse-names" : false, "suffix" : "" } ], "id" : "ITEM-1", "issued" : { "date-parts" : [ [ "2016" ] ] }, "publisher" : "SAGE", "publisher-place" : "London", "title" : "Analysing quantitative survey data for business and management students", "type" : "book" }, "uris" : [ "http://www.mendeley.com/documents/?uuid=3997b67d-6377-402f-89ef-9ec0e010082b" ] } ], "mendeley" : { "formattedCitation" : "(Dawson 2016)", "manualFormatting" : "(Dawson, 2016)", "plainTextFormattedCitation" : "(Dawson 2016)", "previouslyFormattedCitation" : "(Dawson 2016)" }, "properties" : { "noteIndex" : 0 }, "schema" : "https://github.com/citation-style-language/schema/raw/master/csl-citation.json" }</w:instrText>
      </w:r>
      <w:r w:rsidRPr="00452E2E">
        <w:rPr>
          <w:szCs w:val="24"/>
        </w:rPr>
        <w:fldChar w:fldCharType="separate"/>
      </w:r>
      <w:r w:rsidRPr="00452E2E">
        <w:rPr>
          <w:noProof/>
          <w:szCs w:val="24"/>
        </w:rPr>
        <w:t>(Dawson, 2016)</w:t>
      </w:r>
      <w:r w:rsidRPr="00452E2E">
        <w:rPr>
          <w:szCs w:val="24"/>
        </w:rPr>
        <w:fldChar w:fldCharType="end"/>
      </w:r>
      <w:r w:rsidRPr="00452E2E">
        <w:rPr>
          <w:szCs w:val="24"/>
        </w:rPr>
        <w:t xml:space="preserve">. Specifically, EFA is used when the researcher is unsure about the unidimensionality of the construct and is often used when new measures are developed. On the other hand, when already established scales that are developed based on a priori theory are used in research, albeit in a different context, it is necessary to perform CFA to establish the validity of such scales </w:t>
      </w:r>
      <w:r w:rsidRPr="00452E2E">
        <w:rPr>
          <w:szCs w:val="24"/>
        </w:rPr>
        <w:fldChar w:fldCharType="begin" w:fldLock="1"/>
      </w:r>
      <w:r w:rsidRPr="00452E2E">
        <w:rPr>
          <w:szCs w:val="24"/>
        </w:rPr>
        <w:instrText>ADDIN CSL_CITATION { "citationItems" : [ { "id" : "ITEM-1", "itemData" : { "author" : [ { "dropping-particle" : "", "family" : "Dawson", "given" : "Jeremy", "non-dropping-particle" : "", "parse-names" : false, "suffix" : "" } ], "id" : "ITEM-1", "issued" : { "date-parts" : [ [ "2016" ] ] }, "publisher" : "SAGE", "publisher-place" : "London", "title" : "Analysing quantitative survey data for business and management students", "type" : "book" }, "uris" : [ "http://www.mendeley.com/documents/?uuid=3997b67d-6377-402f-89ef-9ec0e010082b" ] } ], "mendeley" : { "formattedCitation" : "(Dawson 2016)", "manualFormatting" : "(Dawson, 2016)", "plainTextFormattedCitation" : "(Dawson 2016)", "previouslyFormattedCitation" : "(Dawson 2016)" }, "properties" : { "noteIndex" : 0 }, "schema" : "https://github.com/citation-style-language/schema/raw/master/csl-citation.json" }</w:instrText>
      </w:r>
      <w:r w:rsidRPr="00452E2E">
        <w:rPr>
          <w:szCs w:val="24"/>
        </w:rPr>
        <w:fldChar w:fldCharType="separate"/>
      </w:r>
      <w:r w:rsidRPr="00452E2E">
        <w:rPr>
          <w:noProof/>
          <w:szCs w:val="24"/>
        </w:rPr>
        <w:t>(Dawson, 2016)</w:t>
      </w:r>
      <w:r w:rsidRPr="00452E2E">
        <w:rPr>
          <w:szCs w:val="24"/>
        </w:rPr>
        <w:fldChar w:fldCharType="end"/>
      </w:r>
      <w:r w:rsidR="007257AA" w:rsidRPr="00BE5AF1">
        <w:rPr>
          <w:rStyle w:val="FootnoteReference"/>
        </w:rPr>
        <w:footnoteReference w:id="13"/>
      </w:r>
      <w:r w:rsidRPr="00452E2E">
        <w:rPr>
          <w:szCs w:val="24"/>
        </w:rPr>
        <w:t>. In this research, since already validated scales with high reliability were used in another context, CFA was the obvious choice for testing construct validity</w:t>
      </w:r>
      <w:r w:rsidR="007257AA" w:rsidRPr="00452E2E">
        <w:rPr>
          <w:szCs w:val="24"/>
        </w:rPr>
        <w:t>.</w:t>
      </w:r>
      <w:r w:rsidRPr="00452E2E">
        <w:rPr>
          <w:szCs w:val="24"/>
        </w:rPr>
        <w:t xml:space="preserve"> </w:t>
      </w:r>
    </w:p>
    <w:p w:rsidR="003E6D0E" w:rsidRPr="00452E2E" w:rsidRDefault="00D03A8E" w:rsidP="00D03A8E">
      <w:pPr>
        <w:spacing w:before="240" w:line="360" w:lineRule="auto"/>
        <w:jc w:val="both"/>
        <w:rPr>
          <w:szCs w:val="24"/>
        </w:rPr>
      </w:pPr>
      <w:r w:rsidRPr="00452E2E">
        <w:rPr>
          <w:szCs w:val="24"/>
        </w:rPr>
        <w:lastRenderedPageBreak/>
        <w:t>The first step in establishing construct validity via CFA was to connect all the items measuring the constructs in this study in a pattern matrix in order to see how the items measuring individual constructs fit together and how each construct relates to other constructs in the study. This was done using SPSS AMOS version 22 which is designed specifically for conducting CFA. The diagram showing the pattern matrix with factor loadings and inter-item correlations is presented in figure 7.1</w:t>
      </w:r>
      <w:r w:rsidR="00D80BC0" w:rsidRPr="00452E2E">
        <w:rPr>
          <w:szCs w:val="24"/>
        </w:rPr>
        <w:t xml:space="preserve"> overleaf</w:t>
      </w:r>
      <w:r w:rsidRPr="00452E2E">
        <w:rPr>
          <w:szCs w:val="24"/>
        </w:rPr>
        <w:t xml:space="preserve">. Thereafter, the model fit indices were estimated in order to establish the goodness of fit between the data and the constructs in the study. Results of the fit indices are presented in table 7.2 </w:t>
      </w:r>
      <w:r w:rsidR="007E2FE7" w:rsidRPr="00452E2E">
        <w:rPr>
          <w:szCs w:val="24"/>
        </w:rPr>
        <w:t>below</w:t>
      </w:r>
      <w:r w:rsidRPr="00452E2E">
        <w:rPr>
          <w:szCs w:val="24"/>
        </w:rPr>
        <w:t>. Apart from reporting Chi-square [</w:t>
      </w:r>
      <w:r w:rsidRPr="00452E2E">
        <w:rPr>
          <w:bCs/>
          <w:i/>
          <w:iCs/>
          <w:szCs w:val="24"/>
          <w:shd w:val="clear" w:color="auto" w:fill="FFFFFF"/>
        </w:rPr>
        <w:t>χ</w:t>
      </w:r>
      <w:r w:rsidRPr="00452E2E">
        <w:rPr>
          <w:rFonts w:cs="Arial"/>
          <w:bCs/>
          <w:szCs w:val="24"/>
          <w:shd w:val="clear" w:color="auto" w:fill="FFFFFF"/>
        </w:rPr>
        <w:t>²(df)] of the model</w:t>
      </w:r>
      <w:r w:rsidRPr="00452E2E">
        <w:rPr>
          <w:szCs w:val="24"/>
        </w:rPr>
        <w:t xml:space="preserve"> when assessing goodness of model fit, it is usually suggested that the Root Mean Square Error of Approximation (RMSEA) and Comparative Fit Index (CFI) should be reported as the most important fit indices </w:t>
      </w:r>
      <w:r w:rsidRPr="00452E2E">
        <w:rPr>
          <w:szCs w:val="24"/>
        </w:rPr>
        <w:fldChar w:fldCharType="begin" w:fldLock="1"/>
      </w:r>
      <w:r w:rsidRPr="00452E2E">
        <w:rPr>
          <w:szCs w:val="24"/>
        </w:rPr>
        <w:instrText>ADDIN CSL_CITATION { "citationItems" : [ { "id" : "ITEM-1", "itemData" : { "ISBN" : "9788483016794", "ISSN" : "14777029", "PMID" : "35188134", "abstract" : "The following paper presents current thinking and research on fit indices for structural equation modelling. The paper presents a selection of fit indices that are widely regarded as the most informative indices available to researchers. As well as outlining each of these indices, guidelines are presented on their use. The paper also provides reporting strategies of these indices and concludes with a discussion on the future of fit indices.", "author" : [ { "dropping-particle" : "", "family" : "Hooper", "given" : "Daire", "non-dropping-particle" : "", "parse-names" : false, "suffix" : "" }, { "dropping-particle" : "", "family" : "Coughlan", "given" : "Joseph", "non-dropping-particle" : "", "parse-names" : false, "suffix" : "" }, { "dropping-particle" : "", "family" : "Mullen", "given" : "Michael R.", "non-dropping-particle" : "", "parse-names" : false, "suffix" : "" } ], "container-title" : "Electronic Journal of Business Research Methods", "id" : "ITEM-1", "issue" : "1", "issued" : { "date-parts" : [ [ "2008" ] ] }, "page" : "53-60", "title" : "Structural equation modelling: guidelines for determining model fit", "type" : "article-journal", "volume" : "6" }, "uris" : [ "http://www.mendeley.com/documents/?uuid=8ac27b44-3c44-4311-8b61-3dc12fbe2a23" ] }, { "id" : "ITEM-2",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"ITEM-2", "issued" : { "date-parts" : [ [ "2010" ] ] }, "publisher" : "Pearson", "publisher-place" : "London", "title" : "Multivariate data analysis: a global perspective", "type" : "book" }, "uris" : [ "http://www.mendeley.com/documents/?uuid=1715b08d-462d-474d-b3d4-d4d380d30d6e" ] } ], "mendeley" : { "formattedCitation" : "(Hooper et al. 2008; Hair et al. 2010)", "manualFormatting" : "(Hooper et al., 2008; Hair et al., 2010)", "plainTextFormattedCitation" : "(Hooper et al. 2008; Hair et al. 2010)", "previouslyFormattedCitation" : "(Hooper et al. 2008; Hair et al. 2010)" }, "properties" : { "noteIndex" : 0 }, "schema" : "https://github.com/citation-style-language/schema/raw/master/csl-citation.json" }</w:instrText>
      </w:r>
      <w:r w:rsidRPr="00452E2E">
        <w:rPr>
          <w:szCs w:val="24"/>
        </w:rPr>
        <w:fldChar w:fldCharType="separate"/>
      </w:r>
      <w:r w:rsidRPr="00452E2E">
        <w:rPr>
          <w:noProof/>
          <w:szCs w:val="24"/>
        </w:rPr>
        <w:t xml:space="preserve">(Hooper </w:t>
      </w:r>
      <w:r w:rsidRPr="00452E2E">
        <w:rPr>
          <w:i/>
          <w:noProof/>
          <w:szCs w:val="24"/>
        </w:rPr>
        <w:t>et al</w:t>
      </w:r>
      <w:r w:rsidRPr="00452E2E">
        <w:rPr>
          <w:noProof/>
          <w:szCs w:val="24"/>
        </w:rPr>
        <w:t xml:space="preserve">., 2008; Hair </w:t>
      </w:r>
      <w:r w:rsidRPr="00452E2E">
        <w:rPr>
          <w:i/>
          <w:noProof/>
          <w:szCs w:val="24"/>
        </w:rPr>
        <w:t>et al</w:t>
      </w:r>
      <w:r w:rsidRPr="00452E2E">
        <w:rPr>
          <w:noProof/>
          <w:szCs w:val="24"/>
        </w:rPr>
        <w:t>., 2010)</w:t>
      </w:r>
      <w:r w:rsidRPr="00452E2E">
        <w:rPr>
          <w:szCs w:val="24"/>
        </w:rPr>
        <w:fldChar w:fldCharType="end"/>
      </w:r>
      <w:r w:rsidRPr="00452E2E">
        <w:rPr>
          <w:szCs w:val="24"/>
        </w:rPr>
        <w:t xml:space="preserve">. The threshold for a model fit is that RMSEA should be </w:t>
      </w:r>
      <w:r w:rsidR="002A7185" w:rsidRPr="00452E2E">
        <w:rPr>
          <w:szCs w:val="24"/>
        </w:rPr>
        <w:t xml:space="preserve">&lt; .06 </w:t>
      </w:r>
      <w:r w:rsidRPr="00452E2E">
        <w:rPr>
          <w:szCs w:val="24"/>
        </w:rPr>
        <w:t xml:space="preserve">whilst CFI should be </w:t>
      </w:r>
      <w:r w:rsidR="002A7185" w:rsidRPr="00452E2E">
        <w:rPr>
          <w:szCs w:val="24"/>
        </w:rPr>
        <w:t xml:space="preserve">&gt;.90 </w:t>
      </w:r>
      <w:r w:rsidRPr="00452E2E">
        <w:rPr>
          <w:szCs w:val="24"/>
        </w:rPr>
        <w:fldChar w:fldCharType="begin" w:fldLock="1"/>
      </w:r>
      <w:r w:rsidRPr="00452E2E">
        <w:rPr>
          <w:szCs w:val="24"/>
        </w:rPr>
        <w:instrText>ADDIN CSL_CITATION { "citationItems" : [ { "id" : "ITEM-1",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"ITEM-1", "issued" : { "date-parts" : [ [ "2010" ] ] }, "publisher" : "Pearson", "publisher-place" : "London", "title" : "Multivariate data analysis: a global perspective", "type" : "book" }, "uris" : [ "http://www.mendeley.com/documents/?uuid=1715b08d-462d-474d-b3d4-d4d380d30d6e" ] } ], "mendeley" : { "formattedCitation" : "(Hair et al. 2010)", "manualFormatting" : "(Hair et al., 2010)", "plainTextFormattedCitation" : "(Hair et al. 2010)", "previouslyFormattedCitation" : "(Hair et al. 2010)" }, "properties" : { "noteIndex" : 0 }, "schema" : "https://github.com/citation-style-language/schema/raw/master/csl-citation.json" }</w:instrText>
      </w:r>
      <w:r w:rsidRPr="00452E2E">
        <w:rPr>
          <w:szCs w:val="24"/>
        </w:rPr>
        <w:fldChar w:fldCharType="separate"/>
      </w:r>
      <w:r w:rsidRPr="00452E2E">
        <w:rPr>
          <w:noProof/>
          <w:szCs w:val="24"/>
        </w:rPr>
        <w:t xml:space="preserve">(Hair </w:t>
      </w:r>
      <w:r w:rsidRPr="00452E2E">
        <w:rPr>
          <w:i/>
          <w:noProof/>
          <w:szCs w:val="24"/>
        </w:rPr>
        <w:t>et al</w:t>
      </w:r>
      <w:r w:rsidRPr="00452E2E">
        <w:rPr>
          <w:noProof/>
          <w:szCs w:val="24"/>
        </w:rPr>
        <w:t>., 2010)</w:t>
      </w:r>
      <w:r w:rsidRPr="00452E2E">
        <w:rPr>
          <w:szCs w:val="24"/>
        </w:rPr>
        <w:fldChar w:fldCharType="end"/>
      </w:r>
      <w:r w:rsidRPr="00452E2E">
        <w:rPr>
          <w:szCs w:val="24"/>
        </w:rPr>
        <w:t xml:space="preserve">.  In this study, results of model fit indicate that </w:t>
      </w:r>
      <w:r w:rsidRPr="00452E2E">
        <w:rPr>
          <w:bCs/>
          <w:i/>
          <w:iCs/>
          <w:szCs w:val="24"/>
          <w:shd w:val="clear" w:color="auto" w:fill="FFFFFF"/>
        </w:rPr>
        <w:t>χ</w:t>
      </w:r>
      <w:r w:rsidRPr="00452E2E">
        <w:rPr>
          <w:rFonts w:cs="Arial"/>
          <w:bCs/>
          <w:szCs w:val="24"/>
          <w:shd w:val="clear" w:color="auto" w:fill="FFFFFF"/>
        </w:rPr>
        <w:t>²</w:t>
      </w:r>
      <w:r w:rsidRPr="00452E2E">
        <w:rPr>
          <w:szCs w:val="24"/>
        </w:rPr>
        <w:t xml:space="preserve">= 2779.80 (df =1897); RMSEA = .03; CFI = .95 which means the data fits the constructs in the study. </w:t>
      </w:r>
    </w:p>
    <w:p w:rsidR="00AA75A4" w:rsidRPr="00452E2E" w:rsidRDefault="00AA75A4" w:rsidP="00AA75A4">
      <w:pPr>
        <w:pStyle w:val="Caption"/>
        <w:rPr>
          <w:b w:val="0"/>
        </w:rPr>
      </w:pPr>
      <w:bookmarkStart w:id="166" w:name="_Toc465419861"/>
      <w:r w:rsidRPr="00452E2E">
        <w:t>Table 7.</w:t>
      </w:r>
      <w:r w:rsidR="00B26571">
        <w:fldChar w:fldCharType="begin"/>
      </w:r>
      <w:r w:rsidR="00B26571">
        <w:instrText xml:space="preserve"> SEQ Table \* ARABIC \s 1 </w:instrText>
      </w:r>
      <w:r w:rsidR="00B26571">
        <w:fldChar w:fldCharType="separate"/>
      </w:r>
      <w:r w:rsidR="00AE2756" w:rsidRPr="00452E2E">
        <w:rPr>
          <w:noProof/>
        </w:rPr>
        <w:t>2</w:t>
      </w:r>
      <w:r w:rsidR="00B26571">
        <w:rPr>
          <w:noProof/>
        </w:rPr>
        <w:fldChar w:fldCharType="end"/>
      </w:r>
      <w:r w:rsidRPr="00452E2E">
        <w:t>: Model Fit Indices</w:t>
      </w:r>
      <w:bookmarkEnd w:id="166"/>
    </w:p>
    <w:tbl>
      <w:tblPr>
        <w:tblStyle w:val="TableGrid"/>
        <w:tblW w:w="9067" w:type="dxa"/>
        <w:shd w:val="clear" w:color="auto" w:fill="FFFFFF" w:themeFill="background1"/>
        <w:tblLook w:val="04A0" w:firstRow="1" w:lastRow="0" w:firstColumn="1" w:lastColumn="0" w:noHBand="0" w:noVBand="1"/>
      </w:tblPr>
      <w:tblGrid>
        <w:gridCol w:w="4508"/>
        <w:gridCol w:w="4559"/>
      </w:tblGrid>
      <w:tr w:rsidR="00452E2E" w:rsidRPr="00452E2E" w:rsidTr="001D104C">
        <w:tc>
          <w:tcPr>
            <w:tcW w:w="4508"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b/>
                <w:sz w:val="18"/>
                <w:szCs w:val="18"/>
              </w:rPr>
            </w:pPr>
            <w:r w:rsidRPr="00452E2E">
              <w:rPr>
                <w:b/>
                <w:sz w:val="18"/>
                <w:szCs w:val="18"/>
              </w:rPr>
              <w:t>Measure</w:t>
            </w:r>
          </w:p>
        </w:tc>
        <w:tc>
          <w:tcPr>
            <w:tcW w:w="4559"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b/>
                <w:sz w:val="18"/>
                <w:szCs w:val="18"/>
              </w:rPr>
            </w:pPr>
            <w:r w:rsidRPr="00452E2E">
              <w:rPr>
                <w:b/>
                <w:sz w:val="18"/>
                <w:szCs w:val="18"/>
              </w:rPr>
              <w:t>Fit Index</w:t>
            </w:r>
          </w:p>
        </w:tc>
      </w:tr>
      <w:tr w:rsidR="00452E2E" w:rsidRPr="00452E2E" w:rsidTr="001D104C">
        <w:tc>
          <w:tcPr>
            <w:tcW w:w="450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bCs/>
                <w:i/>
                <w:iCs/>
                <w:sz w:val="18"/>
                <w:szCs w:val="18"/>
                <w:shd w:val="clear" w:color="auto" w:fill="FFFFFF"/>
              </w:rPr>
              <w:t>χ</w:t>
            </w:r>
            <w:r w:rsidRPr="00452E2E">
              <w:rPr>
                <w:rFonts w:cs="Arial"/>
                <w:bCs/>
                <w:sz w:val="18"/>
                <w:szCs w:val="18"/>
                <w:shd w:val="clear" w:color="auto" w:fill="FFFFFF"/>
              </w:rPr>
              <w:t>²(df)</w:t>
            </w:r>
          </w:p>
        </w:tc>
        <w:tc>
          <w:tcPr>
            <w:tcW w:w="455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2779.80 (1897)</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bCs/>
                <w:i/>
                <w:iCs/>
                <w:sz w:val="18"/>
                <w:szCs w:val="18"/>
                <w:shd w:val="clear" w:color="auto" w:fill="FFFFFF"/>
              </w:rPr>
              <w:t>χ</w:t>
            </w:r>
            <w:r w:rsidRPr="00452E2E">
              <w:rPr>
                <w:rFonts w:cs="Arial"/>
                <w:bCs/>
                <w:sz w:val="18"/>
                <w:szCs w:val="18"/>
                <w:shd w:val="clear" w:color="auto" w:fill="FFFFFF"/>
              </w:rPr>
              <w:t>²</w:t>
            </w:r>
            <w:r w:rsidRPr="00452E2E">
              <w:rPr>
                <w:sz w:val="18"/>
                <w:szCs w:val="18"/>
              </w:rPr>
              <w:t>/df</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1.46</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CFI</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.95</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GFI</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.86</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AGFI</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.85</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TLI</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.95</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NFI</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.87</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SRMR</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.04</w:t>
            </w:r>
          </w:p>
        </w:tc>
      </w:tr>
      <w:tr w:rsidR="00452E2E" w:rsidRPr="00452E2E" w:rsidTr="001D104C">
        <w:tc>
          <w:tcPr>
            <w:tcW w:w="45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RMSEA</w:t>
            </w:r>
          </w:p>
        </w:tc>
        <w:tc>
          <w:tcPr>
            <w:tcW w:w="4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.03</w:t>
            </w:r>
          </w:p>
        </w:tc>
      </w:tr>
      <w:tr w:rsidR="00452E2E" w:rsidRPr="00452E2E" w:rsidTr="001D104C">
        <w:tc>
          <w:tcPr>
            <w:tcW w:w="45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PCLOSE</w:t>
            </w:r>
          </w:p>
        </w:tc>
        <w:tc>
          <w:tcPr>
            <w:tcW w:w="455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1D104C">
            <w:pPr>
              <w:rPr>
                <w:sz w:val="18"/>
                <w:szCs w:val="18"/>
              </w:rPr>
            </w:pPr>
            <w:r w:rsidRPr="00452E2E">
              <w:rPr>
                <w:sz w:val="18"/>
                <w:szCs w:val="18"/>
              </w:rPr>
              <w:t>1.00</w:t>
            </w:r>
          </w:p>
        </w:tc>
      </w:tr>
    </w:tbl>
    <w:p w:rsidR="00AA75A4" w:rsidRPr="00452E2E" w:rsidRDefault="00AA75A4" w:rsidP="00AA75A4">
      <w:pPr>
        <w:rPr>
          <w:sz w:val="16"/>
          <w:szCs w:val="16"/>
        </w:rPr>
      </w:pPr>
      <w:r w:rsidRPr="00452E2E">
        <w:rPr>
          <w:sz w:val="16"/>
          <w:szCs w:val="16"/>
        </w:rPr>
        <w:t xml:space="preserve">CFI = Comparative Fit Index; GFI = Goodness of Fit Index; AGFI = Adjusted Goodness of Fit Index; TLI = Tucker-Lewis Index; NFI = Normed Fit Index; SRMR = Standardized Root Mean Square Residual; RMSEA = Root Mean Square Error of Approximation.                           </w:t>
      </w:r>
    </w:p>
    <w:p w:rsidR="00D03A8E" w:rsidRPr="00452E2E" w:rsidRDefault="00D03A8E" w:rsidP="00D03A8E">
      <w:pPr>
        <w:spacing w:line="360" w:lineRule="auto"/>
        <w:jc w:val="both"/>
        <w:rPr>
          <w:szCs w:val="24"/>
        </w:rPr>
      </w:pPr>
      <w:r w:rsidRPr="00452E2E">
        <w:rPr>
          <w:szCs w:val="24"/>
        </w:rPr>
        <w:t xml:space="preserve">Tests of two forms of construct validity- convergent and discriminant validity- were further conducted after model fit was established. In order to establish convergent validity, it is recommended that the average variance extracted (AVE) which is the average amount of variance in the observed variables that is explained by the latent construct should be ≥ .50 whilst for discriminant validity to be established, it is recommended that the square root of AVE for a construct </w:t>
      </w:r>
      <w:r w:rsidRPr="00452E2E">
        <w:rPr>
          <w:szCs w:val="24"/>
        </w:rPr>
        <w:lastRenderedPageBreak/>
        <w:t>should be higher than the correlation of that construct with other constructs</w:t>
      </w:r>
      <w:r w:rsidRPr="00BE5AF1">
        <w:rPr>
          <w:rStyle w:val="FootnoteReference"/>
        </w:rPr>
        <w:footnoteReference w:id="14"/>
      </w:r>
      <w:r w:rsidRPr="00452E2E">
        <w:rPr>
          <w:szCs w:val="24"/>
        </w:rPr>
        <w:t xml:space="preserve"> </w:t>
      </w:r>
      <w:r w:rsidRPr="00452E2E">
        <w:rPr>
          <w:szCs w:val="24"/>
        </w:rPr>
        <w:fldChar w:fldCharType="begin" w:fldLock="1"/>
      </w:r>
      <w:r w:rsidRPr="00452E2E">
        <w:rPr>
          <w:szCs w:val="24"/>
        </w:rPr>
        <w:instrText>ADDIN CSL_CITATION { "citationItems" : [ { "id" : "ITEM-1", "itemData" : { "author" : [ { "dropping-particle" : "", "family" : "Malhotra", "given" : "N.K", "non-dropping-particle" : "", "parse-names" : false, "suffix" : "" }, { "dropping-particle" : "", "family" : "Dash", "given" : "S", "non-dropping-particle" : "", "parse-names" : false, "suffix" : "" } ], "id" : "ITEM-1", "issued" : { "date-parts" : [ [ "2011" ] ] }, "publisher" : "Pearson", "publisher-place" : "London", "title" : "Marketing research: an applied orientation", "type" : "book" }, "uris" : [ "http://www.mendeley.com/documents/?uuid=1514d9e6-b9c5-4742-b4d4-35319ca9a4fb" ] }, { "id" : "ITEM-2", "itemData" : { "abstract" : "Discriminant validity-Chi square difference test", "author" : [ { "dropping-particle" : "", "family" : "Zait", "given" : "Adriana", "non-dropping-particle" : "", "parse-names" : false, "suffix" : "" }, { "dropping-particle" : "", "family" : "Bertea", "given" : "Patricia", "non-dropping-particle" : "", "parse-names" : false, "suffix" : "" } ], "container-title" : "Management and Marketing", "id" : "ITEM-2", "issue" : "2", "issued" : { "date-parts" : [ [ "2011" ] ] }, "page" : "218-224", "title" : "Methods for testing discriminant validity", "type" : "article-journal", "volume" : "9" }, "uris" : [ "http://www.mendeley.com/documents/?uuid=5a6c9ee0-7bae-49f7-a1f4-1dd54b717a4f" ] } ], "mendeley" : { "formattedCitation" : "(Malhotra &amp; Dash 2011; Zait &amp; Bertea 2011)", "manualFormatting" : "(Malhotra &amp; Dash, 2011; Zait &amp; Bertea, 2011)", "plainTextFormattedCitation" : "(Malhotra &amp; Dash 2011; Zait &amp; Bertea 2011)", "previouslyFormattedCitation" : "(Malhotra &amp; Dash 2011; Zait &amp; Bertea 2011)" }, "properties" : { "noteIndex" : 0 }, "schema" : "https://github.com/citation-style-language/schema/raw/master/csl-citation.json" }</w:instrText>
      </w:r>
      <w:r w:rsidRPr="00452E2E">
        <w:rPr>
          <w:szCs w:val="24"/>
        </w:rPr>
        <w:fldChar w:fldCharType="separate"/>
      </w:r>
      <w:r w:rsidRPr="00452E2E">
        <w:rPr>
          <w:noProof/>
          <w:szCs w:val="24"/>
        </w:rPr>
        <w:t>(Malhotra &amp; Dash, 2011; Zait &amp; Bertea, 2011)</w:t>
      </w:r>
      <w:r w:rsidRPr="00452E2E">
        <w:rPr>
          <w:szCs w:val="24"/>
        </w:rPr>
        <w:fldChar w:fldCharType="end"/>
      </w:r>
      <w:r w:rsidRPr="00452E2E">
        <w:rPr>
          <w:szCs w:val="24"/>
        </w:rPr>
        <w:t xml:space="preserve">. </w:t>
      </w:r>
      <w:r w:rsidR="00D80BC0" w:rsidRPr="00452E2E">
        <w:rPr>
          <w:szCs w:val="24"/>
        </w:rPr>
        <w:t>Results in table 7.3 suggest</w:t>
      </w:r>
      <w:r w:rsidRPr="00452E2E">
        <w:rPr>
          <w:szCs w:val="24"/>
        </w:rPr>
        <w:t xml:space="preserve"> that the AVE for each construct is ≥ .50 whilst the square root of AVE for each construct displayed on the diagonal is greater than the inter-construct correlations. This means that the measures used in this study are all valid measures of the constructs they were intended to measure. </w:t>
      </w:r>
    </w:p>
    <w:p w:rsidR="00D03A8E" w:rsidRPr="00452E2E" w:rsidRDefault="00AA75A4" w:rsidP="00D03A8E">
      <w:pPr>
        <w:spacing w:line="360" w:lineRule="auto"/>
        <w:jc w:val="both"/>
        <w:rPr>
          <w:szCs w:val="24"/>
        </w:rPr>
      </w:pPr>
      <w:r w:rsidRPr="00452E2E">
        <w:rPr>
          <w:noProof/>
          <w:lang w:eastAsia="en-GB"/>
        </w:rPr>
        <w:drawing>
          <wp:inline distT="0" distB="0" distL="0" distR="0" wp14:anchorId="24242493" wp14:editId="199BE5CF">
            <wp:extent cx="5200650" cy="5762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104" r="6047"/>
                    <a:stretch/>
                  </pic:blipFill>
                  <pic:spPr bwMode="auto">
                    <a:xfrm>
                      <a:off x="0" y="0"/>
                      <a:ext cx="5205730" cy="5768254"/>
                    </a:xfrm>
                    <a:prstGeom prst="rect">
                      <a:avLst/>
                    </a:prstGeom>
                    <a:ln>
                      <a:noFill/>
                    </a:ln>
                    <a:extLst>
                      <a:ext uri="{53640926-AAD7-44D8-BBD7-CCE9431645EC}">
                        <a14:shadowObscured xmlns:a14="http://schemas.microsoft.com/office/drawing/2010/main"/>
                      </a:ext>
                    </a:extLst>
                  </pic:spPr>
                </pic:pic>
              </a:graphicData>
            </a:graphic>
          </wp:inline>
        </w:drawing>
      </w:r>
    </w:p>
    <w:p w:rsidR="00D03A8E" w:rsidRPr="00452E2E" w:rsidRDefault="00AA75A4" w:rsidP="00D03A8E">
      <w:pPr>
        <w:pStyle w:val="Caption"/>
      </w:pPr>
      <w:bookmarkStart w:id="167" w:name="_Toc465382299"/>
      <w:r w:rsidRPr="00452E2E">
        <w:t>Figure 7</w:t>
      </w:r>
      <w:r w:rsidRPr="00452E2E">
        <w:noBreakHyphen/>
      </w:r>
      <w:r w:rsidR="00B26571">
        <w:fldChar w:fldCharType="begin"/>
      </w:r>
      <w:r w:rsidR="00B26571">
        <w:instrText xml:space="preserve"> SEQ Figure \* ARABIC \s 1 </w:instrText>
      </w:r>
      <w:r w:rsidR="00B26571">
        <w:fldChar w:fldCharType="separate"/>
      </w:r>
      <w:r w:rsidR="00AE2756" w:rsidRPr="00452E2E">
        <w:rPr>
          <w:noProof/>
        </w:rPr>
        <w:t>1</w:t>
      </w:r>
      <w:r w:rsidR="00B26571">
        <w:rPr>
          <w:noProof/>
        </w:rPr>
        <w:fldChar w:fldCharType="end"/>
      </w:r>
      <w:r w:rsidRPr="00452E2E">
        <w:t>: CFA Pattern Matrix</w:t>
      </w:r>
      <w:bookmarkEnd w:id="167"/>
    </w:p>
    <w:p w:rsidR="00D03A8E" w:rsidRPr="00452E2E" w:rsidRDefault="00D03A8E" w:rsidP="00D03A8E">
      <w:pPr>
        <w:rPr>
          <w:sz w:val="16"/>
          <w:szCs w:val="16"/>
        </w:rPr>
      </w:pPr>
      <w:r w:rsidRPr="00452E2E">
        <w:rPr>
          <w:sz w:val="16"/>
          <w:szCs w:val="16"/>
        </w:rPr>
        <w:t xml:space="preserve">                                                                                               </w:t>
      </w:r>
    </w:p>
    <w:p w:rsidR="00D03A8E" w:rsidRPr="00452E2E" w:rsidRDefault="00D03A8E" w:rsidP="00D03A8E">
      <w:pPr>
        <w:pStyle w:val="Heading4"/>
      </w:pPr>
      <w:bookmarkStart w:id="168" w:name="_Toc473808187"/>
      <w:r w:rsidRPr="00452E2E">
        <w:lastRenderedPageBreak/>
        <w:t>7.4.2 Reliabilities and Bivariate Correlations of Variables</w:t>
      </w:r>
      <w:bookmarkEnd w:id="168"/>
    </w:p>
    <w:p w:rsidR="00D03A8E" w:rsidRPr="00452E2E" w:rsidRDefault="00D03A8E" w:rsidP="00D03A8E">
      <w:pPr>
        <w:spacing w:line="360" w:lineRule="auto"/>
        <w:jc w:val="both"/>
        <w:rPr>
          <w:szCs w:val="24"/>
        </w:rPr>
      </w:pPr>
      <w:r w:rsidRPr="00452E2E">
        <w:rPr>
          <w:szCs w:val="24"/>
        </w:rPr>
        <w:t>After establishing construct validity for the measures used in the research, the next step was to establish reliability of the measures. This was followed by analysis of means, standard deviations and inter-construct correlations. Results in table 7.3</w:t>
      </w:r>
      <w:r w:rsidR="00173FA8" w:rsidRPr="00452E2E">
        <w:rPr>
          <w:szCs w:val="24"/>
        </w:rPr>
        <w:t xml:space="preserve"> overleaf</w:t>
      </w:r>
      <w:r w:rsidRPr="00452E2E">
        <w:rPr>
          <w:szCs w:val="24"/>
        </w:rPr>
        <w:t xml:space="preserve"> indicate that both the Cronbach’s alpha and composite reliabilities for the measures are greater than .80 which indicates that the measures are highly reliable measures for the constructs they were designed to measure </w:t>
      </w:r>
      <w:r w:rsidRPr="00452E2E">
        <w:rPr>
          <w:szCs w:val="24"/>
        </w:rPr>
        <w:fldChar w:fldCharType="begin" w:fldLock="1"/>
      </w:r>
      <w:r w:rsidRPr="00452E2E">
        <w:rPr>
          <w:szCs w:val="24"/>
        </w:rPr>
        <w:instrText>ADDIN CSL_CITATION { "citationItems" : [ { "id" : "ITEM-1",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"ITEM-1", "issued" : { "date-parts" : [ [ "2010" ] ] }, "publisher" : "Pearson", "publisher-place" : "London", "title" : "Multivariate data analysis: a global perspective", "type" : "book" }, "uris" : [ "http://www.mendeley.com/documents/?uuid=1715b08d-462d-474d-b3d4-d4d380d30d6e" ] }, { "id" : "ITEM-2", "itemData" : { "author" : [ { "dropping-particle" : "", "family" : "Dawson", "given" : "Jeremy", "non-dropping-particle" : "", "parse-names" : false, "suffix" : "" } ], "id" : "ITEM-2", "issued" : { "date-parts" : [ [ "2016" ] ] }, "publisher" : "SAGE", "publisher-place" : "London", "title" : "Analysing quantitative survey data for business and management students", "type" : "book" }, "uris" : [ "http://www.mendeley.com/documents/?uuid=3997b67d-6377-402f-89ef-9ec0e010082b" ] } ], "mendeley" : { "formattedCitation" : "(Hair et al. 2010; Dawson 2016)", "manualFormatting" : "(Hair et al., 2010; Dawson, 2016)", "plainTextFormattedCitation" : "(Hair et al. 2010; Dawson 2016)", "previouslyFormattedCitation" : "(Hair et al. 2010; Dawson 2016)" }, "properties" : { "noteIndex" : 0 }, "schema" : "https://github.com/citation-style-language/schema/raw/master/csl-citation.json" }</w:instrText>
      </w:r>
      <w:r w:rsidRPr="00452E2E">
        <w:rPr>
          <w:szCs w:val="24"/>
        </w:rPr>
        <w:fldChar w:fldCharType="separate"/>
      </w:r>
      <w:r w:rsidRPr="00452E2E">
        <w:rPr>
          <w:noProof/>
          <w:szCs w:val="24"/>
        </w:rPr>
        <w:t xml:space="preserve">(Hair </w:t>
      </w:r>
      <w:r w:rsidRPr="00452E2E">
        <w:rPr>
          <w:i/>
          <w:noProof/>
          <w:szCs w:val="24"/>
        </w:rPr>
        <w:t>et al</w:t>
      </w:r>
      <w:r w:rsidRPr="00452E2E">
        <w:rPr>
          <w:noProof/>
          <w:szCs w:val="24"/>
        </w:rPr>
        <w:t>., 2010; Dawson, 2016)</w:t>
      </w:r>
      <w:r w:rsidRPr="00452E2E">
        <w:rPr>
          <w:szCs w:val="24"/>
        </w:rPr>
        <w:fldChar w:fldCharType="end"/>
      </w:r>
      <w:r w:rsidRPr="00452E2E">
        <w:rPr>
          <w:szCs w:val="24"/>
        </w:rPr>
        <w:t xml:space="preserve">. Composite reliability is a measure of reliability before the scales are computed whilst Cronbach’s alpha is a measure of reliability after the scales are computed </w:t>
      </w:r>
      <w:r w:rsidRPr="00452E2E">
        <w:rPr>
          <w:szCs w:val="24"/>
        </w:rPr>
        <w:fldChar w:fldCharType="begin" w:fldLock="1"/>
      </w:r>
      <w:r w:rsidRPr="00452E2E">
        <w:rPr>
          <w:szCs w:val="24"/>
        </w:rPr>
        <w:instrText>ADDIN CSL_CITATION { "citationItems" : [ { "id" : "ITEM-1", "itemData" : { "author" : [ { "dropping-particle" : "", "family" : "Dawson", "given" : "Jeremy", "non-dropping-particle" : "", "parse-names" : false, "suffix" : "" } ], "id" : "ITEM-1", "issued" : { "date-parts" : [ [ "2016" ] ] }, "publisher" : "SAGE", "publisher-place" : "London", "title" : "Analysing quantitative survey data for business and management students", "type" : "book" }, "uris" : [ "http://www.mendeley.com/documents/?uuid=3997b67d-6377-402f-89ef-9ec0e010082b" ] } ], "mendeley" : { "formattedCitation" : "(Dawson 2016)", "manualFormatting" : "(Dawson, 2016)", "plainTextFormattedCitation" : "(Dawson 2016)", "previouslyFormattedCitation" : "(Dawson 2016)" }, "properties" : { "noteIndex" : 0 }, "schema" : "https://github.com/citation-style-language/schema/raw/master/csl-citation.json" }</w:instrText>
      </w:r>
      <w:r w:rsidRPr="00452E2E">
        <w:rPr>
          <w:szCs w:val="24"/>
        </w:rPr>
        <w:fldChar w:fldCharType="separate"/>
      </w:r>
      <w:r w:rsidRPr="00452E2E">
        <w:rPr>
          <w:noProof/>
          <w:szCs w:val="24"/>
        </w:rPr>
        <w:t>(Dawson, 2016)</w:t>
      </w:r>
      <w:r w:rsidRPr="00452E2E">
        <w:rPr>
          <w:szCs w:val="24"/>
        </w:rPr>
        <w:fldChar w:fldCharType="end"/>
      </w:r>
      <w:r w:rsidRPr="00452E2E">
        <w:rPr>
          <w:szCs w:val="24"/>
        </w:rPr>
        <w:t xml:space="preserve">. Of course, the high reliability of the measures is unsurprising since well-established scales were used to conduct the research. </w:t>
      </w:r>
    </w:p>
    <w:p w:rsidR="00D03A8E" w:rsidRPr="00452E2E" w:rsidRDefault="00D03A8E" w:rsidP="00D03A8E">
      <w:pPr>
        <w:spacing w:line="360" w:lineRule="auto"/>
        <w:jc w:val="both"/>
        <w:rPr>
          <w:szCs w:val="24"/>
        </w:rPr>
      </w:pPr>
      <w:r w:rsidRPr="00452E2E">
        <w:rPr>
          <w:szCs w:val="24"/>
        </w:rPr>
        <w:t xml:space="preserve">The inter-construct correlations also presented in table 7.3 indicate that most of the variables are correlated with the highest correlation being .521. The level of inter-construct correlations is an indication that that there is no issue of multicollinearity in the data </w:t>
      </w:r>
      <w:r w:rsidRPr="00452E2E">
        <w:rPr>
          <w:szCs w:val="24"/>
        </w:rPr>
        <w:fldChar w:fldCharType="begin" w:fldLock="1"/>
      </w:r>
      <w:r w:rsidRPr="00452E2E">
        <w:rPr>
          <w:szCs w:val="24"/>
        </w:rPr>
        <w:instrText>ADDIN CSL_CITATION { "citationItems" : [ { "id" : "ITEM-1",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"ITEM-1", "issued" : { "date-parts" : [ [ "2010" ] ] }, "publisher" : "Pearson", "publisher-place" : "London", "title" : "Multivariate data analysis: a global perspective", "type" : "book" }, "uris" : [ "http://www.mendeley.com/documents/?uuid=1715b08d-462d-474d-b3d4-d4d380d30d6e" ] } ], "mendeley" : { "formattedCitation" : "(Hair et al. 2010)", "manualFormatting" : "(Hair et al., 2010)", "plainTextFormattedCitation" : "(Hair et al. 2010)", "previouslyFormattedCitation" : "(Hair et al. 2010)" }, "properties" : { "noteIndex" : 0 }, "schema" : "https://github.com/citation-style-language/schema/raw/master/csl-citation.json" }</w:instrText>
      </w:r>
      <w:r w:rsidRPr="00452E2E">
        <w:rPr>
          <w:szCs w:val="24"/>
        </w:rPr>
        <w:fldChar w:fldCharType="separate"/>
      </w:r>
      <w:r w:rsidRPr="00452E2E">
        <w:rPr>
          <w:noProof/>
          <w:szCs w:val="24"/>
        </w:rPr>
        <w:t xml:space="preserve">(Hair </w:t>
      </w:r>
      <w:r w:rsidRPr="00452E2E">
        <w:rPr>
          <w:i/>
          <w:noProof/>
          <w:szCs w:val="24"/>
        </w:rPr>
        <w:t>et al</w:t>
      </w:r>
      <w:r w:rsidRPr="00452E2E">
        <w:rPr>
          <w:noProof/>
          <w:szCs w:val="24"/>
        </w:rPr>
        <w:t>., 2010)</w:t>
      </w:r>
      <w:r w:rsidRPr="00452E2E">
        <w:rPr>
          <w:szCs w:val="24"/>
        </w:rPr>
        <w:fldChar w:fldCharType="end"/>
      </w:r>
      <w:r w:rsidRPr="00452E2E">
        <w:rPr>
          <w:szCs w:val="24"/>
        </w:rPr>
        <w:t xml:space="preserve">.  Whilst it might be expected that training, employee benefits, and employee participation will be highly correlated due to the synergistic effects of HR practices </w:t>
      </w:r>
      <w:r w:rsidRPr="00452E2E">
        <w:rPr>
          <w:szCs w:val="24"/>
        </w:rPr>
        <w:fldChar w:fldCharType="begin" w:fldLock="1"/>
      </w:r>
      <w:r w:rsidRPr="00452E2E">
        <w:rPr>
          <w:szCs w:val="24"/>
        </w:rPr>
        <w:instrText>ADDIN CSL_CITATION { "citationItems" : [ { "id" : "ITEM-1", "itemData" : { "DOI" : "10.5465/amj.2011.0088", "ISBN" : "00014273", "ISSN" : "00014273", "PMID" : "84572883", "abstract" : "Drawing on the ability-motivation-opportunity model, this meta-analysis examined the effects of three dimensions of HR systems-skills-enhancing, motivation-enhancing, and opportunity-enhancing-on proximal organizational outcomes (human capital and motivation) and distal organizational outcomes (voluntary turnover, operational outcomes, and financial outcomes). The results indicate that skill-enhancing practices were more positively related to human capital and less positively related to employee motivation than motivation-enhancing practices and opportunity-enhancing practices. Moreover, the three dimensions of HR systems were related to financial outcomes both directly and indirectly by influencing human capital and employee motivation as well as voluntary turnover and operational outcomes in sequence. [ABSTRACT FROM AUTHOR] Copyright of Academy of Management Journal is the property of Academy of Management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"Jiang", "given" : "Kaifeng", "non-dropping-particle" : "", "parse-names" : false, "suffix" : "" }, { "dropping-particle" : "", "family" : "Lepak", "given" : "David P", "non-dropping-particle" : "", "parse-names" : false, "suffix" : "" }, { "dropping-particle" : "", "family" : "Jia", "given" : "J U", "non-dropping-particle" : "", "parse-names" : false, "suffix" : "" }, { "dropping-particle" : "", "family" : "Baer", "given" : "Judith C", "non-dropping-particle" : "", "parse-names" : false, "suffix" : "" } ], "container-title" : "Academy of Management Journal", "id" : "ITEM-1", "issue" : "6", "issued" : { "date-parts" : [ [ "2012" ] ] }, "page" : "1264-1294", "title" : "How does human resource management influence organizational outcomes? A meta-analytic investigation of mediating mechanisms", "type" : "article-journal", "volume" : "55" }, "uris" : [ "http://www.mendeley.com/documents/?uuid=df030567-e1f9-4eab-a859-47392be79e7b" ] }, { "id" : "ITEM-2",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"ITEM-2",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"mendeley" : { "formattedCitation" : "(Jiang et al. 2012; Darwish et al. 2016)", "manualFormatting" : "(Jiang et al., 2012a; cf. Darwish et al., 2016)", "plainTextFormattedCitation" : "(Jiang et al. 2012; Darwish et al. 2016)", "previouslyFormattedCitation" : "(Jiang et al. 2012; Darwish et al. 2016)" }, "properties" : { "noteIndex" : 0 }, "schema" : "https://github.com/citation-style-language/schema/raw/master/csl-citation.json" }</w:instrText>
      </w:r>
      <w:r w:rsidRPr="00452E2E">
        <w:rPr>
          <w:szCs w:val="24"/>
        </w:rPr>
        <w:fldChar w:fldCharType="separate"/>
      </w:r>
      <w:r w:rsidRPr="00452E2E">
        <w:rPr>
          <w:noProof/>
          <w:szCs w:val="24"/>
        </w:rPr>
        <w:t xml:space="preserve">(Jiang </w:t>
      </w:r>
      <w:r w:rsidRPr="00452E2E">
        <w:rPr>
          <w:i/>
          <w:noProof/>
          <w:szCs w:val="24"/>
        </w:rPr>
        <w:t>et al</w:t>
      </w:r>
      <w:r w:rsidRPr="00452E2E">
        <w:rPr>
          <w:noProof/>
          <w:szCs w:val="24"/>
        </w:rPr>
        <w:t>., 2012</w:t>
      </w:r>
      <w:r w:rsidRPr="00452E2E">
        <w:rPr>
          <w:i/>
          <w:noProof/>
          <w:szCs w:val="24"/>
        </w:rPr>
        <w:t>a</w:t>
      </w:r>
      <w:r w:rsidRPr="00452E2E">
        <w:rPr>
          <w:noProof/>
          <w:szCs w:val="24"/>
        </w:rPr>
        <w:t xml:space="preserve">; cf. Darwish </w:t>
      </w:r>
      <w:r w:rsidRPr="00452E2E">
        <w:rPr>
          <w:i/>
          <w:noProof/>
          <w:szCs w:val="24"/>
        </w:rPr>
        <w:t>et al</w:t>
      </w:r>
      <w:r w:rsidRPr="00452E2E">
        <w:rPr>
          <w:noProof/>
          <w:szCs w:val="24"/>
        </w:rPr>
        <w:t>., 2016)</w:t>
      </w:r>
      <w:r w:rsidRPr="00452E2E">
        <w:rPr>
          <w:szCs w:val="24"/>
        </w:rPr>
        <w:fldChar w:fldCharType="end"/>
      </w:r>
      <w:r w:rsidRPr="00452E2E">
        <w:rPr>
          <w:szCs w:val="24"/>
        </w:rPr>
        <w:t xml:space="preserve">, the correlations among these HR practices was not high and even non-significant in the case of training and employee participation. This indicates, as </w:t>
      </w:r>
      <w:r w:rsidRPr="00452E2E">
        <w:rPr>
          <w:szCs w:val="24"/>
        </w:rPr>
        <w:fldChar w:fldCharType="begin" w:fldLock="1"/>
      </w:r>
      <w:r w:rsidRPr="00452E2E">
        <w:rPr>
          <w:szCs w:val="24"/>
        </w:rPr>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"ITEM-1",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"mendeley" : { "formattedCitation" : "(Darwish et al. 2016)", "manualFormatting" : "Darwish et al. (2016)", "plainTextFormattedCitation" : "(Darwish et al. 2016)", "previouslyFormattedCitation" : "(Darwish et al. 2016)" }, "properties" : { "noteIndex" : 0 }, "schema" : "https://github.com/citation-style-language/schema/raw/master/csl-citation.json" }</w:instrText>
      </w:r>
      <w:r w:rsidRPr="00452E2E">
        <w:rPr>
          <w:szCs w:val="24"/>
        </w:rPr>
        <w:fldChar w:fldCharType="separate"/>
      </w:r>
      <w:r w:rsidRPr="00452E2E">
        <w:rPr>
          <w:noProof/>
          <w:szCs w:val="24"/>
        </w:rPr>
        <w:t xml:space="preserve">Darwish </w:t>
      </w:r>
      <w:r w:rsidRPr="00452E2E">
        <w:rPr>
          <w:i/>
          <w:noProof/>
          <w:szCs w:val="24"/>
        </w:rPr>
        <w:t>et al</w:t>
      </w:r>
      <w:r w:rsidRPr="00452E2E">
        <w:rPr>
          <w:noProof/>
          <w:szCs w:val="24"/>
        </w:rPr>
        <w:t>. (2016)</w:t>
      </w:r>
      <w:r w:rsidRPr="00452E2E">
        <w:rPr>
          <w:szCs w:val="24"/>
        </w:rPr>
        <w:fldChar w:fldCharType="end"/>
      </w:r>
      <w:r w:rsidRPr="00452E2E">
        <w:rPr>
          <w:szCs w:val="24"/>
        </w:rPr>
        <w:t xml:space="preserve"> recently observed, that the optimum configuration of sets of HR practices may depend on the national context, industry and sector. </w:t>
      </w:r>
    </w:p>
    <w:p w:rsidR="00D03A8E" w:rsidRPr="00452E2E" w:rsidRDefault="00D03A8E" w:rsidP="00D03A8E">
      <w:pPr>
        <w:spacing w:line="360" w:lineRule="auto"/>
        <w:jc w:val="both"/>
        <w:rPr>
          <w:b/>
          <w:szCs w:val="24"/>
        </w:rPr>
        <w:sectPr w:rsidR="00D03A8E" w:rsidRPr="00452E2E" w:rsidSect="00B57950">
          <w:pgSz w:w="11906" w:h="16838"/>
          <w:pgMar w:top="1440" w:right="1440" w:bottom="1440" w:left="2268" w:header="708" w:footer="708" w:gutter="0"/>
          <w:cols w:space="708"/>
          <w:docGrid w:linePitch="360"/>
        </w:sectPr>
      </w:pPr>
    </w:p>
    <w:p w:rsidR="00AA75A4" w:rsidRPr="00452E2E" w:rsidRDefault="00AA75A4" w:rsidP="00D03A8E">
      <w:pPr>
        <w:pStyle w:val="Caption"/>
      </w:pPr>
      <w:bookmarkStart w:id="169" w:name="_Toc465419862"/>
    </w:p>
    <w:p w:rsidR="00D03A8E" w:rsidRPr="00452E2E" w:rsidRDefault="00B21171" w:rsidP="00D03A8E">
      <w:pPr>
        <w:pStyle w:val="Caption"/>
        <w:rPr>
          <w:b w:val="0"/>
        </w:rPr>
      </w:pPr>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3</w:t>
      </w:r>
      <w:r w:rsidR="00B26571">
        <w:rPr>
          <w:noProof/>
        </w:rPr>
        <w:fldChar w:fldCharType="end"/>
      </w:r>
      <w:r w:rsidR="00D03A8E" w:rsidRPr="00452E2E">
        <w:t>: Descriptive Statistics: Means, Standard Deviations, Reliabilities, Validity and Bivariate Correlations of Variables</w:t>
      </w:r>
      <w:bookmarkEnd w:id="169"/>
    </w:p>
    <w:tbl>
      <w:tblPr>
        <w:tblStyle w:val="TableGrid"/>
        <w:tblW w:w="14828" w:type="dxa"/>
        <w:tblInd w:w="137" w:type="dxa"/>
        <w:shd w:val="clear" w:color="auto" w:fill="FFFFFF" w:themeFill="background1"/>
        <w:tblLayout w:type="fixed"/>
        <w:tblLook w:val="04A0" w:firstRow="1" w:lastRow="0" w:firstColumn="1" w:lastColumn="0" w:noHBand="0" w:noVBand="1"/>
      </w:tblPr>
      <w:tblGrid>
        <w:gridCol w:w="538"/>
        <w:gridCol w:w="2835"/>
        <w:gridCol w:w="680"/>
        <w:gridCol w:w="710"/>
        <w:gridCol w:w="567"/>
        <w:gridCol w:w="567"/>
        <w:gridCol w:w="567"/>
        <w:gridCol w:w="567"/>
        <w:gridCol w:w="709"/>
        <w:gridCol w:w="709"/>
        <w:gridCol w:w="709"/>
        <w:gridCol w:w="708"/>
        <w:gridCol w:w="709"/>
        <w:gridCol w:w="709"/>
        <w:gridCol w:w="709"/>
        <w:gridCol w:w="708"/>
        <w:gridCol w:w="709"/>
        <w:gridCol w:w="709"/>
        <w:gridCol w:w="709"/>
      </w:tblGrid>
      <w:tr w:rsidR="00452E2E" w:rsidRPr="00452E2E" w:rsidTr="00AA75A4">
        <w:trPr>
          <w:trHeight w:val="213"/>
        </w:trPr>
        <w:tc>
          <w:tcPr>
            <w:tcW w:w="538"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No</w:t>
            </w:r>
          </w:p>
        </w:tc>
        <w:tc>
          <w:tcPr>
            <w:tcW w:w="2835"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1D104C">
            <w:pPr>
              <w:rPr>
                <w:b/>
                <w:sz w:val="16"/>
                <w:szCs w:val="16"/>
              </w:rPr>
            </w:pPr>
            <w:r w:rsidRPr="00452E2E">
              <w:rPr>
                <w:b/>
                <w:sz w:val="16"/>
                <w:szCs w:val="16"/>
              </w:rPr>
              <w:t>Variables</w:t>
            </w:r>
          </w:p>
        </w:tc>
        <w:tc>
          <w:tcPr>
            <w:tcW w:w="680"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1D104C">
            <w:pPr>
              <w:rPr>
                <w:b/>
                <w:i/>
                <w:sz w:val="16"/>
                <w:szCs w:val="16"/>
              </w:rPr>
            </w:pPr>
            <w:r w:rsidRPr="00452E2E">
              <w:rPr>
                <w:b/>
                <w:i/>
                <w:sz w:val="16"/>
                <w:szCs w:val="16"/>
              </w:rPr>
              <w:t>SD</w:t>
            </w:r>
          </w:p>
        </w:tc>
        <w:tc>
          <w:tcPr>
            <w:tcW w:w="710"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i/>
                <w:sz w:val="16"/>
                <w:szCs w:val="16"/>
              </w:rPr>
            </w:pPr>
            <w:r w:rsidRPr="00452E2E">
              <w:rPr>
                <w:b/>
                <w:i/>
                <w:sz w:val="16"/>
                <w:szCs w:val="16"/>
              </w:rPr>
              <w:t>M</w:t>
            </w:r>
          </w:p>
        </w:tc>
        <w:tc>
          <w:tcPr>
            <w:tcW w:w="567"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i/>
                <w:sz w:val="16"/>
                <w:szCs w:val="16"/>
              </w:rPr>
            </w:pPr>
            <w:r w:rsidRPr="00452E2E">
              <w:rPr>
                <w:b/>
                <w:i/>
                <w:sz w:val="16"/>
                <w:szCs w:val="16"/>
              </w:rPr>
              <w:t>SD</w:t>
            </w:r>
          </w:p>
        </w:tc>
        <w:tc>
          <w:tcPr>
            <w:tcW w:w="567"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AVE</w:t>
            </w:r>
          </w:p>
        </w:tc>
        <w:tc>
          <w:tcPr>
            <w:tcW w:w="567"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b/>
                <w:sz w:val="16"/>
                <w:szCs w:val="16"/>
              </w:rPr>
              <w:t>CR</w:t>
            </w:r>
          </w:p>
        </w:tc>
        <w:tc>
          <w:tcPr>
            <w:tcW w:w="567"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b/>
                <w:sz w:val="16"/>
                <w:szCs w:val="16"/>
              </w:rPr>
              <w:t>α</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1</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2</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3</w:t>
            </w:r>
          </w:p>
        </w:tc>
        <w:tc>
          <w:tcPr>
            <w:tcW w:w="708"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4</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5</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6</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w:t>
            </w:r>
          </w:p>
        </w:tc>
        <w:tc>
          <w:tcPr>
            <w:tcW w:w="708"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8</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9</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10</w:t>
            </w:r>
          </w:p>
        </w:tc>
        <w:tc>
          <w:tcPr>
            <w:tcW w:w="709"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11</w:t>
            </w:r>
          </w:p>
        </w:tc>
      </w:tr>
      <w:tr w:rsidR="00452E2E" w:rsidRPr="00452E2E" w:rsidTr="00AA75A4">
        <w:trPr>
          <w:trHeight w:val="226"/>
        </w:trPr>
        <w:tc>
          <w:tcPr>
            <w:tcW w:w="53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w:t>
            </w:r>
          </w:p>
        </w:tc>
        <w:tc>
          <w:tcPr>
            <w:tcW w:w="283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Training</w:t>
            </w:r>
          </w:p>
        </w:tc>
        <w:tc>
          <w:tcPr>
            <w:tcW w:w="68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.95</w:t>
            </w:r>
          </w:p>
        </w:tc>
        <w:tc>
          <w:tcPr>
            <w:tcW w:w="710"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6.06</w:t>
            </w:r>
          </w:p>
        </w:tc>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.95</w:t>
            </w:r>
          </w:p>
        </w:tc>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.64</w:t>
            </w:r>
          </w:p>
        </w:tc>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.94</w:t>
            </w:r>
          </w:p>
        </w:tc>
        <w:tc>
          <w:tcPr>
            <w:tcW w:w="567"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.93</w:t>
            </w: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(.80)</w:t>
            </w: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3"/>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Employee Benefits</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.97</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5.73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.126**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198"/>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Employee Participation</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.72</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3.93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.72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.069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.123**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3"/>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4</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Procedural Justice</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.98</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5.65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.279**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.210**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.247**</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3"/>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Commitment-focused HR Attribution</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.81</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4.11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.65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.020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.212**</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.117**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(.81)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3"/>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6</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Union Compliance HR Attribution</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1.88</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3.12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1.88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.134**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.180**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.521**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.425**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.149**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(.98)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198"/>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7</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Control-focused HR Attribution</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.94</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3.20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-.047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-.046</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-.056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.017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-.034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3"/>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Job Satisfaction</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.58</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4.17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.174**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.132**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.200**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.151**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.311**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-.059</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3"/>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Affective Commitment</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.99</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5.95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.61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.151**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.279**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.180**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.169**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.395**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.023</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.165**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3"/>
        </w:trPr>
        <w:tc>
          <w:tcPr>
            <w:tcW w:w="5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10</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Normative Commitment</w:t>
            </w:r>
          </w:p>
        </w:tc>
        <w:tc>
          <w:tcPr>
            <w:tcW w:w="6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.95</w:t>
            </w:r>
          </w:p>
        </w:tc>
        <w:tc>
          <w:tcPr>
            <w:tcW w:w="7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5.15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.95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.102*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.147**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.008</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.004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-.079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.111*</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-.057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.223**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AA75A4" w:rsidRPr="00452E2E" w:rsidRDefault="00AA75A4" w:rsidP="00B57950">
            <w:pPr>
              <w:rPr>
                <w:sz w:val="16"/>
                <w:szCs w:val="16"/>
              </w:rPr>
            </w:pPr>
          </w:p>
        </w:tc>
      </w:tr>
      <w:tr w:rsidR="00452E2E" w:rsidRPr="00452E2E" w:rsidTr="00AA75A4">
        <w:trPr>
          <w:trHeight w:val="217"/>
        </w:trPr>
        <w:tc>
          <w:tcPr>
            <w:tcW w:w="53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11</w:t>
            </w:r>
          </w:p>
        </w:tc>
        <w:tc>
          <w:tcPr>
            <w:tcW w:w="283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Continuance Commitment</w:t>
            </w:r>
          </w:p>
        </w:tc>
        <w:tc>
          <w:tcPr>
            <w:tcW w:w="68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1D104C">
            <w:pPr>
              <w:rPr>
                <w:sz w:val="16"/>
                <w:szCs w:val="16"/>
              </w:rPr>
            </w:pPr>
            <w:r w:rsidRPr="00452E2E">
              <w:rPr>
                <w:sz w:val="16"/>
                <w:szCs w:val="16"/>
              </w:rPr>
              <w:t>1.05</w:t>
            </w:r>
          </w:p>
        </w:tc>
        <w:tc>
          <w:tcPr>
            <w:tcW w:w="71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2.58</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1.05</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.50</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.85</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.85</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 xml:space="preserve">-.177**    </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-.184**</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-.166**</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-.285**</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-.058</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-.331**</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.054</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-.110*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-.255**</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sz w:val="16"/>
                <w:szCs w:val="16"/>
              </w:rPr>
            </w:pPr>
            <w:r w:rsidRPr="00452E2E">
              <w:rPr>
                <w:sz w:val="16"/>
                <w:szCs w:val="16"/>
              </w:rPr>
              <w:t>-.139**</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AA75A4" w:rsidRPr="00452E2E" w:rsidRDefault="00AA75A4" w:rsidP="00B57950">
            <w:pPr>
              <w:rPr>
                <w:b/>
                <w:sz w:val="16"/>
                <w:szCs w:val="16"/>
              </w:rPr>
            </w:pPr>
            <w:r w:rsidRPr="00452E2E">
              <w:rPr>
                <w:b/>
                <w:sz w:val="16"/>
                <w:szCs w:val="16"/>
              </w:rPr>
              <w:t>(.71)</w:t>
            </w:r>
          </w:p>
        </w:tc>
      </w:tr>
    </w:tbl>
    <w:p w:rsidR="00D03A8E" w:rsidRPr="00452E2E" w:rsidRDefault="00D03A8E" w:rsidP="00D03A8E">
      <w:pPr>
        <w:ind w:left="135"/>
        <w:rPr>
          <w:sz w:val="16"/>
          <w:szCs w:val="16"/>
        </w:rPr>
      </w:pPr>
      <w:r w:rsidRPr="00452E2E">
        <w:rPr>
          <w:sz w:val="16"/>
          <w:szCs w:val="16"/>
        </w:rPr>
        <w:t xml:space="preserve">Notes:  N= 521; *Correlation is significant at the 0.05 level (two-tailed); ** Correlation is significant at the 0.01 level (two-tailed); </w:t>
      </w:r>
      <w:r w:rsidRPr="00452E2E">
        <w:rPr>
          <w:i/>
          <w:sz w:val="16"/>
          <w:szCs w:val="16"/>
        </w:rPr>
        <w:t>M</w:t>
      </w:r>
      <w:r w:rsidRPr="00452E2E">
        <w:rPr>
          <w:sz w:val="16"/>
          <w:szCs w:val="16"/>
        </w:rPr>
        <w:t xml:space="preserve">= Mean; </w:t>
      </w:r>
      <w:r w:rsidRPr="00452E2E">
        <w:rPr>
          <w:i/>
          <w:sz w:val="16"/>
          <w:szCs w:val="16"/>
        </w:rPr>
        <w:t>SD</w:t>
      </w:r>
      <w:r w:rsidRPr="00452E2E">
        <w:rPr>
          <w:sz w:val="16"/>
          <w:szCs w:val="16"/>
        </w:rPr>
        <w:t>= Standard Deviation; AVE = Average Variance Extracted;                  α = Cronbach’s Alpha; CR = Composite Reliabilities; Square root of the AVE are bold in bracket on the diagonal.</w:t>
      </w:r>
    </w:p>
    <w:p w:rsidR="00D03A8E" w:rsidRPr="00452E2E" w:rsidRDefault="00D03A8E" w:rsidP="00D03A8E">
      <w:pPr>
        <w:rPr>
          <w:b/>
          <w:sz w:val="18"/>
          <w:szCs w:val="18"/>
        </w:rPr>
      </w:pPr>
    </w:p>
    <w:p w:rsidR="00D03A8E" w:rsidRPr="00452E2E" w:rsidRDefault="00D03A8E" w:rsidP="00D03A8E">
      <w:pPr>
        <w:jc w:val="both"/>
        <w:rPr>
          <w:b/>
          <w:szCs w:val="24"/>
        </w:rPr>
      </w:pPr>
    </w:p>
    <w:p w:rsidR="00D03A8E" w:rsidRPr="00452E2E" w:rsidRDefault="00D03A8E" w:rsidP="00D03A8E">
      <w:pPr>
        <w:jc w:val="both"/>
        <w:rPr>
          <w:b/>
          <w:szCs w:val="24"/>
        </w:rPr>
      </w:pPr>
    </w:p>
    <w:p w:rsidR="00D03A8E" w:rsidRPr="00452E2E" w:rsidRDefault="00D03A8E" w:rsidP="00D03A8E">
      <w:pPr>
        <w:jc w:val="both"/>
        <w:rPr>
          <w:b/>
          <w:szCs w:val="24"/>
        </w:rPr>
      </w:pPr>
    </w:p>
    <w:p w:rsidR="00D03A8E" w:rsidRPr="00452E2E" w:rsidRDefault="00D03A8E" w:rsidP="00D03A8E">
      <w:pPr>
        <w:jc w:val="both"/>
        <w:rPr>
          <w:b/>
          <w:szCs w:val="24"/>
        </w:rPr>
      </w:pPr>
    </w:p>
    <w:p w:rsidR="00D03A8E" w:rsidRPr="00452E2E" w:rsidRDefault="00D03A8E" w:rsidP="00D03A8E">
      <w:pPr>
        <w:jc w:val="both"/>
        <w:rPr>
          <w:b/>
          <w:szCs w:val="24"/>
        </w:rPr>
      </w:pPr>
    </w:p>
    <w:p w:rsidR="00D03A8E" w:rsidRPr="00452E2E" w:rsidRDefault="00D03A8E" w:rsidP="00D03A8E">
      <w:pPr>
        <w:jc w:val="both"/>
        <w:rPr>
          <w:b/>
          <w:szCs w:val="24"/>
        </w:rPr>
      </w:pPr>
    </w:p>
    <w:p w:rsidR="00D03A8E" w:rsidRPr="00452E2E" w:rsidRDefault="00D03A8E" w:rsidP="00D03A8E">
      <w:pPr>
        <w:jc w:val="both"/>
        <w:rPr>
          <w:b/>
          <w:szCs w:val="24"/>
        </w:rPr>
      </w:pPr>
    </w:p>
    <w:p w:rsidR="00D03A8E" w:rsidRPr="00452E2E" w:rsidRDefault="00D03A8E" w:rsidP="00D03A8E">
      <w:pPr>
        <w:jc w:val="both"/>
        <w:rPr>
          <w:b/>
          <w:szCs w:val="24"/>
        </w:rPr>
        <w:sectPr w:rsidR="00D03A8E" w:rsidRPr="00452E2E" w:rsidSect="00B57950">
          <w:pgSz w:w="16838" w:h="11906" w:orient="landscape"/>
          <w:pgMar w:top="2410" w:right="1440" w:bottom="1440" w:left="1440" w:header="709" w:footer="709" w:gutter="0"/>
          <w:cols w:space="708"/>
          <w:docGrid w:linePitch="360"/>
        </w:sectPr>
      </w:pPr>
    </w:p>
    <w:p w:rsidR="00D03A8E" w:rsidRPr="00452E2E" w:rsidRDefault="00D03A8E" w:rsidP="00170224">
      <w:pPr>
        <w:pStyle w:val="Heading3"/>
      </w:pPr>
      <w:bookmarkStart w:id="170" w:name="_Toc473808188"/>
      <w:r w:rsidRPr="00452E2E">
        <w:lastRenderedPageBreak/>
        <w:t>7.5 Test of Hypotheses</w:t>
      </w:r>
      <w:bookmarkEnd w:id="170"/>
    </w:p>
    <w:p w:rsidR="00D03A8E" w:rsidRPr="00452E2E" w:rsidRDefault="00D03A8E" w:rsidP="00D03A8E">
      <w:pPr>
        <w:spacing w:line="360" w:lineRule="auto"/>
        <w:jc w:val="both"/>
      </w:pPr>
      <w:r w:rsidRPr="00452E2E">
        <w:t xml:space="preserve">The aim of this section is to present the results of the test of hypotheses for study 2 that were formulated in the previous chapter. Different statistical tests were used to test the hypotheses based on </w:t>
      </w:r>
      <w:r w:rsidR="00803B6F" w:rsidRPr="00452E2E">
        <w:t xml:space="preserve">the </w:t>
      </w:r>
      <w:r w:rsidRPr="00452E2E">
        <w:t>nature of the hypothesized relationship. For ease of reporting, the results of the hypotheses are grouped into three categories namely, test of direct relationships, tests of mediation effects and tests of moderated mediation. Although this categorization means that the results of hypotheses are not presented chronologically as they were formulated, reference is made in each case to the hypothesis for which results are presented. In the test of direct relationships, the results for hypotheses 1, 2a-c, 3, 4a-c, 9, 10a-c, 11, 12a-c, 13 and 14-ac are presented. The tests of mediation effects are focused on hypotheses 5, 6a-c, 15, 16a-c, 17, 18a-c, 19 and 20a-c whilst the tests of moderated mediation are aimed at testing hypotheses 7, 8a-c, 21, 22a-c, 23, 24a-c, 25 and 26a-c. The results for each category are presented in subsequent sections with methods of statistical analyses described.</w:t>
      </w:r>
    </w:p>
    <w:p w:rsidR="00D03A8E" w:rsidRPr="00452E2E" w:rsidRDefault="00D03A8E" w:rsidP="00D03A8E">
      <w:pPr>
        <w:pStyle w:val="Heading4"/>
      </w:pPr>
      <w:bookmarkStart w:id="171" w:name="_Toc473808189"/>
      <w:r w:rsidRPr="00452E2E">
        <w:t>7.5.1 Test of Direct Relationships</w:t>
      </w:r>
      <w:bookmarkEnd w:id="171"/>
    </w:p>
    <w:p w:rsidR="00D03A8E" w:rsidRPr="00452E2E" w:rsidRDefault="00D03A8E" w:rsidP="00D03A8E">
      <w:pPr>
        <w:spacing w:line="360" w:lineRule="auto"/>
        <w:jc w:val="both"/>
      </w:pPr>
      <w:r w:rsidRPr="00452E2E">
        <w:t xml:space="preserve">To test for direct relationship between variables in the study, regression analysis was used as a test statistic. Regression analysis can be used to test for the effect of an independent variable on the dependent variable </w:t>
      </w:r>
      <w:r w:rsidRPr="00452E2E">
        <w:fldChar w:fldCharType="begin" w:fldLock="1"/>
      </w:r>
      <w:r w:rsidRPr="00452E2E">
        <w:instrText>ADDIN CSL_CITATION { "citationItems" : [ { "id" : "ITEM-1", "itemData" : { "author" : [ { "dropping-particle" : "", "family" : "Kahane", "given" : "L.H", "non-dropping-particle" : "", "parse-names" : false, "suffix" : "" } ], "edition" : "2nd ed", "id" : "ITEM-1", "issued" : { "date-parts" : [ [ "2008" ] ] }, "publisher" : "SAGE", "publisher-place" : "Thousand Oaks, CA", "title" : "Regression basics", "type" : "book" }, "uris" : [ "http://www.mendeley.com/documents/?uuid=fa16ec3d-44fa-4e86-9f2e-6a857c034da6" ] } ], "mendeley" : { "formattedCitation" : "(Kahane 2008)", "manualFormatting" : "(Kahane, 2008)", "plainTextFormattedCitation" : "(Kahane 2008)", "previouslyFormattedCitation" : "(Kahane 2008)" }, "properties" : { "noteIndex" : 0 }, "schema" : "https://github.com/citation-style-language/schema/raw/master/csl-citation.json" }</w:instrText>
      </w:r>
      <w:r w:rsidRPr="00452E2E">
        <w:fldChar w:fldCharType="separate"/>
      </w:r>
      <w:r w:rsidRPr="00452E2E">
        <w:rPr>
          <w:noProof/>
        </w:rPr>
        <w:t>(Kahane, 2008)</w:t>
      </w:r>
      <w:r w:rsidRPr="00452E2E">
        <w:fldChar w:fldCharType="end"/>
      </w:r>
      <w:r w:rsidRPr="00452E2E">
        <w:t xml:space="preserve">. However, for this test to be effectively conducted, the basic assumptions that residuals are independent; normally distributed and have consistent variance have to be met </w:t>
      </w:r>
      <w:r w:rsidRPr="00452E2E">
        <w:fldChar w:fldCharType="begin" w:fldLock="1"/>
      </w:r>
      <w:r w:rsidRPr="00452E2E">
        <w:instrText>ADDIN CSL_CITATION { "citationItems" : [ { "id" : "ITEM-1", "itemData" : { "author" : [ { "dropping-particle" : "", "family" : "Kahane", "given" : "L.H", "non-dropping-particle" : "", "parse-names" : false, "suffix" : "" } ], "edition" : "2nd ed", "id" : "ITEM-1", "issued" : { "date-parts" : [ [ "2008" ] ] }, "publisher" : "SAGE", "publisher-place" : "Thousand Oaks, CA", "title" : "Regression basics", "type" : "book" }, "uris" : [ "http://www.mendeley.com/documents/?uuid=fa16ec3d-44fa-4e86-9f2e-6a857c034da6" ] }, { "id" : "ITEM-2",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"ITEM-2", "issued" : { "date-parts" : [ [ "2010" ] ] }, "publisher" : "Pearson", "publisher-place" : "London", "title" : "Multivariate data analysis: a global perspective", "type" : "book" }, "uris" : [ "http://www.mendeley.com/documents/?uuid=1715b08d-462d-474d-b3d4-d4d380d30d6e" ] } ], "mendeley" : { "formattedCitation" : "(Kahane 2008; Hair et al. 2010)", "manualFormatting" : "(Kahane, 2008; Hair et al., 2010)", "plainTextFormattedCitation" : "(Kahane 2008; Hair et al. 2010)", "previouslyFormattedCitation" : "(Kahane 2008; Hair et al. 2010)" }, "properties" : { "noteIndex" : 0 }, "schema" : "https://github.com/citation-style-language/schema/raw/master/csl-citation.json" }</w:instrText>
      </w:r>
      <w:r w:rsidRPr="00452E2E">
        <w:fldChar w:fldCharType="separate"/>
      </w:r>
      <w:r w:rsidRPr="00452E2E">
        <w:rPr>
          <w:noProof/>
        </w:rPr>
        <w:t xml:space="preserve">(Kahane, 2008; Hair </w:t>
      </w:r>
      <w:r w:rsidRPr="00452E2E">
        <w:rPr>
          <w:i/>
          <w:noProof/>
        </w:rPr>
        <w:t>et al</w:t>
      </w:r>
      <w:r w:rsidRPr="00452E2E">
        <w:rPr>
          <w:noProof/>
        </w:rPr>
        <w:t>., 2010)</w:t>
      </w:r>
      <w:r w:rsidRPr="00452E2E">
        <w:fldChar w:fldCharType="end"/>
      </w:r>
      <w:r w:rsidRPr="00452E2E">
        <w:t xml:space="preserve">.  These assumptions can be tested by running a regression analysis in SPSS and requesting plots </w:t>
      </w:r>
      <w:r w:rsidRPr="00452E2E">
        <w:fldChar w:fldCharType="begin" w:fldLock="1"/>
      </w:r>
      <w:r w:rsidRPr="00452E2E">
        <w:instrText>ADDIN CSL_CITATION { "citationItems" : [ { "id" : "ITEM-1", "itemData" : { "author" : [ { "dropping-particle" : "", "family" : "Kahane", "given" : "L.H", "non-dropping-particle" : "", "parse-names" : false, "suffix" : "" } ], "edition" : "2nd ed", "id" : "ITEM-1", "issued" : { "date-parts" : [ [ "2008" ] ] }, "publisher" : "SAGE", "publisher-place" : "Thousand Oaks, CA", "title" : "Regression basics", "type" : "book" }, "uris" : [ "http://www.mendeley.com/documents/?uuid=fa16ec3d-44fa-4e86-9f2e-6a857c034da6" ] } ], "mendeley" : { "formattedCitation" : "(Kahane 2008)", "manualFormatting" : "(Kahane, 2008)", "plainTextFormattedCitation" : "(Kahane 2008)", "previouslyFormattedCitation" : "(Kahane 2008)" }, "properties" : { "noteIndex" : 0 }, "schema" : "https://github.com/citation-style-language/schema/raw/master/csl-citation.json" }</w:instrText>
      </w:r>
      <w:r w:rsidRPr="00452E2E">
        <w:fldChar w:fldCharType="separate"/>
      </w:r>
      <w:r w:rsidRPr="00452E2E">
        <w:rPr>
          <w:noProof/>
        </w:rPr>
        <w:t>(Kahane, 2008)</w:t>
      </w:r>
      <w:r w:rsidRPr="00452E2E">
        <w:fldChar w:fldCharType="end"/>
      </w:r>
      <w:r w:rsidRPr="00452E2E">
        <w:t xml:space="preserve">. Although the test of normality can be done statistically by testing for skewness and kurtosis, these tests are susceptible to sample size and therefore may not produce valid measures of normality especially when the sample size is large as is the case in this research </w:t>
      </w:r>
      <w:r w:rsidRPr="00452E2E">
        <w:fldChar w:fldCharType="begin" w:fldLock="1"/>
      </w:r>
      <w:r w:rsidRPr="00452E2E">
        <w:instrText>ADDIN CSL_CITATION { "citationItems" : [ { "id" : "ITEM-1", "itemData" : { "author" : [ { "dropping-particle" : "", "family" : "Kahane", "given" : "L.H", "non-dropping-particle" : "", "parse-names" : false, "suffix" : "" } ], "edition" : "2nd ed", "id" : "ITEM-1", "issued" : { "date-parts" : [ [ "2008" ] ] }, "publisher" : "SAGE", "publisher-place" : "Thousand Oaks, CA", "title" : "Regression basics", "type" : "book" }, "uris" : [ "http://www.mendeley.com/documents/?uuid=fa16ec3d-44fa-4e86-9f2e-6a857c034da6" ] } ], "mendeley" : { "formattedCitation" : "(Kahane 2008)", "manualFormatting" : "(Kahane, 2008)", "plainTextFormattedCitation" : "(Kahane 2008)", "previouslyFormattedCitation" : "(Kahane 2008)" }, "properties" : { "noteIndex" : 0 }, "schema" : "https://github.com/citation-style-language/schema/raw/master/csl-citation.json" }</w:instrText>
      </w:r>
      <w:r w:rsidRPr="00452E2E">
        <w:fldChar w:fldCharType="separate"/>
      </w:r>
      <w:r w:rsidRPr="00452E2E">
        <w:rPr>
          <w:noProof/>
        </w:rPr>
        <w:t>(Kahane, 2008)</w:t>
      </w:r>
      <w:r w:rsidRPr="00452E2E">
        <w:fldChar w:fldCharType="end"/>
      </w:r>
      <w:r w:rsidRPr="00452E2E">
        <w:t xml:space="preserve">. Therefore, a preliminary regression analysis was conducted by regressing the dependent variables on the independent variables in order to determine whether these basic assumptions were met through visual inspection of plots. The preliminary analysis indicated that the residuals were not normally distributed and clearly the regression line did not fit the data (see appendix 8 as an example). An examination of the histogram however indicated that the violation </w:t>
      </w:r>
      <w:r w:rsidRPr="00452E2E">
        <w:lastRenderedPageBreak/>
        <w:t xml:space="preserve">of these assumptions was due to the presence of outliers. An </w:t>
      </w:r>
      <w:r w:rsidRPr="00452E2E">
        <w:rPr>
          <w:i/>
        </w:rPr>
        <w:t>outlier</w:t>
      </w:r>
      <w:r w:rsidRPr="00452E2E">
        <w:t xml:space="preserve"> is a data point that is distinct from others within the same sample </w:t>
      </w:r>
      <w:r w:rsidRPr="00452E2E">
        <w:fldChar w:fldCharType="begin" w:fldLock="1"/>
      </w:r>
      <w:r w:rsidRPr="00452E2E">
        <w:instrText>ADDIN CSL_CITATION { "citationItems" : [ { "id" : "ITEM-1", "itemData" : { "abstract" : "The presence of outliers, which are data points that deviate markedly from others, is one of the most enduring and pervasive methodological challenges in organizational science research. We provide evidence that different ways of defining, identifying, and handling outliers alter substantive research conclusions. Then, we report results of a literature review of 46 methodological sources (i.e., journal articles, book chapters, and books) addressing the topic of outliers, as well as 232 organizational science journal articles mentioning issues about outliers. Our literature review uncovered (a) 14 unique and mutually exclusive outlier defi-nitions, 39 outlier identification techniques, and 20 different ways of handling outliers; (b) inconsistencies in how outliers are defined, identified, and handled in various methodological sources; and (c) confusion and lack of transparency in how outliers are addressed by substantive researchers. We offer guidelines, including decision-making trees, that researchers can follow to define, identify, and handle error, inter-esting, and influential (i.e., model fit and prediction) outliers. Although our emphasis is on regression, structural equation modeling, and multilevel modeling, our general framework forms the basis for a research agenda regarding outliers in the context of other data-analytic approaches. Our recommenda-tions can be used by authors as well as journal editors and reviewers to improve the consistency and transparency of practices regarding the treatment of outliers in organizational science research.", "author" : [ { "dropping-particle" : "", "family" : "Aguinis", "given" : "Herman", "non-dropping-particle" : "", "parse-names" : false, "suffix" : "" }, { "dropping-particle" : "", "family" : "Gottfredson", "given" : "Ryan K", "non-dropping-particle" : "", "parse-names" : false, "suffix" : "" }, { "dropping-particle" : "", "family" : "Joo", "given" : "Harry", "non-dropping-particle" : "", "parse-names" : false, "suffix" : "" } ], "container-title" : "Organizational Research Methods", "id" : "ITEM-1", "issue" : "2", "issued" : { "date-parts" : [ [ "2013" ] ] }, "page" : "270-301", "title" : "Best-practice recommendations for defining, identifying, and handling outliers", "type" : "article-journal", "volume" : "16" }, "uris" : [ "http://www.mendeley.com/documents/?uuid=5df5bc68-a5e2-45c2-b29b-e9c0d80b7c88" ] } ], "mendeley" : { "formattedCitation" : "(Aguinis et al. 2013)", "manualFormatting" : "(Aguinis et al., 2013)", "plainTextFormattedCitation" : "(Aguinis et al. 2013)", "previouslyFormattedCitation" : "(Aguinis et al. 2013)" }, "properties" : { "noteIndex" : 0 }, "schema" : "https://github.com/citation-style-language/schema/raw/master/csl-citation.json" }</w:instrText>
      </w:r>
      <w:r w:rsidRPr="00452E2E">
        <w:fldChar w:fldCharType="separate"/>
      </w:r>
      <w:r w:rsidRPr="00452E2E">
        <w:rPr>
          <w:noProof/>
        </w:rPr>
        <w:t xml:space="preserve">(Aguinis </w:t>
      </w:r>
      <w:r w:rsidRPr="00452E2E">
        <w:rPr>
          <w:i/>
          <w:noProof/>
        </w:rPr>
        <w:t>et al</w:t>
      </w:r>
      <w:r w:rsidRPr="00452E2E">
        <w:rPr>
          <w:noProof/>
        </w:rPr>
        <w:t>., 2013)</w:t>
      </w:r>
      <w:r w:rsidRPr="00452E2E">
        <w:fldChar w:fldCharType="end"/>
      </w:r>
      <w:r w:rsidRPr="00452E2E">
        <w:t xml:space="preserve">. </w:t>
      </w:r>
    </w:p>
    <w:p w:rsidR="00D03A8E" w:rsidRPr="00452E2E" w:rsidRDefault="00D03A8E" w:rsidP="00D03A8E">
      <w:pPr>
        <w:spacing w:line="360" w:lineRule="auto"/>
        <w:jc w:val="both"/>
      </w:pPr>
      <w:r w:rsidRPr="00452E2E">
        <w:t xml:space="preserve">One easy way of dealing with outliers would be to identify and eliminate them from the data.  Nevertheless, since outliers constitute valid observations, it was necessary to retain them in the analysis </w:t>
      </w:r>
      <w:r w:rsidRPr="00452E2E">
        <w:fldChar w:fldCharType="begin" w:fldLock="1"/>
      </w:r>
      <w:r w:rsidRPr="00452E2E">
        <w:instrText>ADDIN CSL_CITATION { "citationItems" : [ { "id" : "ITEM-1", "itemData" : { "abstract" : "The presence of outliers, which are data points that deviate markedly from others, is one of the most enduring and pervasive methodological challenges in organizational science research. We provide evidence that different ways of defining, identifying, and handling outliers alter substantive research conclusions. Then, we report results of a literature review of 46 methodological sources (i.e., journal articles, book chapters, and books) addressing the topic of outliers, as well as 232 organizational science journal articles mentioning issues about outliers. Our literature review uncovered (a) 14 unique and mutually exclusive outlier defi-nitions, 39 outlier identification techniques, and 20 different ways of handling outliers; (b) inconsistencies in how outliers are defined, identified, and handled in various methodological sources; and (c) confusion and lack of transparency in how outliers are addressed by substantive researchers. We offer guidelines, including decision-making trees, that researchers can follow to define, identify, and handle error, inter-esting, and influential (i.e., model fit and prediction) outliers. Although our emphasis is on regression, structural equation modeling, and multilevel modeling, our general framework forms the basis for a research agenda regarding outliers in the context of other data-analytic approaches. Our recommenda-tions can be used by authors as well as journal editors and reviewers to improve the consistency and transparency of practices regarding the treatment of outliers in organizational science research.", "author" : [ { "dropping-particle" : "", "family" : "Aguinis", "given" : "Herman", "non-dropping-particle" : "", "parse-names" : false, "suffix" : "" }, { "dropping-particle" : "", "family" : "Gottfredson", "given" : "Ryan K", "non-dropping-particle" : "", "parse-names" : false, "suffix" : "" }, { "dropping-particle" : "", "family" : "Joo", "given" : "Harry", "non-dropping-particle" : "", "parse-names" : false, "suffix" : "" } ], "container-title" : "Organizational Research Methods", "id" : "ITEM-1", "issue" : "2", "issued" : { "date-parts" : [ [ "2013" ] ] }, "page" : "270-301", "title" : "Best-practice recommendations for defining, identifying, and handling outliers", "type" : "article-journal", "volume" : "16" }, "uris" : [ "http://www.mendeley.com/documents/?uuid=5df5bc68-a5e2-45c2-b29b-e9c0d80b7c88" ] } ], "mendeley" : { "formattedCitation" : "(Aguinis et al. 2013)", "manualFormatting" : "(Aguinis et al., 2013)", "plainTextFormattedCitation" : "(Aguinis et al. 2013)", "previouslyFormattedCitation" : "(Aguinis et al. 2013)" }, "properties" : { "noteIndex" : 0 }, "schema" : "https://github.com/citation-style-language/schema/raw/master/csl-citation.json" }</w:instrText>
      </w:r>
      <w:r w:rsidRPr="00452E2E">
        <w:fldChar w:fldCharType="separate"/>
      </w:r>
      <w:r w:rsidRPr="00452E2E">
        <w:rPr>
          <w:noProof/>
        </w:rPr>
        <w:t xml:space="preserve">(Aguinis </w:t>
      </w:r>
      <w:r w:rsidRPr="00452E2E">
        <w:rPr>
          <w:i/>
          <w:noProof/>
        </w:rPr>
        <w:t>et al</w:t>
      </w:r>
      <w:r w:rsidRPr="00452E2E">
        <w:rPr>
          <w:noProof/>
        </w:rPr>
        <w:t>., 2013)</w:t>
      </w:r>
      <w:r w:rsidRPr="00452E2E">
        <w:fldChar w:fldCharType="end"/>
      </w:r>
      <w:r w:rsidRPr="00452E2E">
        <w:t xml:space="preserve">. On the other hand, I was aware that conducting the regression analysis when the basic assumptions were violated due to the presence of outliers would automatically invalidate the results </w:t>
      </w:r>
      <w:r w:rsidRPr="00452E2E">
        <w:fldChar w:fldCharType="begin" w:fldLock="1"/>
      </w:r>
      <w:r w:rsidRPr="00452E2E">
        <w:instrText>ADDIN CSL_CITATION { "citationItems" : [ { "id" : "ITEM-1", "itemData" : { "author" : [ { "dropping-particle" : "", "family" : "Hair", "given" : "J.F", "non-dropping-particle" : "", "parse-names" : false, "suffix" : "" }, { "dropping-particle" : "", "family" : "Black", "given" : "W.C", "non-dropping-particle" : "", "parse-names" : false, "suffix" : "" }, { "dropping-particle" : "", "family" : "Babin", "given" : "B.J", "non-dropping-particle" : "", "parse-names" : false, "suffix" : "" }, { "dropping-particle" : "", "family" : "Anderson", "given" : "R.E", "non-dropping-particle" : "", "parse-names" : false, "suffix" : "" } ], "edition" : "7th ed.", "id" : "ITEM-1", "issued" : { "date-parts" : [ [ "2010" ] ] }, "publisher" : "Pearson", "publisher-place" : "London", "title" : "Multivariate data analysis: a global perspective", "type" : "book" }, "uris" : [ "http://www.mendeley.com/documents/?uuid=1715b08d-462d-474d-b3d4-d4d380d30d6e" ] } ], "mendeley" : { "formattedCitation" : "(Hair et al. 2010)", "manualFormatting" : "(Hair et al., 2010)", "plainTextFormattedCitation" : "(Hair et al. 2010)", "previouslyFormattedCitation" : "(Hair et al. 2010)" }, "properties" : { "noteIndex" : 0 }, "schema" : "https://github.com/citation-style-language/schema/raw/master/csl-citation.json" }</w:instrText>
      </w:r>
      <w:r w:rsidRPr="00452E2E">
        <w:fldChar w:fldCharType="separate"/>
      </w:r>
      <w:r w:rsidRPr="00452E2E">
        <w:rPr>
          <w:noProof/>
        </w:rPr>
        <w:t xml:space="preserve">(Hair </w:t>
      </w:r>
      <w:r w:rsidRPr="00452E2E">
        <w:rPr>
          <w:i/>
          <w:noProof/>
        </w:rPr>
        <w:t>et al</w:t>
      </w:r>
      <w:r w:rsidRPr="00452E2E">
        <w:rPr>
          <w:noProof/>
        </w:rPr>
        <w:t>., 2010)</w:t>
      </w:r>
      <w:r w:rsidRPr="00452E2E">
        <w:fldChar w:fldCharType="end"/>
      </w:r>
      <w:r w:rsidRPr="00452E2E">
        <w:t xml:space="preserve">. Therefore, bootstrap resampling technique was used to conduct the regression analysis. Bootstrapping is a computer-based resampling technique which considers a sample as the population and resamples from the original sample with replacement </w:t>
      </w:r>
      <w:r w:rsidRPr="00452E2E">
        <w:fldChar w:fldCharType="begin" w:fldLock="1"/>
      </w:r>
      <w:r w:rsidRPr="00452E2E">
        <w:instrText>ADDIN CSL_CITATION { "citationItems" : [ { "id" : "ITEM-1", "itemData" : { "abstract" : "Most treatments of indirect effects and mediation in the statistical methods literature and the corresponding methods used by behavioral scientists have assumed linear relationships between variables in the causal system. Here we describe and extend a method first introduced by Stolzenberg (1980) for estimating indirect effects in models of mediators and outcomes that are nonlinear functions but linear in their parameters. We introduce the concept of the instantaneous indirect effect of X on Y through M and illustrate its computation and describe a bootstrapping procedure for inference. Mplus code as well as SPSS and SAS macros are provided to facilitate the adoption of this approach and ease the computational burden on the researcher.", "author" : [ { "dropping-particle" : "", "family" : "Hayes", "given" : "Andrew F.", "non-dropping-particle" : "", "parse-names" : false, "suffix" : "" }, { "dropping-particle" : "", "family" : "Preacher", "given" : "Kristopher J.", "non-dropping-particle" : "", "parse-names" : false, "suffix" : "" } ], "container-title" : "Multivariate Behavioral Research", "id" : "ITEM-1", "issue" : "4", "issued" : { "date-parts" : [ [ "2010" ] ] }, "page" : "627-660", "title" : "Quantifying and testing indirect effects in simple mediation models when the constituent paths are nonlinear", "type" : "article-journal", "volume" : "45" }, "uris" : [ "http://www.mendeley.com/documents/?uuid=d19602ef-f7af-442b-b309-95a51e5a3c92" ] } ], "mendeley" : { "formattedCitation" : "(Hayes &amp; Preacher 2010)", "manualFormatting" : "(Hayes &amp; Preacher, 2010)", "plainTextFormattedCitation" : "(Hayes &amp; Preacher 2010)", "previouslyFormattedCitation" : "(Hayes &amp; Preacher 2010)" }, "properties" : { "noteIndex" : 0 }, "schema" : "https://github.com/citation-style-language/schema/raw/master/csl-citation.json" }</w:instrText>
      </w:r>
      <w:r w:rsidRPr="00452E2E">
        <w:fldChar w:fldCharType="separate"/>
      </w:r>
      <w:r w:rsidRPr="00452E2E">
        <w:rPr>
          <w:noProof/>
        </w:rPr>
        <w:t>(Hayes &amp; Preacher, 2010)</w:t>
      </w:r>
      <w:r w:rsidRPr="00452E2E">
        <w:fldChar w:fldCharType="end"/>
      </w:r>
      <w:r w:rsidRPr="00452E2E">
        <w:t xml:space="preserve">. This form of resampling can generate up to 10,000 resamples (1,000 in this research) and could be used when parametric assumptions are violated in order to produce robust analyses </w:t>
      </w:r>
      <w:r w:rsidRPr="00452E2E">
        <w:fldChar w:fldCharType="begin" w:fldLock="1"/>
      </w:r>
      <w:r w:rsidRPr="00452E2E">
        <w:instrText>ADDIN CSL_CITATION { "citationItems" : [ { "id" : "ITEM-1", "itemData" : { "abstract" : "Most treatments of indirect effects and mediation in the statistical methods literature and the corresponding methods used by behavioral scientists have assumed linear relationships between variables in the causal system. Here we describe and extend a method first introduced by Stolzenberg (1980) for estimating indirect effects in models of mediators and outcomes that are nonlinear functions but linear in their parameters. We introduce the concept of the instantaneous indirect effect of X on Y through M and illustrate its computation and describe a bootstrapping procedure for inference. Mplus code as well as SPSS and SAS macros are provided to facilitate the adoption of this approach and ease the computational burden on the researcher.", "author" : [ { "dropping-particle" : "", "family" : "Hayes", "given" : "Andrew F.", "non-dropping-particle" : "", "parse-names" : false, "suffix" : "" }, { "dropping-particle" : "", "family" : "Preacher", "given" : "Kristopher J.", "non-dropping-particle" : "", "parse-names" : false, "suffix" : "" } ], "container-title" : "Multivariate Behavioral Research", "id" : "ITEM-1", "issue" : "4", "issued" : { "date-parts" : [ [ "2010" ] ] }, "page" : "627-660", "title" : "Quantifying and testing indirect effects in simple mediation models when the constituent paths are nonlinear", "type" : "article-journal", "volume" : "45" }, "uris" : [ "http://www.mendeley.com/documents/?uuid=d19602ef-f7af-442b-b309-95a51e5a3c92" ] }, { "id" : "ITEM-2", "itemData" : { "DOI" : "10.1007/s10865-016-9712-3", "ISSN" : "15733521", "PMID" : "26801338", "abstract" : "Depressive symptoms are common in individuals with multiple sclerosis (MS), and are frequently exacerbated by pain; however, spiritual well-being may allow persons with MS to more effectively cope with pain-related deficits in physical and role functioning. We explored the associations between spiritual well-being, pain interference and depressive symptoms, assessing each as a potential mediator, in eighty-one patients being treated for MS, who completed self-report measures: Functional Assessment of Chronic Illness Therapy-Spiritual Well-Being Scale, Pain Effects Scale, and Center for Epidemiologic Studies Depression Scale Revised. At the bivariate level, spiritual well-being and its subscale of meaning and peace were negatively associated with depression and pain interference. In mediation models, depression was not related to pain interference via spiritual well-being, or to spiritual well-being via pain interference. Pain interference was related to depression via spiritual well-being and meaning/peace, and to spiritual well-being and meaning/peace via depressive symptoms. Finally, spiritual well-being and meaning/peace were related to depression via pain interference, and to pain interference via depressive symptoms. For patients with MS, a multi-faceted approach to treatment that includes pain reduction and promotion of spiritual well-being may be beneficial, although amelioration of depression remains a critical task.", "author" : [ { "dropping-particle" : "", "family" : "Nsamenang", "given" : "Sheri A.", "non-dropping-particle" : "", "parse-names" : false, "suffix" : "" }, { "dropping-particle" : "", "family" : "Hirsch", "given" : "Jameson K.", "non-dropping-particle" : "", "parse-names" : false, "suffix" : "" }, { "dropping-particle" : "", "family" : "Topciu", "given" : "Raluca", "non-dropping-particle" : "", "parse-names" : false, "suffix" : "" }, { "dropping-particle" : "", "family" : "Goodman", "given" : "Andrew D.", "non-dropping-particle" : "", "parse-names" : false, "suffix" : "" }, { "dropping-particle" : "", "family" : "Duberstein", "given" : "Paul R.", "non-dropping-particle" : "", "parse-names" : false, "suffix" : "" } ], "container-title" : "Journal of Behavioral Medicine", "id" : "ITEM-2", "issue" : "2", "issued" : { "date-parts" : [ [ "2016" ] ] }, "page" : "355-363", "publisher" : "Springer US", "title" : "The interrelations between spiritual well-being, pain interference and depressive symptoms in patients with multiple sclerosis", "type" : "article-journal", "volume" : "39" }, "uris" : [ "http://www.mendeley.com/documents/?uuid=2175be93-0441-4bb1-accc-f9a29ae41e6d" ] } ], "mendeley" : { "formattedCitation" : "(Hayes &amp; Preacher 2010; Nsamenang et al. 2016)", "manualFormatting" : "(Hayes &amp; Preacher, 2010; Nsamenang et al., 2016)", "plainTextFormattedCitation" : "(Hayes &amp; Preacher 2010; Nsamenang et al. 2016)", "previouslyFormattedCitation" : "(Hayes &amp; Preacher 2010; Nsamenang et al. 2016)" }, "properties" : { "noteIndex" : 0 }, "schema" : "https://github.com/citation-style-language/schema/raw/master/csl-citation.json" }</w:instrText>
      </w:r>
      <w:r w:rsidRPr="00452E2E">
        <w:fldChar w:fldCharType="separate"/>
      </w:r>
      <w:r w:rsidRPr="00452E2E">
        <w:rPr>
          <w:noProof/>
        </w:rPr>
        <w:t xml:space="preserve">(Hayes &amp; Preacher, 2010; Nsamenang </w:t>
      </w:r>
      <w:r w:rsidRPr="00452E2E">
        <w:rPr>
          <w:i/>
          <w:noProof/>
        </w:rPr>
        <w:t>et al</w:t>
      </w:r>
      <w:r w:rsidRPr="00452E2E">
        <w:rPr>
          <w:noProof/>
        </w:rPr>
        <w:t>., 2016)</w:t>
      </w:r>
      <w:r w:rsidRPr="00452E2E">
        <w:fldChar w:fldCharType="end"/>
      </w:r>
      <w:r w:rsidRPr="00452E2E">
        <w:t>. Therefore</w:t>
      </w:r>
      <w:r w:rsidR="00E56200" w:rsidRPr="00452E2E">
        <w:t>,</w:t>
      </w:r>
      <w:r w:rsidRPr="00452E2E">
        <w:t xml:space="preserve"> the analysis of regression was based on 1000 bootstrap resamples. As I </w:t>
      </w:r>
      <w:r w:rsidR="00033B18" w:rsidRPr="00452E2E">
        <w:t>wi</w:t>
      </w:r>
      <w:r w:rsidRPr="00452E2E">
        <w:t xml:space="preserve">ll show in later sections, the methods of mediation and moderated mediation analyses utilized in this research also favoured the use of bootstrapping. </w:t>
      </w:r>
    </w:p>
    <w:p w:rsidR="00D03A8E" w:rsidRPr="00452E2E" w:rsidRDefault="00D03A8E" w:rsidP="00D03A8E">
      <w:pPr>
        <w:spacing w:line="360" w:lineRule="auto"/>
        <w:jc w:val="both"/>
      </w:pPr>
      <w:r w:rsidRPr="00452E2E">
        <w:t>In this research, the test of direct relationships via regression analysis involved testing the effects of HR practices as well as the effects of procedural justice, commitment-focused HR attribution, control-focused HR attribution and union compliance HR attribution on each of the employee attitudes (job satisfaction, affective, normative and continuance commitment) that are of interest to the research. I controlled for variables that are commonly controlled for in studies on HR practices and employee attitudes. These control variables were age, sex, education, tenure, pay, job category, industry and sector. In order to test the effect of HR practices on employee attitudes, multiple regression analysis was utilized where the control variables were entered in the first model whilst all the 3 HR practices were entered in the second model at the same</w:t>
      </w:r>
      <w:r w:rsidR="00F46096" w:rsidRPr="00452E2E">
        <w:t xml:space="preserve"> time</w:t>
      </w:r>
      <w:r w:rsidR="00920CA8" w:rsidRPr="00BE5AF1">
        <w:rPr>
          <w:rStyle w:val="FootnoteReference"/>
        </w:rPr>
        <w:footnoteReference w:id="15"/>
      </w:r>
      <w:r w:rsidRPr="00452E2E">
        <w:t xml:space="preserve">. On the other hand, simple linear regression analysis was utilized to test the effects of each of procedural justice, commitment-focused HR attribution, control-focused HR </w:t>
      </w:r>
      <w:r w:rsidRPr="00452E2E">
        <w:lastRenderedPageBreak/>
        <w:t xml:space="preserve">attribution and union compliance HR attribution on employee attitudes. In each of these models as well, the control variables were entered in the first model whilst each predictor variable was entered in the second model. The results of the analyses are presented in the sections below. </w:t>
      </w:r>
    </w:p>
    <w:p w:rsidR="00D03A8E" w:rsidRPr="00452E2E" w:rsidRDefault="00D03A8E" w:rsidP="00D03A8E">
      <w:pPr>
        <w:spacing w:line="360" w:lineRule="auto"/>
        <w:jc w:val="both"/>
        <w:rPr>
          <w:i/>
        </w:rPr>
      </w:pPr>
      <w:r w:rsidRPr="00452E2E">
        <w:rPr>
          <w:i/>
        </w:rPr>
        <w:t>HR Practices and Employee Attitudes</w:t>
      </w:r>
    </w:p>
    <w:p w:rsidR="00D03A8E" w:rsidRPr="00452E2E" w:rsidRDefault="00D03A8E" w:rsidP="00D03A8E">
      <w:pPr>
        <w:spacing w:line="360" w:lineRule="auto"/>
        <w:jc w:val="both"/>
      </w:pPr>
      <w:r w:rsidRPr="00452E2E">
        <w:t xml:space="preserve">To test the relationship between HR practices and employee attitudes, multiple regression analysis was used. As a first step, the control variables were entered in the first model whilst the three HR practices (training, employee benefits, and employee participation) were entered in the second model. This relationship was tested on each of job satisfaction, affective commitment, continuance commitment and normative commitment. </w:t>
      </w:r>
    </w:p>
    <w:p w:rsidR="00D03A8E" w:rsidRPr="00452E2E" w:rsidRDefault="00B21171" w:rsidP="00D03A8E">
      <w:pPr>
        <w:pStyle w:val="Caption"/>
        <w:rPr>
          <w:b w:val="0"/>
        </w:rPr>
      </w:pPr>
      <w:bookmarkStart w:id="172" w:name="_Toc465419863"/>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4</w:t>
      </w:r>
      <w:r w:rsidR="00B26571">
        <w:rPr>
          <w:noProof/>
        </w:rPr>
        <w:fldChar w:fldCharType="end"/>
      </w:r>
      <w:r w:rsidR="00D03A8E" w:rsidRPr="00452E2E">
        <w:t>: Multiple Regression Results Showing the Effects of HR Practices on Job Satisfaction and Affective Commitment</w:t>
      </w:r>
      <w:bookmarkEnd w:id="172"/>
    </w:p>
    <w:tbl>
      <w:tblPr>
        <w:tblStyle w:val="TableGrid"/>
        <w:tblW w:w="9209" w:type="dxa"/>
        <w:shd w:val="clear" w:color="auto" w:fill="FFFFFF" w:themeFill="background1"/>
        <w:tblLook w:val="04A0" w:firstRow="1" w:lastRow="0" w:firstColumn="1" w:lastColumn="0" w:noHBand="0" w:noVBand="1"/>
      </w:tblPr>
      <w:tblGrid>
        <w:gridCol w:w="3333"/>
        <w:gridCol w:w="788"/>
        <w:gridCol w:w="669"/>
        <w:gridCol w:w="806"/>
        <w:gridCol w:w="604"/>
        <w:gridCol w:w="807"/>
        <w:gridCol w:w="592"/>
        <w:gridCol w:w="906"/>
        <w:gridCol w:w="704"/>
      </w:tblGrid>
      <w:tr w:rsidR="00452E2E" w:rsidRPr="00452E2E" w:rsidTr="00B57950">
        <w:trPr>
          <w:trHeight w:val="238"/>
        </w:trPr>
        <w:tc>
          <w:tcPr>
            <w:tcW w:w="333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457"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w:t>
            </w:r>
            <w:r w:rsidR="00B00321" w:rsidRPr="00452E2E">
              <w:rPr>
                <w:b/>
                <w:sz w:val="18"/>
                <w:szCs w:val="18"/>
              </w:rPr>
              <w:t>Model 1</w:t>
            </w:r>
          </w:p>
        </w:tc>
        <w:tc>
          <w:tcPr>
            <w:tcW w:w="1410"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c>
          <w:tcPr>
            <w:tcW w:w="139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610"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r>
      <w:tr w:rsidR="00452E2E" w:rsidRPr="00452E2E" w:rsidTr="00B57950">
        <w:trPr>
          <w:trHeight w:val="228"/>
        </w:trPr>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457"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            </w:t>
            </w:r>
          </w:p>
        </w:tc>
        <w:tc>
          <w:tcPr>
            <w:tcW w:w="1410"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w:t>
            </w:r>
          </w:p>
        </w:tc>
        <w:tc>
          <w:tcPr>
            <w:tcW w:w="1399"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1610"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r>
      <w:tr w:rsidR="00452E2E" w:rsidRPr="00452E2E" w:rsidTr="00B57950">
        <w:trPr>
          <w:trHeight w:val="174"/>
        </w:trPr>
        <w:tc>
          <w:tcPr>
            <w:tcW w:w="333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78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00340425" w:rsidRPr="00452E2E">
              <w:rPr>
                <w:b/>
                <w:sz w:val="18"/>
                <w:szCs w:val="18"/>
              </w:rPr>
              <w:t xml:space="preserve">  </w:t>
            </w:r>
            <w:r w:rsidRPr="00452E2E">
              <w:rPr>
                <w:sz w:val="18"/>
                <w:szCs w:val="18"/>
              </w:rPr>
              <w:t>β</w:t>
            </w:r>
          </w:p>
        </w:tc>
        <w:tc>
          <w:tcPr>
            <w:tcW w:w="66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340425" w:rsidP="00B57950">
            <w:pPr>
              <w:rPr>
                <w:sz w:val="18"/>
                <w:szCs w:val="18"/>
              </w:rPr>
            </w:pPr>
            <w:r w:rsidRPr="00452E2E">
              <w:rPr>
                <w:sz w:val="18"/>
                <w:szCs w:val="18"/>
              </w:rPr>
              <w:t xml:space="preserve">  </w:t>
            </w:r>
            <w:r w:rsidR="00D03A8E" w:rsidRPr="00452E2E">
              <w:rPr>
                <w:sz w:val="18"/>
                <w:szCs w:val="18"/>
              </w:rPr>
              <w:t>β</w:t>
            </w:r>
          </w:p>
        </w:tc>
        <w:tc>
          <w:tcPr>
            <w:tcW w:w="60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0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340425" w:rsidP="00B57950">
            <w:pPr>
              <w:rPr>
                <w:sz w:val="18"/>
                <w:szCs w:val="18"/>
              </w:rPr>
            </w:pPr>
            <w:r w:rsidRPr="00452E2E">
              <w:rPr>
                <w:sz w:val="18"/>
                <w:szCs w:val="18"/>
              </w:rPr>
              <w:t xml:space="preserve">  </w:t>
            </w:r>
            <w:r w:rsidR="00D03A8E" w:rsidRPr="00452E2E">
              <w:rPr>
                <w:sz w:val="18"/>
                <w:szCs w:val="18"/>
              </w:rPr>
              <w:t>β</w:t>
            </w:r>
          </w:p>
        </w:tc>
        <w:tc>
          <w:tcPr>
            <w:tcW w:w="5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340425" w:rsidP="00B57950">
            <w:pPr>
              <w:rPr>
                <w:sz w:val="18"/>
                <w:szCs w:val="18"/>
              </w:rPr>
            </w:pPr>
            <w:r w:rsidRPr="00452E2E">
              <w:rPr>
                <w:sz w:val="18"/>
                <w:szCs w:val="18"/>
              </w:rPr>
              <w:t xml:space="preserve">  </w:t>
            </w:r>
            <w:r w:rsidR="00D03A8E" w:rsidRPr="00452E2E">
              <w:rPr>
                <w:sz w:val="18"/>
                <w:szCs w:val="18"/>
              </w:rPr>
              <w:t>β</w:t>
            </w:r>
          </w:p>
        </w:tc>
        <w:tc>
          <w:tcPr>
            <w:tcW w:w="70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33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78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6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0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0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0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.068</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.070</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-.054</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.049</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.047</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-.014</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.047</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-.015</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.046</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.013</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.036</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.015</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-.026</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.049</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.090*</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-.015</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-.045</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.003</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.069</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.018</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.025</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.057</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.036</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.072</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-.022</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.066</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.056</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.069</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.016</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.074</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.372**</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.320**</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.058</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.742**</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.682**</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.055</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HR Practices</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Training</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.075**</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.028</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.009</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.022</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Employee Benefits</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.043</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.028</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.024</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Employee Participation</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.019</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r>
      <w:tr w:rsidR="00452E2E" w:rsidRPr="00452E2E" w:rsidTr="00B57950">
        <w:trPr>
          <w:trHeight w:val="263"/>
        </w:trPr>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.123</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.144</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.404</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.416</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.107</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.124</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.545</w:t>
            </w: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.393</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.403</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.558</w:t>
            </w:r>
          </w:p>
        </w:tc>
      </w:tr>
      <w:tr w:rsidR="00452E2E" w:rsidRPr="00452E2E" w:rsidTr="00B57950">
        <w:tc>
          <w:tcPr>
            <w:tcW w:w="33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.123**</w:t>
            </w:r>
          </w:p>
        </w:tc>
        <w:tc>
          <w:tcPr>
            <w:tcW w:w="6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.021**</w:t>
            </w:r>
          </w:p>
        </w:tc>
        <w:tc>
          <w:tcPr>
            <w:tcW w:w="6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.404**</w:t>
            </w:r>
          </w:p>
        </w:tc>
        <w:tc>
          <w:tcPr>
            <w:tcW w:w="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.012*</w:t>
            </w:r>
          </w:p>
        </w:tc>
        <w:tc>
          <w:tcPr>
            <w:tcW w:w="7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3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3, 508)</w:t>
            </w:r>
          </w:p>
        </w:tc>
        <w:tc>
          <w:tcPr>
            <w:tcW w:w="78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4.157**</w:t>
            </w:r>
          </w:p>
        </w:tc>
        <w:tc>
          <w:tcPr>
            <w:tcW w:w="60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3.614*</w:t>
            </w:r>
          </w:p>
        </w:tc>
        <w:tc>
          <w:tcPr>
            <w:tcW w:w="70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JS = Job satisfaction; AC = Affective commitment.                                         Bootstrap regression coefficients are reported.</w:t>
      </w:r>
    </w:p>
    <w:p w:rsidR="00D03A8E" w:rsidRPr="00452E2E" w:rsidRDefault="00D03A8E" w:rsidP="006E51B8">
      <w:pPr>
        <w:spacing w:before="240" w:line="360" w:lineRule="auto"/>
        <w:jc w:val="both"/>
      </w:pPr>
      <w:r w:rsidRPr="00452E2E">
        <w:t xml:space="preserve">Results presented in table 7.4 indicate that after accounting for control variables, the model for job satisfaction was significant [F (3, 508) =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.144, </w:t>
      </w:r>
      <w:r w:rsidRPr="00452E2E">
        <w:rPr>
          <w:rFonts w:cs="StoneSerifStd-Medium"/>
          <w:i/>
          <w:szCs w:val="24"/>
        </w:rPr>
        <w:t>p</w:t>
      </w:r>
      <w:r w:rsidRPr="00452E2E">
        <w:rPr>
          <w:rFonts w:cs="StoneSerifStd-Medium"/>
          <w:szCs w:val="24"/>
        </w:rPr>
        <w:t>&lt;.01)] which means that the 3 HR practices significantly predict job satisfaction in line with hypothesis 1. Nevertheless, the change in job satisfaction explained by HR practices was low (Δ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.021,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4.157, </w:t>
      </w:r>
      <w:r w:rsidRPr="00452E2E">
        <w:rPr>
          <w:rFonts w:cs="StoneSerifStd-Medium"/>
          <w:i/>
          <w:szCs w:val="24"/>
        </w:rPr>
        <w:t xml:space="preserve">p </w:t>
      </w:r>
      <w:r w:rsidRPr="00452E2E">
        <w:rPr>
          <w:rFonts w:cs="StoneSerifStd-Medium"/>
          <w:szCs w:val="24"/>
        </w:rPr>
        <w:t xml:space="preserve">&lt; .01) and even less than the </w:t>
      </w:r>
      <w:r w:rsidRPr="00452E2E">
        <w:rPr>
          <w:rFonts w:cs="StoneSerifStd-Medium"/>
          <w:szCs w:val="24"/>
        </w:rPr>
        <w:lastRenderedPageBreak/>
        <w:t xml:space="preserve">variance in job satisfaction explained by the control variables. </w:t>
      </w:r>
      <w:r w:rsidRPr="00452E2E">
        <w:t>Meanwhile, among the 3 HR practices, only training (β</w:t>
      </w:r>
      <w:r w:rsidRPr="00452E2E">
        <w:rPr>
          <w:rFonts w:cs="StoneSerifStd-Medium"/>
          <w:szCs w:val="24"/>
        </w:rPr>
        <w:t xml:space="preserve">= .075, </w:t>
      </w:r>
      <w:r w:rsidRPr="00452E2E">
        <w:rPr>
          <w:rFonts w:cs="StoneSerifStd-Medium"/>
          <w:i/>
          <w:szCs w:val="24"/>
        </w:rPr>
        <w:t>SE</w:t>
      </w:r>
      <w:r w:rsidRPr="00452E2E">
        <w:rPr>
          <w:rFonts w:cs="StoneSerifStd-Medium"/>
          <w:szCs w:val="24"/>
        </w:rPr>
        <w:t xml:space="preserve"> = .028) had a unique effect on job satisfaction thus indicating that training was a better predictor of job satisfaction than the other HR practices. The analysis of the control variables indicate that only sector (</w:t>
      </w:r>
      <w:r w:rsidRPr="00452E2E">
        <w:t xml:space="preserve">β = .320, </w:t>
      </w:r>
      <w:r w:rsidRPr="00452E2E">
        <w:rPr>
          <w:i/>
        </w:rPr>
        <w:t>SE</w:t>
      </w:r>
      <w:r w:rsidRPr="00452E2E">
        <w:t xml:space="preserve"> = .058, </w:t>
      </w:r>
      <w:r w:rsidRPr="00452E2E">
        <w:rPr>
          <w:i/>
        </w:rPr>
        <w:t>p</w:t>
      </w:r>
      <w:r w:rsidRPr="00452E2E">
        <w:t xml:space="preserve">&lt;.01) significantly predict job satisfaction, with the effect higher in the public sector. This suggests that there are other underlying variables within the public sector that account for job satisfaction more than any of the 3 HR practices. </w:t>
      </w:r>
    </w:p>
    <w:p w:rsidR="00D03A8E" w:rsidRPr="00452E2E" w:rsidRDefault="00D03A8E" w:rsidP="00D03A8E">
      <w:pPr>
        <w:spacing w:line="360" w:lineRule="auto"/>
        <w:jc w:val="both"/>
      </w:pPr>
      <w:r w:rsidRPr="00452E2E">
        <w:t xml:space="preserve">The table (7.4) further indicates that the overall model for affective commitment was also significant [F (3, 508) =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.403, </w:t>
      </w:r>
      <w:r w:rsidRPr="00452E2E">
        <w:rPr>
          <w:rFonts w:cs="StoneSerifStd-Medium"/>
          <w:i/>
          <w:szCs w:val="24"/>
        </w:rPr>
        <w:t>p</w:t>
      </w:r>
      <w:r w:rsidRPr="00452E2E">
        <w:rPr>
          <w:rFonts w:cs="StoneSerifStd-Medium"/>
          <w:szCs w:val="24"/>
        </w:rPr>
        <w:t>&lt;.05)] whilst the change statistics also indicate a minimal change in affective commitment that is accounted for by the HR practices after accounting for the control variables (Δ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.012,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3.614, </w:t>
      </w:r>
      <w:r w:rsidRPr="00452E2E">
        <w:rPr>
          <w:rFonts w:cs="StoneSerifStd-Medium"/>
          <w:i/>
          <w:szCs w:val="24"/>
        </w:rPr>
        <w:t xml:space="preserve">p </w:t>
      </w:r>
      <w:r w:rsidRPr="00452E2E">
        <w:rPr>
          <w:rFonts w:cs="StoneSerifStd-Medium"/>
          <w:szCs w:val="24"/>
        </w:rPr>
        <w:t>&lt; .01)</w:t>
      </w:r>
      <w:r w:rsidR="00B33319" w:rsidRPr="00452E2E">
        <w:rPr>
          <w:rFonts w:cs="StoneSerifStd-Medium"/>
          <w:szCs w:val="24"/>
        </w:rPr>
        <w:t>,</w:t>
      </w:r>
      <w:r w:rsidRPr="00452E2E">
        <w:rPr>
          <w:rFonts w:cs="StoneSerifStd-Medium"/>
          <w:szCs w:val="24"/>
        </w:rPr>
        <w:t xml:space="preserve"> which is less than the change statistics reported for job satisfaction. Again, it was the control variables that accounted for much of the change in affective commitment with sector (</w:t>
      </w:r>
      <w:r w:rsidRPr="00452E2E">
        <w:t xml:space="preserve">β = .682, </w:t>
      </w:r>
      <w:r w:rsidRPr="00452E2E">
        <w:rPr>
          <w:i/>
        </w:rPr>
        <w:t>SE</w:t>
      </w:r>
      <w:r w:rsidRPr="00452E2E">
        <w:t xml:space="preserve"> = .055, </w:t>
      </w:r>
      <w:r w:rsidRPr="00452E2E">
        <w:rPr>
          <w:i/>
        </w:rPr>
        <w:t>p</w:t>
      </w:r>
      <w:r w:rsidRPr="00452E2E">
        <w:t xml:space="preserve">&lt;.01) the only control variable with a significant effect on affective commitment. Just like the case with job satisfaction, the effect of sector on affective commitment was higher in the public sector. In terms of the individual contributions of HR practices on affective commitment, only employee benefits </w:t>
      </w:r>
      <w:r w:rsidRPr="00452E2E">
        <w:rPr>
          <w:rFonts w:cs="StoneSerifStd-Medium"/>
          <w:szCs w:val="24"/>
        </w:rPr>
        <w:t>(</w:t>
      </w:r>
      <w:r w:rsidRPr="00452E2E">
        <w:t xml:space="preserve">β = .063, </w:t>
      </w:r>
      <w:r w:rsidRPr="00452E2E">
        <w:rPr>
          <w:i/>
        </w:rPr>
        <w:t>SE</w:t>
      </w:r>
      <w:r w:rsidRPr="00452E2E">
        <w:t xml:space="preserve"> = .024, </w:t>
      </w:r>
      <w:r w:rsidRPr="00452E2E">
        <w:rPr>
          <w:i/>
        </w:rPr>
        <w:t>p</w:t>
      </w:r>
      <w:r w:rsidRPr="00452E2E">
        <w:t xml:space="preserve">&lt;.01) had a significant effect on affective commitment. Both training (β =.009, </w:t>
      </w:r>
      <w:r w:rsidRPr="00452E2E">
        <w:rPr>
          <w:i/>
        </w:rPr>
        <w:t>SE</w:t>
      </w:r>
      <w:r w:rsidRPr="00452E2E">
        <w:t xml:space="preserve"> = .022, </w:t>
      </w:r>
      <w:r w:rsidRPr="00452E2E">
        <w:rPr>
          <w:i/>
        </w:rPr>
        <w:t xml:space="preserve">p </w:t>
      </w:r>
      <w:r w:rsidRPr="00452E2E">
        <w:t xml:space="preserve">&gt;.05) and employee participation (β = .043, </w:t>
      </w:r>
      <w:r w:rsidRPr="00452E2E">
        <w:rPr>
          <w:i/>
        </w:rPr>
        <w:t xml:space="preserve">SE </w:t>
      </w:r>
      <w:r w:rsidRPr="00452E2E">
        <w:t xml:space="preserve">= .035, </w:t>
      </w:r>
      <w:r w:rsidRPr="00452E2E">
        <w:rPr>
          <w:i/>
        </w:rPr>
        <w:t xml:space="preserve">p </w:t>
      </w:r>
      <w:r w:rsidRPr="00452E2E">
        <w:t>&gt; .05) had no significant effect on affective commitment. However, since the overall model for affective commitment was significant and positive, the hypothesized relationship in hypothesis 2</w:t>
      </w:r>
      <w:r w:rsidRPr="00452E2E">
        <w:rPr>
          <w:i/>
        </w:rPr>
        <w:t xml:space="preserve">a </w:t>
      </w:r>
      <w:r w:rsidRPr="00452E2E">
        <w:t>is therefore supported.</w:t>
      </w:r>
    </w:p>
    <w:p w:rsidR="00D03A8E" w:rsidRPr="00452E2E" w:rsidRDefault="00653C2E" w:rsidP="00D03A8E">
      <w:pPr>
        <w:spacing w:line="360" w:lineRule="auto"/>
        <w:jc w:val="both"/>
      </w:pPr>
      <w:r w:rsidRPr="00452E2E">
        <w:t>The results of</w:t>
      </w:r>
      <w:r w:rsidR="00D03A8E" w:rsidRPr="00452E2E">
        <w:t xml:space="preserve"> the effects of HR practices on normative and continuance commitment are presented in table 7.5</w:t>
      </w:r>
      <w:r w:rsidR="00173FA8" w:rsidRPr="00452E2E">
        <w:t xml:space="preserve"> overleaf</w:t>
      </w:r>
      <w:r w:rsidR="00D03A8E" w:rsidRPr="00452E2E">
        <w:t xml:space="preserve">. The table shows a significant overall model for normative commitment [F (3, 508) = </w:t>
      </w:r>
      <w:r w:rsidR="00D03A8E" w:rsidRPr="00452E2E">
        <w:rPr>
          <w:rFonts w:cs="StoneSerifStd-MediumItalic"/>
          <w:i/>
          <w:iCs/>
          <w:szCs w:val="24"/>
        </w:rPr>
        <w:t>R</w:t>
      </w:r>
      <w:r w:rsidR="00D03A8E" w:rsidRPr="00452E2E">
        <w:rPr>
          <w:rFonts w:cs="StoneSerifStd-Medium"/>
          <w:szCs w:val="24"/>
          <w:vertAlign w:val="superscript"/>
        </w:rPr>
        <w:t xml:space="preserve">2 </w:t>
      </w:r>
      <w:r w:rsidR="00D03A8E" w:rsidRPr="00452E2E">
        <w:rPr>
          <w:rFonts w:cs="StoneSerifStd-Medium"/>
          <w:szCs w:val="24"/>
        </w:rPr>
        <w:t xml:space="preserve">= .062, </w:t>
      </w:r>
      <w:r w:rsidR="00D03A8E" w:rsidRPr="00452E2E">
        <w:rPr>
          <w:rFonts w:cs="StoneSerifStd-Medium"/>
          <w:i/>
          <w:szCs w:val="24"/>
        </w:rPr>
        <w:t xml:space="preserve">p </w:t>
      </w:r>
      <w:r w:rsidR="00D03A8E" w:rsidRPr="00452E2E">
        <w:rPr>
          <w:rFonts w:cs="StoneSerifStd-Medium"/>
          <w:szCs w:val="24"/>
        </w:rPr>
        <w:t>&lt;. 01)]. The incremental level of normative commitment (Δ</w:t>
      </w:r>
      <w:r w:rsidR="00D03A8E" w:rsidRPr="00452E2E">
        <w:rPr>
          <w:rFonts w:cs="StoneSerifStd-MediumItalic"/>
          <w:i/>
          <w:iCs/>
          <w:szCs w:val="24"/>
        </w:rPr>
        <w:t>R</w:t>
      </w:r>
      <w:r w:rsidR="00D03A8E" w:rsidRPr="00452E2E">
        <w:rPr>
          <w:rFonts w:cs="StoneSerifStd-Medium"/>
          <w:szCs w:val="24"/>
          <w:vertAlign w:val="superscript"/>
        </w:rPr>
        <w:t>2</w:t>
      </w:r>
      <w:r w:rsidR="00D03A8E" w:rsidRPr="00452E2E">
        <w:rPr>
          <w:rFonts w:cs="StoneSerifStd-Medium"/>
          <w:szCs w:val="24"/>
        </w:rPr>
        <w:t xml:space="preserve"> = .041, </w:t>
      </w:r>
      <w:r w:rsidR="00D03A8E" w:rsidRPr="00452E2E">
        <w:rPr>
          <w:rFonts w:cs="StoneSerifStd-Medium"/>
          <w:i/>
          <w:szCs w:val="24"/>
        </w:rPr>
        <w:t xml:space="preserve">F </w:t>
      </w:r>
      <w:r w:rsidR="00D03A8E" w:rsidRPr="00452E2E">
        <w:rPr>
          <w:rFonts w:cs="StoneSerifStd-Medium"/>
          <w:szCs w:val="24"/>
        </w:rPr>
        <w:t>for Δ</w:t>
      </w:r>
      <w:r w:rsidR="00D03A8E" w:rsidRPr="00452E2E">
        <w:rPr>
          <w:rFonts w:cs="StoneSerifStd-MediumItalic"/>
          <w:i/>
          <w:iCs/>
          <w:szCs w:val="24"/>
        </w:rPr>
        <w:t>R</w:t>
      </w:r>
      <w:r w:rsidR="00D03A8E" w:rsidRPr="00452E2E">
        <w:rPr>
          <w:rFonts w:cs="StoneSerifStd-Medium"/>
          <w:szCs w:val="24"/>
          <w:vertAlign w:val="superscript"/>
        </w:rPr>
        <w:t xml:space="preserve">2 </w:t>
      </w:r>
      <w:r w:rsidR="00D03A8E" w:rsidRPr="00452E2E">
        <w:rPr>
          <w:rFonts w:cs="StoneSerifStd-Medium"/>
          <w:szCs w:val="24"/>
        </w:rPr>
        <w:t xml:space="preserve">= 7.306, </w:t>
      </w:r>
      <w:r w:rsidR="00D03A8E" w:rsidRPr="00452E2E">
        <w:rPr>
          <w:rFonts w:cs="StoneSerifStd-Medium"/>
          <w:i/>
          <w:szCs w:val="24"/>
        </w:rPr>
        <w:t xml:space="preserve">p </w:t>
      </w:r>
      <w:r w:rsidR="00D03A8E" w:rsidRPr="00452E2E">
        <w:rPr>
          <w:rFonts w:cs="StoneSerifStd-Medium"/>
          <w:szCs w:val="24"/>
        </w:rPr>
        <w:t>&lt; .01) after accounting for control variables was however above the change in normative commitment accounted by the control variables unlike the case with job satisfaction and affective commitment. Nevertheless, among the control variables, again only sector (</w:t>
      </w:r>
      <w:r w:rsidR="00D03A8E" w:rsidRPr="00452E2E">
        <w:t xml:space="preserve">β = -.327, </w:t>
      </w:r>
      <w:r w:rsidR="00D03A8E" w:rsidRPr="00452E2E">
        <w:rPr>
          <w:i/>
        </w:rPr>
        <w:t>SE</w:t>
      </w:r>
      <w:r w:rsidR="00D03A8E" w:rsidRPr="00452E2E">
        <w:t xml:space="preserve"> = .104, </w:t>
      </w:r>
      <w:r w:rsidR="00D03A8E" w:rsidRPr="00452E2E">
        <w:rPr>
          <w:i/>
        </w:rPr>
        <w:t xml:space="preserve">p </w:t>
      </w:r>
      <w:r w:rsidR="00D03A8E" w:rsidRPr="00452E2E">
        <w:t xml:space="preserve">&lt; .01) significantly influenced normative </w:t>
      </w:r>
      <w:r w:rsidR="00D03A8E" w:rsidRPr="00452E2E">
        <w:lastRenderedPageBreak/>
        <w:t xml:space="preserve">commitment but this time, the effect was higher in the private sector. On the individual effects of the HR practices on normative commitment, only employee benefits (β = .161, </w:t>
      </w:r>
      <w:r w:rsidR="00D03A8E" w:rsidRPr="00452E2E">
        <w:rPr>
          <w:i/>
        </w:rPr>
        <w:t>SE</w:t>
      </w:r>
      <w:r w:rsidR="00D03A8E" w:rsidRPr="00452E2E">
        <w:t xml:space="preserve"> = .045, </w:t>
      </w:r>
      <w:r w:rsidR="00D03A8E" w:rsidRPr="00452E2E">
        <w:rPr>
          <w:i/>
        </w:rPr>
        <w:t>p</w:t>
      </w:r>
      <w:r w:rsidR="00D03A8E" w:rsidRPr="00452E2E">
        <w:t xml:space="preserve"> &lt; .01) had a significant effect on normative commitment. Both training (β = .097, </w:t>
      </w:r>
      <w:r w:rsidR="00D03A8E" w:rsidRPr="00452E2E">
        <w:rPr>
          <w:i/>
        </w:rPr>
        <w:t>SE</w:t>
      </w:r>
      <w:r w:rsidR="00D03A8E" w:rsidRPr="00452E2E">
        <w:t xml:space="preserve"> = .051, </w:t>
      </w:r>
      <w:r w:rsidR="00D03A8E" w:rsidRPr="00452E2E">
        <w:rPr>
          <w:i/>
        </w:rPr>
        <w:t>p</w:t>
      </w:r>
      <w:r w:rsidR="00D03A8E" w:rsidRPr="00452E2E">
        <w:t xml:space="preserve"> &gt; .05) and employee participation (β = .086, </w:t>
      </w:r>
      <w:r w:rsidR="00D03A8E" w:rsidRPr="00452E2E">
        <w:rPr>
          <w:i/>
        </w:rPr>
        <w:t xml:space="preserve">SE </w:t>
      </w:r>
      <w:r w:rsidR="00D03A8E" w:rsidRPr="00452E2E">
        <w:t xml:space="preserve">= .058, </w:t>
      </w:r>
      <w:r w:rsidR="00D03A8E" w:rsidRPr="00452E2E">
        <w:rPr>
          <w:i/>
        </w:rPr>
        <w:t xml:space="preserve">p </w:t>
      </w:r>
      <w:r w:rsidR="00D03A8E" w:rsidRPr="00452E2E">
        <w:t>&gt; .05) had positive but non-significant effects on normative commitment. Since the overall effects of HR practices on normative commitment was significant, hypothesis 2</w:t>
      </w:r>
      <w:r w:rsidR="00D03A8E" w:rsidRPr="00452E2E">
        <w:rPr>
          <w:i/>
        </w:rPr>
        <w:t>b</w:t>
      </w:r>
      <w:r w:rsidR="00D03A8E" w:rsidRPr="00452E2E">
        <w:t xml:space="preserve"> is therefore supported. </w:t>
      </w:r>
    </w:p>
    <w:p w:rsidR="00D03A8E" w:rsidRPr="00452E2E" w:rsidRDefault="00B21171" w:rsidP="00D03A8E">
      <w:pPr>
        <w:pStyle w:val="Caption"/>
        <w:rPr>
          <w:vertAlign w:val="superscript"/>
        </w:rPr>
      </w:pPr>
      <w:bookmarkStart w:id="173" w:name="_Toc465419864"/>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5</w:t>
      </w:r>
      <w:r w:rsidR="00B26571">
        <w:rPr>
          <w:noProof/>
        </w:rPr>
        <w:fldChar w:fldCharType="end"/>
      </w:r>
      <w:r w:rsidR="00D03A8E" w:rsidRPr="00452E2E">
        <w:t>: Multiple Regression Results Showing the Effects of HR Practices on Normative and Continuance Commitment</w:t>
      </w:r>
      <w:bookmarkEnd w:id="173"/>
    </w:p>
    <w:tbl>
      <w:tblPr>
        <w:tblStyle w:val="TableGrid"/>
        <w:tblW w:w="9209" w:type="dxa"/>
        <w:shd w:val="clear" w:color="auto" w:fill="FFFFFF" w:themeFill="background1"/>
        <w:tblLayout w:type="fixed"/>
        <w:tblLook w:val="04A0" w:firstRow="1" w:lastRow="0" w:firstColumn="1" w:lastColumn="0" w:noHBand="0" w:noVBand="1"/>
      </w:tblPr>
      <w:tblGrid>
        <w:gridCol w:w="3539"/>
        <w:gridCol w:w="851"/>
        <w:gridCol w:w="567"/>
        <w:gridCol w:w="850"/>
        <w:gridCol w:w="567"/>
        <w:gridCol w:w="851"/>
        <w:gridCol w:w="567"/>
        <w:gridCol w:w="850"/>
        <w:gridCol w:w="567"/>
      </w:tblGrid>
      <w:tr w:rsidR="00452E2E" w:rsidRPr="00452E2E" w:rsidTr="00B57950">
        <w:trPr>
          <w:trHeight w:val="238"/>
        </w:trPr>
        <w:tc>
          <w:tcPr>
            <w:tcW w:w="353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418"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w:t>
            </w:r>
            <w:r w:rsidR="00B00321" w:rsidRPr="00452E2E">
              <w:rPr>
                <w:b/>
                <w:sz w:val="18"/>
                <w:szCs w:val="18"/>
              </w:rPr>
              <w:t>Model 1</w:t>
            </w:r>
          </w:p>
        </w:tc>
        <w:tc>
          <w:tcPr>
            <w:tcW w:w="1417"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c>
          <w:tcPr>
            <w:tcW w:w="1418"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417"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r>
      <w:tr w:rsidR="00452E2E" w:rsidRPr="00452E2E" w:rsidTr="00B57950">
        <w:trPr>
          <w:trHeight w:val="228"/>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418"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            </w:t>
            </w:r>
          </w:p>
        </w:tc>
        <w:tc>
          <w:tcPr>
            <w:tcW w:w="1417"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w:t>
            </w:r>
          </w:p>
        </w:tc>
        <w:tc>
          <w:tcPr>
            <w:tcW w:w="1418"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c>
          <w:tcPr>
            <w:tcW w:w="1417"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r>
      <w:tr w:rsidR="00452E2E" w:rsidRPr="00452E2E" w:rsidTr="00B57950">
        <w:trPr>
          <w:trHeight w:val="174"/>
        </w:trPr>
        <w:tc>
          <w:tcPr>
            <w:tcW w:w="353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5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 xml:space="preserve"> SE</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 xml:space="preserve"> SE</w:t>
            </w:r>
          </w:p>
        </w:tc>
      </w:tr>
      <w:tr w:rsidR="00452E2E" w:rsidRPr="00452E2E" w:rsidTr="00B57950">
        <w:tc>
          <w:tcPr>
            <w:tcW w:w="353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.078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.079</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.097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.081</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.141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.155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.079</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.074</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-.195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.116</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-.214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.156</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.078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.174</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-.327**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-.708**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-.636**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.101</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HR Practices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Training</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.097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.055</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Employee Benefits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.161**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Employee Participation</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r>
      <w:tr w:rsidR="00452E2E" w:rsidRPr="00452E2E" w:rsidTr="00B57950">
        <w:trPr>
          <w:trHeight w:val="263"/>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.021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.062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.127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.156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.952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.935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.136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.980</w:t>
            </w:r>
          </w:p>
        </w:tc>
      </w:tr>
      <w:tr w:rsidR="00452E2E" w:rsidRPr="00452E2E" w:rsidTr="00B57950">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53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3, 508)</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7.306**</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5.867**</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NC = Normative commitment; CC = Continuance commitment.</w:t>
      </w:r>
      <w:r w:rsidR="006C1A06" w:rsidRPr="00452E2E">
        <w:rPr>
          <w:sz w:val="14"/>
          <w:szCs w:val="14"/>
        </w:rPr>
        <w:t xml:space="preserve"> </w:t>
      </w:r>
      <w:r w:rsidRPr="00452E2E">
        <w:rPr>
          <w:sz w:val="14"/>
          <w:szCs w:val="14"/>
        </w:rPr>
        <w:t>Bootstrap regression coefficients are reported.</w:t>
      </w:r>
    </w:p>
    <w:p w:rsidR="00EA1B44" w:rsidRPr="00452E2E" w:rsidRDefault="006C1A06" w:rsidP="006E51B8">
      <w:pPr>
        <w:spacing w:before="240" w:line="360" w:lineRule="auto"/>
        <w:jc w:val="both"/>
      </w:pPr>
      <w:r w:rsidRPr="00452E2E">
        <w:t xml:space="preserve">The relationship between HR practices and continuance commitment (table 7.5) also indicate an overall significant effect [F (3, 508) =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.156, </w:t>
      </w:r>
      <w:r w:rsidRPr="00452E2E">
        <w:rPr>
          <w:rFonts w:cs="StoneSerifStd-Medium"/>
          <w:i/>
          <w:szCs w:val="24"/>
        </w:rPr>
        <w:t xml:space="preserve">p </w:t>
      </w:r>
      <w:r w:rsidRPr="00452E2E">
        <w:rPr>
          <w:rFonts w:cs="StoneSerifStd-Medium"/>
          <w:szCs w:val="24"/>
        </w:rPr>
        <w:t>&lt;. 01)]. The change in continuance commitment accounted by HR practices (Δ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.029,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5.867, </w:t>
      </w:r>
      <w:r w:rsidRPr="00452E2E">
        <w:rPr>
          <w:rFonts w:cs="StoneSerifStd-Medium"/>
          <w:i/>
          <w:szCs w:val="24"/>
        </w:rPr>
        <w:t xml:space="preserve">p </w:t>
      </w:r>
      <w:r w:rsidRPr="00452E2E">
        <w:rPr>
          <w:rFonts w:cs="StoneSerifStd-Medium"/>
          <w:szCs w:val="24"/>
        </w:rPr>
        <w:t>&lt; .01) after taking account of the control variables was below the incremental effect of the control variables. The analysis of the control variables again showed that only sector (</w:t>
      </w:r>
      <w:r w:rsidRPr="00452E2E">
        <w:t xml:space="preserve">β = -.636, </w:t>
      </w:r>
      <w:r w:rsidRPr="00452E2E">
        <w:rPr>
          <w:i/>
        </w:rPr>
        <w:t>SE</w:t>
      </w:r>
      <w:r w:rsidRPr="00452E2E">
        <w:t xml:space="preserve"> = .101) had a significant effect on continuance commitment with the effect higher in the private sector. This suggests the presence of underlying factors in the private sector causing continuance commitment beyond the HR practices in this study. On the individual contribution of the HR practices, both training (β = -.130, </w:t>
      </w:r>
      <w:r w:rsidRPr="00452E2E">
        <w:rPr>
          <w:i/>
        </w:rPr>
        <w:t>SE</w:t>
      </w:r>
      <w:r w:rsidRPr="00452E2E">
        <w:t xml:space="preserve"> = .055, </w:t>
      </w:r>
      <w:r w:rsidRPr="00452E2E">
        <w:rPr>
          <w:i/>
        </w:rPr>
        <w:t xml:space="preserve">p </w:t>
      </w:r>
      <w:r w:rsidRPr="00452E2E">
        <w:t xml:space="preserve">&lt; .01) and employee </w:t>
      </w:r>
      <w:r w:rsidRPr="00452E2E">
        <w:lastRenderedPageBreak/>
        <w:t xml:space="preserve">benefits (β = -.130, </w:t>
      </w:r>
      <w:r w:rsidRPr="00452E2E">
        <w:rPr>
          <w:i/>
        </w:rPr>
        <w:t>SE</w:t>
      </w:r>
      <w:r w:rsidRPr="00452E2E">
        <w:t xml:space="preserve"> =.051, </w:t>
      </w:r>
      <w:r w:rsidRPr="00452E2E">
        <w:rPr>
          <w:i/>
        </w:rPr>
        <w:t>p</w:t>
      </w:r>
      <w:r w:rsidRPr="00452E2E">
        <w:t xml:space="preserve"> &lt;.01) had a significant effect on continuance commitment whilst the effect of employee participation (β = .022, </w:t>
      </w:r>
      <w:r w:rsidRPr="00452E2E">
        <w:rPr>
          <w:i/>
        </w:rPr>
        <w:t>SE</w:t>
      </w:r>
      <w:r w:rsidRPr="00452E2E">
        <w:t xml:space="preserve"> = .067, </w:t>
      </w:r>
      <w:r w:rsidRPr="00452E2E">
        <w:rPr>
          <w:i/>
        </w:rPr>
        <w:t xml:space="preserve">p </w:t>
      </w:r>
      <w:r w:rsidRPr="00452E2E">
        <w:t xml:space="preserve">&gt; .05) on continuance commitment was non-significant. Although the hypothesis relating to HR practices and continuance commitment indicated a positive relationship, the significant effects of both training and employee benefits on continuance commitment were negative. This indicates that employees in Nigeria have a social exchange relationship with their organizations rather than an economic exchange relationship </w:t>
      </w:r>
      <w:r w:rsidRPr="00452E2E">
        <w:fldChar w:fldCharType="begin" w:fldLock="1"/>
      </w:r>
      <w:r w:rsidRPr="00452E2E">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"id" : "ITEM-2", "itemData" : { "DOI" : "10.1037//0021-9010.87.4.698", "ISBN" : "0021-9010", "ISSN" : "0021-9010", "PMID" : "12130443", "author" : [ { "dropping-particle" : "", "family" : "Rhoades", "given" : "Linda", "non-dropping-particle" : "", "parse-names" : false, "suffix" : "" }, { "dropping-particle" : "", "family" : "Eisenberger", "given" : "Robert", "non-dropping-particle" : "", "parse-names" : false, "suffix" : "" } ], "container-title" : "Journal of Applied Psychology", "id" : "ITEM-2", "issue" : "4", "issued" : { "date-parts" : [ [ "2002" ] ] }, "page" : "698-714", "title" : "Perceived organizational support: A review of the literature", "type" : "article-journal", "volume" : "87" }, "uris" : [ "http://www.mendeley.com/documents/?uuid=05fa9f60-bc12-4704-b3af-d9801fb50251" ] } ], "mendeley" : { "formattedCitation" : "(Blau 1964; Rhoades &amp; Eisenberger 2002)", "manualFormatting" : "(Blau, 1964; Rhoades &amp; Eisenberger, 2002)", "plainTextFormattedCitation" : "(Blau 1964; Rhoades &amp; Eisenberger 2002)", "previouslyFormattedCitation" : "(Blau 1964; Rhoades &amp; Eisenberger 2002)" }, "properties" : { "noteIndex" : 0 }, "schema" : "https://github.com/citation-style-language/schema/raw/master/csl-citation.json" }</w:instrText>
      </w:r>
      <w:r w:rsidRPr="00452E2E">
        <w:fldChar w:fldCharType="separate"/>
      </w:r>
      <w:r w:rsidRPr="00452E2E">
        <w:rPr>
          <w:noProof/>
        </w:rPr>
        <w:t>(Blau, 1964; Rhoades &amp; Eisenberger, 2002)</w:t>
      </w:r>
      <w:r w:rsidRPr="00452E2E">
        <w:fldChar w:fldCharType="end"/>
      </w:r>
      <w:r w:rsidRPr="00452E2E">
        <w:t>. Accordingly, hypothesis 2</w:t>
      </w:r>
      <w:r w:rsidRPr="00452E2E">
        <w:rPr>
          <w:i/>
        </w:rPr>
        <w:t>c</w:t>
      </w:r>
      <w:r w:rsidR="00EA1B44" w:rsidRPr="00452E2E">
        <w:t xml:space="preserve"> is not supported. </w:t>
      </w:r>
    </w:p>
    <w:p w:rsidR="00D03A8E" w:rsidRPr="00452E2E" w:rsidRDefault="00D03A8E" w:rsidP="00D03A8E">
      <w:pPr>
        <w:spacing w:line="360" w:lineRule="auto"/>
        <w:jc w:val="both"/>
        <w:rPr>
          <w:i/>
        </w:rPr>
      </w:pPr>
      <w:r w:rsidRPr="00452E2E">
        <w:rPr>
          <w:i/>
        </w:rPr>
        <w:t>Procedural Justice and Employee Attitudes</w:t>
      </w:r>
    </w:p>
    <w:p w:rsidR="00D03A8E" w:rsidRPr="00452E2E" w:rsidRDefault="00D03A8E" w:rsidP="00D03A8E">
      <w:pPr>
        <w:spacing w:line="360" w:lineRule="auto"/>
        <w:jc w:val="both"/>
      </w:pPr>
      <w:r w:rsidRPr="00452E2E">
        <w:t>The effect of procedural justice on each of job satisfaction, affective, normative and continuance commitment was examined in this research</w:t>
      </w:r>
      <w:r w:rsidR="00C96CBD" w:rsidRPr="00452E2E">
        <w:t>.</w:t>
      </w:r>
      <w:r w:rsidR="00EA1B44" w:rsidRPr="00452E2E">
        <w:t xml:space="preserve"> </w:t>
      </w:r>
      <w:r w:rsidR="003A7ACC" w:rsidRPr="00452E2E">
        <w:t xml:space="preserve">This was done via regression analysis by entering the control variables in model 1 whilst procedural justice was subsequently entered in model. This process was repeated whilst testing the effect of procedural justice on each of the employee attitudes. The results for this analysis are presented in tables 7.6 and 7.7. </w:t>
      </w:r>
    </w:p>
    <w:p w:rsidR="00D03A8E" w:rsidRPr="00452E2E" w:rsidRDefault="00B21171" w:rsidP="00D03A8E">
      <w:pPr>
        <w:pStyle w:val="Caption"/>
        <w:rPr>
          <w:b w:val="0"/>
        </w:rPr>
      </w:pPr>
      <w:bookmarkStart w:id="174" w:name="_Toc465419865"/>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6</w:t>
      </w:r>
      <w:r w:rsidR="00B26571">
        <w:rPr>
          <w:noProof/>
        </w:rPr>
        <w:fldChar w:fldCharType="end"/>
      </w:r>
      <w:r w:rsidR="00D03A8E" w:rsidRPr="00452E2E">
        <w:t>: Regression Results Showing the Effects of Procedural Justice on Job Satisfaction and Affective Commitment</w:t>
      </w:r>
      <w:bookmarkEnd w:id="174"/>
    </w:p>
    <w:tbl>
      <w:tblPr>
        <w:tblStyle w:val="TableGrid"/>
        <w:tblW w:w="9209" w:type="dxa"/>
        <w:shd w:val="clear" w:color="auto" w:fill="FFFFFF" w:themeFill="background1"/>
        <w:tblLook w:val="04A0" w:firstRow="1" w:lastRow="0" w:firstColumn="1" w:lastColumn="0" w:noHBand="0" w:noVBand="1"/>
      </w:tblPr>
      <w:tblGrid>
        <w:gridCol w:w="3319"/>
        <w:gridCol w:w="847"/>
        <w:gridCol w:w="566"/>
        <w:gridCol w:w="788"/>
        <w:gridCol w:w="635"/>
        <w:gridCol w:w="836"/>
        <w:gridCol w:w="624"/>
        <w:gridCol w:w="906"/>
        <w:gridCol w:w="688"/>
      </w:tblGrid>
      <w:tr w:rsidR="00452E2E" w:rsidRPr="00452E2E" w:rsidTr="00B57950">
        <w:trPr>
          <w:trHeight w:val="238"/>
        </w:trPr>
        <w:tc>
          <w:tcPr>
            <w:tcW w:w="3319"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47"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w:t>
            </w:r>
          </w:p>
        </w:tc>
        <w:tc>
          <w:tcPr>
            <w:tcW w:w="566"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1</w:t>
            </w:r>
          </w:p>
        </w:tc>
        <w:tc>
          <w:tcPr>
            <w:tcW w:w="788"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635"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2</w:t>
            </w:r>
          </w:p>
        </w:tc>
        <w:tc>
          <w:tcPr>
            <w:tcW w:w="836"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624"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1</w:t>
            </w:r>
          </w:p>
        </w:tc>
        <w:tc>
          <w:tcPr>
            <w:tcW w:w="906"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688"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2</w:t>
            </w:r>
          </w:p>
        </w:tc>
      </w:tr>
      <w:tr w:rsidR="00452E2E" w:rsidRPr="00452E2E" w:rsidTr="00B57950">
        <w:trPr>
          <w:trHeight w:val="228"/>
        </w:trPr>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4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            </w:t>
            </w:r>
          </w:p>
        </w:tc>
        <w:tc>
          <w:tcPr>
            <w:tcW w:w="56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8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w:t>
            </w:r>
          </w:p>
        </w:tc>
        <w:tc>
          <w:tcPr>
            <w:tcW w:w="635"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3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62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68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rPr>
          <w:trHeight w:val="174"/>
        </w:trPr>
        <w:tc>
          <w:tcPr>
            <w:tcW w:w="3319"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84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Pr="00452E2E">
              <w:rPr>
                <w:sz w:val="18"/>
                <w:szCs w:val="18"/>
              </w:rPr>
              <w:t>β</w:t>
            </w:r>
          </w:p>
        </w:tc>
        <w:tc>
          <w:tcPr>
            <w:tcW w:w="56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78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635"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3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62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68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31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84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8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3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3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2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8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.068</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.068</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-.025</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.052</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.047</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.043</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-.014</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.046</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-.014</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.046</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.015</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-.026</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-.026</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.080</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-.015</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-.015</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-.048</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.038</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.071</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.071</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.018</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.053</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.019</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.053</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.074</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.075</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-.022</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-.032</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.056</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.056</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.372**</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.372**</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.058</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.742**</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.687**</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Procedural Justice</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.000</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.001</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.063*</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.027</w:t>
            </w:r>
          </w:p>
        </w:tc>
      </w:tr>
      <w:tr w:rsidR="00452E2E" w:rsidRPr="00452E2E" w:rsidTr="00B57950">
        <w:trPr>
          <w:trHeight w:val="263"/>
        </w:trPr>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.123</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.123</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.404</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.411</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.107</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.106</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.393</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.562</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.399</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.559</w:t>
            </w:r>
          </w:p>
        </w:tc>
      </w:tr>
      <w:tr w:rsidR="00452E2E" w:rsidRPr="00452E2E" w:rsidTr="00B57950">
        <w:tc>
          <w:tcPr>
            <w:tcW w:w="33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8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.123**</w:t>
            </w:r>
          </w:p>
        </w:tc>
        <w:tc>
          <w:tcPr>
            <w:tcW w:w="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6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.404**</w:t>
            </w:r>
          </w:p>
        </w:tc>
        <w:tc>
          <w:tcPr>
            <w:tcW w:w="6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.007*</w:t>
            </w:r>
          </w:p>
        </w:tc>
        <w:tc>
          <w:tcPr>
            <w:tcW w:w="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1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 xml:space="preserve">(DF = 1, 510) </w:t>
            </w:r>
          </w:p>
        </w:tc>
        <w:tc>
          <w:tcPr>
            <w:tcW w:w="84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8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63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3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2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6.090*</w:t>
            </w:r>
          </w:p>
        </w:tc>
        <w:tc>
          <w:tcPr>
            <w:tcW w:w="68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3A7ACC">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JS = Job satisfaction; AC = Affective commitment.                                         Bootstrap regression coefficients are reported.</w:t>
      </w:r>
    </w:p>
    <w:p w:rsidR="00173FA8" w:rsidRPr="00452E2E" w:rsidRDefault="00173FA8" w:rsidP="00D03A8E">
      <w:pPr>
        <w:spacing w:line="360" w:lineRule="auto"/>
        <w:jc w:val="both"/>
      </w:pPr>
    </w:p>
    <w:p w:rsidR="00D03A8E" w:rsidRPr="00452E2E" w:rsidRDefault="00D03A8E" w:rsidP="00D03A8E">
      <w:pPr>
        <w:spacing w:line="360" w:lineRule="auto"/>
        <w:jc w:val="both"/>
      </w:pPr>
      <w:r w:rsidRPr="00452E2E">
        <w:lastRenderedPageBreak/>
        <w:t xml:space="preserve">On the relationship between procedural justice and job satisfaction, table 7.6 indicates a non-significant relationship [F (1, 510) =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.123, </w:t>
      </w:r>
      <w:r w:rsidRPr="00452E2E">
        <w:rPr>
          <w:rFonts w:cs="StoneSerifStd-Medium"/>
          <w:i/>
          <w:szCs w:val="24"/>
        </w:rPr>
        <w:t xml:space="preserve">p </w:t>
      </w:r>
      <w:r w:rsidRPr="00452E2E">
        <w:rPr>
          <w:rFonts w:cs="StoneSerifStd-Medium"/>
          <w:szCs w:val="24"/>
        </w:rPr>
        <w:t>&gt;. 05)]. Consequently, there was no incremental change in job satisfaction accounted by procedural justice after accounting for the control variables (Δ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.000,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.000, </w:t>
      </w:r>
      <w:r w:rsidRPr="00452E2E">
        <w:rPr>
          <w:rFonts w:cs="StoneSerifStd-Medium"/>
          <w:i/>
          <w:szCs w:val="24"/>
        </w:rPr>
        <w:t xml:space="preserve">p </w:t>
      </w:r>
      <w:r w:rsidRPr="00452E2E">
        <w:rPr>
          <w:rFonts w:cs="StoneSerifStd-Medium"/>
          <w:szCs w:val="24"/>
        </w:rPr>
        <w:t>&gt; .05). As a result of this finding, hypothesis 3 is not supported. The analysis of control variables shows that only sector (</w:t>
      </w:r>
      <w:r w:rsidRPr="00452E2E">
        <w:t xml:space="preserve">β = .372, </w:t>
      </w:r>
      <w:r w:rsidRPr="00452E2E">
        <w:rPr>
          <w:i/>
        </w:rPr>
        <w:t>SE</w:t>
      </w:r>
      <w:r w:rsidRPr="00452E2E">
        <w:t xml:space="preserve"> = .058, </w:t>
      </w:r>
      <w:r w:rsidRPr="00452E2E">
        <w:rPr>
          <w:i/>
        </w:rPr>
        <w:t xml:space="preserve">p </w:t>
      </w:r>
      <w:r w:rsidRPr="00452E2E">
        <w:t xml:space="preserve">&lt; .01) had a significant effect on job satisfaction with the effect higher in the public sector. The table also indicate that procedural justice had a significant positive effect on affective commitment (β = .063, </w:t>
      </w:r>
      <w:r w:rsidRPr="00452E2E">
        <w:rPr>
          <w:i/>
        </w:rPr>
        <w:t xml:space="preserve">SE </w:t>
      </w:r>
      <w:r w:rsidRPr="00452E2E">
        <w:t xml:space="preserve">= .027, </w:t>
      </w:r>
      <w:r w:rsidRPr="00452E2E">
        <w:rPr>
          <w:i/>
        </w:rPr>
        <w:t xml:space="preserve">p </w:t>
      </w:r>
      <w:r w:rsidRPr="00452E2E">
        <w:t xml:space="preserve">&lt; .05) whilst the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was also significant </w:t>
      </w:r>
      <w:r w:rsidRPr="00452E2E">
        <w:t xml:space="preserve">[F (1, 510) =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.411, </w:t>
      </w:r>
      <w:r w:rsidRPr="00452E2E">
        <w:rPr>
          <w:rFonts w:cs="StoneSerifStd-Medium"/>
          <w:i/>
          <w:szCs w:val="24"/>
        </w:rPr>
        <w:t xml:space="preserve">p </w:t>
      </w:r>
      <w:r w:rsidRPr="00452E2E">
        <w:rPr>
          <w:rFonts w:cs="StoneSerifStd-Medium"/>
          <w:szCs w:val="24"/>
        </w:rPr>
        <w:t>&lt;. 05)] which confirms the hypothesized relationship in hypothesis 4</w:t>
      </w:r>
      <w:r w:rsidRPr="00452E2E">
        <w:rPr>
          <w:rFonts w:cs="StoneSerifStd-Medium"/>
          <w:i/>
          <w:szCs w:val="24"/>
        </w:rPr>
        <w:t xml:space="preserve">a. </w:t>
      </w:r>
      <w:r w:rsidRPr="00452E2E">
        <w:rPr>
          <w:rFonts w:cs="StoneSerifStd-Medium"/>
          <w:szCs w:val="24"/>
        </w:rPr>
        <w:t>However, the incremental change in affective commitment as a result of procedural justice (Δ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.007,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6.090, </w:t>
      </w:r>
      <w:r w:rsidRPr="00452E2E">
        <w:rPr>
          <w:rFonts w:cs="StoneSerifStd-Medium"/>
          <w:i/>
          <w:szCs w:val="24"/>
        </w:rPr>
        <w:t xml:space="preserve">p </w:t>
      </w:r>
      <w:r w:rsidRPr="00452E2E">
        <w:rPr>
          <w:rFonts w:cs="StoneSerifStd-Medium"/>
          <w:szCs w:val="24"/>
        </w:rPr>
        <w:t>&lt; .05) after accounting for control variables was lower than the effect of control variables on affective commitment. As with earlier models reported, among the control variables, only sector (</w:t>
      </w:r>
      <w:r w:rsidRPr="00452E2E">
        <w:t xml:space="preserve">β = .687, </w:t>
      </w:r>
      <w:r w:rsidRPr="00452E2E">
        <w:rPr>
          <w:i/>
        </w:rPr>
        <w:t>SE</w:t>
      </w:r>
      <w:r w:rsidRPr="00452E2E">
        <w:t xml:space="preserve"> = .050, </w:t>
      </w:r>
      <w:r w:rsidRPr="00452E2E">
        <w:rPr>
          <w:i/>
        </w:rPr>
        <w:t xml:space="preserve">p </w:t>
      </w:r>
      <w:r w:rsidRPr="00452E2E">
        <w:t xml:space="preserve">&lt; .01) had a significant effect on affective commitment, with this effect higher in the public sector. This also shows that other than procedural justice, other underlying factors exist in the public sector that are responsible for affective commitment among employees. </w:t>
      </w:r>
    </w:p>
    <w:p w:rsidR="00D03A8E" w:rsidRPr="00452E2E" w:rsidRDefault="00D03A8E" w:rsidP="00D03A8E">
      <w:pPr>
        <w:pStyle w:val="Caption"/>
        <w:rPr>
          <w:b w:val="0"/>
        </w:rPr>
      </w:pPr>
      <w:bookmarkStart w:id="175" w:name="_Toc465419866"/>
      <w:r w:rsidRPr="00452E2E">
        <w:t>Table 7.</w:t>
      </w:r>
      <w:r w:rsidR="00B26571">
        <w:fldChar w:fldCharType="begin"/>
      </w:r>
      <w:r w:rsidR="00B26571">
        <w:instrText xml:space="preserve"> SEQ Table \* ARABIC \s 1 </w:instrText>
      </w:r>
      <w:r w:rsidR="00B26571">
        <w:fldChar w:fldCharType="separate"/>
      </w:r>
      <w:r w:rsidR="00AE2756" w:rsidRPr="00452E2E">
        <w:rPr>
          <w:noProof/>
        </w:rPr>
        <w:t>7</w:t>
      </w:r>
      <w:r w:rsidR="00B26571">
        <w:rPr>
          <w:noProof/>
        </w:rPr>
        <w:fldChar w:fldCharType="end"/>
      </w:r>
      <w:r w:rsidRPr="00452E2E">
        <w:t>: Regression Results Showing the Effects of Procedural Justice on Normative and Continuance Commitment</w:t>
      </w:r>
      <w:bookmarkEnd w:id="175"/>
    </w:p>
    <w:tbl>
      <w:tblPr>
        <w:tblStyle w:val="TableGrid"/>
        <w:tblW w:w="9209" w:type="dxa"/>
        <w:shd w:val="clear" w:color="auto" w:fill="FFFFFF" w:themeFill="background1"/>
        <w:tblLayout w:type="fixed"/>
        <w:tblLook w:val="04A0" w:firstRow="1" w:lastRow="0" w:firstColumn="1" w:lastColumn="0" w:noHBand="0" w:noVBand="1"/>
      </w:tblPr>
      <w:tblGrid>
        <w:gridCol w:w="3397"/>
        <w:gridCol w:w="709"/>
        <w:gridCol w:w="567"/>
        <w:gridCol w:w="992"/>
        <w:gridCol w:w="574"/>
        <w:gridCol w:w="844"/>
        <w:gridCol w:w="567"/>
        <w:gridCol w:w="992"/>
        <w:gridCol w:w="567"/>
      </w:tblGrid>
      <w:tr w:rsidR="00452E2E" w:rsidRPr="00452E2E" w:rsidTr="00B57950">
        <w:trPr>
          <w:trHeight w:val="238"/>
        </w:trPr>
        <w:tc>
          <w:tcPr>
            <w:tcW w:w="3397"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276"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566"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c>
          <w:tcPr>
            <w:tcW w:w="1411"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r>
      <w:tr w:rsidR="00452E2E" w:rsidRPr="00452E2E" w:rsidTr="00B57950">
        <w:trPr>
          <w:trHeight w:val="228"/>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276"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            </w:t>
            </w:r>
          </w:p>
        </w:tc>
        <w:tc>
          <w:tcPr>
            <w:tcW w:w="1566"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w:t>
            </w:r>
          </w:p>
        </w:tc>
        <w:tc>
          <w:tcPr>
            <w:tcW w:w="1411"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c>
          <w:tcPr>
            <w:tcW w:w="1559"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r>
      <w:tr w:rsidR="00452E2E" w:rsidRPr="00452E2E" w:rsidTr="00B57950">
        <w:trPr>
          <w:trHeight w:val="174"/>
        </w:trPr>
        <w:tc>
          <w:tcPr>
            <w:tcW w:w="3397"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7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4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9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39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7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4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9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.064</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.020</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.097</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-.048</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.141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.133</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.081</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.083</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-.156</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.076</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.077</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-.157</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.119</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.116</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-.028</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.116</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-.236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.154</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-.011</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.135</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.166</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-.481**</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.094</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-.708**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.104</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Procedural Justice</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.366**</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.059</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-.186**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.053</w:t>
            </w:r>
          </w:p>
        </w:tc>
      </w:tr>
      <w:tr w:rsidR="00452E2E" w:rsidRPr="00452E2E" w:rsidTr="00B57950">
        <w:trPr>
          <w:trHeight w:val="263"/>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.021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.133</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.150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.116</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.900</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.134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.981</w:t>
            </w:r>
          </w:p>
        </w:tc>
      </w:tr>
      <w:tr w:rsidR="00452E2E" w:rsidRPr="00452E2E" w:rsidTr="00B57950">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.112**</w:t>
            </w:r>
          </w:p>
        </w:tc>
        <w:tc>
          <w:tcPr>
            <w:tcW w:w="5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9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1, 510)</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65.564**</w:t>
            </w:r>
          </w:p>
        </w:tc>
        <w:tc>
          <w:tcPr>
            <w:tcW w:w="57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9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14.142**</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NC = Normative commitment; CC = Continuance commitment.               Bootstrap regression coefficients are reported.</w:t>
      </w:r>
    </w:p>
    <w:p w:rsidR="00D03A8E" w:rsidRPr="00452E2E" w:rsidRDefault="00D03A8E" w:rsidP="00D03A8E">
      <w:pPr>
        <w:spacing w:line="360" w:lineRule="auto"/>
        <w:jc w:val="both"/>
        <w:rPr>
          <w:rFonts w:cs="StoneSerifStd-Medium"/>
          <w:szCs w:val="24"/>
        </w:rPr>
      </w:pPr>
      <w:r w:rsidRPr="00452E2E">
        <w:lastRenderedPageBreak/>
        <w:t xml:space="preserve">The effect of procedural justice on normative commitment reported in table 7.7 indicates a significant effect of procedural justice on normative commitment (β = .366, </w:t>
      </w:r>
      <w:r w:rsidRPr="00452E2E">
        <w:rPr>
          <w:i/>
        </w:rPr>
        <w:t xml:space="preserve">SE </w:t>
      </w:r>
      <w:r w:rsidRPr="00452E2E">
        <w:t xml:space="preserve">= .059,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.133, </w:t>
      </w:r>
      <w:r w:rsidRPr="00452E2E">
        <w:rPr>
          <w:i/>
        </w:rPr>
        <w:t xml:space="preserve">p </w:t>
      </w:r>
      <w:r w:rsidRPr="00452E2E">
        <w:t xml:space="preserve">&lt; .01). The change in normative commitment as a result of procedural justice after accounting for control variables </w:t>
      </w:r>
      <w:r w:rsidRPr="00452E2E">
        <w:rPr>
          <w:rFonts w:cs="StoneSerifStd-Medium"/>
          <w:szCs w:val="24"/>
        </w:rPr>
        <w:t>(Δ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.112,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65.564, </w:t>
      </w:r>
      <w:r w:rsidRPr="00452E2E">
        <w:rPr>
          <w:rFonts w:cs="StoneSerifStd-Medium"/>
          <w:i/>
          <w:szCs w:val="24"/>
        </w:rPr>
        <w:t xml:space="preserve">p </w:t>
      </w:r>
      <w:r w:rsidRPr="00452E2E">
        <w:rPr>
          <w:rFonts w:cs="StoneSerifStd-Medium"/>
          <w:szCs w:val="24"/>
        </w:rPr>
        <w:t>&lt; .01) is above the effect of the control variables. This finding supports the hypothesized relationship in hypothesis 4</w:t>
      </w:r>
      <w:r w:rsidRPr="00452E2E">
        <w:rPr>
          <w:rFonts w:cs="StoneSerifStd-Medium"/>
          <w:i/>
          <w:szCs w:val="24"/>
        </w:rPr>
        <w:t>b.</w:t>
      </w:r>
      <w:r w:rsidRPr="00452E2E">
        <w:rPr>
          <w:rFonts w:cs="StoneSerifStd-Medium"/>
          <w:szCs w:val="24"/>
        </w:rPr>
        <w:t xml:space="preserve"> Of course the effect of control variables indicate the significant effect of sector (</w:t>
      </w:r>
      <w:r w:rsidRPr="00452E2E">
        <w:t xml:space="preserve">β = -.481, </w:t>
      </w:r>
      <w:r w:rsidRPr="00452E2E">
        <w:rPr>
          <w:i/>
        </w:rPr>
        <w:t>SE</w:t>
      </w:r>
      <w:r w:rsidRPr="00452E2E">
        <w:t xml:space="preserve"> = .094, </w:t>
      </w:r>
      <w:r w:rsidRPr="00452E2E">
        <w:rPr>
          <w:i/>
        </w:rPr>
        <w:t xml:space="preserve">p </w:t>
      </w:r>
      <w:r w:rsidRPr="00452E2E">
        <w:t xml:space="preserve">&lt; .01) with the effect higher in private sector. On the other hand, procedural justice had a significant negative effect on continuance commitment (β =-.186, </w:t>
      </w:r>
      <w:r w:rsidRPr="00452E2E">
        <w:rPr>
          <w:i/>
        </w:rPr>
        <w:t xml:space="preserve">SE </w:t>
      </w:r>
      <w:r w:rsidRPr="00452E2E">
        <w:t xml:space="preserve">= .053,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.150, </w:t>
      </w:r>
      <w:r w:rsidRPr="00452E2E">
        <w:rPr>
          <w:i/>
        </w:rPr>
        <w:t xml:space="preserve">p </w:t>
      </w:r>
      <w:r w:rsidRPr="00452E2E">
        <w:t xml:space="preserve">&lt; .01). The change statistics </w:t>
      </w:r>
      <w:r w:rsidRPr="00452E2E">
        <w:rPr>
          <w:rFonts w:cs="StoneSerifStd-Medium"/>
          <w:szCs w:val="24"/>
        </w:rPr>
        <w:t>(Δ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.024,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14.142, </w:t>
      </w:r>
      <w:r w:rsidRPr="00452E2E">
        <w:rPr>
          <w:rFonts w:cs="StoneSerifStd-Medium"/>
          <w:i/>
          <w:szCs w:val="24"/>
        </w:rPr>
        <w:t xml:space="preserve">p </w:t>
      </w:r>
      <w:r w:rsidRPr="00452E2E">
        <w:rPr>
          <w:rFonts w:cs="StoneSerifStd-Medium"/>
          <w:szCs w:val="24"/>
        </w:rPr>
        <w:t>&lt; .01) was also significant, albeit lower than the effect of control variables. As usual, it was only sector (</w:t>
      </w:r>
      <w:r w:rsidRPr="00452E2E">
        <w:t>β</w:t>
      </w:r>
      <w:r w:rsidRPr="00452E2E">
        <w:rPr>
          <w:rFonts w:cs="StoneSerifStd-Medium"/>
          <w:szCs w:val="24"/>
        </w:rPr>
        <w:t xml:space="preserve"> = -.550, </w:t>
      </w:r>
      <w:r w:rsidRPr="00452E2E">
        <w:rPr>
          <w:rFonts w:cs="StoneSerifStd-Medium"/>
          <w:i/>
          <w:szCs w:val="24"/>
        </w:rPr>
        <w:t>SE</w:t>
      </w:r>
      <w:r w:rsidRPr="00452E2E">
        <w:rPr>
          <w:rFonts w:cs="StoneSerifStd-Medium"/>
          <w:szCs w:val="24"/>
        </w:rPr>
        <w:t xml:space="preserve"> = .104, </w:t>
      </w:r>
      <w:r w:rsidRPr="00452E2E">
        <w:rPr>
          <w:rFonts w:cs="StoneSerifStd-Medium"/>
          <w:i/>
          <w:szCs w:val="24"/>
        </w:rPr>
        <w:t xml:space="preserve">p </w:t>
      </w:r>
      <w:r w:rsidRPr="00452E2E">
        <w:rPr>
          <w:rFonts w:cs="StoneSerifStd-Medium"/>
          <w:szCs w:val="24"/>
        </w:rPr>
        <w:t>&lt; .01) that had a significant effect on continuance commitment among the control variables, with the effect higher in the private sector. This further confirms the existence of other factors responsible for continuance commitment in the private sector. Based on the negative effect of procedural justice on continuance commitment, hypothesis 4</w:t>
      </w:r>
      <w:r w:rsidRPr="00452E2E">
        <w:rPr>
          <w:rFonts w:cs="StoneSerifStd-Medium"/>
          <w:i/>
          <w:szCs w:val="24"/>
        </w:rPr>
        <w:t xml:space="preserve">c </w:t>
      </w:r>
      <w:r w:rsidRPr="00452E2E">
        <w:rPr>
          <w:rFonts w:cs="StoneSerifStd-Medium"/>
          <w:szCs w:val="24"/>
        </w:rPr>
        <w:t>is therefore not supported.</w:t>
      </w:r>
    </w:p>
    <w:p w:rsidR="00D03A8E" w:rsidRPr="00452E2E" w:rsidRDefault="00D03A8E" w:rsidP="00D03A8E">
      <w:pPr>
        <w:spacing w:line="360" w:lineRule="auto"/>
        <w:jc w:val="both"/>
        <w:rPr>
          <w:rFonts w:cs="StoneSerifStd-Medium"/>
          <w:i/>
          <w:szCs w:val="24"/>
        </w:rPr>
      </w:pPr>
      <w:r w:rsidRPr="00452E2E">
        <w:rPr>
          <w:rFonts w:cs="StoneSerifStd-Medium"/>
          <w:i/>
          <w:szCs w:val="24"/>
        </w:rPr>
        <w:t>Commitment-focused HR Attribution and Employee Attitudes</w:t>
      </w:r>
    </w:p>
    <w:p w:rsidR="00D03A8E" w:rsidRPr="00452E2E" w:rsidRDefault="00D03A8E" w:rsidP="00D03A8E">
      <w:pPr>
        <w:spacing w:line="360" w:lineRule="auto"/>
        <w:jc w:val="both"/>
        <w:rPr>
          <w:rFonts w:cs="StoneSerifStd-Medium"/>
          <w:szCs w:val="24"/>
        </w:rPr>
      </w:pPr>
      <w:r w:rsidRPr="00452E2E">
        <w:rPr>
          <w:rFonts w:cs="StoneSerifStd-Medium"/>
          <w:szCs w:val="24"/>
        </w:rPr>
        <w:t xml:space="preserve">The results showing the effect of commitment-focused HR attribution on each of job satisfaction, affective, normative and continuance commitment are presented in tables 7.8 and 7.9. </w:t>
      </w:r>
    </w:p>
    <w:p w:rsidR="00173FA8" w:rsidRPr="00452E2E" w:rsidRDefault="00173FA8" w:rsidP="00D03A8E">
      <w:pPr>
        <w:spacing w:line="360" w:lineRule="auto"/>
        <w:jc w:val="both"/>
        <w:rPr>
          <w:rFonts w:cs="StoneSerifStd-Medium"/>
          <w:szCs w:val="24"/>
        </w:rPr>
      </w:pPr>
    </w:p>
    <w:p w:rsidR="00173FA8" w:rsidRPr="00452E2E" w:rsidRDefault="00173FA8" w:rsidP="00D03A8E">
      <w:pPr>
        <w:spacing w:line="360" w:lineRule="auto"/>
        <w:jc w:val="both"/>
        <w:rPr>
          <w:rFonts w:cs="StoneSerifStd-Medium"/>
          <w:szCs w:val="24"/>
        </w:rPr>
      </w:pPr>
    </w:p>
    <w:p w:rsidR="00173FA8" w:rsidRPr="00452E2E" w:rsidRDefault="00173FA8" w:rsidP="00D03A8E">
      <w:pPr>
        <w:spacing w:line="360" w:lineRule="auto"/>
        <w:jc w:val="both"/>
        <w:rPr>
          <w:rFonts w:cs="StoneSerifStd-Medium"/>
          <w:szCs w:val="24"/>
        </w:rPr>
      </w:pPr>
    </w:p>
    <w:p w:rsidR="00173FA8" w:rsidRPr="00452E2E" w:rsidRDefault="00173FA8" w:rsidP="00D03A8E">
      <w:pPr>
        <w:spacing w:line="360" w:lineRule="auto"/>
        <w:jc w:val="both"/>
        <w:rPr>
          <w:rFonts w:cs="StoneSerifStd-Medium"/>
          <w:szCs w:val="24"/>
        </w:rPr>
      </w:pPr>
    </w:p>
    <w:p w:rsidR="00173FA8" w:rsidRPr="00452E2E" w:rsidRDefault="00173FA8" w:rsidP="00D03A8E">
      <w:pPr>
        <w:spacing w:line="360" w:lineRule="auto"/>
        <w:jc w:val="both"/>
        <w:rPr>
          <w:rFonts w:cs="StoneSerifStd-Medium"/>
          <w:szCs w:val="24"/>
        </w:rPr>
      </w:pPr>
    </w:p>
    <w:p w:rsidR="00173FA8" w:rsidRPr="00452E2E" w:rsidRDefault="00173FA8" w:rsidP="00D03A8E">
      <w:pPr>
        <w:spacing w:line="360" w:lineRule="auto"/>
        <w:jc w:val="both"/>
        <w:rPr>
          <w:rFonts w:cs="StoneSerifStd-Medium"/>
          <w:szCs w:val="24"/>
        </w:rPr>
      </w:pPr>
    </w:p>
    <w:p w:rsidR="00173FA8" w:rsidRPr="00452E2E" w:rsidRDefault="00173FA8" w:rsidP="00D03A8E">
      <w:pPr>
        <w:spacing w:line="360" w:lineRule="auto"/>
        <w:jc w:val="both"/>
        <w:rPr>
          <w:rFonts w:cs="StoneSerifStd-Medium"/>
          <w:szCs w:val="24"/>
        </w:rPr>
      </w:pPr>
    </w:p>
    <w:p w:rsidR="00173FA8" w:rsidRPr="00452E2E" w:rsidRDefault="00173FA8" w:rsidP="00D03A8E">
      <w:pPr>
        <w:spacing w:line="360" w:lineRule="auto"/>
        <w:jc w:val="both"/>
        <w:rPr>
          <w:rFonts w:cs="StoneSerifStd-Medium"/>
          <w:szCs w:val="24"/>
        </w:rPr>
      </w:pPr>
    </w:p>
    <w:p w:rsidR="00D03A8E" w:rsidRPr="00452E2E" w:rsidRDefault="00B21171" w:rsidP="00D03A8E">
      <w:pPr>
        <w:pStyle w:val="Caption"/>
      </w:pPr>
      <w:bookmarkStart w:id="176" w:name="_Toc465419867"/>
      <w:r w:rsidRPr="00452E2E">
        <w:lastRenderedPageBreak/>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8</w:t>
      </w:r>
      <w:r w:rsidR="00B26571">
        <w:rPr>
          <w:noProof/>
        </w:rPr>
        <w:fldChar w:fldCharType="end"/>
      </w:r>
      <w:r w:rsidR="00D03A8E" w:rsidRPr="00452E2E">
        <w:t>: Regression Results Showing the Effects of Commitment-focused HR Attribution on Job Satisfaction and Affective Commitment</w:t>
      </w:r>
      <w:bookmarkEnd w:id="176"/>
    </w:p>
    <w:tbl>
      <w:tblPr>
        <w:tblStyle w:val="TableGrid"/>
        <w:tblW w:w="9209" w:type="dxa"/>
        <w:shd w:val="clear" w:color="auto" w:fill="FFFFFF" w:themeFill="background1"/>
        <w:tblLook w:val="04A0" w:firstRow="1" w:lastRow="0" w:firstColumn="1" w:lastColumn="0" w:noHBand="0" w:noVBand="1"/>
      </w:tblPr>
      <w:tblGrid>
        <w:gridCol w:w="3370"/>
        <w:gridCol w:w="878"/>
        <w:gridCol w:w="567"/>
        <w:gridCol w:w="850"/>
        <w:gridCol w:w="578"/>
        <w:gridCol w:w="915"/>
        <w:gridCol w:w="552"/>
        <w:gridCol w:w="790"/>
        <w:gridCol w:w="709"/>
      </w:tblGrid>
      <w:tr w:rsidR="00452E2E" w:rsidRPr="00452E2E" w:rsidTr="00B57950">
        <w:trPr>
          <w:trHeight w:val="238"/>
        </w:trPr>
        <w:tc>
          <w:tcPr>
            <w:tcW w:w="337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78"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w:t>
            </w:r>
          </w:p>
        </w:tc>
        <w:tc>
          <w:tcPr>
            <w:tcW w:w="567"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1</w:t>
            </w:r>
          </w:p>
        </w:tc>
        <w:tc>
          <w:tcPr>
            <w:tcW w:w="850"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578"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2</w:t>
            </w:r>
          </w:p>
        </w:tc>
        <w:tc>
          <w:tcPr>
            <w:tcW w:w="915"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552"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1</w:t>
            </w:r>
          </w:p>
        </w:tc>
        <w:tc>
          <w:tcPr>
            <w:tcW w:w="790"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709"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2</w:t>
            </w:r>
          </w:p>
        </w:tc>
      </w:tr>
      <w:tr w:rsidR="00452E2E" w:rsidRPr="00452E2E" w:rsidTr="00B57950">
        <w:trPr>
          <w:trHeight w:val="228"/>
        </w:trPr>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7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            </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w:t>
            </w:r>
          </w:p>
        </w:tc>
        <w:tc>
          <w:tcPr>
            <w:tcW w:w="57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15"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55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9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rPr>
          <w:trHeight w:val="174"/>
        </w:trPr>
        <w:tc>
          <w:tcPr>
            <w:tcW w:w="3370"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87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7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15"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5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79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37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87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7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15"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5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9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.066</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-.030</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-.019</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.045</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.036</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-.018</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.038</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.002</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.072</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.018</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.053</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.055</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.056</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.072</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-.022</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.065</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.057</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.089</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.372**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.366**</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.742**</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.743**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Commitment-focused HR Attribution</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.073*</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.041</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-.005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.025</w:t>
            </w:r>
          </w:p>
        </w:tc>
      </w:tr>
      <w:tr w:rsidR="00452E2E" w:rsidRPr="00452E2E" w:rsidTr="00B57950">
        <w:trPr>
          <w:trHeight w:val="263"/>
        </w:trPr>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.133</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.116</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.547</w:t>
            </w: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.562</w:t>
            </w: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.562</w:t>
            </w:r>
          </w:p>
        </w:tc>
      </w:tr>
      <w:tr w:rsidR="00452E2E" w:rsidRPr="00452E2E" w:rsidTr="00B57950">
        <w:tc>
          <w:tcPr>
            <w:tcW w:w="33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.123**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.010*</w:t>
            </w:r>
          </w:p>
        </w:tc>
        <w:tc>
          <w:tcPr>
            <w:tcW w:w="5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.404**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7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1, 510)</w:t>
            </w:r>
          </w:p>
        </w:tc>
        <w:tc>
          <w:tcPr>
            <w:tcW w:w="87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5.765*</w:t>
            </w:r>
          </w:p>
        </w:tc>
        <w:tc>
          <w:tcPr>
            <w:tcW w:w="57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1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.046</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JS = Job satisfaction; AC = Affective commitment.                                         Bootstrap regression coefficients are reported.</w:t>
      </w:r>
    </w:p>
    <w:p w:rsidR="00D03A8E" w:rsidRPr="00452E2E" w:rsidRDefault="00D03A8E" w:rsidP="00D03A8E">
      <w:pPr>
        <w:jc w:val="both"/>
        <w:rPr>
          <w:rFonts w:cs="StoneSerifStd-Medium"/>
          <w:szCs w:val="24"/>
        </w:rPr>
      </w:pPr>
    </w:p>
    <w:p w:rsidR="00D479C0" w:rsidRPr="00452E2E" w:rsidRDefault="00D03A8E" w:rsidP="00D479C0">
      <w:pPr>
        <w:spacing w:line="360" w:lineRule="auto"/>
        <w:jc w:val="both"/>
      </w:pPr>
      <w:r w:rsidRPr="00452E2E">
        <w:rPr>
          <w:rFonts w:cs="StoneSerifStd-Medium"/>
          <w:szCs w:val="24"/>
        </w:rPr>
        <w:t xml:space="preserve">The result in table 7.8 </w:t>
      </w:r>
      <w:r w:rsidR="00E23B8D" w:rsidRPr="00452E2E">
        <w:rPr>
          <w:rFonts w:cs="StoneSerifStd-Medium"/>
          <w:szCs w:val="24"/>
        </w:rPr>
        <w:t xml:space="preserve">above </w:t>
      </w:r>
      <w:r w:rsidRPr="00452E2E">
        <w:rPr>
          <w:rFonts w:cs="StoneSerifStd-Medium"/>
          <w:szCs w:val="24"/>
        </w:rPr>
        <w:t>shows a significant positive effect of commitment-focused HR attribution on job satisfaction (</w:t>
      </w:r>
      <w:r w:rsidRPr="00452E2E">
        <w:t xml:space="preserve">β =.073, </w:t>
      </w:r>
      <w:r w:rsidRPr="00452E2E">
        <w:rPr>
          <w:i/>
        </w:rPr>
        <w:t xml:space="preserve">SE </w:t>
      </w:r>
      <w:r w:rsidRPr="00452E2E">
        <w:t xml:space="preserve">= .041, </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.133, </w:t>
      </w:r>
      <w:r w:rsidRPr="00452E2E">
        <w:rPr>
          <w:rFonts w:cs="StoneSerifStd-Medium"/>
          <w:i/>
          <w:szCs w:val="24"/>
        </w:rPr>
        <w:t xml:space="preserve">p </w:t>
      </w:r>
      <w:r w:rsidRPr="00452E2E">
        <w:rPr>
          <w:rFonts w:cs="StoneSerifStd-Medium"/>
          <w:szCs w:val="24"/>
        </w:rPr>
        <w:t>&lt; .05) which confirms hypothesis 9. In terms of the incremental effect of commitment-focused HR attribution on job satisfaction, results indicate only a small change in job satisfaction (Δ</w:t>
      </w:r>
      <w:r w:rsidRPr="00452E2E">
        <w:rPr>
          <w:rFonts w:cs="StoneSerifStd-MediumItalic"/>
          <w:i/>
          <w:iCs/>
          <w:szCs w:val="24"/>
        </w:rPr>
        <w:t>R</w:t>
      </w:r>
      <w:r w:rsidRPr="00452E2E">
        <w:rPr>
          <w:rFonts w:cs="StoneSerifStd-Medium"/>
          <w:szCs w:val="24"/>
          <w:vertAlign w:val="superscript"/>
        </w:rPr>
        <w:t>2</w:t>
      </w:r>
      <w:r w:rsidRPr="00452E2E">
        <w:rPr>
          <w:rFonts w:cs="StoneSerifStd-Medium"/>
          <w:szCs w:val="24"/>
        </w:rPr>
        <w:t xml:space="preserve"> = .010, </w:t>
      </w:r>
      <w:r w:rsidRPr="00452E2E">
        <w:rPr>
          <w:rFonts w:cs="StoneSerifStd-Medium"/>
          <w:i/>
          <w:szCs w:val="24"/>
        </w:rPr>
        <w:t xml:space="preserve">F </w:t>
      </w:r>
      <w:r w:rsidRPr="00452E2E">
        <w:rPr>
          <w:rFonts w:cs="StoneSerifStd-Medium"/>
          <w:szCs w:val="24"/>
        </w:rPr>
        <w:t>for Δ</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5.765, </w:t>
      </w:r>
      <w:r w:rsidRPr="00452E2E">
        <w:rPr>
          <w:rFonts w:cs="StoneSerifStd-Medium"/>
          <w:i/>
          <w:szCs w:val="24"/>
        </w:rPr>
        <w:t xml:space="preserve">p </w:t>
      </w:r>
      <w:r w:rsidRPr="00452E2E">
        <w:rPr>
          <w:rFonts w:cs="StoneSerifStd-Medium"/>
          <w:szCs w:val="24"/>
        </w:rPr>
        <w:t>&lt; .05) after taking cognisance of the control variables. Indeed, it was only sector (</w:t>
      </w:r>
      <w:r w:rsidRPr="00452E2E">
        <w:t>β</w:t>
      </w:r>
      <w:r w:rsidRPr="00452E2E">
        <w:rPr>
          <w:rFonts w:cs="StoneSerifStd-Medium"/>
          <w:szCs w:val="24"/>
        </w:rPr>
        <w:t xml:space="preserve"> = .366, </w:t>
      </w:r>
      <w:r w:rsidRPr="00452E2E">
        <w:rPr>
          <w:rFonts w:cs="StoneSerifStd-Medium"/>
          <w:i/>
          <w:szCs w:val="24"/>
        </w:rPr>
        <w:t xml:space="preserve">SE </w:t>
      </w:r>
      <w:r w:rsidRPr="00452E2E">
        <w:rPr>
          <w:rFonts w:cs="StoneSerifStd-Medium"/>
          <w:szCs w:val="24"/>
        </w:rPr>
        <w:t xml:space="preserve">= .050, </w:t>
      </w:r>
      <w:r w:rsidRPr="00452E2E">
        <w:rPr>
          <w:rFonts w:cs="StoneSerifStd-Medium"/>
          <w:i/>
          <w:szCs w:val="24"/>
        </w:rPr>
        <w:t xml:space="preserve">p </w:t>
      </w:r>
      <w:r w:rsidRPr="00452E2E">
        <w:rPr>
          <w:rFonts w:cs="StoneSerifStd-Medium"/>
          <w:szCs w:val="24"/>
        </w:rPr>
        <w:t>&lt; .01) that had a significant effect on job satisfaction among the control variables, with this effect higher in the public sector. The effect of commitment-focused HR attribution on affective commitment was however non-significant (</w:t>
      </w:r>
      <w:r w:rsidRPr="00452E2E">
        <w:t xml:space="preserve">β = -.005, </w:t>
      </w:r>
      <w:r w:rsidRPr="00452E2E">
        <w:rPr>
          <w:i/>
        </w:rPr>
        <w:t>SE</w:t>
      </w:r>
      <w:r w:rsidRPr="00452E2E">
        <w:t xml:space="preserve"> = .025,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.404, </w:t>
      </w:r>
      <w:r w:rsidRPr="00452E2E">
        <w:rPr>
          <w:i/>
        </w:rPr>
        <w:t>p</w:t>
      </w:r>
      <w:r w:rsidRPr="00452E2E">
        <w:t xml:space="preserve"> &gt;.05). </w:t>
      </w:r>
    </w:p>
    <w:p w:rsidR="00D479C0" w:rsidRPr="00452E2E" w:rsidRDefault="00D479C0" w:rsidP="00D479C0">
      <w:pPr>
        <w:spacing w:line="360" w:lineRule="auto"/>
        <w:jc w:val="both"/>
      </w:pPr>
      <w:r w:rsidRPr="00452E2E">
        <w:t xml:space="preserve">Also, as table 7.9 </w:t>
      </w:r>
      <w:r w:rsidR="00BC051F" w:rsidRPr="00452E2E">
        <w:t xml:space="preserve">overleaf </w:t>
      </w:r>
      <w:r w:rsidRPr="00452E2E">
        <w:t xml:space="preserve">indicates, the effect of commitment-focused HR attribution on both normative commitment </w:t>
      </w:r>
      <w:r w:rsidRPr="00452E2E">
        <w:rPr>
          <w:rFonts w:cs="StoneSerifStd-Medium"/>
          <w:szCs w:val="24"/>
        </w:rPr>
        <w:t>(</w:t>
      </w:r>
      <w:r w:rsidRPr="00452E2E">
        <w:t xml:space="preserve">β = .018, </w:t>
      </w:r>
      <w:r w:rsidRPr="00452E2E">
        <w:rPr>
          <w:i/>
        </w:rPr>
        <w:t>SE</w:t>
      </w:r>
      <w:r w:rsidRPr="00452E2E">
        <w:t xml:space="preserve"> = .056,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.021, </w:t>
      </w:r>
      <w:r w:rsidRPr="00452E2E">
        <w:rPr>
          <w:i/>
        </w:rPr>
        <w:t>p</w:t>
      </w:r>
      <w:r w:rsidRPr="00452E2E">
        <w:t xml:space="preserve"> &gt;.05) and continuance commitment </w:t>
      </w:r>
      <w:r w:rsidRPr="00452E2E">
        <w:rPr>
          <w:rFonts w:cs="StoneSerifStd-Medium"/>
          <w:szCs w:val="24"/>
        </w:rPr>
        <w:t>(</w:t>
      </w:r>
      <w:r w:rsidRPr="00452E2E">
        <w:t xml:space="preserve">β = -.013, </w:t>
      </w:r>
      <w:r w:rsidRPr="00452E2E">
        <w:rPr>
          <w:i/>
        </w:rPr>
        <w:t>SE</w:t>
      </w:r>
      <w:r w:rsidRPr="00452E2E">
        <w:t xml:space="preserve"> = .058,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.127, </w:t>
      </w:r>
      <w:r w:rsidRPr="00452E2E">
        <w:rPr>
          <w:i/>
        </w:rPr>
        <w:t>p</w:t>
      </w:r>
      <w:r w:rsidRPr="00452E2E">
        <w:t xml:space="preserve"> &gt;.05) were non-significant. This means that whilst commitment-focused HR attribution had a significant positive effect on job satisfaction, the effect on all three forms of commitment was not significant thereby leading to the rejection of hypotheses 10</w:t>
      </w:r>
      <w:r w:rsidRPr="00452E2E">
        <w:rPr>
          <w:i/>
        </w:rPr>
        <w:t>a-c.</w:t>
      </w:r>
    </w:p>
    <w:p w:rsidR="00D03A8E" w:rsidRPr="00452E2E" w:rsidRDefault="00B21171" w:rsidP="00D03A8E">
      <w:pPr>
        <w:pStyle w:val="Caption"/>
        <w:rPr>
          <w:b w:val="0"/>
        </w:rPr>
      </w:pPr>
      <w:bookmarkStart w:id="177" w:name="_Toc465419868"/>
      <w:r w:rsidRPr="00452E2E">
        <w:lastRenderedPageBreak/>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9</w:t>
      </w:r>
      <w:r w:rsidR="00B26571">
        <w:rPr>
          <w:noProof/>
        </w:rPr>
        <w:fldChar w:fldCharType="end"/>
      </w:r>
      <w:r w:rsidR="00D03A8E" w:rsidRPr="00452E2E">
        <w:t>: Regression Results Showing the Effects of Commitment-focused HR Attribution on Normative and Continuance Commitment</w:t>
      </w:r>
      <w:bookmarkEnd w:id="177"/>
    </w:p>
    <w:tbl>
      <w:tblPr>
        <w:tblStyle w:val="TableGrid"/>
        <w:tblW w:w="9209" w:type="dxa"/>
        <w:shd w:val="clear" w:color="auto" w:fill="FFFFFF" w:themeFill="background1"/>
        <w:tblLayout w:type="fixed"/>
        <w:tblLook w:val="04A0" w:firstRow="1" w:lastRow="0" w:firstColumn="1" w:lastColumn="0" w:noHBand="0" w:noVBand="1"/>
      </w:tblPr>
      <w:tblGrid>
        <w:gridCol w:w="3256"/>
        <w:gridCol w:w="717"/>
        <w:gridCol w:w="662"/>
        <w:gridCol w:w="806"/>
        <w:gridCol w:w="798"/>
        <w:gridCol w:w="844"/>
        <w:gridCol w:w="567"/>
        <w:gridCol w:w="850"/>
        <w:gridCol w:w="709"/>
      </w:tblGrid>
      <w:tr w:rsidR="00452E2E" w:rsidRPr="00452E2E" w:rsidTr="00B57950">
        <w:trPr>
          <w:trHeight w:val="238"/>
        </w:trPr>
        <w:tc>
          <w:tcPr>
            <w:tcW w:w="3256"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37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604"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c>
          <w:tcPr>
            <w:tcW w:w="1411"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559"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r>
      <w:tr w:rsidR="00452E2E" w:rsidRPr="00452E2E" w:rsidTr="00B57950">
        <w:trPr>
          <w:trHeight w:val="228"/>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379"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            </w:t>
            </w:r>
          </w:p>
        </w:tc>
        <w:tc>
          <w:tcPr>
            <w:tcW w:w="1604"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w:t>
            </w:r>
          </w:p>
        </w:tc>
        <w:tc>
          <w:tcPr>
            <w:tcW w:w="1411"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c>
          <w:tcPr>
            <w:tcW w:w="1559"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r>
      <w:tr w:rsidR="00452E2E" w:rsidRPr="00452E2E" w:rsidTr="00B57950">
        <w:trPr>
          <w:trHeight w:val="174"/>
        </w:trPr>
        <w:tc>
          <w:tcPr>
            <w:tcW w:w="3256"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71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Pr="00452E2E">
              <w:rPr>
                <w:sz w:val="18"/>
                <w:szCs w:val="18"/>
              </w:rPr>
              <w:t>β</w:t>
            </w:r>
          </w:p>
        </w:tc>
        <w:tc>
          <w:tcPr>
            <w:tcW w:w="66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9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44"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25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71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6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9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44"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.063</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.037</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.094</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-.036</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.068</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.141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.142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.078</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-.110</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.078</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.081</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.138</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-.170</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.140</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-.166</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.120</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.117</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.118</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.148</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.145</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.030</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.144</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.168</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-.174*</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-.708**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-.705**</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.090</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Commitment-focused HR Attribution</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.018</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.056</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-.013</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.058</w:t>
            </w:r>
          </w:p>
        </w:tc>
      </w:tr>
      <w:tr w:rsidR="00452E2E" w:rsidRPr="00452E2E" w:rsidTr="00B57950">
        <w:trPr>
          <w:trHeight w:val="263"/>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.021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.021</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.127</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.004</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.952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.953</w:t>
            </w: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.994</w:t>
            </w:r>
          </w:p>
        </w:tc>
      </w:tr>
      <w:tr w:rsidR="00452E2E" w:rsidRPr="00452E2E" w:rsidTr="00B57950">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56" w:type="dxa"/>
            <w:tcBorders>
              <w:top w:val="single" w:sz="4" w:space="0" w:color="FFFFFF" w:themeColor="background1"/>
              <w:left w:val="single" w:sz="4" w:space="0" w:color="FFFFFF" w:themeColor="background1"/>
              <w:bottom w:val="single" w:sz="12" w:space="0" w:color="auto"/>
              <w:right w:val="single" w:sz="12"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1, 510)</w:t>
            </w:r>
          </w:p>
        </w:tc>
        <w:tc>
          <w:tcPr>
            <w:tcW w:w="717" w:type="dxa"/>
            <w:tcBorders>
              <w:top w:val="single" w:sz="4" w:space="0" w:color="FFFFFF" w:themeColor="background1"/>
              <w:left w:val="single" w:sz="12"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.112</w:t>
            </w:r>
          </w:p>
        </w:tc>
        <w:tc>
          <w:tcPr>
            <w:tcW w:w="79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.059</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NC = Normative commitment; CC = Continuance commitment.</w:t>
      </w:r>
      <w:r w:rsidR="00E52B60" w:rsidRPr="00452E2E">
        <w:rPr>
          <w:sz w:val="14"/>
          <w:szCs w:val="14"/>
        </w:rPr>
        <w:t xml:space="preserve"> </w:t>
      </w:r>
      <w:r w:rsidRPr="00452E2E">
        <w:rPr>
          <w:sz w:val="14"/>
          <w:szCs w:val="14"/>
        </w:rPr>
        <w:t>Bootstrap regression coefficients are reported.</w:t>
      </w:r>
    </w:p>
    <w:p w:rsidR="00D03A8E" w:rsidRPr="00452E2E" w:rsidRDefault="00D03A8E" w:rsidP="00D03A8E">
      <w:pPr>
        <w:jc w:val="both"/>
      </w:pPr>
    </w:p>
    <w:p w:rsidR="00D03A8E" w:rsidRPr="00452E2E" w:rsidRDefault="00D03A8E" w:rsidP="00D03A8E">
      <w:pPr>
        <w:spacing w:line="360" w:lineRule="auto"/>
        <w:jc w:val="both"/>
        <w:rPr>
          <w:i/>
        </w:rPr>
      </w:pPr>
      <w:r w:rsidRPr="00452E2E">
        <w:rPr>
          <w:i/>
        </w:rPr>
        <w:t>Control-focused HR Attribution and Employee Attitudes</w:t>
      </w:r>
    </w:p>
    <w:p w:rsidR="00D03A8E" w:rsidRPr="00452E2E" w:rsidRDefault="00D03A8E" w:rsidP="00D03A8E">
      <w:pPr>
        <w:spacing w:line="360" w:lineRule="auto"/>
        <w:jc w:val="both"/>
      </w:pPr>
      <w:r w:rsidRPr="00452E2E">
        <w:t xml:space="preserve">The results showing the effect of control-focused HR attribution on each of job satisfaction, affective, normative and continuance commitment are presented in tables 7.10 and 7.11. The results in table 7.10 </w:t>
      </w:r>
      <w:r w:rsidR="005B4B2D" w:rsidRPr="00452E2E">
        <w:t xml:space="preserve">overleaf </w:t>
      </w:r>
      <w:r w:rsidRPr="00452E2E">
        <w:t xml:space="preserve">indicate a non-significant effect of control-focused HR attribution on job satisfaction (β = -.032, </w:t>
      </w:r>
      <w:r w:rsidRPr="00452E2E">
        <w:rPr>
          <w:i/>
        </w:rPr>
        <w:t>SE</w:t>
      </w:r>
      <w:r w:rsidRPr="00452E2E">
        <w:t xml:space="preserve"> = .026,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.126, </w:t>
      </w:r>
      <w:r w:rsidRPr="00452E2E">
        <w:rPr>
          <w:i/>
        </w:rPr>
        <w:t>p</w:t>
      </w:r>
      <w:r w:rsidRPr="00452E2E">
        <w:t xml:space="preserve"> &gt;.05) </w:t>
      </w:r>
      <w:r w:rsidR="003D17FC" w:rsidRPr="00452E2E">
        <w:t>as well as on</w:t>
      </w:r>
      <w:r w:rsidRPr="00452E2E">
        <w:t xml:space="preserve"> affective commitment (β = .010, </w:t>
      </w:r>
      <w:r w:rsidRPr="00452E2E">
        <w:rPr>
          <w:i/>
        </w:rPr>
        <w:t>SE</w:t>
      </w:r>
      <w:r w:rsidRPr="00452E2E">
        <w:t xml:space="preserve"> = .023,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.404, </w:t>
      </w:r>
      <w:r w:rsidRPr="00452E2E">
        <w:rPr>
          <w:i/>
        </w:rPr>
        <w:t>p</w:t>
      </w:r>
      <w:r w:rsidRPr="00452E2E">
        <w:t xml:space="preserve"> &gt;.05). In both models, it was sector that had a significant effect on job satisfaction and affective commitment respectively among the control variables. </w:t>
      </w:r>
    </w:p>
    <w:p w:rsidR="00F75925" w:rsidRPr="00452E2E" w:rsidRDefault="0046388C" w:rsidP="00DA5329">
      <w:pPr>
        <w:spacing w:line="360" w:lineRule="auto"/>
        <w:jc w:val="both"/>
      </w:pPr>
      <w:r w:rsidRPr="00452E2E">
        <w:t xml:space="preserve">Although, a negative relationship was hypothesized between control-focused HR attribution and each employee attitude, counter-intuitively, results in table 7.11 overleaf show a significant positive effect of control-focused HR attribution on normative commitment [F (1, 510) =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.032, </w:t>
      </w:r>
      <w:r w:rsidRPr="00452E2E">
        <w:rPr>
          <w:rFonts w:cs="StoneSerifStd-Medium"/>
          <w:i/>
          <w:szCs w:val="24"/>
        </w:rPr>
        <w:t xml:space="preserve">p </w:t>
      </w:r>
      <w:r w:rsidRPr="00452E2E">
        <w:rPr>
          <w:rFonts w:cs="StoneSerifStd-Medium"/>
          <w:szCs w:val="24"/>
        </w:rPr>
        <w:t xml:space="preserve">&lt;. 05)]. </w:t>
      </w:r>
      <w:r w:rsidR="00DA5329" w:rsidRPr="00452E2E">
        <w:rPr>
          <w:rFonts w:cs="StoneSerifStd-Medium"/>
          <w:szCs w:val="24"/>
        </w:rPr>
        <w:t>The change statistics indicate a marginal incremental change in normative commitment (Δ</w:t>
      </w:r>
      <w:r w:rsidR="00DA5329" w:rsidRPr="00452E2E">
        <w:rPr>
          <w:rFonts w:cs="StoneSerifStd-MediumItalic"/>
          <w:i/>
          <w:iCs/>
          <w:szCs w:val="24"/>
        </w:rPr>
        <w:t>R</w:t>
      </w:r>
      <w:r w:rsidR="00DA5329" w:rsidRPr="00452E2E">
        <w:rPr>
          <w:rFonts w:cs="StoneSerifStd-Medium"/>
          <w:szCs w:val="24"/>
          <w:vertAlign w:val="superscript"/>
        </w:rPr>
        <w:t>2</w:t>
      </w:r>
      <w:r w:rsidR="00DA5329" w:rsidRPr="00452E2E">
        <w:rPr>
          <w:rFonts w:cs="StoneSerifStd-Medium"/>
          <w:szCs w:val="24"/>
        </w:rPr>
        <w:t xml:space="preserve"> = .011, </w:t>
      </w:r>
      <w:r w:rsidR="00DA5329" w:rsidRPr="00452E2E">
        <w:rPr>
          <w:rFonts w:cs="StoneSerifStd-Medium"/>
          <w:i/>
          <w:szCs w:val="24"/>
        </w:rPr>
        <w:t xml:space="preserve">F </w:t>
      </w:r>
      <w:r w:rsidR="00DA5329" w:rsidRPr="00452E2E">
        <w:rPr>
          <w:rFonts w:cs="StoneSerifStd-Medium"/>
          <w:szCs w:val="24"/>
        </w:rPr>
        <w:t>for Δ</w:t>
      </w:r>
      <w:r w:rsidR="00DA5329" w:rsidRPr="00452E2E">
        <w:rPr>
          <w:rFonts w:cs="StoneSerifStd-MediumItalic"/>
          <w:i/>
          <w:iCs/>
          <w:szCs w:val="24"/>
        </w:rPr>
        <w:t>R</w:t>
      </w:r>
      <w:r w:rsidR="00DA5329" w:rsidRPr="00452E2E">
        <w:rPr>
          <w:rFonts w:cs="StoneSerifStd-Medium"/>
          <w:szCs w:val="24"/>
          <w:vertAlign w:val="superscript"/>
        </w:rPr>
        <w:t xml:space="preserve">2 </w:t>
      </w:r>
      <w:r w:rsidR="00DA5329" w:rsidRPr="00452E2E">
        <w:rPr>
          <w:rFonts w:cs="StoneSerifStd-Medium"/>
          <w:szCs w:val="24"/>
        </w:rPr>
        <w:t xml:space="preserve">= 5.634, </w:t>
      </w:r>
      <w:r w:rsidR="00DA5329" w:rsidRPr="00452E2E">
        <w:rPr>
          <w:rFonts w:cs="StoneSerifStd-Medium"/>
          <w:i/>
          <w:szCs w:val="24"/>
        </w:rPr>
        <w:t xml:space="preserve">p </w:t>
      </w:r>
      <w:r w:rsidR="00DA5329" w:rsidRPr="00452E2E">
        <w:rPr>
          <w:rFonts w:cs="StoneSerifStd-Medium"/>
          <w:szCs w:val="24"/>
        </w:rPr>
        <w:t xml:space="preserve">&lt; .05) after accounting for control variables. On the hand, whilst the table shows a positive effect of control-focused HR attribution on continuance commitment, this relationship was non-significant </w:t>
      </w:r>
      <w:r w:rsidR="00DA5329" w:rsidRPr="00452E2E">
        <w:t xml:space="preserve">(β = .051, </w:t>
      </w:r>
      <w:r w:rsidR="00DA5329" w:rsidRPr="00452E2E">
        <w:rPr>
          <w:i/>
        </w:rPr>
        <w:t>SE</w:t>
      </w:r>
      <w:r w:rsidR="00DA5329" w:rsidRPr="00452E2E">
        <w:t xml:space="preserve"> = .045, </w:t>
      </w:r>
      <w:r w:rsidR="00DA5329" w:rsidRPr="00452E2E">
        <w:rPr>
          <w:rFonts w:cs="StoneSerifStd-MediumItalic"/>
          <w:i/>
          <w:iCs/>
          <w:szCs w:val="24"/>
        </w:rPr>
        <w:t>R</w:t>
      </w:r>
      <w:r w:rsidR="00DA5329" w:rsidRPr="00452E2E">
        <w:rPr>
          <w:rFonts w:cs="StoneSerifStd-Medium"/>
          <w:szCs w:val="24"/>
          <w:vertAlign w:val="superscript"/>
        </w:rPr>
        <w:t xml:space="preserve">2 </w:t>
      </w:r>
      <w:r w:rsidR="00DA5329" w:rsidRPr="00452E2E">
        <w:rPr>
          <w:rFonts w:cs="StoneSerifStd-Medium"/>
          <w:szCs w:val="24"/>
        </w:rPr>
        <w:t xml:space="preserve">= .129, </w:t>
      </w:r>
      <w:r w:rsidR="00DA5329" w:rsidRPr="00452E2E">
        <w:rPr>
          <w:i/>
        </w:rPr>
        <w:t>p</w:t>
      </w:r>
      <w:r w:rsidR="00DA5329" w:rsidRPr="00452E2E">
        <w:t xml:space="preserve"> &gt;.05). Thus, hypotheses 11 and 12</w:t>
      </w:r>
      <w:r w:rsidR="00DA5329" w:rsidRPr="00452E2E">
        <w:rPr>
          <w:i/>
        </w:rPr>
        <w:t xml:space="preserve">a-c </w:t>
      </w:r>
      <w:r w:rsidR="00DA5329" w:rsidRPr="00452E2E">
        <w:t>are not supported.</w:t>
      </w:r>
      <w:bookmarkStart w:id="178" w:name="_Toc465419869"/>
    </w:p>
    <w:p w:rsidR="00D03A8E" w:rsidRPr="00452E2E" w:rsidRDefault="00D03A8E" w:rsidP="00D03A8E">
      <w:pPr>
        <w:pStyle w:val="Caption"/>
      </w:pPr>
      <w:r w:rsidRPr="00452E2E">
        <w:lastRenderedPageBreak/>
        <w:t>Table 7.</w:t>
      </w:r>
      <w:r w:rsidR="00B26571">
        <w:fldChar w:fldCharType="begin"/>
      </w:r>
      <w:r w:rsidR="00B26571">
        <w:instrText xml:space="preserve"> SEQ Table \* ARABIC \s 1 </w:instrText>
      </w:r>
      <w:r w:rsidR="00B26571">
        <w:fldChar w:fldCharType="separate"/>
      </w:r>
      <w:r w:rsidR="00AE2756" w:rsidRPr="00452E2E">
        <w:rPr>
          <w:noProof/>
        </w:rPr>
        <w:t>10</w:t>
      </w:r>
      <w:r w:rsidR="00B26571">
        <w:rPr>
          <w:noProof/>
        </w:rPr>
        <w:fldChar w:fldCharType="end"/>
      </w:r>
      <w:r w:rsidRPr="00452E2E">
        <w:t>: Regression Results Showing the Effects of Control-focused HR Attribution on Job Satisfaction and Affective Commitment</w:t>
      </w:r>
      <w:bookmarkEnd w:id="178"/>
    </w:p>
    <w:tbl>
      <w:tblPr>
        <w:tblStyle w:val="TableGrid"/>
        <w:tblW w:w="9209" w:type="dxa"/>
        <w:shd w:val="clear" w:color="auto" w:fill="FFFFFF" w:themeFill="background1"/>
        <w:tblLook w:val="04A0" w:firstRow="1" w:lastRow="0" w:firstColumn="1" w:lastColumn="0" w:noHBand="0" w:noVBand="1"/>
      </w:tblPr>
      <w:tblGrid>
        <w:gridCol w:w="3376"/>
        <w:gridCol w:w="872"/>
        <w:gridCol w:w="567"/>
        <w:gridCol w:w="850"/>
        <w:gridCol w:w="640"/>
        <w:gridCol w:w="778"/>
        <w:gridCol w:w="618"/>
        <w:gridCol w:w="799"/>
        <w:gridCol w:w="709"/>
      </w:tblGrid>
      <w:tr w:rsidR="00452E2E" w:rsidRPr="00452E2E" w:rsidTr="00B57950">
        <w:trPr>
          <w:trHeight w:val="238"/>
        </w:trPr>
        <w:tc>
          <w:tcPr>
            <w:tcW w:w="3376"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72"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w:t>
            </w:r>
          </w:p>
        </w:tc>
        <w:tc>
          <w:tcPr>
            <w:tcW w:w="567"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1</w:t>
            </w:r>
          </w:p>
        </w:tc>
        <w:tc>
          <w:tcPr>
            <w:tcW w:w="850"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640"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2</w:t>
            </w:r>
          </w:p>
        </w:tc>
        <w:tc>
          <w:tcPr>
            <w:tcW w:w="778"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618"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1</w:t>
            </w:r>
          </w:p>
        </w:tc>
        <w:tc>
          <w:tcPr>
            <w:tcW w:w="799"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Model</w:t>
            </w:r>
          </w:p>
        </w:tc>
        <w:tc>
          <w:tcPr>
            <w:tcW w:w="709" w:type="dxa"/>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2</w:t>
            </w:r>
          </w:p>
        </w:tc>
      </w:tr>
      <w:tr w:rsidR="00452E2E" w:rsidRPr="00452E2E" w:rsidTr="00B57950">
        <w:trPr>
          <w:trHeight w:val="228"/>
        </w:trPr>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7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            </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w:t>
            </w:r>
          </w:p>
        </w:tc>
        <w:tc>
          <w:tcPr>
            <w:tcW w:w="64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7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61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9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rPr>
          <w:trHeight w:val="174"/>
        </w:trPr>
        <w:tc>
          <w:tcPr>
            <w:tcW w:w="3376"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87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5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64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77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61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79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0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37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87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5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4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7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1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9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0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.067</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.041</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-.038</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.047</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.040</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.048</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.040</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-.014</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-.012</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.046</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.013</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-.025</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.051</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-.016</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-.008</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.018</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.056</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.056</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.077</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-.022</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.056</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.057</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.071</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.071</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.372**</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.369**</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.742**</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.045</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.742**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Control-focused HR Attribution</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-.032</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.026</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.010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.023</w:t>
            </w:r>
          </w:p>
        </w:tc>
      </w:tr>
      <w:tr w:rsidR="00452E2E" w:rsidRPr="00452E2E" w:rsidTr="00B57950">
        <w:trPr>
          <w:trHeight w:val="263"/>
        </w:trPr>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.126</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.404</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.404</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.109</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.393</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.562</w:t>
            </w: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.562</w:t>
            </w:r>
          </w:p>
        </w:tc>
      </w:tr>
      <w:tr w:rsidR="00452E2E" w:rsidRPr="00452E2E" w:rsidTr="00B57950">
        <w:tc>
          <w:tcPr>
            <w:tcW w:w="3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8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.123**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.003</w:t>
            </w:r>
          </w:p>
        </w:tc>
        <w:tc>
          <w:tcPr>
            <w:tcW w:w="6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.404**</w:t>
            </w:r>
          </w:p>
        </w:tc>
        <w:tc>
          <w:tcPr>
            <w:tcW w:w="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37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1, 510)</w:t>
            </w:r>
          </w:p>
        </w:tc>
        <w:tc>
          <w:tcPr>
            <w:tcW w:w="87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5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1.597</w:t>
            </w:r>
          </w:p>
        </w:tc>
        <w:tc>
          <w:tcPr>
            <w:tcW w:w="64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7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1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79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.651</w:t>
            </w:r>
          </w:p>
        </w:tc>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JS = Job satisfaction; AC = Affective commitment.                                         Bootstrap regression coefficients are reported.</w:t>
      </w:r>
    </w:p>
    <w:p w:rsidR="00D03A8E" w:rsidRPr="00452E2E" w:rsidRDefault="00D03A8E" w:rsidP="00D03A8E"/>
    <w:p w:rsidR="00D03A8E" w:rsidRPr="00452E2E" w:rsidRDefault="00B21171" w:rsidP="00D03A8E">
      <w:pPr>
        <w:pStyle w:val="Caption"/>
        <w:rPr>
          <w:b w:val="0"/>
        </w:rPr>
      </w:pPr>
      <w:bookmarkStart w:id="179" w:name="_Toc465419870"/>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11</w:t>
      </w:r>
      <w:r w:rsidR="00B26571">
        <w:rPr>
          <w:noProof/>
        </w:rPr>
        <w:fldChar w:fldCharType="end"/>
      </w:r>
      <w:r w:rsidR="00D03A8E" w:rsidRPr="00452E2E">
        <w:t>: Regression Results Showing the Effects of Control-focused HR Attribution on Normative and Continuance Commitment</w:t>
      </w:r>
      <w:bookmarkEnd w:id="179"/>
    </w:p>
    <w:tbl>
      <w:tblPr>
        <w:tblStyle w:val="TableGrid"/>
        <w:tblW w:w="9209" w:type="dxa"/>
        <w:shd w:val="clear" w:color="auto" w:fill="FFFFFF" w:themeFill="background1"/>
        <w:tblLook w:val="04A0" w:firstRow="1" w:lastRow="0" w:firstColumn="1" w:lastColumn="0" w:noHBand="0" w:noVBand="1"/>
      </w:tblPr>
      <w:tblGrid>
        <w:gridCol w:w="3243"/>
        <w:gridCol w:w="730"/>
        <w:gridCol w:w="662"/>
        <w:gridCol w:w="806"/>
        <w:gridCol w:w="798"/>
        <w:gridCol w:w="841"/>
        <w:gridCol w:w="552"/>
        <w:gridCol w:w="806"/>
        <w:gridCol w:w="771"/>
      </w:tblGrid>
      <w:tr w:rsidR="00452E2E" w:rsidRPr="00452E2E" w:rsidTr="00B57950">
        <w:trPr>
          <w:trHeight w:val="238"/>
        </w:trPr>
        <w:tc>
          <w:tcPr>
            <w:tcW w:w="324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392"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w:t>
            </w:r>
            <w:r w:rsidR="00B00321" w:rsidRPr="00452E2E">
              <w:rPr>
                <w:b/>
                <w:sz w:val="18"/>
                <w:szCs w:val="18"/>
              </w:rPr>
              <w:t>Model 1</w:t>
            </w:r>
          </w:p>
        </w:tc>
        <w:tc>
          <w:tcPr>
            <w:tcW w:w="1604"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c>
          <w:tcPr>
            <w:tcW w:w="1393"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577"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r>
      <w:tr w:rsidR="00452E2E" w:rsidRPr="00452E2E" w:rsidTr="00B57950">
        <w:trPr>
          <w:trHeight w:val="228"/>
        </w:trPr>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392"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            </w:t>
            </w:r>
          </w:p>
        </w:tc>
        <w:tc>
          <w:tcPr>
            <w:tcW w:w="1604"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w:t>
            </w:r>
          </w:p>
        </w:tc>
        <w:tc>
          <w:tcPr>
            <w:tcW w:w="1393"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c>
          <w:tcPr>
            <w:tcW w:w="1577"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r>
      <w:tr w:rsidR="00452E2E" w:rsidRPr="00452E2E" w:rsidTr="00B57950">
        <w:trPr>
          <w:trHeight w:val="174"/>
        </w:trPr>
        <w:tc>
          <w:tcPr>
            <w:tcW w:w="324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73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00F95E2A" w:rsidRPr="00452E2E">
              <w:rPr>
                <w:sz w:val="18"/>
                <w:szCs w:val="18"/>
              </w:rPr>
              <w:t>Β</w:t>
            </w:r>
          </w:p>
        </w:tc>
        <w:tc>
          <w:tcPr>
            <w:tcW w:w="66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9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4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5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7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24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73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6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9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4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5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7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.064</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-.030</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.064</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.081</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.080</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.037</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.092</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.060</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.061</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.091</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.072</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.084</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-.038</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.085</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.141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.136</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-.102</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-.104</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.083</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-.105</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.077</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.077</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.078</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.135</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-.165</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.135</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-.165</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-.162</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.120</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.121</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.119</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.151</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-.266</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.150</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.027</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.145</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-.008</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-.161</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-.708**</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-.703**</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.091</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Control-focused HR Attribution</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.105*</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.045</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.051</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.045</w:t>
            </w:r>
          </w:p>
        </w:tc>
      </w:tr>
      <w:tr w:rsidR="00452E2E" w:rsidRPr="00452E2E" w:rsidTr="00B57950">
        <w:trPr>
          <w:trHeight w:val="263"/>
        </w:trPr>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.021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.032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.129</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.004</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.952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.013</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.948</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.111</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.112</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.993</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.011*</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.002</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4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1, 510)</w:t>
            </w:r>
          </w:p>
        </w:tc>
        <w:tc>
          <w:tcPr>
            <w:tcW w:w="73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5.634*</w:t>
            </w:r>
          </w:p>
        </w:tc>
        <w:tc>
          <w:tcPr>
            <w:tcW w:w="79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1.202</w:t>
            </w:r>
          </w:p>
        </w:tc>
        <w:tc>
          <w:tcPr>
            <w:tcW w:w="77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NC = Normative commitment; CC = Continuance commitment.</w:t>
      </w:r>
      <w:r w:rsidR="00F473CF" w:rsidRPr="00452E2E">
        <w:rPr>
          <w:sz w:val="14"/>
          <w:szCs w:val="14"/>
        </w:rPr>
        <w:t xml:space="preserve"> </w:t>
      </w:r>
      <w:r w:rsidRPr="00452E2E">
        <w:rPr>
          <w:sz w:val="14"/>
          <w:szCs w:val="14"/>
        </w:rPr>
        <w:t>Bootstrap regression coefficients are reported.</w:t>
      </w:r>
    </w:p>
    <w:p w:rsidR="00DA5329" w:rsidRPr="00452E2E" w:rsidRDefault="00DA5329" w:rsidP="00D03A8E">
      <w:pPr>
        <w:spacing w:line="360" w:lineRule="auto"/>
        <w:jc w:val="both"/>
        <w:rPr>
          <w:i/>
        </w:rPr>
      </w:pPr>
    </w:p>
    <w:p w:rsidR="00173FA8" w:rsidRPr="00452E2E" w:rsidRDefault="00173FA8" w:rsidP="00D03A8E">
      <w:pPr>
        <w:spacing w:line="360" w:lineRule="auto"/>
        <w:jc w:val="both"/>
        <w:rPr>
          <w:i/>
        </w:rPr>
      </w:pPr>
    </w:p>
    <w:p w:rsidR="00173FA8" w:rsidRPr="00452E2E" w:rsidRDefault="00173FA8" w:rsidP="00D03A8E">
      <w:pPr>
        <w:spacing w:line="360" w:lineRule="auto"/>
        <w:jc w:val="both"/>
        <w:rPr>
          <w:i/>
        </w:rPr>
      </w:pPr>
    </w:p>
    <w:p w:rsidR="00D03A8E" w:rsidRPr="00452E2E" w:rsidRDefault="00D03A8E" w:rsidP="00D03A8E">
      <w:pPr>
        <w:spacing w:line="360" w:lineRule="auto"/>
        <w:jc w:val="both"/>
        <w:rPr>
          <w:i/>
        </w:rPr>
      </w:pPr>
      <w:r w:rsidRPr="00452E2E">
        <w:rPr>
          <w:i/>
        </w:rPr>
        <w:lastRenderedPageBreak/>
        <w:t>Union Compliance HR Attribution and Employee Attitudes</w:t>
      </w:r>
    </w:p>
    <w:p w:rsidR="00D03A8E" w:rsidRPr="00452E2E" w:rsidRDefault="00D03A8E" w:rsidP="00D03A8E">
      <w:pPr>
        <w:spacing w:line="360" w:lineRule="auto"/>
        <w:jc w:val="both"/>
      </w:pPr>
      <w:r w:rsidRPr="00452E2E">
        <w:t xml:space="preserve">Results showing the effect of union compliance HR attribution </w:t>
      </w:r>
      <w:r w:rsidR="00D70619" w:rsidRPr="00452E2E">
        <w:t xml:space="preserve">on employee attitudes </w:t>
      </w:r>
      <w:r w:rsidRPr="00452E2E">
        <w:t xml:space="preserve">are presented in tables 7.12 and 7.13. Results in table 7.12 </w:t>
      </w:r>
      <w:r w:rsidR="005E07A0" w:rsidRPr="00452E2E">
        <w:t xml:space="preserve">below </w:t>
      </w:r>
      <w:r w:rsidRPr="00452E2E">
        <w:t xml:space="preserve">indicate a non-significant effect of union compliance HR attribution on job satisfaction (β = .028, </w:t>
      </w:r>
      <w:r w:rsidRPr="00452E2E">
        <w:rPr>
          <w:i/>
        </w:rPr>
        <w:t>SE</w:t>
      </w:r>
      <w:r w:rsidRPr="00452E2E">
        <w:t xml:space="preserve"> = .025,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.125, </w:t>
      </w:r>
      <w:r w:rsidRPr="00452E2E">
        <w:rPr>
          <w:i/>
        </w:rPr>
        <w:t>p</w:t>
      </w:r>
      <w:r w:rsidRPr="00452E2E">
        <w:t xml:space="preserve"> &gt;.05) and affective commitment (β = -.038, </w:t>
      </w:r>
      <w:r w:rsidRPr="00452E2E">
        <w:rPr>
          <w:i/>
        </w:rPr>
        <w:t>SE</w:t>
      </w:r>
      <w:r w:rsidRPr="00452E2E">
        <w:t xml:space="preserve"> = .022,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.407, </w:t>
      </w:r>
      <w:r w:rsidRPr="00452E2E">
        <w:rPr>
          <w:i/>
        </w:rPr>
        <w:t>p</w:t>
      </w:r>
      <w:r w:rsidRPr="00452E2E">
        <w:t xml:space="preserve"> &gt;.05). Again, among the control variables, it was only sector that had a significant effect on job satisfaction (β = .465, </w:t>
      </w:r>
      <w:r w:rsidRPr="00452E2E">
        <w:rPr>
          <w:i/>
        </w:rPr>
        <w:t xml:space="preserve">SE </w:t>
      </w:r>
      <w:r w:rsidRPr="00452E2E">
        <w:t xml:space="preserve">= .096, </w:t>
      </w:r>
      <w:r w:rsidRPr="00452E2E">
        <w:rPr>
          <w:i/>
        </w:rPr>
        <w:t xml:space="preserve">p </w:t>
      </w:r>
      <w:r w:rsidRPr="00452E2E">
        <w:t xml:space="preserve">&lt; .01) whilst </w:t>
      </w:r>
      <w:r w:rsidR="00337335" w:rsidRPr="00452E2E">
        <w:t xml:space="preserve">sector </w:t>
      </w:r>
      <w:r w:rsidRPr="00452E2E">
        <w:t xml:space="preserve">(β = .617, </w:t>
      </w:r>
      <w:r w:rsidRPr="00452E2E">
        <w:rPr>
          <w:i/>
        </w:rPr>
        <w:t xml:space="preserve">SE </w:t>
      </w:r>
      <w:r w:rsidRPr="00452E2E">
        <w:t xml:space="preserve">= .090, </w:t>
      </w:r>
      <w:r w:rsidRPr="00452E2E">
        <w:rPr>
          <w:i/>
        </w:rPr>
        <w:t xml:space="preserve">p </w:t>
      </w:r>
      <w:r w:rsidRPr="00452E2E">
        <w:t xml:space="preserve">&lt; .01) and pay (β = .085, </w:t>
      </w:r>
      <w:r w:rsidRPr="00452E2E">
        <w:rPr>
          <w:i/>
        </w:rPr>
        <w:t xml:space="preserve">SE </w:t>
      </w:r>
      <w:r w:rsidRPr="00452E2E">
        <w:t xml:space="preserve">= .042, </w:t>
      </w:r>
      <w:r w:rsidRPr="00452E2E">
        <w:rPr>
          <w:i/>
        </w:rPr>
        <w:t xml:space="preserve">p </w:t>
      </w:r>
      <w:r w:rsidRPr="00452E2E">
        <w:t>&lt; .05) had a significant e</w:t>
      </w:r>
      <w:r w:rsidR="00F677E1" w:rsidRPr="00452E2E">
        <w:t xml:space="preserve">ffect on affective commitment. </w:t>
      </w:r>
    </w:p>
    <w:p w:rsidR="00D03A8E" w:rsidRPr="00452E2E" w:rsidRDefault="00D03A8E" w:rsidP="00D03A8E">
      <w:pPr>
        <w:pStyle w:val="Caption"/>
        <w:rPr>
          <w:b w:val="0"/>
        </w:rPr>
      </w:pPr>
      <w:bookmarkStart w:id="180" w:name="_Toc465419871"/>
      <w:r w:rsidRPr="00452E2E">
        <w:t>Table 7.</w:t>
      </w:r>
      <w:r w:rsidR="00B26571">
        <w:fldChar w:fldCharType="begin"/>
      </w:r>
      <w:r w:rsidR="00B26571">
        <w:instrText xml:space="preserve"> SEQ Table \* ARABIC \s 1 </w:instrText>
      </w:r>
      <w:r w:rsidR="00B26571">
        <w:fldChar w:fldCharType="separate"/>
      </w:r>
      <w:r w:rsidR="00AE2756" w:rsidRPr="00452E2E">
        <w:rPr>
          <w:noProof/>
        </w:rPr>
        <w:t>12</w:t>
      </w:r>
      <w:r w:rsidR="00B26571">
        <w:rPr>
          <w:noProof/>
        </w:rPr>
        <w:fldChar w:fldCharType="end"/>
      </w:r>
      <w:r w:rsidRPr="00452E2E">
        <w:t>: Regression Results Showing the Effects of Union Compliance HR Attribution on Job Satisfaction and Affective Commitment</w:t>
      </w:r>
      <w:bookmarkEnd w:id="180"/>
    </w:p>
    <w:tbl>
      <w:tblPr>
        <w:tblStyle w:val="TableGrid"/>
        <w:tblW w:w="9209" w:type="dxa"/>
        <w:shd w:val="clear" w:color="auto" w:fill="FFFFFF" w:themeFill="background1"/>
        <w:tblLook w:val="04A0" w:firstRow="1" w:lastRow="0" w:firstColumn="1" w:lastColumn="0" w:noHBand="0" w:noVBand="1"/>
      </w:tblPr>
      <w:tblGrid>
        <w:gridCol w:w="3201"/>
        <w:gridCol w:w="782"/>
        <w:gridCol w:w="662"/>
        <w:gridCol w:w="963"/>
        <w:gridCol w:w="642"/>
        <w:gridCol w:w="911"/>
        <w:gridCol w:w="552"/>
        <w:gridCol w:w="929"/>
        <w:gridCol w:w="567"/>
      </w:tblGrid>
      <w:tr w:rsidR="00452E2E" w:rsidRPr="00452E2E" w:rsidTr="00B57950">
        <w:trPr>
          <w:trHeight w:val="238"/>
        </w:trPr>
        <w:tc>
          <w:tcPr>
            <w:tcW w:w="3201"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444"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605"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c>
          <w:tcPr>
            <w:tcW w:w="1463"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496"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r>
      <w:tr w:rsidR="00452E2E" w:rsidRPr="00452E2E" w:rsidTr="00B57950">
        <w:trPr>
          <w:trHeight w:val="228"/>
        </w:trPr>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444"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            </w:t>
            </w:r>
          </w:p>
        </w:tc>
        <w:tc>
          <w:tcPr>
            <w:tcW w:w="1605"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JS</w:t>
            </w:r>
          </w:p>
        </w:tc>
        <w:tc>
          <w:tcPr>
            <w:tcW w:w="1463"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c>
          <w:tcPr>
            <w:tcW w:w="1496"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AC</w:t>
            </w:r>
          </w:p>
        </w:tc>
      </w:tr>
      <w:tr w:rsidR="00452E2E" w:rsidRPr="00452E2E" w:rsidTr="00B57950">
        <w:trPr>
          <w:trHeight w:val="174"/>
        </w:trPr>
        <w:tc>
          <w:tcPr>
            <w:tcW w:w="3201"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78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00F95E2A" w:rsidRPr="00452E2E">
              <w:rPr>
                <w:sz w:val="18"/>
                <w:szCs w:val="18"/>
              </w:rPr>
              <w:t>Β</w:t>
            </w:r>
          </w:p>
        </w:tc>
        <w:tc>
          <w:tcPr>
            <w:tcW w:w="66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63"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64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1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5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929"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67"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20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78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6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6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4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1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5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929"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67"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.068</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.067</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-.021</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-.019</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-.037</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.053</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.053</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-.014</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.047</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-.012</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.047</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.036</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.010</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.036</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-.026</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-.026</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-.016</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.042</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.067</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-.006</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.068</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.018</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.057</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.018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.057</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.077</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.062</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.077</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-.022</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.069</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-.031</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.056</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.039</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.088</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.000</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.073</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.075</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.372**</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.052</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.465**</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.096</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.742**</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.045</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.617**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.090</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Union Compliance HR Attribution</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.028</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.025</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-.038</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.022</w:t>
            </w:r>
          </w:p>
        </w:tc>
      </w:tr>
      <w:tr w:rsidR="00452E2E" w:rsidRPr="00452E2E" w:rsidTr="00B57950">
        <w:trPr>
          <w:trHeight w:val="263"/>
        </w:trPr>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 xml:space="preserve"> .125</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.407</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.107</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.108</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.562</w:t>
            </w: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.395</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.561</w:t>
            </w:r>
          </w:p>
        </w:tc>
      </w:tr>
      <w:tr w:rsidR="00452E2E" w:rsidRPr="00452E2E" w:rsidTr="00B57950">
        <w:tc>
          <w:tcPr>
            <w:tcW w:w="32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7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.123**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.002</w:t>
            </w:r>
          </w:p>
        </w:tc>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.404**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.003</w:t>
            </w: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0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1, 510)</w:t>
            </w:r>
          </w:p>
        </w:tc>
        <w:tc>
          <w:tcPr>
            <w:tcW w:w="78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6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1.053</w:t>
            </w:r>
          </w:p>
        </w:tc>
        <w:tc>
          <w:tcPr>
            <w:tcW w:w="64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1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929"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2.670</w:t>
            </w:r>
          </w:p>
        </w:tc>
        <w:tc>
          <w:tcPr>
            <w:tcW w:w="567"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JS = Job satisfaction; AC = Affective commitment.                                         Bootstrap regression coefficients are reported.</w:t>
      </w:r>
    </w:p>
    <w:p w:rsidR="007D0C97" w:rsidRPr="00452E2E" w:rsidRDefault="007D0C97" w:rsidP="00D03A8E">
      <w:pPr>
        <w:jc w:val="both"/>
      </w:pPr>
    </w:p>
    <w:p w:rsidR="00D03A8E" w:rsidRPr="00452E2E" w:rsidRDefault="00D03A8E" w:rsidP="004A4234">
      <w:pPr>
        <w:spacing w:line="360" w:lineRule="auto"/>
        <w:jc w:val="both"/>
      </w:pPr>
      <w:r w:rsidRPr="00452E2E">
        <w:t xml:space="preserve">Table 7.13 </w:t>
      </w:r>
      <w:r w:rsidR="007D0C97" w:rsidRPr="00452E2E">
        <w:t xml:space="preserve">overleaf </w:t>
      </w:r>
      <w:r w:rsidRPr="00452E2E">
        <w:t xml:space="preserve">also shows that the effects of union compliance HR attribution on normative commitment (β = .042, </w:t>
      </w:r>
      <w:r w:rsidRPr="00452E2E">
        <w:rPr>
          <w:i/>
        </w:rPr>
        <w:t>SE</w:t>
      </w:r>
      <w:r w:rsidRPr="00452E2E">
        <w:t xml:space="preserve"> = .047,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.023, </w:t>
      </w:r>
      <w:r w:rsidRPr="00452E2E">
        <w:rPr>
          <w:i/>
        </w:rPr>
        <w:t>p</w:t>
      </w:r>
      <w:r w:rsidRPr="00452E2E">
        <w:t xml:space="preserve"> &gt;.05) and continuance (β = -.068, </w:t>
      </w:r>
      <w:r w:rsidRPr="00452E2E">
        <w:rPr>
          <w:i/>
        </w:rPr>
        <w:t>SE</w:t>
      </w:r>
      <w:r w:rsidRPr="00452E2E">
        <w:t xml:space="preserve"> = .034, </w:t>
      </w:r>
      <w:r w:rsidRPr="00452E2E">
        <w:rPr>
          <w:rFonts w:cs="StoneSerifStd-MediumItalic"/>
          <w:i/>
          <w:iCs/>
          <w:szCs w:val="24"/>
        </w:rPr>
        <w:t>R</w:t>
      </w:r>
      <w:r w:rsidRPr="00452E2E">
        <w:rPr>
          <w:rFonts w:cs="StoneSerifStd-Medium"/>
          <w:szCs w:val="24"/>
          <w:vertAlign w:val="superscript"/>
        </w:rPr>
        <w:t xml:space="preserve">2 </w:t>
      </w:r>
      <w:r w:rsidRPr="00452E2E">
        <w:rPr>
          <w:rFonts w:cs="StoneSerifStd-Medium"/>
          <w:szCs w:val="24"/>
        </w:rPr>
        <w:t xml:space="preserve">= .130, </w:t>
      </w:r>
      <w:r w:rsidRPr="00452E2E">
        <w:rPr>
          <w:i/>
        </w:rPr>
        <w:t>p</w:t>
      </w:r>
      <w:r w:rsidRPr="00452E2E">
        <w:t xml:space="preserve"> &gt;.05) were non-significant. Accordingly, hypotheses 13 and 14</w:t>
      </w:r>
      <w:r w:rsidRPr="00452E2E">
        <w:rPr>
          <w:i/>
        </w:rPr>
        <w:t>a-c</w:t>
      </w:r>
      <w:r w:rsidRPr="00452E2E">
        <w:t xml:space="preserve"> are not supported. </w:t>
      </w:r>
    </w:p>
    <w:p w:rsidR="00D03A8E" w:rsidRPr="00452E2E" w:rsidRDefault="00D03A8E" w:rsidP="00D03A8E">
      <w:pPr>
        <w:jc w:val="both"/>
      </w:pPr>
    </w:p>
    <w:p w:rsidR="00F677E1" w:rsidRPr="00452E2E" w:rsidRDefault="00F677E1" w:rsidP="00D03A8E">
      <w:pPr>
        <w:pStyle w:val="Caption"/>
      </w:pPr>
      <w:bookmarkStart w:id="181" w:name="_Toc465419872"/>
    </w:p>
    <w:p w:rsidR="00F677E1" w:rsidRPr="00452E2E" w:rsidRDefault="00F677E1" w:rsidP="00D03A8E">
      <w:pPr>
        <w:pStyle w:val="Caption"/>
      </w:pPr>
    </w:p>
    <w:p w:rsidR="00F677E1" w:rsidRPr="00452E2E" w:rsidRDefault="00F677E1" w:rsidP="00D03A8E">
      <w:pPr>
        <w:pStyle w:val="Caption"/>
      </w:pPr>
    </w:p>
    <w:p w:rsidR="00D03A8E" w:rsidRPr="00452E2E" w:rsidRDefault="00D03A8E" w:rsidP="00D03A8E">
      <w:pPr>
        <w:pStyle w:val="Caption"/>
        <w:rPr>
          <w:b w:val="0"/>
        </w:rPr>
      </w:pPr>
      <w:r w:rsidRPr="00452E2E">
        <w:lastRenderedPageBreak/>
        <w:t>Table 7.</w:t>
      </w:r>
      <w:r w:rsidR="00B26571">
        <w:fldChar w:fldCharType="begin"/>
      </w:r>
      <w:r w:rsidR="00B26571">
        <w:instrText xml:space="preserve"> SEQ Table \* ARABIC \s 1 </w:instrText>
      </w:r>
      <w:r w:rsidR="00B26571">
        <w:fldChar w:fldCharType="separate"/>
      </w:r>
      <w:r w:rsidR="00AE2756" w:rsidRPr="00452E2E">
        <w:rPr>
          <w:noProof/>
        </w:rPr>
        <w:t>13</w:t>
      </w:r>
      <w:r w:rsidR="00B26571">
        <w:rPr>
          <w:noProof/>
        </w:rPr>
        <w:fldChar w:fldCharType="end"/>
      </w:r>
      <w:r w:rsidRPr="00452E2E">
        <w:t>: Regression Results Showing the Effects of Union Compliance HR Attribution on Normative and Continuance Commitment</w:t>
      </w:r>
      <w:bookmarkEnd w:id="181"/>
    </w:p>
    <w:tbl>
      <w:tblPr>
        <w:tblStyle w:val="TableGrid"/>
        <w:tblW w:w="9209" w:type="dxa"/>
        <w:shd w:val="clear" w:color="auto" w:fill="FFFFFF" w:themeFill="background1"/>
        <w:tblLook w:val="04A0" w:firstRow="1" w:lastRow="0" w:firstColumn="1" w:lastColumn="0" w:noHBand="0" w:noVBand="1"/>
      </w:tblPr>
      <w:tblGrid>
        <w:gridCol w:w="3243"/>
        <w:gridCol w:w="730"/>
        <w:gridCol w:w="662"/>
        <w:gridCol w:w="806"/>
        <w:gridCol w:w="798"/>
        <w:gridCol w:w="841"/>
        <w:gridCol w:w="552"/>
        <w:gridCol w:w="806"/>
        <w:gridCol w:w="771"/>
      </w:tblGrid>
      <w:tr w:rsidR="00452E2E" w:rsidRPr="00452E2E" w:rsidTr="00B57950">
        <w:trPr>
          <w:trHeight w:val="238"/>
        </w:trPr>
        <w:tc>
          <w:tcPr>
            <w:tcW w:w="3243"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392"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604"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c>
          <w:tcPr>
            <w:tcW w:w="1393"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1</w:t>
            </w:r>
          </w:p>
        </w:tc>
        <w:tc>
          <w:tcPr>
            <w:tcW w:w="1577" w:type="dxa"/>
            <w:gridSpan w:val="2"/>
            <w:tcBorders>
              <w:top w:val="single" w:sz="12" w:space="0" w:color="auto"/>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Model 2</w:t>
            </w:r>
          </w:p>
        </w:tc>
      </w:tr>
      <w:tr w:rsidR="00452E2E" w:rsidRPr="00452E2E" w:rsidTr="00B57950">
        <w:trPr>
          <w:trHeight w:val="228"/>
        </w:trPr>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1392"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            </w:t>
            </w:r>
          </w:p>
        </w:tc>
        <w:tc>
          <w:tcPr>
            <w:tcW w:w="1604"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NC</w:t>
            </w:r>
          </w:p>
        </w:tc>
        <w:tc>
          <w:tcPr>
            <w:tcW w:w="1393"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c>
          <w:tcPr>
            <w:tcW w:w="1577" w:type="dxa"/>
            <w:gridSpan w:val="2"/>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 xml:space="preserve">       CC</w:t>
            </w:r>
          </w:p>
        </w:tc>
      </w:tr>
      <w:tr w:rsidR="00452E2E" w:rsidRPr="00452E2E" w:rsidTr="00B57950">
        <w:trPr>
          <w:trHeight w:val="174"/>
        </w:trPr>
        <w:tc>
          <w:tcPr>
            <w:tcW w:w="3243" w:type="dxa"/>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Variables</w:t>
            </w:r>
          </w:p>
        </w:tc>
        <w:tc>
          <w:tcPr>
            <w:tcW w:w="730"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b/>
                <w:sz w:val="18"/>
                <w:szCs w:val="18"/>
              </w:rPr>
              <w:t xml:space="preserve"> </w:t>
            </w:r>
            <w:r w:rsidRPr="00452E2E">
              <w:rPr>
                <w:sz w:val="18"/>
                <w:szCs w:val="18"/>
              </w:rPr>
              <w:t>β</w:t>
            </w:r>
          </w:p>
        </w:tc>
        <w:tc>
          <w:tcPr>
            <w:tcW w:w="66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98"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4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552"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c>
          <w:tcPr>
            <w:tcW w:w="806"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β</w:t>
            </w:r>
          </w:p>
        </w:tc>
        <w:tc>
          <w:tcPr>
            <w:tcW w:w="771" w:type="dxa"/>
            <w:tcBorders>
              <w:left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i/>
                <w:sz w:val="18"/>
                <w:szCs w:val="18"/>
              </w:rPr>
            </w:pPr>
            <w:r w:rsidRPr="00452E2E">
              <w:rPr>
                <w:i/>
                <w:sz w:val="18"/>
                <w:szCs w:val="18"/>
              </w:rPr>
              <w:t>SE</w:t>
            </w:r>
          </w:p>
        </w:tc>
      </w:tr>
      <w:tr w:rsidR="00452E2E" w:rsidRPr="00452E2E" w:rsidTr="00B57950">
        <w:tc>
          <w:tcPr>
            <w:tcW w:w="3243"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Control Variables</w:t>
            </w:r>
          </w:p>
        </w:tc>
        <w:tc>
          <w:tcPr>
            <w:tcW w:w="730"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66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98"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4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552"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806"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c>
          <w:tcPr>
            <w:tcW w:w="771" w:type="dxa"/>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Age</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.068</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.068</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.085</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.076</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Sex</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.038</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.093</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.060</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.055</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.096</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Tenure</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-.035</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.070</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.071</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-.034</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-.039</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Pay</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.141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.140</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-.102</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-.100</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.086</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Education</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-.111</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.082</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.079</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.036</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.079</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Banking Operations</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.132</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-.165</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.118</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-.164</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.119</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Clinical Staff</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.033</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.118</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.043</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.119</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-.267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.148</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-.283</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.150</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Industry</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.004</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.146</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-.007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.162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.035</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.170</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Sector</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-.170*</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.087</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-.032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.172</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-.708**</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.091</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-.932**</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.134</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b/>
                <w:sz w:val="18"/>
                <w:szCs w:val="18"/>
              </w:rPr>
            </w:pPr>
            <w:r w:rsidRPr="00452E2E">
              <w:rPr>
                <w:b/>
                <w:sz w:val="18"/>
                <w:szCs w:val="18"/>
              </w:rPr>
              <w:t>Independent Variable</w:t>
            </w:r>
          </w:p>
          <w:p w:rsidR="00D03A8E" w:rsidRPr="00452E2E" w:rsidRDefault="00D03A8E" w:rsidP="00B57950">
            <w:pPr>
              <w:rPr>
                <w:sz w:val="18"/>
                <w:szCs w:val="18"/>
              </w:rPr>
            </w:pPr>
            <w:r w:rsidRPr="00452E2E">
              <w:rPr>
                <w:sz w:val="18"/>
                <w:szCs w:val="18"/>
              </w:rPr>
              <w:t>Union Compliance HR Attribution</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.042</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.047</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-.068</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p w:rsidR="00D03A8E" w:rsidRPr="00452E2E" w:rsidRDefault="00D03A8E" w:rsidP="00B57950">
            <w:pPr>
              <w:rPr>
                <w:sz w:val="18"/>
                <w:szCs w:val="18"/>
              </w:rPr>
            </w:pPr>
            <w:r w:rsidRPr="00452E2E">
              <w:rPr>
                <w:sz w:val="18"/>
                <w:szCs w:val="18"/>
              </w:rPr>
              <w:t>.034</w:t>
            </w:r>
          </w:p>
        </w:tc>
      </w:tr>
      <w:tr w:rsidR="00452E2E" w:rsidRPr="00452E2E" w:rsidTr="00B57950">
        <w:trPr>
          <w:trHeight w:val="263"/>
        </w:trPr>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Italic"/>
                <w:i/>
                <w:iCs/>
                <w:sz w:val="18"/>
                <w:szCs w:val="18"/>
              </w:rPr>
            </w:pPr>
          </w:p>
          <w:p w:rsidR="00D03A8E" w:rsidRPr="00452E2E" w:rsidRDefault="00D03A8E" w:rsidP="00B57950">
            <w:pPr>
              <w:rPr>
                <w:rFonts w:cs="StoneSerifStd-Medium"/>
                <w:sz w:val="18"/>
                <w:szCs w:val="18"/>
                <w:vertAlign w:val="superscript"/>
              </w:rPr>
            </w:pPr>
            <w:r w:rsidRPr="00452E2E">
              <w:rPr>
                <w:rFonts w:cs="StoneSerifStd-MediumItalic"/>
                <w:i/>
                <w:iCs/>
                <w:sz w:val="18"/>
                <w:szCs w:val="18"/>
              </w:rPr>
              <w:t>R</w:t>
            </w:r>
            <w:r w:rsidRPr="00452E2E">
              <w:rPr>
                <w:rFonts w:cs="StoneSerifStd-Medium"/>
                <w:sz w:val="18"/>
                <w:szCs w:val="18"/>
                <w:vertAlign w:val="superscript"/>
              </w:rPr>
              <w:t>2</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.021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.023</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.127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w:t>
            </w:r>
          </w:p>
          <w:p w:rsidR="00D03A8E" w:rsidRPr="00452E2E" w:rsidRDefault="00D03A8E" w:rsidP="00B57950">
            <w:pPr>
              <w:rPr>
                <w:sz w:val="18"/>
                <w:szCs w:val="18"/>
              </w:rPr>
            </w:pPr>
            <w:r w:rsidRPr="00452E2E">
              <w:rPr>
                <w:sz w:val="18"/>
                <w:szCs w:val="18"/>
              </w:rPr>
              <w:t xml:space="preserve"> .130</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rFonts w:cs="StoneSerifStd-Medium"/>
                <w:sz w:val="18"/>
                <w:szCs w:val="18"/>
                <w:vertAlign w:val="superscript"/>
              </w:rPr>
            </w:pPr>
            <w:r w:rsidRPr="00452E2E">
              <w:rPr>
                <w:sz w:val="18"/>
                <w:szCs w:val="18"/>
              </w:rPr>
              <w:t xml:space="preserve">Adjusted </w:t>
            </w:r>
            <w:r w:rsidRPr="00452E2E">
              <w:rPr>
                <w:rFonts w:cs="StoneSerifStd-MediumItalic"/>
                <w:i/>
                <w:iCs/>
                <w:sz w:val="18"/>
                <w:szCs w:val="18"/>
              </w:rPr>
              <w:t>R</w:t>
            </w:r>
            <w:r w:rsidRPr="00452E2E">
              <w:rPr>
                <w:rFonts w:cs="StoneSerifStd-Medium"/>
                <w:sz w:val="18"/>
                <w:szCs w:val="18"/>
                <w:vertAlign w:val="superscript"/>
              </w:rPr>
              <w:t>2</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.004</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.952</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.003</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.952</w:t>
            </w: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.111</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.993</w:t>
            </w: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.113</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.993</w:t>
            </w:r>
          </w:p>
        </w:tc>
      </w:tr>
      <w:tr w:rsidR="00452E2E" w:rsidRPr="00452E2E" w:rsidTr="00B57950">
        <w:tc>
          <w:tcPr>
            <w:tcW w:w="3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sz w:val="18"/>
                <w:szCs w:val="18"/>
              </w:rPr>
              <w:t>Δ</w:t>
            </w:r>
            <w:r w:rsidRPr="00452E2E">
              <w:rPr>
                <w:rFonts w:cs="StoneSerifStd-MediumItalic"/>
                <w:i/>
                <w:iCs/>
                <w:sz w:val="18"/>
                <w:szCs w:val="18"/>
              </w:rPr>
              <w:t>R</w:t>
            </w:r>
            <w:r w:rsidRPr="00452E2E">
              <w:rPr>
                <w:rFonts w:cs="StoneSerifStd-Medium"/>
                <w:sz w:val="18"/>
                <w:szCs w:val="18"/>
                <w:vertAlign w:val="superscript"/>
              </w:rPr>
              <w:t>2</w:t>
            </w:r>
          </w:p>
        </w:t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.021</w:t>
            </w:r>
          </w:p>
        </w:tc>
        <w:tc>
          <w:tcPr>
            <w:tcW w:w="6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.001</w:t>
            </w:r>
          </w:p>
        </w:tc>
        <w:tc>
          <w:tcPr>
            <w:tcW w:w="7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.127**</w:t>
            </w:r>
          </w:p>
        </w:tc>
        <w:tc>
          <w:tcPr>
            <w:tcW w:w="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.003</w:t>
            </w:r>
          </w:p>
        </w:tc>
        <w:tc>
          <w:tcPr>
            <w:tcW w:w="7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rPr>
                <w:sz w:val="18"/>
                <w:szCs w:val="18"/>
              </w:rPr>
            </w:pPr>
          </w:p>
        </w:tc>
      </w:tr>
      <w:tr w:rsidR="00452E2E" w:rsidRPr="00452E2E" w:rsidTr="00B57950">
        <w:tc>
          <w:tcPr>
            <w:tcW w:w="3243"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rFonts w:cs="StoneSerifStd-Medium"/>
                <w:i/>
                <w:sz w:val="18"/>
                <w:szCs w:val="18"/>
              </w:rPr>
              <w:t xml:space="preserve">F </w:t>
            </w:r>
            <w:r w:rsidRPr="00452E2E">
              <w:rPr>
                <w:rFonts w:cs="StoneSerifStd-Medium"/>
                <w:sz w:val="18"/>
                <w:szCs w:val="18"/>
              </w:rPr>
              <w:t>for Δ</w:t>
            </w:r>
            <w:r w:rsidRPr="00452E2E">
              <w:rPr>
                <w:rFonts w:cs="StoneSerifStd-MediumItalic"/>
                <w:i/>
                <w:iCs/>
                <w:sz w:val="18"/>
                <w:szCs w:val="18"/>
              </w:rPr>
              <w:t>R</w:t>
            </w:r>
            <w:r w:rsidRPr="00452E2E">
              <w:rPr>
                <w:rFonts w:cs="StoneSerifStd-Medium"/>
                <w:sz w:val="18"/>
                <w:szCs w:val="18"/>
                <w:vertAlign w:val="superscript"/>
              </w:rPr>
              <w:t xml:space="preserve">2  </w:t>
            </w:r>
            <w:r w:rsidRPr="00452E2E">
              <w:rPr>
                <w:rFonts w:cs="StoneSerifStd-Medium"/>
                <w:sz w:val="18"/>
                <w:szCs w:val="18"/>
              </w:rPr>
              <w:t>(DF = 1, 510)</w:t>
            </w:r>
          </w:p>
        </w:tc>
        <w:tc>
          <w:tcPr>
            <w:tcW w:w="73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66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.774</w:t>
            </w:r>
          </w:p>
        </w:tc>
        <w:tc>
          <w:tcPr>
            <w:tcW w:w="79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4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55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c>
          <w:tcPr>
            <w:tcW w:w="80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1.874</w:t>
            </w:r>
          </w:p>
        </w:tc>
        <w:tc>
          <w:tcPr>
            <w:tcW w:w="77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p>
        </w:tc>
      </w:tr>
    </w:tbl>
    <w:p w:rsidR="00D03A8E" w:rsidRPr="00452E2E" w:rsidRDefault="00D03A8E" w:rsidP="00D03A8E">
      <w:pPr>
        <w:spacing w:line="240" w:lineRule="auto"/>
        <w:rPr>
          <w:sz w:val="14"/>
          <w:szCs w:val="14"/>
        </w:rPr>
      </w:pPr>
      <w:r w:rsidRPr="00452E2E">
        <w:rPr>
          <w:sz w:val="14"/>
          <w:szCs w:val="14"/>
        </w:rPr>
        <w:t>Notes: N= 521.</w:t>
      </w:r>
      <w:r w:rsidRPr="00452E2E">
        <w:rPr>
          <w:sz w:val="14"/>
          <w:szCs w:val="14"/>
          <w:vertAlign w:val="superscript"/>
        </w:rPr>
        <w:t xml:space="preserve">  </w:t>
      </w:r>
      <w:r w:rsidRPr="00452E2E">
        <w:rPr>
          <w:sz w:val="14"/>
          <w:szCs w:val="14"/>
        </w:rPr>
        <w:t>*</w:t>
      </w:r>
      <w:r w:rsidRPr="00452E2E">
        <w:rPr>
          <w:i/>
          <w:sz w:val="14"/>
          <w:szCs w:val="14"/>
        </w:rPr>
        <w:t>p</w:t>
      </w:r>
      <w:r w:rsidRPr="00452E2E">
        <w:rPr>
          <w:sz w:val="14"/>
          <w:szCs w:val="14"/>
        </w:rPr>
        <w:t xml:space="preserve"> &lt; .05; ** </w:t>
      </w:r>
      <w:r w:rsidRPr="00452E2E">
        <w:rPr>
          <w:i/>
          <w:sz w:val="14"/>
          <w:szCs w:val="14"/>
        </w:rPr>
        <w:t>p</w:t>
      </w:r>
      <w:r w:rsidRPr="00452E2E">
        <w:rPr>
          <w:sz w:val="14"/>
          <w:szCs w:val="14"/>
        </w:rPr>
        <w:t xml:space="preserve"> &lt; .01.  Sex: Male=1, Female=2; Industry: Banks=1, Hospitals=2; Sector: Private Sector =1; Public Sector = 2. Dummy variable was created for job category: 1=banking operations, 0=other; 1=clinical staff, 0=other. These 2 job categories were entered in regression equation to represent job category for banks and hospitals respectively. NC = Normative commitment; CC = Continuance commitment.               Bootstrap regression coefficients are reported.</w:t>
      </w:r>
    </w:p>
    <w:p w:rsidR="00D03A8E" w:rsidRPr="00452E2E" w:rsidRDefault="001B517C" w:rsidP="00D03A8E">
      <w:pPr>
        <w:spacing w:line="360" w:lineRule="auto"/>
        <w:jc w:val="both"/>
        <w:rPr>
          <w:rFonts w:cs="StoneSerifStd-Medium"/>
          <w:szCs w:val="24"/>
        </w:rPr>
      </w:pPr>
      <w:r w:rsidRPr="00452E2E">
        <w:rPr>
          <w:rFonts w:cs="StoneSerifStd-Medium"/>
          <w:szCs w:val="24"/>
        </w:rPr>
        <w:t>In sum, r</w:t>
      </w:r>
      <w:r w:rsidR="00D03A8E" w:rsidRPr="00452E2E">
        <w:rPr>
          <w:rFonts w:cs="StoneSerifStd-Medium"/>
          <w:szCs w:val="24"/>
        </w:rPr>
        <w:t xml:space="preserve">esults of the tests of direct relationships presented </w:t>
      </w:r>
      <w:r w:rsidR="00AF18E1" w:rsidRPr="00452E2E">
        <w:rPr>
          <w:rFonts w:cs="StoneSerifStd-Medium"/>
          <w:szCs w:val="24"/>
        </w:rPr>
        <w:t>in the preceding sections</w:t>
      </w:r>
      <w:r w:rsidR="00D03A8E" w:rsidRPr="00452E2E">
        <w:rPr>
          <w:rFonts w:cs="StoneSerifStd-Medium"/>
          <w:szCs w:val="24"/>
        </w:rPr>
        <w:t xml:space="preserve"> indicate that hypotheses 1, 2a-b, 4a-b and 9 were supported whilst hypotheses 2c, 3, 4c, 10a-c, 11, 12a-c, 13 and 14a-c were not supported. Results for the tests of mediation effects shall be presented in the next section. </w:t>
      </w:r>
    </w:p>
    <w:p w:rsidR="00D03A8E" w:rsidRPr="00452E2E" w:rsidRDefault="00D03A8E" w:rsidP="00D03A8E">
      <w:pPr>
        <w:pStyle w:val="Heading4"/>
      </w:pPr>
      <w:bookmarkStart w:id="182" w:name="_Toc473808190"/>
      <w:r w:rsidRPr="00452E2E">
        <w:t>7.5.2 Tests of Mediation Effects</w:t>
      </w:r>
      <w:bookmarkEnd w:id="182"/>
    </w:p>
    <w:p w:rsidR="00311E08" w:rsidRPr="00452E2E" w:rsidRDefault="00D03A8E" w:rsidP="00D03A8E">
      <w:pPr>
        <w:spacing w:line="360" w:lineRule="auto"/>
        <w:jc w:val="both"/>
      </w:pPr>
      <w:r w:rsidRPr="00452E2E">
        <w:t xml:space="preserve">The aim of mediation analysis is to examine the mechanism through which an independent variable (HR practices in this research) affects a dependent variable (employee attitudes in this research). It involves testing the indirect effect of the independent </w:t>
      </w:r>
      <w:r w:rsidR="00937C84" w:rsidRPr="00452E2E">
        <w:t xml:space="preserve">variable </w:t>
      </w:r>
      <w:r w:rsidRPr="00452E2E">
        <w:t xml:space="preserve">on the dependent variable through an intervening variable known as the mediator </w:t>
      </w:r>
      <w:r w:rsidRPr="00452E2E">
        <w:fldChar w:fldCharType="begin" w:fldLock="1"/>
      </w:r>
      <w:r w:rsidRPr="00452E2E">
        <w:instrText>ADDIN CSL_CITATION { "citationItems" : [ { "id" : "ITEM-1", "itemData" : { "abstract" : "Baron, R. M., &amp; Kenny, D. A. (1986). The moderator\u2013mediator variable distinction in social psychological research: Conceptual, strategic, and statistical considerations. Journal of personality and social psychology, 51(6), 1173.", "author" : [ { "dropping-particle" : "", "family" : "Baron", "given" : "Reuben M.", "non-dropping-particle" : "", "parse-names" : false, "suffix" : "" }, { "dropping-particle" : "", "family" : "Kenny", "given" : "David A.", "non-dropping-particle" : "", "parse-names" : false, "suffix" : "" } ], "container-title" : "Journal of Personality and Social Psychology", "id" : "ITEM-1", "issue" : "6", "issued" : { "date-parts" : [ [ "1986" ] ] }, "page" : "1173-1182", "title" : "The moderator-mediator variable distinction in social psychological research: Conceptual, strategic, and statistical considerations", "type" : "article-journal", "volume" : "51" }, "uris" : [ "http://www.mendeley.com/documents/?uuid=8ed299fe-c89a-4f11-8ffb-3aa6c289f987" ] }, { "id" : "ITEM-2", "itemData" : { "DOI" : "10.1080/03637750903310360", "ISSN" : "0363-7751", "author" : [ { "dropping-particle" : "", "family" : "Hayes", "given" : "Andrew F", "non-dropping-particle" : "", "parse-names" : false, "suffix" : "" } ], "container-title" : "Communication Monographs", "id" : "ITEM-2", "issue" : "4", "issued" : { "date-parts" : [ [ "2009" ] ] }, "page" : "408-420", "title" : "Beyond Baron and Kenny : statistical mediation analysis in the new millennium", "type" : "article-journal", "volume" : "76" }, "uris" : [ "http://www.mendeley.com/documents/?uuid=cf3f15b0-fecd-4341-81a8-0af8676a5deb" ] } ], "mendeley" : { "formattedCitation" : "(Baron &amp; Kenny 1986; Hayes 2009)", "manualFormatting" : "(Baron &amp; Kenny, 1986; Hayes, 2009)", "plainTextFormattedCitation" : "(Baron &amp; Kenny 1986; Hayes 2009)", "previouslyFormattedCitation" : "(Baron &amp; Kenny 1986; Hayes 2009)" }, "properties" : { "noteIndex" : 0 }, "schema" : "https://github.com/citation-style-language/schema/raw/master/csl-citation.json" }</w:instrText>
      </w:r>
      <w:r w:rsidRPr="00452E2E">
        <w:fldChar w:fldCharType="separate"/>
      </w:r>
      <w:r w:rsidRPr="00452E2E">
        <w:rPr>
          <w:noProof/>
        </w:rPr>
        <w:t>(Baron &amp; Kenny, 1986; Hayes, 2009)</w:t>
      </w:r>
      <w:r w:rsidRPr="00452E2E">
        <w:fldChar w:fldCharType="end"/>
      </w:r>
      <w:r w:rsidRPr="00452E2E">
        <w:t xml:space="preserve">. The mediation model which is depicted in figure 7.2 </w:t>
      </w:r>
      <w:r w:rsidR="00CD3C82" w:rsidRPr="00452E2E">
        <w:t xml:space="preserve">overleaf </w:t>
      </w:r>
      <w:r w:rsidRPr="00452E2E">
        <w:t xml:space="preserve">indicates that X is the independent variable, M is the mediator whilst Y is the dependent variable, a is the direct effect of the independent variable on the mediator, b is the direct effect of the mediator on the dependent variable, c’ is the direct effect of the independent variable on the dependent variable whilst </w:t>
      </w:r>
      <w:r w:rsidRPr="00452E2E">
        <w:rPr>
          <w:i/>
        </w:rPr>
        <w:t>ab</w:t>
      </w:r>
      <w:r w:rsidRPr="00452E2E">
        <w:t xml:space="preserve"> is the indirect effect of the independent variable on the dependent variable through the mediator </w:t>
      </w:r>
      <w:r w:rsidRPr="00452E2E">
        <w:fldChar w:fldCharType="begin" w:fldLock="1"/>
      </w:r>
      <w:r w:rsidRPr="00452E2E">
        <w:instrText>ADDIN CSL_CITATION { "citationItems" : [ { "id" : "ITEM-1", "itemData" : { "abstract" : "Most treatments of indirect effects and mediation in the statistical methods literature and the corresponding methods used by behavioral scientists have assumed linear relationships between variables in the causal system. Here we describe and extend a method first introduced by Stolzenberg (1980) for estimating indirect effects in models of mediators and outcomes that are nonlinear functions but linear in their parameters. We introduce the concept of the instantaneous indirect effect of X on Y through M and illustrate its computation and describe a bootstrapping procedure for inference. Mplus code as well as SPSS and SAS macros are provided to facilitate the adoption of this approach and ease the computational burden on the researcher.", "author" : [ { "dropping-particle" : "", "family" : "Hayes", "given" : "Andrew F.", "non-dropping-particle" : "", "parse-names" : false, "suffix" : "" }, { "dropping-particle" : "", "family" : "Preacher", "given" : "Kristopher J.", "non-dropping-particle" : "", "parse-names" : false, "suffix" : "" } ], "container-title" : "Multivariate Behavioral Research", "id" : "ITEM-1", "issue" : "4", "issued" : { "date-parts" : [ [ "2010" ] ] }, "page" : "627-660", "title" : "Quantifying and testing indirect effects in simple mediation models when the constituent paths are nonlinear", "type" : "article-journal", "volume" : "45" }, "uris" : [ "http://www.mendeley.com/documents/?uuid=d19602ef-f7af-442b-b309-95a51e5a3c92" ] } ], "mendeley" : { "formattedCitation" : "(Hayes &amp; Preacher 2010)", "manualFormatting" : "(Hayes &amp; Preacher, 2010)", "plainTextFormattedCitation" : "(Hayes &amp; Preacher 2010)", "previouslyFormattedCitation" : "(Hayes &amp; Preacher 2010)" }, "properties" : { "noteIndex" : 0 }, "schema" : "https://github.com/citation-style-language/schema/raw/master/csl-citation.json" }</w:instrText>
      </w:r>
      <w:r w:rsidRPr="00452E2E">
        <w:fldChar w:fldCharType="separate"/>
      </w:r>
      <w:r w:rsidRPr="00452E2E">
        <w:rPr>
          <w:noProof/>
        </w:rPr>
        <w:t>(Hayes &amp; Preacher, 2010)</w:t>
      </w:r>
      <w:r w:rsidRPr="00452E2E">
        <w:fldChar w:fldCharType="end"/>
      </w:r>
      <w:r w:rsidRPr="00452E2E">
        <w:t xml:space="preserve">. </w:t>
      </w:r>
    </w:p>
    <w:p w:rsidR="00D03A8E" w:rsidRPr="00452E2E" w:rsidRDefault="00D03A8E" w:rsidP="00D03A8E">
      <w:pPr>
        <w:spacing w:line="360" w:lineRule="auto"/>
        <w:jc w:val="both"/>
      </w:pPr>
      <w:r w:rsidRPr="00452E2E">
        <w:t>In this study, I was interested in testing the effect</w:t>
      </w:r>
      <w:r w:rsidR="00C5206E" w:rsidRPr="00452E2E">
        <w:t>s</w:t>
      </w:r>
      <w:r w:rsidRPr="00452E2E">
        <w:t xml:space="preserve"> of HR practices on employee attitudes through </w:t>
      </w:r>
      <w:r w:rsidR="00D8711E" w:rsidRPr="00452E2E">
        <w:t>four</w:t>
      </w:r>
      <w:r w:rsidRPr="00452E2E">
        <w:t xml:space="preserve"> </w:t>
      </w:r>
      <w:r w:rsidR="005E205A" w:rsidRPr="00452E2E">
        <w:t xml:space="preserve">separate </w:t>
      </w:r>
      <w:r w:rsidRPr="00452E2E">
        <w:t>mediators: procedural justice, commitment-</w:t>
      </w:r>
      <w:r w:rsidRPr="00452E2E">
        <w:lastRenderedPageBreak/>
        <w:t xml:space="preserve">focused HR attribution, control-focused HR attribution and union compliance HR attribution. The effect of each of these mediating variables on the relationship between HR practices and each of the employee attitudes (job satisfaction, affective, normative and continuance commitment) were tested separately in line with the hypotheses in chapter 6. </w:t>
      </w:r>
    </w:p>
    <w:p w:rsidR="00D03A8E" w:rsidRPr="00452E2E" w:rsidRDefault="00D03A8E" w:rsidP="00D03A8E">
      <w:r w:rsidRPr="00452E2E">
        <w:rPr>
          <w:noProof/>
          <w:lang w:eastAsia="en-GB"/>
        </w:rPr>
        <mc:AlternateContent>
          <mc:Choice Requires="wps">
            <w:drawing>
              <wp:anchor distT="0" distB="0" distL="114300" distR="114300" simplePos="0" relativeHeight="251649536" behindDoc="0" locked="0" layoutInCell="1" allowOverlap="1" wp14:anchorId="0CCBF7D7" wp14:editId="07EFAB15">
                <wp:simplePos x="0" y="0"/>
                <wp:positionH relativeFrom="column">
                  <wp:posOffset>2639060</wp:posOffset>
                </wp:positionH>
                <wp:positionV relativeFrom="paragraph">
                  <wp:posOffset>1398994</wp:posOffset>
                </wp:positionV>
                <wp:extent cx="302653" cy="244698"/>
                <wp:effectExtent l="0" t="0" r="2540" b="3175"/>
                <wp:wrapNone/>
                <wp:docPr id="23" name="Text Box 23"/>
                <wp:cNvGraphicFramePr/>
                <a:graphic xmlns:a="http://schemas.openxmlformats.org/drawingml/2006/main">
                  <a:graphicData uri="http://schemas.microsoft.com/office/word/2010/wordprocessingShape">
                    <wps:wsp>
                      <wps:cNvSpPr txBox="1"/>
                      <wps:spPr>
                        <a:xfrm>
                          <a:off x="0" y="0"/>
                          <a:ext cx="302653" cy="244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596" w:rsidRPr="00E1160B" w:rsidRDefault="00FD1596" w:rsidP="00D03A8E">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C7B4A" id="Text Box 23" o:spid="_x0000_s1078" type="#_x0000_t202" style="position:absolute;margin-left:207.8pt;margin-top:110.15pt;width:23.85pt;height:1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" fillcolor="white [3201]" stroked="f" strokeweight=".5pt">
                <v:textbox>
                  <w:txbxContent>
                    <w:p w:rsidR="00FD1596" w:rsidRPr="00E1160B" w:rsidRDefault="00FD1596" w:rsidP="00D03A8E">
                      <w:pPr>
                        <w:rPr>
                          <w:lang w:val="en-US"/>
                        </w:rPr>
                      </w:pPr>
                      <w:r>
                        <w:rPr>
                          <w:lang w:val="en-US"/>
                        </w:rPr>
                        <w:t>c’</w:t>
                      </w:r>
                    </w:p>
                  </w:txbxContent>
                </v:textbox>
              </v:shape>
            </w:pict>
          </mc:Fallback>
        </mc:AlternateContent>
      </w:r>
      <w:r w:rsidRPr="00452E2E">
        <w:rPr>
          <w:noProof/>
          <w:lang w:eastAsia="en-GB"/>
        </w:rPr>
        <mc:AlternateContent>
          <mc:Choice Requires="wps">
            <w:drawing>
              <wp:anchor distT="0" distB="0" distL="114300" distR="114300" simplePos="0" relativeHeight="251654656" behindDoc="0" locked="0" layoutInCell="1" allowOverlap="1" wp14:anchorId="1082EC0B" wp14:editId="09A62A4E">
                <wp:simplePos x="0" y="0"/>
                <wp:positionH relativeFrom="column">
                  <wp:posOffset>3682365</wp:posOffset>
                </wp:positionH>
                <wp:positionV relativeFrom="paragraph">
                  <wp:posOffset>807631</wp:posOffset>
                </wp:positionV>
                <wp:extent cx="302653" cy="244698"/>
                <wp:effectExtent l="0" t="0" r="2540" b="3175"/>
                <wp:wrapNone/>
                <wp:docPr id="24" name="Text Box 24"/>
                <wp:cNvGraphicFramePr/>
                <a:graphic xmlns:a="http://schemas.openxmlformats.org/drawingml/2006/main">
                  <a:graphicData uri="http://schemas.microsoft.com/office/word/2010/wordprocessingShape">
                    <wps:wsp>
                      <wps:cNvSpPr txBox="1"/>
                      <wps:spPr>
                        <a:xfrm>
                          <a:off x="0" y="0"/>
                          <a:ext cx="302653" cy="244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596" w:rsidRPr="00E1160B" w:rsidRDefault="00FD1596" w:rsidP="00D03A8E">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19333" id="Text Box 24" o:spid="_x0000_s1079" type="#_x0000_t202" style="position:absolute;margin-left:289.95pt;margin-top:63.6pt;width:23.85pt;height:1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" fillcolor="white [3201]" stroked="f" strokeweight=".5pt">
                <v:textbox>
                  <w:txbxContent>
                    <w:p w:rsidR="00FD1596" w:rsidRPr="00E1160B" w:rsidRDefault="00FD1596" w:rsidP="00D03A8E">
                      <w:pPr>
                        <w:rPr>
                          <w:lang w:val="en-US"/>
                        </w:rPr>
                      </w:pPr>
                      <w:r>
                        <w:rPr>
                          <w:lang w:val="en-US"/>
                        </w:rPr>
                        <w:t>b</w:t>
                      </w:r>
                    </w:p>
                  </w:txbxContent>
                </v:textbox>
              </v:shape>
            </w:pict>
          </mc:Fallback>
        </mc:AlternateContent>
      </w:r>
      <w:r w:rsidRPr="00452E2E">
        <w:rPr>
          <w:noProof/>
          <w:lang w:eastAsia="en-GB"/>
        </w:rPr>
        <mc:AlternateContent>
          <mc:Choice Requires="wps">
            <w:drawing>
              <wp:anchor distT="0" distB="0" distL="114300" distR="114300" simplePos="0" relativeHeight="251659776" behindDoc="0" locked="0" layoutInCell="1" allowOverlap="1" wp14:anchorId="46B1B0AD" wp14:editId="29D3BB7C">
                <wp:simplePos x="0" y="0"/>
                <wp:positionH relativeFrom="column">
                  <wp:posOffset>1731645</wp:posOffset>
                </wp:positionH>
                <wp:positionV relativeFrom="paragraph">
                  <wp:posOffset>793026</wp:posOffset>
                </wp:positionV>
                <wp:extent cx="302653" cy="244698"/>
                <wp:effectExtent l="0" t="0" r="2540" b="3175"/>
                <wp:wrapNone/>
                <wp:docPr id="25" name="Text Box 25"/>
                <wp:cNvGraphicFramePr/>
                <a:graphic xmlns:a="http://schemas.openxmlformats.org/drawingml/2006/main">
                  <a:graphicData uri="http://schemas.microsoft.com/office/word/2010/wordprocessingShape">
                    <wps:wsp>
                      <wps:cNvSpPr txBox="1"/>
                      <wps:spPr>
                        <a:xfrm>
                          <a:off x="0" y="0"/>
                          <a:ext cx="302653" cy="244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596" w:rsidRPr="00E1160B" w:rsidRDefault="00FD1596" w:rsidP="00D03A8E">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F588" id="Text Box 25" o:spid="_x0000_s1080" type="#_x0000_t202" style="position:absolute;margin-left:136.35pt;margin-top:62.45pt;width:23.85pt;height:1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" fillcolor="white [3201]" stroked="f" strokeweight=".5pt">
                <v:textbox>
                  <w:txbxContent>
                    <w:p w:rsidR="00FD1596" w:rsidRPr="00E1160B" w:rsidRDefault="00FD1596" w:rsidP="00D03A8E">
                      <w:pPr>
                        <w:rPr>
                          <w:lang w:val="en-US"/>
                        </w:rPr>
                      </w:pPr>
                      <w:r>
                        <w:rPr>
                          <w:lang w:val="en-US"/>
                        </w:rPr>
                        <w:t>a</w:t>
                      </w:r>
                    </w:p>
                  </w:txbxContent>
                </v:textbox>
              </v:shape>
            </w:pict>
          </mc:Fallback>
        </mc:AlternateContent>
      </w:r>
      <w:r w:rsidRPr="00452E2E">
        <w:rPr>
          <w:noProof/>
          <w:lang w:eastAsia="en-GB"/>
        </w:rPr>
        <mc:AlternateContent>
          <mc:Choice Requires="wps">
            <w:drawing>
              <wp:anchor distT="0" distB="0" distL="114300" distR="114300" simplePos="0" relativeHeight="251685376" behindDoc="0" locked="0" layoutInCell="1" allowOverlap="1" wp14:anchorId="3ACC4755" wp14:editId="49D96610">
                <wp:simplePos x="0" y="0"/>
                <wp:positionH relativeFrom="column">
                  <wp:posOffset>3180080</wp:posOffset>
                </wp:positionH>
                <wp:positionV relativeFrom="paragraph">
                  <wp:posOffset>662940</wp:posOffset>
                </wp:positionV>
                <wp:extent cx="1229995" cy="888365"/>
                <wp:effectExtent l="19050" t="19050" r="65405" b="45085"/>
                <wp:wrapNone/>
                <wp:docPr id="26" name="Straight Arrow Connector 26"/>
                <wp:cNvGraphicFramePr/>
                <a:graphic xmlns:a="http://schemas.openxmlformats.org/drawingml/2006/main">
                  <a:graphicData uri="http://schemas.microsoft.com/office/word/2010/wordprocessingShape">
                    <wps:wsp>
                      <wps:cNvCnPr/>
                      <wps:spPr>
                        <a:xfrm>
                          <a:off x="0" y="0"/>
                          <a:ext cx="1229995" cy="888365"/>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B7A5A" id="Straight Arrow Connector 26" o:spid="_x0000_s1026" type="#_x0000_t32" style="position:absolute;margin-left:250.4pt;margin-top:52.2pt;width:96.85pt;height:69.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" strokecolor="black [3200]" strokeweight="2.25pt">
                <v:stroke endarrow="block" joinstyle="miter"/>
              </v:shape>
            </w:pict>
          </mc:Fallback>
        </mc:AlternateContent>
      </w:r>
      <w:r w:rsidRPr="00452E2E">
        <w:rPr>
          <w:noProof/>
          <w:lang w:eastAsia="en-GB"/>
        </w:rPr>
        <mc:AlternateContent>
          <mc:Choice Requires="wps">
            <w:drawing>
              <wp:anchor distT="0" distB="0" distL="114300" distR="114300" simplePos="0" relativeHeight="251664896" behindDoc="0" locked="0" layoutInCell="1" allowOverlap="1" wp14:anchorId="342D5A04" wp14:editId="4AE31C00">
                <wp:simplePos x="0" y="0"/>
                <wp:positionH relativeFrom="column">
                  <wp:posOffset>2518123</wp:posOffset>
                </wp:positionH>
                <wp:positionV relativeFrom="paragraph">
                  <wp:posOffset>379095</wp:posOffset>
                </wp:positionV>
                <wp:extent cx="662305" cy="476519"/>
                <wp:effectExtent l="0" t="0" r="23495" b="19050"/>
                <wp:wrapNone/>
                <wp:docPr id="27" name="Rectangle 27"/>
                <wp:cNvGraphicFramePr/>
                <a:graphic xmlns:a="http://schemas.openxmlformats.org/drawingml/2006/main">
                  <a:graphicData uri="http://schemas.microsoft.com/office/word/2010/wordprocessingShape">
                    <wps:wsp>
                      <wps:cNvSpPr/>
                      <wps:spPr>
                        <a:xfrm>
                          <a:off x="0" y="0"/>
                          <a:ext cx="662305" cy="476519"/>
                        </a:xfrm>
                        <a:prstGeom prst="rect">
                          <a:avLst/>
                        </a:prstGeom>
                      </wps:spPr>
                      <wps:style>
                        <a:lnRef idx="2">
                          <a:schemeClr val="dk1"/>
                        </a:lnRef>
                        <a:fillRef idx="1">
                          <a:schemeClr val="lt1"/>
                        </a:fillRef>
                        <a:effectRef idx="0">
                          <a:schemeClr val="dk1"/>
                        </a:effectRef>
                        <a:fontRef idx="minor">
                          <a:schemeClr val="dk1"/>
                        </a:fontRef>
                      </wps:style>
                      <wps:txbx>
                        <w:txbxContent>
                          <w:p w:rsidR="00FD1596" w:rsidRPr="00E1160B" w:rsidRDefault="00FD1596" w:rsidP="00D03A8E">
                            <w:pPr>
                              <w:jc w:val="center"/>
                              <w:rPr>
                                <w:rFonts w:ascii="Arial" w:hAnsi="Arial" w:cs="Arial"/>
                                <w:i/>
                                <w:sz w:val="32"/>
                                <w:lang w:val="en-US"/>
                              </w:rPr>
                            </w:pPr>
                            <w:r w:rsidRPr="00E1160B">
                              <w:rPr>
                                <w:rFonts w:ascii="Arial" w:hAnsi="Arial" w:cs="Arial"/>
                                <w:i/>
                                <w:sz w:val="32"/>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F4FCC" id="Rectangle 27" o:spid="_x0000_s1081" style="position:absolute;margin-left:198.3pt;margin-top:29.85pt;width:52.15pt;height: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" fillcolor="white [3201]" strokecolor="black [3200]" strokeweight="1pt">
                <v:textbox>
                  <w:txbxContent>
                    <w:p w:rsidR="00FD1596" w:rsidRPr="00E1160B" w:rsidRDefault="00FD1596" w:rsidP="00D03A8E">
                      <w:pPr>
                        <w:jc w:val="center"/>
                        <w:rPr>
                          <w:rFonts w:ascii="Arial" w:hAnsi="Arial" w:cs="Arial"/>
                          <w:i/>
                          <w:sz w:val="32"/>
                          <w:lang w:val="en-US"/>
                        </w:rPr>
                      </w:pPr>
                      <w:r w:rsidRPr="00E1160B">
                        <w:rPr>
                          <w:rFonts w:ascii="Arial" w:hAnsi="Arial" w:cs="Arial"/>
                          <w:i/>
                          <w:sz w:val="32"/>
                          <w:lang w:val="en-US"/>
                        </w:rPr>
                        <w:t>M</w:t>
                      </w:r>
                    </w:p>
                  </w:txbxContent>
                </v:textbox>
              </v:rect>
            </w:pict>
          </mc:Fallback>
        </mc:AlternateContent>
      </w:r>
      <w:r w:rsidRPr="00452E2E">
        <w:rPr>
          <w:noProof/>
          <w:lang w:eastAsia="en-GB"/>
        </w:rPr>
        <mc:AlternateContent>
          <mc:Choice Requires="wps">
            <w:drawing>
              <wp:anchor distT="0" distB="0" distL="114300" distR="114300" simplePos="0" relativeHeight="251675136" behindDoc="0" locked="0" layoutInCell="1" allowOverlap="1" wp14:anchorId="05B60FF5" wp14:editId="348EE952">
                <wp:simplePos x="0" y="0"/>
                <wp:positionH relativeFrom="column">
                  <wp:posOffset>4411014</wp:posOffset>
                </wp:positionH>
                <wp:positionV relativeFrom="paragraph">
                  <wp:posOffset>1262130</wp:posOffset>
                </wp:positionV>
                <wp:extent cx="676141" cy="469631"/>
                <wp:effectExtent l="0" t="0" r="10160" b="26035"/>
                <wp:wrapNone/>
                <wp:docPr id="28" name="Rectangle 28"/>
                <wp:cNvGraphicFramePr/>
                <a:graphic xmlns:a="http://schemas.openxmlformats.org/drawingml/2006/main">
                  <a:graphicData uri="http://schemas.microsoft.com/office/word/2010/wordprocessingShape">
                    <wps:wsp>
                      <wps:cNvSpPr/>
                      <wps:spPr>
                        <a:xfrm>
                          <a:off x="0" y="0"/>
                          <a:ext cx="676141" cy="469631"/>
                        </a:xfrm>
                        <a:prstGeom prst="rect">
                          <a:avLst/>
                        </a:prstGeom>
                      </wps:spPr>
                      <wps:style>
                        <a:lnRef idx="2">
                          <a:schemeClr val="dk1"/>
                        </a:lnRef>
                        <a:fillRef idx="1">
                          <a:schemeClr val="lt1"/>
                        </a:fillRef>
                        <a:effectRef idx="0">
                          <a:schemeClr val="dk1"/>
                        </a:effectRef>
                        <a:fontRef idx="minor">
                          <a:schemeClr val="dk1"/>
                        </a:fontRef>
                      </wps:style>
                      <wps:txbx>
                        <w:txbxContent>
                          <w:p w:rsidR="00FD1596" w:rsidRPr="00E1160B" w:rsidRDefault="00FD1596" w:rsidP="00D03A8E">
                            <w:pPr>
                              <w:jc w:val="center"/>
                              <w:rPr>
                                <w:rFonts w:ascii="Arial" w:hAnsi="Arial" w:cs="Arial"/>
                                <w:i/>
                                <w:sz w:val="32"/>
                                <w:lang w:val="en-US"/>
                              </w:rPr>
                            </w:pPr>
                            <w:r>
                              <w:rPr>
                                <w:rFonts w:ascii="Arial" w:hAnsi="Arial" w:cs="Arial"/>
                                <w:i/>
                                <w:sz w:val="32"/>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B0B30" id="Rectangle 28" o:spid="_x0000_s1082" style="position:absolute;margin-left:347.3pt;margin-top:99.4pt;width:53.25pt;height:3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" fillcolor="white [3201]" strokecolor="black [3200]" strokeweight="1pt">
                <v:textbox>
                  <w:txbxContent>
                    <w:p w:rsidR="00FD1596" w:rsidRPr="00E1160B" w:rsidRDefault="00FD1596" w:rsidP="00D03A8E">
                      <w:pPr>
                        <w:jc w:val="center"/>
                        <w:rPr>
                          <w:rFonts w:ascii="Arial" w:hAnsi="Arial" w:cs="Arial"/>
                          <w:i/>
                          <w:sz w:val="32"/>
                          <w:lang w:val="en-US"/>
                        </w:rPr>
                      </w:pPr>
                      <w:r>
                        <w:rPr>
                          <w:rFonts w:ascii="Arial" w:hAnsi="Arial" w:cs="Arial"/>
                          <w:i/>
                          <w:sz w:val="32"/>
                          <w:lang w:val="en-US"/>
                        </w:rPr>
                        <w:t>Y</w:t>
                      </w:r>
                    </w:p>
                  </w:txbxContent>
                </v:textbox>
              </v:rect>
            </w:pict>
          </mc:Fallback>
        </mc:AlternateContent>
      </w:r>
      <w:r w:rsidRPr="00452E2E">
        <w:rPr>
          <w:noProof/>
          <w:lang w:eastAsia="en-GB"/>
        </w:rPr>
        <mc:AlternateContent>
          <mc:Choice Requires="wps">
            <w:drawing>
              <wp:anchor distT="0" distB="0" distL="114300" distR="114300" simplePos="0" relativeHeight="251670016" behindDoc="0" locked="0" layoutInCell="1" allowOverlap="1" wp14:anchorId="6999B4EB" wp14:editId="48BE9C2C">
                <wp:simplePos x="0" y="0"/>
                <wp:positionH relativeFrom="column">
                  <wp:posOffset>585989</wp:posOffset>
                </wp:positionH>
                <wp:positionV relativeFrom="paragraph">
                  <wp:posOffset>1262130</wp:posOffset>
                </wp:positionV>
                <wp:extent cx="688528" cy="469900"/>
                <wp:effectExtent l="0" t="0" r="16510" b="25400"/>
                <wp:wrapNone/>
                <wp:docPr id="29" name="Rectangle 29"/>
                <wp:cNvGraphicFramePr/>
                <a:graphic xmlns:a="http://schemas.openxmlformats.org/drawingml/2006/main">
                  <a:graphicData uri="http://schemas.microsoft.com/office/word/2010/wordprocessingShape">
                    <wps:wsp>
                      <wps:cNvSpPr/>
                      <wps:spPr>
                        <a:xfrm>
                          <a:off x="0" y="0"/>
                          <a:ext cx="688528" cy="469900"/>
                        </a:xfrm>
                        <a:prstGeom prst="rect">
                          <a:avLst/>
                        </a:prstGeom>
                      </wps:spPr>
                      <wps:style>
                        <a:lnRef idx="2">
                          <a:schemeClr val="dk1"/>
                        </a:lnRef>
                        <a:fillRef idx="1">
                          <a:schemeClr val="lt1"/>
                        </a:fillRef>
                        <a:effectRef idx="0">
                          <a:schemeClr val="dk1"/>
                        </a:effectRef>
                        <a:fontRef idx="minor">
                          <a:schemeClr val="dk1"/>
                        </a:fontRef>
                      </wps:style>
                      <wps:txbx>
                        <w:txbxContent>
                          <w:p w:rsidR="00FD1596" w:rsidRPr="00E1160B" w:rsidRDefault="00FD1596" w:rsidP="00D03A8E">
                            <w:pPr>
                              <w:jc w:val="center"/>
                              <w:rPr>
                                <w:rFonts w:ascii="Arial" w:hAnsi="Arial" w:cs="Arial"/>
                                <w:i/>
                                <w:sz w:val="32"/>
                                <w:lang w:val="en-US"/>
                              </w:rPr>
                            </w:pPr>
                            <w:r>
                              <w:rPr>
                                <w:rFonts w:ascii="Arial" w:hAnsi="Arial" w:cs="Arial"/>
                                <w:i/>
                                <w:sz w:val="32"/>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4D209" id="Rectangle 29" o:spid="_x0000_s1083" style="position:absolute;margin-left:46.15pt;margin-top:99.4pt;width:54.2pt;height: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" fillcolor="white [3201]" strokecolor="black [3200]" strokeweight="1pt">
                <v:textbox>
                  <w:txbxContent>
                    <w:p w:rsidR="00FD1596" w:rsidRPr="00E1160B" w:rsidRDefault="00FD1596" w:rsidP="00D03A8E">
                      <w:pPr>
                        <w:jc w:val="center"/>
                        <w:rPr>
                          <w:rFonts w:ascii="Arial" w:hAnsi="Arial" w:cs="Arial"/>
                          <w:i/>
                          <w:sz w:val="32"/>
                          <w:lang w:val="en-US"/>
                        </w:rPr>
                      </w:pPr>
                      <w:r>
                        <w:rPr>
                          <w:rFonts w:ascii="Arial" w:hAnsi="Arial" w:cs="Arial"/>
                          <w:i/>
                          <w:sz w:val="32"/>
                          <w:lang w:val="en-US"/>
                        </w:rPr>
                        <w:t>X</w:t>
                      </w:r>
                    </w:p>
                  </w:txbxContent>
                </v:textbox>
              </v:rect>
            </w:pict>
          </mc:Fallback>
        </mc:AlternateContent>
      </w:r>
      <w:r w:rsidRPr="00452E2E">
        <w:rPr>
          <w:noProof/>
          <w:lang w:eastAsia="en-GB"/>
        </w:rPr>
        <mc:AlternateContent>
          <mc:Choice Requires="wps">
            <w:drawing>
              <wp:anchor distT="0" distB="0" distL="114300" distR="114300" simplePos="0" relativeHeight="251690496" behindDoc="0" locked="0" layoutInCell="1" allowOverlap="1" wp14:anchorId="537A270A" wp14:editId="1038896C">
                <wp:simplePos x="0" y="0"/>
                <wp:positionH relativeFrom="column">
                  <wp:posOffset>1274445</wp:posOffset>
                </wp:positionH>
                <wp:positionV relativeFrom="paragraph">
                  <wp:posOffset>1621701</wp:posOffset>
                </wp:positionV>
                <wp:extent cx="3135604" cy="0"/>
                <wp:effectExtent l="0" t="95250" r="0" b="95250"/>
                <wp:wrapNone/>
                <wp:docPr id="30" name="Straight Arrow Connector 30"/>
                <wp:cNvGraphicFramePr/>
                <a:graphic xmlns:a="http://schemas.openxmlformats.org/drawingml/2006/main">
                  <a:graphicData uri="http://schemas.microsoft.com/office/word/2010/wordprocessingShape">
                    <wps:wsp>
                      <wps:cNvCnPr/>
                      <wps:spPr>
                        <a:xfrm>
                          <a:off x="0" y="0"/>
                          <a:ext cx="3135604" cy="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80889" id="Straight Arrow Connector 30" o:spid="_x0000_s1026" type="#_x0000_t32" style="position:absolute;margin-left:100.35pt;margin-top:127.7pt;width:246.9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" strokecolor="black [3200]" strokeweight="2.25pt">
                <v:stroke endarrow="block" joinstyle="miter"/>
              </v:shape>
            </w:pict>
          </mc:Fallback>
        </mc:AlternateContent>
      </w:r>
      <w:r w:rsidRPr="00452E2E">
        <w:rPr>
          <w:noProof/>
          <w:lang w:eastAsia="en-GB"/>
        </w:rPr>
        <mc:AlternateContent>
          <mc:Choice Requires="wps">
            <w:drawing>
              <wp:anchor distT="0" distB="0" distL="114300" distR="114300" simplePos="0" relativeHeight="251680256" behindDoc="0" locked="0" layoutInCell="1" allowOverlap="1" wp14:anchorId="63FC9F17" wp14:editId="6D7031A9">
                <wp:simplePos x="0" y="0"/>
                <wp:positionH relativeFrom="column">
                  <wp:posOffset>1274445</wp:posOffset>
                </wp:positionH>
                <wp:positionV relativeFrom="paragraph">
                  <wp:posOffset>656590</wp:posOffset>
                </wp:positionV>
                <wp:extent cx="1243330" cy="855980"/>
                <wp:effectExtent l="19050" t="38100" r="52070" b="20320"/>
                <wp:wrapNone/>
                <wp:docPr id="31" name="Straight Arrow Connector 31"/>
                <wp:cNvGraphicFramePr/>
                <a:graphic xmlns:a="http://schemas.openxmlformats.org/drawingml/2006/main">
                  <a:graphicData uri="http://schemas.microsoft.com/office/word/2010/wordprocessingShape">
                    <wps:wsp>
                      <wps:cNvCnPr/>
                      <wps:spPr>
                        <a:xfrm flipV="1">
                          <a:off x="0" y="0"/>
                          <a:ext cx="1243330" cy="85598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4626D" id="Straight Arrow Connector 31" o:spid="_x0000_s1026" type="#_x0000_t32" style="position:absolute;margin-left:100.35pt;margin-top:51.7pt;width:97.9pt;height:67.4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" strokecolor="black [3200]" strokeweight="2.25pt">
                <v:stroke endarrow="block" joinstyle="miter"/>
              </v:shape>
            </w:pict>
          </mc:Fallback>
        </mc:AlternateContent>
      </w:r>
      <w:r w:rsidRPr="00452E2E">
        <w:t xml:space="preserve">                      </w:t>
      </w:r>
      <w:r w:rsidR="003418CD" w:rsidRPr="00452E2E">
        <w:t xml:space="preserve">                             </w:t>
      </w:r>
      <w:r w:rsidRPr="00452E2E">
        <w:t xml:space="preserve">                             </w:t>
      </w:r>
    </w:p>
    <w:p w:rsidR="00D03A8E" w:rsidRPr="00452E2E" w:rsidRDefault="00D03A8E" w:rsidP="00D03A8E">
      <w:pPr>
        <w:jc w:val="both"/>
      </w:pPr>
    </w:p>
    <w:p w:rsidR="00D03A8E" w:rsidRPr="00452E2E" w:rsidRDefault="00D03A8E" w:rsidP="00D03A8E">
      <w:pPr>
        <w:jc w:val="both"/>
      </w:pPr>
    </w:p>
    <w:p w:rsidR="00D03A8E" w:rsidRPr="00452E2E" w:rsidRDefault="00D03A8E" w:rsidP="00D03A8E">
      <w:pPr>
        <w:jc w:val="both"/>
      </w:pPr>
    </w:p>
    <w:p w:rsidR="00D03A8E" w:rsidRPr="00452E2E" w:rsidRDefault="00D03A8E" w:rsidP="00D03A8E">
      <w:pPr>
        <w:jc w:val="both"/>
      </w:pPr>
    </w:p>
    <w:p w:rsidR="00D03A8E" w:rsidRPr="00452E2E" w:rsidRDefault="00D03A8E" w:rsidP="00D03A8E">
      <w:pPr>
        <w:jc w:val="both"/>
      </w:pPr>
    </w:p>
    <w:p w:rsidR="00D03A8E" w:rsidRPr="00452E2E" w:rsidRDefault="00D03A8E" w:rsidP="003418CD">
      <w:pPr>
        <w:pStyle w:val="Caption"/>
      </w:pPr>
      <w:bookmarkStart w:id="183" w:name="_Toc465382300"/>
      <w:r w:rsidRPr="00452E2E">
        <w:t>Figure 7</w:t>
      </w:r>
      <w:r w:rsidRPr="00452E2E">
        <w:noBreakHyphen/>
      </w:r>
      <w:r w:rsidR="00B26571">
        <w:fldChar w:fldCharType="begin"/>
      </w:r>
      <w:r w:rsidR="00B26571">
        <w:instrText xml:space="preserve"> SEQ Figure \* ARABIC \s 1 </w:instrText>
      </w:r>
      <w:r w:rsidR="00B26571">
        <w:fldChar w:fldCharType="separate"/>
      </w:r>
      <w:r w:rsidR="00AE2756" w:rsidRPr="00452E2E">
        <w:rPr>
          <w:noProof/>
        </w:rPr>
        <w:t>2</w:t>
      </w:r>
      <w:r w:rsidR="00B26571">
        <w:rPr>
          <w:noProof/>
        </w:rPr>
        <w:fldChar w:fldCharType="end"/>
      </w:r>
      <w:r w:rsidRPr="00452E2E">
        <w:t>: Mediation Model</w:t>
      </w:r>
      <w:bookmarkEnd w:id="183"/>
      <w:r w:rsidR="003418CD" w:rsidRPr="00452E2E">
        <w:t xml:space="preserve">                  </w:t>
      </w:r>
    </w:p>
    <w:p w:rsidR="00D03A8E" w:rsidRPr="00452E2E" w:rsidRDefault="00D03A8E" w:rsidP="00D03A8E">
      <w:pPr>
        <w:spacing w:line="360" w:lineRule="auto"/>
        <w:jc w:val="both"/>
      </w:pPr>
      <w:r w:rsidRPr="00452E2E">
        <w:t xml:space="preserve">The analysis of mediation in this study followed the approach proposed by Hayes and Preacher which uses bootstrap resampling to provide more valid estimates of indirect effect of the independent variable on the dependent variable through a mediator </w:t>
      </w:r>
      <w:r w:rsidRPr="00452E2E">
        <w:fldChar w:fldCharType="begin" w:fldLock="1"/>
      </w:r>
      <w:r w:rsidRPr="00452E2E">
        <w:instrText>ADDIN CSL_CITATION { "citationItems" : [ { "id" : "ITEM-1", "itemData" : { "DOI" : "10.1080/03637750903310360", "ISSN" : "0363-7751", "author" : [ { "dropping-particle" : "", "family" : "Hayes", "given" : "Andrew F", "non-dropping-particle" : "", "parse-names" : false, "suffix" : "" } ], "container-title" : "Communication Monographs", "id" : "ITEM-1", "issue" : "4", "issued" : { "date-parts" : [ [ "2009" ] ] }, "page" : "408-420", "title" : "Beyond Baron and Kenny : statistical mediation analysis in the new millennium", "type" : "article-journal", "volume" : "76" }, "uris" : [ "http://www.mendeley.com/documents/?uuid=cf3f15b0-fecd-4341-81a8-0af8676a5deb" ] }, { "id" : "ITEM-2", "itemData" : { "abstract" : "Most treatments of indirect effects and mediation in the statistical methods literature and the corresponding methods used by behavioral scientists have assumed linear relationships between variables in the causal system. Here we describe and extend a method first introduced by Stolzenberg (1980) for estimating indirect effects in models of mediators and outcomes that are nonlinear functions but linear in their parameters. We introduce the concept of the instantaneous indirect effect of X on Y through M and illustrate its computation and describe a bootstrapping procedure for inference. Mplus code as well as SPSS and SAS macros are provided to facilitate the adoption of this approach and ease the computational burden on the researcher.", "author" : [ { "dropping-particle" : "", "family" : "Hayes", "given" : "Andrew F.", "non-dropping-particle" : "", "parse-names" : false, "suffix" : "" }, { "dropping-particle" : "", "family" : "Preacher", "given" : "Kristopher J.", "non-dropping-particle" : "", "parse-names" : false, "suffix" : "" } ], "container-title" : "Multivariate Behavioral Research", "id" : "ITEM-2", "issue" : "4", "issued" : { "date-parts" : [ [ "2010" ] ] }, "page" : "627-660", "title" : "Quantifying and testing indirect effects in simple mediation models when the constituent paths are nonlinear", "type" : "article-journal", "volume" : "45" }, "uris" : [ "http://www.mendeley.com/documents/?uuid=d19602ef-f7af-442b-b309-95a51e5a3c92" ] } ], "mendeley" : { "formattedCitation" : "(Hayes 2009; Hayes &amp; Preacher 2010)", "manualFormatting" : "(Hayes, 2009; Hayes &amp; Preacher, 2010)", "plainTextFormattedCitation" : "(Hayes 2009; Hayes &amp; Preacher 2010)", "previouslyFormattedCitation" : "(Hayes 2009; Hayes &amp; Preacher 2010)" }, "properties" : { "noteIndex" : 0 }, "schema" : "https://github.com/citation-style-language/schema/raw/master/csl-citation.json" }</w:instrText>
      </w:r>
      <w:r w:rsidRPr="00452E2E">
        <w:fldChar w:fldCharType="separate"/>
      </w:r>
      <w:r w:rsidRPr="00452E2E">
        <w:rPr>
          <w:noProof/>
        </w:rPr>
        <w:t>(Hayes, 2009; Hayes &amp; Preacher, 2010)</w:t>
      </w:r>
      <w:r w:rsidRPr="00452E2E">
        <w:fldChar w:fldCharType="end"/>
      </w:r>
      <w:r w:rsidRPr="00452E2E">
        <w:t xml:space="preserve">. Apart from the use of bootstrapping, Hayes and Preacher approach is different from the popular </w:t>
      </w:r>
      <w:r w:rsidRPr="00452E2E">
        <w:fldChar w:fldCharType="begin" w:fldLock="1"/>
      </w:r>
      <w:r w:rsidRPr="00452E2E">
        <w:instrText>ADDIN CSL_CITATION { "citationItems" : [ { "id" : "ITEM-1", "itemData" : { "abstract" : "Baron, R. M., &amp; Kenny, D. A. (1986). The moderator\u2013mediator variable distinction in social psychological research: Conceptual, strategic, and statistical considerations. Journal of personality and social psychology, 51(6), 1173.", "author" : [ { "dropping-particle" : "", "family" : "Baron", "given" : "Reuben M.", "non-dropping-particle" : "", "parse-names" : false, "suffix" : "" }, { "dropping-particle" : "", "family" : "Kenny", "given" : "David A.", "non-dropping-particle" : "", "parse-names" : false, "suffix" : "" } ], "container-title" : "Journal of Personality and Social Psychology", "id" : "ITEM-1", "issue" : "6", "issued" : { "date-parts" : [ [ "1986" ] ] }, "page" : "1173-1182", "title" : "The moderator-mediator variable distinction in social psychological research: Conceptual, strategic, and statistical considerations", "type" : "article-journal", "volume" : "51" }, "uris" : [ "http://www.mendeley.com/documents/?uuid=8ed299fe-c89a-4f11-8ffb-3aa6c289f987" ] } ], "mendeley" : { "formattedCitation" : "(Baron &amp; Kenny 1986)", "manualFormatting" : "Baron &amp; Kenny (1986)", "plainTextFormattedCitation" : "(Baron &amp; Kenny 1986)", "previouslyFormattedCitation" : "(Baron &amp; Kenny 1986)" }, "properties" : { "noteIndex" : 0 }, "schema" : "https://github.com/citation-style-language/schema/raw/master/csl-citation.json" }</w:instrText>
      </w:r>
      <w:r w:rsidRPr="00452E2E">
        <w:fldChar w:fldCharType="separate"/>
      </w:r>
      <w:r w:rsidRPr="00452E2E">
        <w:rPr>
          <w:noProof/>
        </w:rPr>
        <w:t>Baron &amp; Kenny (1986)</w:t>
      </w:r>
      <w:r w:rsidRPr="00452E2E">
        <w:fldChar w:fldCharType="end"/>
      </w:r>
      <w:r w:rsidRPr="00452E2E">
        <w:t xml:space="preserve"> approach since it allows for mediation to be conducted even when the direct effects are non-significant as well as when data is not normally distributed </w:t>
      </w:r>
      <w:r w:rsidRPr="00452E2E">
        <w:fldChar w:fldCharType="begin" w:fldLock="1"/>
      </w:r>
      <w:r w:rsidRPr="00452E2E">
        <w:instrText>ADDIN CSL_CITATION { "citationItems" : [ { "id" : "ITEM-1", "itemData" : { "DOI" : "10.1080/03637750903310360", "ISSN" : "0363-7751", "author" : [ { "dropping-particle" : "", "family" : "Hayes", "given" : "Andrew F", "non-dropping-particle" : "", "parse-names" : false, "suffix" : "" } ], "container-title" : "Communication Monographs", "id" : "ITEM-1", "issue" : "4", "issued" : { "date-parts" : [ [ "2009" ] ] }, "page" : "408-420", "title" : "Beyond Baron and Kenny : statistical mediation analysis in the new millennium", "type" : "article-journal", "volume" : "76" }, "uris" : [ "http://www.mendeley.com/documents/?uuid=cf3f15b0-fecd-4341-81a8-0af8676a5deb" ] }, { "id" : "ITEM-2", "itemData" : { "abstract" : "Most treatments of indirect effects and mediation in the statistical methods literature and the corresponding methods used by behavioral scientists have assumed linear relationships between variables in the causal system. Here we describe and extend a method first introduced by Stolzenberg (1980) for estimating indirect effects in models of mediators and outcomes that are nonlinear functions but linear in their parameters. We introduce the concept of the instantaneous indirect effect of X on Y through M and illustrate its computation and describe a bootstrapping procedure for inference. Mplus code as well as SPSS and SAS macros are provided to facilitate the adoption of this approach and ease the computational burden on the researcher.", "author" : [ { "dropping-particle" : "", "family" : "Hayes", "given" : "Andrew F.", "non-dropping-particle" : "", "parse-names" : false, "suffix" : "" }, { "dropping-particle" : "", "family" : "Preacher", "given" : "Kristopher J.", "non-dropping-particle" : "", "parse-names" : false, "suffix" : "" } ], "container-title" : "Multivariate Behavioral Research", "id" : "ITEM-2", "issue" : "4", "issued" : { "date-parts" : [ [ "2010" ] ] }, "page" : "627-660", "title" : "Quantifying and testing indirect effects in simple mediation models when the constituent paths are nonlinear", "type" : "article-journal", "volume" : "45" }, "uris" : [ "http://www.mendeley.com/documents/?uuid=d19602ef-f7af-442b-b309-95a51e5a3c92" ] }, { "id" : "ITEM-3", "itemData" : { "DOI" : "10.1007/s10865-016-9712-3", "ISSN" : "15733521", "PMID" : "26801338", "abstract" : "Depressive symptoms are common in individuals with multiple sclerosis (MS), and are frequently exacerbated by pain; however, spiritual well-being may allow persons with MS to more effectively cope with pain-related deficits in physical and role functioning. We explored the associations between spiritual well-being, pain interference and depressive symptoms, assessing each as a potential mediator, in eighty-one patients being treated for MS, who completed self-report measures: Functional Assessment of Chronic Illness Therapy-Spiritual Well-Being Scale, Pain Effects Scale, and Center for Epidemiologic Studies Depression Scale Revised. At the bivariate level, spiritual well-being and its subscale of meaning and peace were negatively associated with depression and pain interference. In mediation models, depression was not related to pain interference via spiritual well-being, or to spiritual well-being via pain interference. Pain interference was related to depression via spiritual well-being and meaning/peace, and to spiritual well-being and meaning/peace via depressive symptoms. Finally, spiritual well-being and meaning/peace were related to depression via pain interference, and to pain interference via depressive symptoms. For patients with MS, a multi-faceted approach to treatment that includes pain reduction and promotion of spiritual well-being may be beneficial, although amelioration of depression remains a critical task.", "author" : [ { "dropping-particle" : "", "family" : "Nsamenang", "given" : "Sheri A.", "non-dropping-particle" : "", "parse-names" : false, "suffix" : "" }, { "dropping-particle" : "", "family" : "Hirsch", "given" : "Jameson K.", "non-dropping-particle" : "", "parse-names" : false, "suffix" : "" }, { "dropping-particle" : "", "family" : "Topciu", "given" : "Raluca", "non-dropping-particle" : "", "parse-names" : false, "suffix" : "" }, { "dropping-particle" : "", "family" : "Goodman", "given" : "Andrew D.", "non-dropping-particle" : "", "parse-names" : false, "suffix" : "" }, { "dropping-particle" : "", "family" : "Duberstein", "given" : "Paul R.", "non-dropping-particle" : "", "parse-names" : false, "suffix" : "" } ], "container-title" : "Journal of Behavioral Medicine", "id" : "ITEM-3", "issue" : "2", "issued" : { "date-parts" : [ [ "2016" ] ] }, "page" : "355-363", "publisher" : "Springer US", "title" : "The interrelations between spiritual well-being, pain interference and depressive symptoms in patients with multiple sclerosis", "type" : "article-journal", "volume" : "39" }, "uris" : [ "http://www.mendeley.com/documents/?uuid=2175be93-0441-4bb1-accc-f9a29ae41e6d" ] } ], "mendeley" : { "formattedCitation" : "(Hayes 2009; Hayes &amp; Preacher 2010; Nsamenang et al. 2016)", "manualFormatting" : "(Hayes, 2009; Hayes &amp; Preacher, 2010; Nsamenang et al., 2016)", "plainTextFormattedCitation" : "(Hayes 2009; Hayes &amp; Preacher 2010; Nsamenang et al. 2016)", "previouslyFormattedCitation" : "(Hayes 2009; Hayes &amp; Preacher 2010; Nsamenang et al. 2016)" }, "properties" : { "noteIndex" : 0 }, "schema" : "https://github.com/citation-style-language/schema/raw/master/csl-citation.json" }</w:instrText>
      </w:r>
      <w:r w:rsidRPr="00452E2E">
        <w:fldChar w:fldCharType="separate"/>
      </w:r>
      <w:r w:rsidRPr="00452E2E">
        <w:rPr>
          <w:noProof/>
        </w:rPr>
        <w:t xml:space="preserve">(Hayes, 2009; Hayes &amp; Preacher, 2010; Nsamenang </w:t>
      </w:r>
      <w:r w:rsidRPr="00452E2E">
        <w:rPr>
          <w:i/>
          <w:noProof/>
        </w:rPr>
        <w:t>et al</w:t>
      </w:r>
      <w:r w:rsidRPr="00452E2E">
        <w:rPr>
          <w:noProof/>
        </w:rPr>
        <w:t>., 2016)</w:t>
      </w:r>
      <w:r w:rsidRPr="00452E2E">
        <w:fldChar w:fldCharType="end"/>
      </w:r>
      <w:r w:rsidRPr="00452E2E">
        <w:t>. Analysis of mediation using this approach involved the use of PROCESS macro</w:t>
      </w:r>
      <w:r w:rsidR="00C31918" w:rsidRPr="00BE5AF1">
        <w:rPr>
          <w:rStyle w:val="FootnoteReference"/>
        </w:rPr>
        <w:footnoteReference w:id="16"/>
      </w:r>
      <w:r w:rsidRPr="00452E2E">
        <w:t xml:space="preserve"> which is an add-on to SPSS developed by Andrew Hayes for conducting mediation and moderation analyses </w:t>
      </w:r>
      <w:r w:rsidRPr="00452E2E">
        <w:fldChar w:fldCharType="begin" w:fldLock="1"/>
      </w:r>
      <w:r w:rsidRPr="00452E2E">
        <w:instrText>ADDIN CSL_CITATION { "citationItems" : [ { "id" : "ITEM-1", "itemData" : { "DOI" : "978-1-60918-230-4", "ISBN" : "9781609182304", "ISSN" : "&lt;null&gt;", "PMID" : "17658881", "abstract" : "This document is a companion to Hayes, A. F. (in progress). An Introduction to Mediation, Moderation, and Conditional Process Analysis: A Regression-based Approach. Under contract for publication by Guilford Press. Statistical mediation and moderation analysis are widespread throughout the behavioral sciences. Increasingly, these methods are being integrated in the form of the analysis of \u2015mediated moderation\u2016 or \u2015moderated mediation,\u2016 or what Hayes and Preacher (in press) call conditional process modeling. In this paper, I offer a primer on some of the important concepts and methods in mediation analysis, moderation analysis, and conditional process modeling prior to describing PROCESS, a versatile modeling tool freely-available for SPSS and SAS that integrates many of the functions of existing and popular published statistical tools for mediation and moderation analysis as well as their integration. Examples of the use of PROCESS are provided, and some of its additional features as well as some limitations are described.", "author" : [ { "dropping-particle" : "", "family" : "Hayes", "given" : "Andrew F", "non-dropping-particle" : "", "parse-names" : false, "suffix" : "" } ], "container-title" : "White paper", "id" : "ITEM-1", "issued" : { "date-parts" : [ [ "2012" ] ] }, "page" : "1-39", "title" : "PROCESS: A versatile computational tool for observed variable mediation, moderation, and conditional process modeling", "type" : "article" }, "uris" : [ "http://www.mendeley.com/documents/?uuid=36046ddc-d0cc-4c59-84e7-f20489310e40" ] } ], "mendeley" : { "formattedCitation" : "(Hayes 2012)", "manualFormatting" : "(Hayes, 2012)", "plainTextFormattedCitation" : "(Hayes 2012)", "previouslyFormattedCitation" : "(Hayes 2012)" }, "properties" : { "noteIndex" : 0 }, "schema" : "https://github.com/citation-style-language/schema/raw/master/csl-citation.json" }</w:instrText>
      </w:r>
      <w:r w:rsidRPr="00452E2E">
        <w:fldChar w:fldCharType="separate"/>
      </w:r>
      <w:r w:rsidRPr="00452E2E">
        <w:rPr>
          <w:noProof/>
        </w:rPr>
        <w:t>(Hayes, 2012)</w:t>
      </w:r>
      <w:r w:rsidRPr="00452E2E">
        <w:fldChar w:fldCharType="end"/>
      </w:r>
      <w:r w:rsidRPr="00452E2E">
        <w:t xml:space="preserve">. The use of PROCESS macro allows for automatic test of the mediation pathways described in figure 7.2 whilst confidence intervals which form the basis for interpreting whether or not a mediation effect is significant are generated </w:t>
      </w:r>
      <w:r w:rsidRPr="00452E2E">
        <w:fldChar w:fldCharType="begin" w:fldLock="1"/>
      </w:r>
      <w:r w:rsidRPr="00452E2E">
        <w:instrText>ADDIN CSL_CITATION { "citationItems" : [ { "id" : "ITEM-1", "itemData" : { "DOI" : "978-1-60918-230-4", "ISBN" : "9781609182304", "ISSN" : "&lt;null&gt;", "PMID" : "17658881", "abstract" : "This document is a companion to Hayes, A. F. (in progress). An Introduction to Mediation, Moderation, and Conditional Process Analysis: A Regression-based Approach. Under contract for publication by Guilford Press. Statistical mediation and moderation analysis are widespread throughout the behavioral sciences. Increasingly, these methods are being integrated in the form of the analysis of \u2015mediated moderation\u2016 or \u2015moderated mediation,\u2016 or what Hayes and Preacher (in press) call conditional process modeling. In this paper, I offer a primer on some of the important concepts and methods in mediation analysis, moderation analysis, and conditional process modeling prior to describing PROCESS, a versatile modeling tool freely-available for SPSS and SAS that integrates many of the functions of existing and popular published statistical tools for mediation and moderation analysis as well as their integration. Examples of the use of PROCESS are provided, and some of its additional features as well as some limitations are described.", "author" : [ { "dropping-particle" : "", "family" : "Hayes", "given" : "Andrew F", "non-dropping-particle" : "", "parse-names" : false, "suffix" : "" } ], "container-title" : "White paper", "id" : "ITEM-1", "issued" : { "date-parts" : [ [ "2012" ] ] }, "page" : "1-39", "title" : "PROCESS: A versatile computational tool for observed variable mediation, moderation, and conditional process modeling", "type" : "article" }, "uris" : [ "http://www.mendeley.com/documents/?uuid=36046ddc-d0cc-4c59-84e7-f20489310e40" ] } ], "mendeley" : { "formattedCitation" : "(Hayes 2012)", "manualFormatting" : "(Hayes, 2012)", "plainTextFormattedCitation" : "(Hayes 2012)", "previouslyFormattedCitation" : "(Hayes 2012)" }, "properties" : { "noteIndex" : 0 }, "schema" : "https://github.com/citation-style-language/schema/raw/master/csl-citation.json" }</w:instrText>
      </w:r>
      <w:r w:rsidRPr="00452E2E">
        <w:fldChar w:fldCharType="separate"/>
      </w:r>
      <w:r w:rsidRPr="00452E2E">
        <w:rPr>
          <w:noProof/>
        </w:rPr>
        <w:t>(Hayes, 2012)</w:t>
      </w:r>
      <w:r w:rsidRPr="00452E2E">
        <w:fldChar w:fldCharType="end"/>
      </w:r>
      <w:r w:rsidRPr="00452E2E">
        <w:t xml:space="preserve">. When confidence intervals do not contain zero, it means that mediation is significant, otherwise mediation is not significant </w:t>
      </w:r>
      <w:r w:rsidRPr="00452E2E">
        <w:fldChar w:fldCharType="begin" w:fldLock="1"/>
      </w:r>
      <w:r w:rsidRPr="00452E2E">
        <w:instrText>ADDIN CSL_CITATION { "citationItems" : [ { "id" : "ITEM-1", "itemData" : { "DOI" : "978-1-60918-230-4", "ISBN" : "9781609182304", "ISSN" : "&lt;null&gt;", "PMID" : "17658881", "abstract" : "This document is a companion to Hayes, A. F. (in progress). An Introduction to Mediation, Moderation, and Conditional Process Analysis: A Regression-based Approach. Under contract for publication by Guilford Press. Statistical mediation and moderation analysis are widespread throughout the behavioral sciences. Increasingly, these methods are being integrated in the form of the analysis of \u2015mediated moderation\u2016 or \u2015moderated mediation,\u2016 or what Hayes and Preacher (in press) call conditional process modeling. In this paper, I offer a primer on some of the important concepts and methods in mediation analysis, moderation analysis, and conditional process modeling prior to describing PROCESS, a versatile modeling tool freely-available for SPSS and SAS that integrates many of the functions of existing and popular published statistical tools for mediation and moderation analysis as well as their integration. Examples of the use of PROCESS are provided, and some of its additional features as well as some limitations are described.", "author" : [ { "dropping-particle" : "", "family" : "Hayes", "given" : "Andrew F", "non-dropping-particle" : "", "parse-names" : false, "suffix" : "" } ], "container-title" : "White paper", "id" : "ITEM-1", "issued" : { "date-parts" : [ [ "2012" ] ] }, "page" : "1-39", "title" : "PROCESS: A versatile computational tool for observed variable mediation, moderation, and conditional process modeling", "type" : "article" }, "uris" : [ "http://www.mendeley.com/documents/?uuid=36046ddc-d0cc-4c59-84e7-f20489310e40" ] }, { "id" : "ITEM-2", "itemData" : { "DOI" : "10.1007/s10865-016-9712-3", "ISSN" : "15733521", "PMID" : "26801338", "abstract" : "Depressive symptoms are common in individuals with multiple sclerosis (MS), and are frequently exacerbated by pain; however, spiritual well-being may allow persons with MS to more effectively cope with pain-related deficits in physical and role functioning. We explored the associations between spiritual well-being, pain interference and depressive symptoms, assessing each as a potential mediator, in eighty-one patients being treated for MS, who completed self-report measures: Functional Assessment of Chronic Illness Therapy-Spiritual Well-Being Scale, Pain Effects Scale, and Center for Epidemiologic Studies Depression Scale Revised. At the bivariate level, spiritual well-being and its subscale of meaning and peace were negatively associated with depression and pain interference. In mediation models, depression was not related to pain interference via spiritual well-being, or to spiritual well-being via pain interference. Pain interference was related to depression via spiritual well-being and meaning/peace, and to spiritual well-being and meaning/peace via depressive symptoms. Finally, spiritual well-being and meaning/peace were related to depression via pain interference, and to pain interference via depressive symptoms. For patients with MS, a multi-faceted approach to treatment that includes pain reduction and promotion of spiritual well-being may be beneficial, although amelioration of depression remains a critical task.", "author" : [ { "dropping-particle" : "", "family" : "Nsamenang", "given" : "Sheri A.", "non-dropping-particle" : "", "parse-names" : false, "suffix" : "" }, { "dropping-particle" : "", "family" : "Hirsch", "given" : "Jameson K.", "non-dropping-particle" : "", "parse-names" : false, "suffix" : "" }, { "dropping-particle" : "", "family" : "Topciu", "given" : "Raluca", "non-dropping-particle" : "", "parse-names" : false, "suffix" : "" }, { "dropping-particle" : "", "family" : "Goodman", "given" : "Andrew D.", "non-dropping-particle" : "", "parse-names" : false, "suffix" : "" }, { "dropping-particle" : "", "family" : "Duberstein", "given" : "Paul R.", "non-dropping-particle" : "", "parse-names" : false, "suffix" : "" } ], "container-title" : "Journal of Behavioral Medicine", "id" : "ITEM-2", "issue" : "2", "issued" : { "date-parts" : [ [ "2016" ] ] }, "page" : "355-363", "publisher" : "Springer US", "title" : "The interrelations between spiritual well-being, pain interference and depressive symptoms in patients with multiple sclerosis", "type" : "article-journal", "volume" : "39" }, "uris" : [ "http://www.mendeley.com/documents/?uuid=2175be93-0441-4bb1-accc-f9a29ae41e6d" ] } ], "mendeley" : { "formattedCitation" : "(Hayes 2012; Nsamenang et al. 2016)", "manualFormatting" : "(Hayes, 2012; Nsamenang et al., 2016)", "plainTextFormattedCitation" : "(Hayes 2012; Nsamenang et al. 2016)", "previouslyFormattedCitation" : "(Hayes 2012; Nsamenang et al. 2016)" }, "properties" : { "noteIndex" : 0 }, "schema" : "https://github.com/citation-style-language/schema/raw/master/csl-citation.json" }</w:instrText>
      </w:r>
      <w:r w:rsidRPr="00452E2E">
        <w:fldChar w:fldCharType="separate"/>
      </w:r>
      <w:r w:rsidRPr="00452E2E">
        <w:rPr>
          <w:noProof/>
        </w:rPr>
        <w:t xml:space="preserve">(Hayes, 2012; Nsamenang </w:t>
      </w:r>
      <w:r w:rsidRPr="00452E2E">
        <w:rPr>
          <w:i/>
          <w:noProof/>
        </w:rPr>
        <w:t>et al</w:t>
      </w:r>
      <w:r w:rsidRPr="00452E2E">
        <w:rPr>
          <w:noProof/>
        </w:rPr>
        <w:t>., 2016)</w:t>
      </w:r>
      <w:r w:rsidRPr="00452E2E">
        <w:fldChar w:fldCharType="end"/>
      </w:r>
      <w:r w:rsidRPr="00452E2E">
        <w:t xml:space="preserve">. </w:t>
      </w:r>
    </w:p>
    <w:p w:rsidR="00D03A8E" w:rsidRPr="00452E2E" w:rsidRDefault="00D03A8E" w:rsidP="00D03A8E">
      <w:pPr>
        <w:spacing w:line="360" w:lineRule="auto"/>
        <w:jc w:val="both"/>
      </w:pPr>
      <w:r w:rsidRPr="00452E2E">
        <w:t xml:space="preserve">In addition, PROCESS macro automatically produces the effect size of the mediation in order to determine the magnitude or proportion of the mediation </w:t>
      </w:r>
      <w:r w:rsidRPr="00452E2E">
        <w:lastRenderedPageBreak/>
        <w:t xml:space="preserve">effect </w:t>
      </w:r>
      <w:r w:rsidRPr="00452E2E">
        <w:fldChar w:fldCharType="begin" w:fldLock="1"/>
      </w:r>
      <w:r w:rsidRPr="00452E2E">
        <w:instrText>ADDIN CSL_CITATION { "citationItems" : [ { "id" : "ITEM-1", "itemData" : { "DOI" : "978-1-60918-230-4", "ISBN" : "9781609182304", "ISSN" : "&lt;null&gt;", "PMID" : "17658881", "abstract" : "This document is a companion to Hayes, A. F. (in progress). An Introduction to Mediation, Moderation, and Conditional Process Analysis: A Regression-based Approach. Under contract for publication by Guilford Press. Statistical mediation and moderation analysis are widespread throughout the behavioral sciences. Increasingly, these methods are being integrated in the form of the analysis of \u2015mediated moderation\u2016 or \u2015moderated mediation,\u2016 or what Hayes and Preacher (in press) call conditional process modeling. In this paper, I offer a primer on some of the important concepts and methods in mediation analysis, moderation analysis, and conditional process modeling prior to describing PROCESS, a versatile modeling tool freely-available for SPSS and SAS that integrates many of the functions of existing and popular published statistical tools for mediation and moderation analysis as well as their integration. Examples of the use of PROCESS are provided, and some of its additional features as well as some limitations are described.", "author" : [ { "dropping-particle" : "", "family" : "Hayes", "given" : "Andrew F", "non-dropping-particle" : "", "parse-names" : false, "suffix" : "" } ], "container-title" : "White paper", "id" : "ITEM-1", "issued" : { "date-parts" : [ [ "2012" ] ] }, "page" : "1-39", "title" : "PROCESS: A versatile computational tool for observed variable mediation, moderation, and conditional process modeling", "type" : "article" }, "uris" : [ "http://www.mendeley.com/documents/?uuid=36046ddc-d0cc-4c59-84e7-f20489310e40" ] }, { "id" : "ITEM-2", "itemData" : { "DOI" : "10.1037/a0022658", "ISBN" : "1082-989X\\n1939-1463", "ISSN" : "1082-989X", "PMID" : "21500915", "abstract" : "The statistical analysis of mediation effects has become an indispensable tool for helping scientists investigate processes thought to be causal. Yet, in spite of many recent advances in the estimation and testing of mediation effects, little attention has been given to methods for communicating effect size and the practical importance of those effect sizes. Our goals in this article are to (a) outline some general desiderata for effect size measures, (b) describe current methods of expressing effect size and practical importance for mediation, (c) use the desiderata to evaluate these methods, and (d) develop new methods to communicate effect size in the context of mediation analysis. The first new effect size index we describe is a residual-based index that quantifies the amount of variance explained in both the mediator and the outcome. The second new effect size index quantifies the indirect effect as the proportion of the maximum possible indirect effect that could have been obtained, given the scales of the variables involved. We supplement our discussion by offering easy-to-use R tools for the numerical and visual communication of effect size for mediation effects.", "author" : [ { "dropping-particle" : "", "family" : "Preacher", "given" : "Kristopher J", "non-dropping-particle" : "", "parse-names" : false, "suffix" : "" }, { "dropping-particle" : "", "family" : "Kelley", "given" : "Ken", "non-dropping-particle" : "", "parse-names" : false, "suffix" : "" } ], "container-title" : "Psychological Methods", "id" : "ITEM-2", "issue" : "2", "issued" : { "date-parts" : [ [ "2011" ] ] }, "page" : "93-115", "title" : "Effect size measures for mediation models: quantitative strategies for communicating indirect effects", "type" : "article-journal", "volume" : "16" }, "uris" : [ "http://www.mendeley.com/documents/?uuid=5cda40df-a562-4366-929b-30898f50c085" ] } ], "mendeley" : { "formattedCitation" : "(Hayes 2012; Preacher &amp; Kelley 2011)", "manualFormatting" : "(Hayes, 2012; Preacher &amp; Kelley, 2011)", "plainTextFormattedCitation" : "(Hayes 2012; Preacher &amp; Kelley 2011)", "previouslyFormattedCitation" : "(Hayes 2012; Preacher &amp; Kelley 2011)" }, "properties" : { "noteIndex" : 0 }, "schema" : "https://github.com/citation-style-language/schema/raw/master/csl-citation.json" }</w:instrText>
      </w:r>
      <w:r w:rsidRPr="00452E2E">
        <w:fldChar w:fldCharType="separate"/>
      </w:r>
      <w:r w:rsidRPr="00452E2E">
        <w:rPr>
          <w:noProof/>
        </w:rPr>
        <w:t>(Hayes, 2012; Preacher &amp; Kelley, 2011)</w:t>
      </w:r>
      <w:r w:rsidRPr="00452E2E">
        <w:fldChar w:fldCharType="end"/>
      </w:r>
      <w:r w:rsidRPr="00452E2E">
        <w:t xml:space="preserve">. Just like </w:t>
      </w:r>
      <w:r w:rsidR="001B23BA" w:rsidRPr="00452E2E">
        <w:t xml:space="preserve">in </w:t>
      </w:r>
      <w:r w:rsidRPr="00452E2E">
        <w:t>the test</w:t>
      </w:r>
      <w:r w:rsidR="001315F0" w:rsidRPr="00452E2E">
        <w:t>s</w:t>
      </w:r>
      <w:r w:rsidRPr="00452E2E">
        <w:t xml:space="preserve"> of direct relationships reported in the previous section, I controlled for age, sex, tenure, education, job category, industry and sector in all the mediation models</w:t>
      </w:r>
      <w:r w:rsidR="00A112FE" w:rsidRPr="00BE5AF1">
        <w:rPr>
          <w:rStyle w:val="FootnoteReference"/>
        </w:rPr>
        <w:footnoteReference w:id="17"/>
      </w:r>
      <w:r w:rsidRPr="00452E2E">
        <w:t xml:space="preserve"> whilst the confidence intervals were set at 95%. In reporting the results of the mediation analyses in subsequent sections, the indirect effects (</w:t>
      </w:r>
      <w:r w:rsidRPr="00452E2E">
        <w:rPr>
          <w:i/>
        </w:rPr>
        <w:t>ab</w:t>
      </w:r>
      <w:r w:rsidRPr="00452E2E">
        <w:t>), confidence intervals (CI) and proportion of mediation (P</w:t>
      </w:r>
      <w:r w:rsidRPr="00452E2E">
        <w:rPr>
          <w:i/>
        </w:rPr>
        <w:t>m</w:t>
      </w:r>
      <w:r w:rsidRPr="00452E2E">
        <w:t xml:space="preserve">) are reported.  </w:t>
      </w:r>
    </w:p>
    <w:p w:rsidR="00D03A8E" w:rsidRPr="00452E2E" w:rsidRDefault="00D03A8E" w:rsidP="00D03A8E">
      <w:pPr>
        <w:spacing w:line="360" w:lineRule="auto"/>
        <w:jc w:val="both"/>
        <w:rPr>
          <w:i/>
        </w:rPr>
      </w:pPr>
      <w:r w:rsidRPr="00452E2E">
        <w:rPr>
          <w:i/>
        </w:rPr>
        <w:t>Effect</w:t>
      </w:r>
      <w:r w:rsidR="004F46A5" w:rsidRPr="00452E2E">
        <w:rPr>
          <w:i/>
        </w:rPr>
        <w:t>s</w:t>
      </w:r>
      <w:r w:rsidRPr="00452E2E">
        <w:rPr>
          <w:i/>
        </w:rPr>
        <w:t xml:space="preserve"> of Mediating Variables on HR Practices –Job satisfaction Relationship.</w:t>
      </w:r>
    </w:p>
    <w:p w:rsidR="00D03A8E" w:rsidRPr="00452E2E" w:rsidRDefault="00D03A8E" w:rsidP="00D03A8E">
      <w:pPr>
        <w:spacing w:line="360" w:lineRule="auto"/>
        <w:jc w:val="both"/>
      </w:pPr>
      <w:r w:rsidRPr="00452E2E">
        <w:t xml:space="preserve">The effects of each of the mediating variables on the relationship between HR practices and job satisfaction was examined with results presented in table 7.14 </w:t>
      </w:r>
      <w:r w:rsidR="00366C7E" w:rsidRPr="00452E2E">
        <w:t>below</w:t>
      </w:r>
      <w:r w:rsidR="00CB70E1" w:rsidRPr="00452E2E">
        <w:t xml:space="preserve">. </w:t>
      </w:r>
    </w:p>
    <w:p w:rsidR="00D03A8E" w:rsidRPr="00452E2E" w:rsidRDefault="00B21171" w:rsidP="00D03A8E">
      <w:pPr>
        <w:pStyle w:val="Caption"/>
        <w:rPr>
          <w:b w:val="0"/>
        </w:rPr>
      </w:pPr>
      <w:bookmarkStart w:id="184" w:name="_Toc465419873"/>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14</w:t>
      </w:r>
      <w:r w:rsidR="00B26571">
        <w:rPr>
          <w:noProof/>
        </w:rPr>
        <w:fldChar w:fldCharType="end"/>
      </w:r>
      <w:r w:rsidR="00D03A8E" w:rsidRPr="00452E2E">
        <w:t>: Mediation Effect of Procedural Justice, Commitment-focused HR Attribution, Control-focused HR Attribution and Union Compliance HR Attribution on the Relationship between HR Practices and Job Satisfaction</w:t>
      </w:r>
      <w:bookmarkEnd w:id="184"/>
    </w:p>
    <w:tbl>
      <w:tblPr>
        <w:tblStyle w:val="TableGrid"/>
        <w:tblW w:w="0" w:type="auto"/>
        <w:shd w:val="clear" w:color="auto" w:fill="FFFFFF" w:themeFill="background1"/>
        <w:tblLook w:val="04A0" w:firstRow="1" w:lastRow="0" w:firstColumn="1" w:lastColumn="0" w:noHBand="0" w:noVBand="1"/>
      </w:tblPr>
      <w:tblGrid>
        <w:gridCol w:w="2830"/>
        <w:gridCol w:w="1274"/>
        <w:gridCol w:w="821"/>
        <w:gridCol w:w="1072"/>
        <w:gridCol w:w="1072"/>
        <w:gridCol w:w="1260"/>
      </w:tblGrid>
      <w:tr w:rsidR="00452E2E" w:rsidRPr="00452E2E" w:rsidTr="00A00272">
        <w:tc>
          <w:tcPr>
            <w:tcW w:w="283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1274"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821"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1072"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1072"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c>
          <w:tcPr>
            <w:tcW w:w="1260"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Proportion of Mediation</w:t>
            </w:r>
          </w:p>
        </w:tc>
      </w:tr>
      <w:tr w:rsidR="00452E2E" w:rsidRPr="00452E2E" w:rsidTr="00A00272">
        <w:tc>
          <w:tcPr>
            <w:tcW w:w="2830"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1274"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r w:rsidRPr="00452E2E">
              <w:rPr>
                <w:b/>
                <w:i/>
                <w:sz w:val="18"/>
                <w:szCs w:val="18"/>
              </w:rPr>
              <w:t>HR Practices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-.220</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-.074</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-.080</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-.020</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CB70E1" w:rsidP="00B57950">
            <w:pPr>
              <w:jc w:val="both"/>
              <w:rPr>
                <w:sz w:val="18"/>
                <w:szCs w:val="18"/>
              </w:rPr>
            </w:pPr>
            <w:r w:rsidRPr="00452E2E">
              <w:rPr>
                <w:b/>
                <w:i/>
                <w:sz w:val="18"/>
                <w:szCs w:val="18"/>
              </w:rPr>
              <w:t xml:space="preserve">Mediator: </w:t>
            </w:r>
            <w:r w:rsidRPr="00452E2E">
              <w:rPr>
                <w:b/>
                <w:sz w:val="18"/>
                <w:szCs w:val="18"/>
              </w:rPr>
              <w:t>Commitment-focused HR Attribution</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.043</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.014</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.042</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.754</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w:t>
            </w:r>
          </w:p>
          <w:p w:rsidR="00D03A8E" w:rsidRPr="00452E2E" w:rsidRDefault="00D03A8E" w:rsidP="00B57950">
            <w:pPr>
              <w:jc w:val="both"/>
              <w:rPr>
                <w:sz w:val="18"/>
                <w:szCs w:val="18"/>
              </w:rPr>
            </w:pPr>
            <w:r w:rsidRPr="00452E2E">
              <w:rPr>
                <w:b/>
                <w:sz w:val="18"/>
                <w:szCs w:val="18"/>
              </w:rPr>
              <w:t xml:space="preserve"> HR Attribution</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.020</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.101</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 xml:space="preserve">Union Compliance </w:t>
            </w:r>
          </w:p>
          <w:p w:rsidR="00D03A8E" w:rsidRPr="00452E2E" w:rsidRDefault="00D03A8E" w:rsidP="00B57950">
            <w:pPr>
              <w:jc w:val="both"/>
              <w:rPr>
                <w:sz w:val="18"/>
                <w:szCs w:val="18"/>
              </w:rPr>
            </w:pPr>
            <w:r w:rsidRPr="00452E2E">
              <w:rPr>
                <w:b/>
                <w:sz w:val="18"/>
                <w:szCs w:val="18"/>
              </w:rPr>
              <w:t>HR Attribution</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.012</w:t>
            </w:r>
          </w:p>
        </w:tc>
      </w:tr>
      <w:tr w:rsidR="00452E2E" w:rsidRPr="00452E2E" w:rsidTr="00A00272">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10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-.076</w:t>
            </w:r>
          </w:p>
        </w:tc>
      </w:tr>
      <w:tr w:rsidR="00452E2E" w:rsidRPr="00452E2E" w:rsidTr="00A00272">
        <w:tc>
          <w:tcPr>
            <w:tcW w:w="283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7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1"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7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072"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26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r>
    </w:tbl>
    <w:p w:rsidR="00D03A8E" w:rsidRPr="00452E2E" w:rsidRDefault="00D03A8E" w:rsidP="00D03A8E">
      <w:pPr>
        <w:rPr>
          <w:sz w:val="16"/>
          <w:szCs w:val="16"/>
        </w:rPr>
      </w:pPr>
      <w:r w:rsidRPr="00452E2E">
        <w:rPr>
          <w:sz w:val="16"/>
          <w:szCs w:val="16"/>
        </w:rPr>
        <w:t>Notes: N = 521; Outcome variable is Job satisfaction.</w:t>
      </w:r>
    </w:p>
    <w:p w:rsidR="00D03A8E" w:rsidRPr="00452E2E" w:rsidRDefault="00D03A8E" w:rsidP="00D03A8E">
      <w:pPr>
        <w:spacing w:line="360" w:lineRule="auto"/>
        <w:jc w:val="both"/>
      </w:pPr>
      <w:r w:rsidRPr="00452E2E">
        <w:lastRenderedPageBreak/>
        <w:t>Results indicate that the mediation effect of procedural justice on the effect of training (</w:t>
      </w:r>
      <w:r w:rsidRPr="00452E2E">
        <w:rPr>
          <w:i/>
        </w:rPr>
        <w:t>ab</w:t>
      </w:r>
      <w:r w:rsidR="008C528D" w:rsidRPr="00452E2E">
        <w:rPr>
          <w:i/>
        </w:rPr>
        <w:t xml:space="preserve"> </w:t>
      </w:r>
      <w:r w:rsidR="000E0FFD" w:rsidRPr="00452E2E">
        <w:t xml:space="preserve">= -.005, CI = </w:t>
      </w:r>
      <w:r w:rsidRPr="00452E2E">
        <w:t>-.220 to .007; P</w:t>
      </w:r>
      <w:r w:rsidRPr="00452E2E">
        <w:rPr>
          <w:i/>
        </w:rPr>
        <w:t xml:space="preserve">m </w:t>
      </w:r>
      <w:r w:rsidRPr="00452E2E">
        <w:t>= -.074)</w:t>
      </w:r>
      <w:r w:rsidR="008272DC" w:rsidRPr="00452E2E">
        <w:t>,</w:t>
      </w:r>
      <w:r w:rsidRPr="00452E2E">
        <w:t xml:space="preserve"> employee benefits (</w:t>
      </w:r>
      <w:r w:rsidRPr="00452E2E">
        <w:rPr>
          <w:i/>
        </w:rPr>
        <w:t>ab</w:t>
      </w:r>
      <w:r w:rsidR="008C528D" w:rsidRPr="00452E2E">
        <w:rPr>
          <w:i/>
        </w:rPr>
        <w:t xml:space="preserve"> </w:t>
      </w:r>
      <w:r w:rsidRPr="00452E2E">
        <w:t>=</w:t>
      </w:r>
      <w:r w:rsidR="008C528D" w:rsidRPr="00452E2E">
        <w:t xml:space="preserve"> </w:t>
      </w:r>
      <w:r w:rsidRPr="00452E2E">
        <w:t>-.003, CI = -.015 to .003; P</w:t>
      </w:r>
      <w:r w:rsidRPr="00452E2E">
        <w:rPr>
          <w:i/>
        </w:rPr>
        <w:t xml:space="preserve">m </w:t>
      </w:r>
      <w:r w:rsidRPr="00452E2E">
        <w:t>= -.080) and employee participation (</w:t>
      </w:r>
      <w:r w:rsidRPr="00452E2E">
        <w:rPr>
          <w:i/>
        </w:rPr>
        <w:t>ab</w:t>
      </w:r>
      <w:r w:rsidR="008C528D" w:rsidRPr="00452E2E">
        <w:rPr>
          <w:i/>
        </w:rPr>
        <w:t xml:space="preserve"> </w:t>
      </w:r>
      <w:r w:rsidRPr="00452E2E">
        <w:t>=</w:t>
      </w:r>
      <w:r w:rsidR="008C528D" w:rsidRPr="00452E2E">
        <w:t xml:space="preserve"> </w:t>
      </w:r>
      <w:r w:rsidRPr="00452E2E">
        <w:t>-.000, CI = -.009 to .003; P</w:t>
      </w:r>
      <w:r w:rsidRPr="00452E2E">
        <w:rPr>
          <w:i/>
        </w:rPr>
        <w:t xml:space="preserve">m </w:t>
      </w:r>
      <w:r w:rsidRPr="00452E2E">
        <w:t xml:space="preserve">= -.020) on job satisfaction was not significant since the confidence intervals in each case contained zero. This means that hypothesis 5 which states that procedural justice will mediate the relationship between HR practices and job satisfaction is not supported. As for the mediation effect of commitment-focused HR attribution, the table </w:t>
      </w:r>
      <w:r w:rsidR="00A372D5" w:rsidRPr="00452E2E">
        <w:t xml:space="preserve">(7.14) </w:t>
      </w:r>
      <w:r w:rsidRPr="00452E2E">
        <w:t>indicates a non-significant mediation effect for training (</w:t>
      </w:r>
      <w:r w:rsidRPr="00452E2E">
        <w:rPr>
          <w:i/>
        </w:rPr>
        <w:t>ab</w:t>
      </w:r>
      <w:r w:rsidR="00EF1325" w:rsidRPr="00452E2E">
        <w:rPr>
          <w:i/>
        </w:rPr>
        <w:t xml:space="preserve"> </w:t>
      </w:r>
      <w:r w:rsidRPr="00452E2E">
        <w:t>=</w:t>
      </w:r>
      <w:r w:rsidR="00EF1325" w:rsidRPr="00452E2E">
        <w:t xml:space="preserve"> </w:t>
      </w:r>
      <w:r w:rsidRPr="00452E2E">
        <w:t>-.000, CI = -.008 to .005; P</w:t>
      </w:r>
      <w:r w:rsidRPr="00452E2E">
        <w:rPr>
          <w:i/>
        </w:rPr>
        <w:t xml:space="preserve">m </w:t>
      </w:r>
      <w:r w:rsidRPr="00452E2E">
        <w:t>= -.003) and employee benefits (</w:t>
      </w:r>
      <w:r w:rsidRPr="00452E2E">
        <w:rPr>
          <w:i/>
        </w:rPr>
        <w:t>ab</w:t>
      </w:r>
      <w:r w:rsidR="00EF1325" w:rsidRPr="00452E2E">
        <w:rPr>
          <w:i/>
        </w:rPr>
        <w:t xml:space="preserve"> </w:t>
      </w:r>
      <w:r w:rsidRPr="00452E2E">
        <w:t>=</w:t>
      </w:r>
      <w:r w:rsidR="00EF1325" w:rsidRPr="00452E2E">
        <w:t xml:space="preserve"> </w:t>
      </w:r>
      <w:r w:rsidRPr="00452E2E">
        <w:t>.002, CI = -.002 to .012; P</w:t>
      </w:r>
      <w:r w:rsidRPr="00452E2E">
        <w:rPr>
          <w:i/>
        </w:rPr>
        <w:t xml:space="preserve">m </w:t>
      </w:r>
      <w:r w:rsidRPr="00452E2E">
        <w:t xml:space="preserve">= .043) </w:t>
      </w:r>
      <w:r w:rsidR="004B07A2" w:rsidRPr="00452E2E">
        <w:t>on job satisfaction</w:t>
      </w:r>
      <w:r w:rsidR="00481B97" w:rsidRPr="00452E2E">
        <w:t>,</w:t>
      </w:r>
      <w:r w:rsidR="004B07A2" w:rsidRPr="00452E2E">
        <w:t xml:space="preserve"> </w:t>
      </w:r>
      <w:r w:rsidRPr="00452E2E">
        <w:t>with the confidence intervals containing zero</w:t>
      </w:r>
      <w:r w:rsidR="00685F05" w:rsidRPr="00452E2E">
        <w:t>.</w:t>
      </w:r>
      <w:r w:rsidRPr="00452E2E">
        <w:t xml:space="preserve"> </w:t>
      </w:r>
      <w:r w:rsidR="00685F05" w:rsidRPr="00452E2E">
        <w:t>T</w:t>
      </w:r>
      <w:r w:rsidRPr="00452E2E">
        <w:t xml:space="preserve">he mediation effect of commitment-focused HR attribution on </w:t>
      </w:r>
      <w:r w:rsidR="00204DB7" w:rsidRPr="00452E2E">
        <w:t xml:space="preserve">the relationship between </w:t>
      </w:r>
      <w:r w:rsidRPr="00452E2E">
        <w:t>employee participation and job satisfaction (</w:t>
      </w:r>
      <w:r w:rsidRPr="00452E2E">
        <w:rPr>
          <w:i/>
        </w:rPr>
        <w:t>ab</w:t>
      </w:r>
      <w:r w:rsidR="00EF1325" w:rsidRPr="00452E2E">
        <w:rPr>
          <w:i/>
        </w:rPr>
        <w:t xml:space="preserve"> </w:t>
      </w:r>
      <w:r w:rsidRPr="00452E2E">
        <w:t>=</w:t>
      </w:r>
      <w:r w:rsidR="00EF1325" w:rsidRPr="00452E2E">
        <w:t xml:space="preserve"> </w:t>
      </w:r>
      <w:r w:rsidRPr="00452E2E">
        <w:t>.014, CI = .001 to .042; P</w:t>
      </w:r>
      <w:r w:rsidRPr="00452E2E">
        <w:rPr>
          <w:i/>
        </w:rPr>
        <w:t xml:space="preserve">m </w:t>
      </w:r>
      <w:r w:rsidRPr="00452E2E">
        <w:t xml:space="preserve">= .754) was </w:t>
      </w:r>
      <w:r w:rsidR="004634B1" w:rsidRPr="00452E2E">
        <w:t xml:space="preserve">however </w:t>
      </w:r>
      <w:r w:rsidRPr="00452E2E">
        <w:t xml:space="preserve">significant since there was no zero in the confidence interval. This means that hypothesis 15 is partially supported since the </w:t>
      </w:r>
      <w:r w:rsidR="008760D5" w:rsidRPr="00452E2E">
        <w:t xml:space="preserve">mediation </w:t>
      </w:r>
      <w:r w:rsidRPr="00452E2E">
        <w:t xml:space="preserve">effect is significant for at least one HR practice. </w:t>
      </w:r>
    </w:p>
    <w:p w:rsidR="00D03A8E" w:rsidRPr="00452E2E" w:rsidRDefault="00D03A8E" w:rsidP="00D03A8E">
      <w:pPr>
        <w:spacing w:line="360" w:lineRule="auto"/>
        <w:jc w:val="both"/>
      </w:pPr>
      <w:r w:rsidRPr="00452E2E">
        <w:t>In terms of the mediation effect of control-focused HR attribution on the relationship between HR practices and job satisfaction, results indicate a non-significant effect for all 3 HR practices: training (</w:t>
      </w:r>
      <w:r w:rsidRPr="00452E2E">
        <w:rPr>
          <w:i/>
        </w:rPr>
        <w:t>ab</w:t>
      </w:r>
      <w:r w:rsidR="00EF1325" w:rsidRPr="00452E2E">
        <w:rPr>
          <w:i/>
        </w:rPr>
        <w:t xml:space="preserve"> </w:t>
      </w:r>
      <w:r w:rsidRPr="00452E2E">
        <w:t>=</w:t>
      </w:r>
      <w:r w:rsidR="00EF1325" w:rsidRPr="00452E2E">
        <w:t xml:space="preserve"> </w:t>
      </w:r>
      <w:r w:rsidRPr="00452E2E">
        <w:t>.001, CI = -.001 to .008; P</w:t>
      </w:r>
      <w:r w:rsidRPr="00452E2E">
        <w:rPr>
          <w:i/>
        </w:rPr>
        <w:t xml:space="preserve">m </w:t>
      </w:r>
      <w:r w:rsidRPr="00452E2E">
        <w:t>= .020), employee benefits (</w:t>
      </w:r>
      <w:r w:rsidRPr="00452E2E">
        <w:rPr>
          <w:i/>
        </w:rPr>
        <w:t>ab</w:t>
      </w:r>
      <w:r w:rsidR="00EF1325" w:rsidRPr="00452E2E">
        <w:rPr>
          <w:i/>
        </w:rPr>
        <w:t xml:space="preserve"> </w:t>
      </w:r>
      <w:r w:rsidRPr="00452E2E">
        <w:t>=</w:t>
      </w:r>
      <w:r w:rsidR="00EF1325" w:rsidRPr="00452E2E">
        <w:t xml:space="preserve"> </w:t>
      </w:r>
      <w:r w:rsidRPr="00452E2E">
        <w:t>-.001, CI = -.008 to .001; P</w:t>
      </w:r>
      <w:r w:rsidRPr="00452E2E">
        <w:rPr>
          <w:i/>
        </w:rPr>
        <w:t xml:space="preserve">m </w:t>
      </w:r>
      <w:r w:rsidRPr="00452E2E">
        <w:t>= -.020) and employee participation (</w:t>
      </w:r>
      <w:r w:rsidRPr="00452E2E">
        <w:rPr>
          <w:i/>
        </w:rPr>
        <w:t>ab</w:t>
      </w:r>
      <w:r w:rsidR="00EF1325" w:rsidRPr="00452E2E">
        <w:rPr>
          <w:i/>
        </w:rPr>
        <w:t xml:space="preserve"> </w:t>
      </w:r>
      <w:r w:rsidRPr="00452E2E">
        <w:t>=</w:t>
      </w:r>
      <w:r w:rsidR="00EF1325" w:rsidRPr="00452E2E">
        <w:t xml:space="preserve"> </w:t>
      </w:r>
      <w:r w:rsidRPr="00452E2E">
        <w:t>.002, CI = -.002 to .013; P</w:t>
      </w:r>
      <w:r w:rsidRPr="00452E2E">
        <w:rPr>
          <w:i/>
        </w:rPr>
        <w:t xml:space="preserve">m </w:t>
      </w:r>
      <w:r w:rsidRPr="00452E2E">
        <w:t>= .101). Therefore, hypothesis 17 is not supported. Similarly, the mediation effect of union compliance HR attribution on the relationship between HR practices and job satisfaction was not significant for the 3 HR practices: training (</w:t>
      </w:r>
      <w:r w:rsidRPr="00452E2E">
        <w:rPr>
          <w:i/>
        </w:rPr>
        <w:t>ab</w:t>
      </w:r>
      <w:r w:rsidR="00EF1325" w:rsidRPr="00452E2E">
        <w:rPr>
          <w:i/>
        </w:rPr>
        <w:t xml:space="preserve"> </w:t>
      </w:r>
      <w:r w:rsidRPr="00452E2E">
        <w:t>=</w:t>
      </w:r>
      <w:r w:rsidR="00EF1325" w:rsidRPr="00452E2E">
        <w:t xml:space="preserve"> </w:t>
      </w:r>
      <w:r w:rsidRPr="00452E2E">
        <w:t>.001, CI = -.001 to .006; P</w:t>
      </w:r>
      <w:r w:rsidRPr="00452E2E">
        <w:rPr>
          <w:i/>
        </w:rPr>
        <w:t xml:space="preserve">m </w:t>
      </w:r>
      <w:r w:rsidRPr="00452E2E">
        <w:t>= .012), employee benefits (</w:t>
      </w:r>
      <w:r w:rsidRPr="00452E2E">
        <w:rPr>
          <w:i/>
        </w:rPr>
        <w:t>ab</w:t>
      </w:r>
      <w:r w:rsidR="00EF1325" w:rsidRPr="00452E2E">
        <w:rPr>
          <w:i/>
        </w:rPr>
        <w:t xml:space="preserve"> </w:t>
      </w:r>
      <w:r w:rsidRPr="00452E2E">
        <w:t>= -.003, CI = -.013 to .000; P</w:t>
      </w:r>
      <w:r w:rsidRPr="00452E2E">
        <w:rPr>
          <w:i/>
        </w:rPr>
        <w:t xml:space="preserve">m </w:t>
      </w:r>
      <w:r w:rsidRPr="00452E2E">
        <w:t>= -.076) and employee participation (</w:t>
      </w:r>
      <w:r w:rsidRPr="00452E2E">
        <w:rPr>
          <w:i/>
        </w:rPr>
        <w:t>ab</w:t>
      </w:r>
      <w:r w:rsidR="00EF1325" w:rsidRPr="00452E2E">
        <w:rPr>
          <w:i/>
        </w:rPr>
        <w:t xml:space="preserve"> </w:t>
      </w:r>
      <w:r w:rsidRPr="00452E2E">
        <w:t>=.000, CI = -.005 to .003; P</w:t>
      </w:r>
      <w:r w:rsidRPr="00452E2E">
        <w:rPr>
          <w:i/>
        </w:rPr>
        <w:t xml:space="preserve">m </w:t>
      </w:r>
      <w:r w:rsidRPr="00452E2E">
        <w:t>= -.001); which means that hypothesis 19 is not supported.</w:t>
      </w:r>
    </w:p>
    <w:p w:rsidR="00D03A8E" w:rsidRPr="00452E2E" w:rsidRDefault="00D03A8E" w:rsidP="00D03A8E">
      <w:pPr>
        <w:spacing w:line="360" w:lineRule="auto"/>
        <w:jc w:val="both"/>
        <w:rPr>
          <w:i/>
        </w:rPr>
      </w:pPr>
      <w:r w:rsidRPr="00452E2E">
        <w:rPr>
          <w:i/>
        </w:rPr>
        <w:t>Effect</w:t>
      </w:r>
      <w:r w:rsidR="004F46A5" w:rsidRPr="00452E2E">
        <w:rPr>
          <w:i/>
        </w:rPr>
        <w:t>s</w:t>
      </w:r>
      <w:r w:rsidRPr="00452E2E">
        <w:rPr>
          <w:i/>
        </w:rPr>
        <w:t xml:space="preserve"> of Mediating Variables on HR Practices-Affective Commitment Relationship</w:t>
      </w:r>
    </w:p>
    <w:p w:rsidR="00D03A8E" w:rsidRPr="00452E2E" w:rsidRDefault="00D03A8E" w:rsidP="00D03A8E">
      <w:pPr>
        <w:spacing w:line="360" w:lineRule="auto"/>
        <w:jc w:val="both"/>
      </w:pPr>
      <w:r w:rsidRPr="00452E2E">
        <w:t>The effects of each of the mediating variables on the relationship between HR practices and affective commitment was examined with results presented in table 7.15</w:t>
      </w:r>
      <w:r w:rsidR="005B72B2" w:rsidRPr="00452E2E">
        <w:t xml:space="preserve"> overleaf</w:t>
      </w:r>
      <w:r w:rsidR="00653C2E" w:rsidRPr="00452E2E">
        <w:t>. Results of</w:t>
      </w:r>
      <w:r w:rsidRPr="00452E2E">
        <w:t xml:space="preserve"> the mediation effect of procedural justice on the relationship between HR practices and affective commitment indicate </w:t>
      </w:r>
      <w:r w:rsidR="003B69AC" w:rsidRPr="00452E2E">
        <w:t xml:space="preserve">a </w:t>
      </w:r>
      <w:r w:rsidRPr="00452E2E">
        <w:t>significant mediation effect for both training (</w:t>
      </w:r>
      <w:r w:rsidRPr="00452E2E">
        <w:rPr>
          <w:i/>
        </w:rPr>
        <w:t>ab</w:t>
      </w:r>
      <w:r w:rsidR="008000E6" w:rsidRPr="00452E2E">
        <w:rPr>
          <w:i/>
        </w:rPr>
        <w:t xml:space="preserve"> </w:t>
      </w:r>
      <w:r w:rsidRPr="00452E2E">
        <w:t>=</w:t>
      </w:r>
      <w:r w:rsidR="008000E6" w:rsidRPr="00452E2E">
        <w:t xml:space="preserve"> </w:t>
      </w:r>
      <w:r w:rsidRPr="00452E2E">
        <w:t>.008, CI = .001 to .024; P</w:t>
      </w:r>
      <w:r w:rsidRPr="00452E2E">
        <w:rPr>
          <w:i/>
        </w:rPr>
        <w:t xml:space="preserve">m </w:t>
      </w:r>
      <w:r w:rsidRPr="00452E2E">
        <w:t xml:space="preserve">= .846) and </w:t>
      </w:r>
      <w:r w:rsidRPr="00452E2E">
        <w:lastRenderedPageBreak/>
        <w:t>employee benefits (</w:t>
      </w:r>
      <w:r w:rsidRPr="00452E2E">
        <w:rPr>
          <w:i/>
        </w:rPr>
        <w:t>ab</w:t>
      </w:r>
      <w:r w:rsidR="008000E6" w:rsidRPr="00452E2E">
        <w:rPr>
          <w:i/>
        </w:rPr>
        <w:t xml:space="preserve"> </w:t>
      </w:r>
      <w:r w:rsidRPr="00452E2E">
        <w:t>=</w:t>
      </w:r>
      <w:r w:rsidR="008000E6" w:rsidRPr="00452E2E">
        <w:t xml:space="preserve"> </w:t>
      </w:r>
      <w:r w:rsidRPr="00452E2E">
        <w:t>.004, CI = .000 to .015; P</w:t>
      </w:r>
      <w:r w:rsidRPr="00452E2E">
        <w:rPr>
          <w:i/>
        </w:rPr>
        <w:t xml:space="preserve">m </w:t>
      </w:r>
      <w:r w:rsidRPr="00452E2E">
        <w:t>= .071) whilst that of employee participation (</w:t>
      </w:r>
      <w:r w:rsidRPr="00452E2E">
        <w:rPr>
          <w:i/>
        </w:rPr>
        <w:t>ab</w:t>
      </w:r>
      <w:r w:rsidR="008000E6" w:rsidRPr="00452E2E">
        <w:rPr>
          <w:i/>
        </w:rPr>
        <w:t xml:space="preserve"> </w:t>
      </w:r>
      <w:r w:rsidRPr="00452E2E">
        <w:t>=</w:t>
      </w:r>
      <w:r w:rsidR="008000E6" w:rsidRPr="00452E2E">
        <w:t xml:space="preserve"> </w:t>
      </w:r>
      <w:r w:rsidRPr="00452E2E">
        <w:t>.001, CI = -.005 to .012; P</w:t>
      </w:r>
      <w:r w:rsidRPr="00452E2E">
        <w:rPr>
          <w:i/>
        </w:rPr>
        <w:t xml:space="preserve">m </w:t>
      </w:r>
      <w:r w:rsidRPr="00452E2E">
        <w:t>= .029) was non-significant. In the case of training and employee benefits, the confidence intervals did not contain zero whilst the reverse was the case for employee participation. Accordingly, hypothesis 6</w:t>
      </w:r>
      <w:r w:rsidRPr="00452E2E">
        <w:rPr>
          <w:i/>
        </w:rPr>
        <w:t>a</w:t>
      </w:r>
      <w:r w:rsidRPr="00452E2E">
        <w:t xml:space="preserve"> is partially supported since there was a significant mediation effect for </w:t>
      </w:r>
      <w:r w:rsidR="0041730F" w:rsidRPr="00452E2E">
        <w:t>two</w:t>
      </w:r>
      <w:r w:rsidRPr="00452E2E">
        <w:t xml:space="preserve"> of the HR practices. In terms of the mediation effect of commitment-focused HR attribution on the relationship between HR practices and affective commitment, results indicate a non-significant relationship for training (</w:t>
      </w:r>
      <w:r w:rsidRPr="00452E2E">
        <w:rPr>
          <w:i/>
        </w:rPr>
        <w:t>ab</w:t>
      </w:r>
      <w:r w:rsidR="008000E6" w:rsidRPr="00452E2E">
        <w:rPr>
          <w:i/>
        </w:rPr>
        <w:t xml:space="preserve"> </w:t>
      </w:r>
      <w:r w:rsidRPr="00452E2E">
        <w:t>=</w:t>
      </w:r>
      <w:r w:rsidR="008000E6" w:rsidRPr="00452E2E">
        <w:t xml:space="preserve"> </w:t>
      </w:r>
      <w:r w:rsidRPr="00452E2E">
        <w:t>.000, CI = -.002 to .003; P</w:t>
      </w:r>
      <w:r w:rsidRPr="00452E2E">
        <w:rPr>
          <w:i/>
        </w:rPr>
        <w:t xml:space="preserve">m </w:t>
      </w:r>
      <w:r w:rsidRPr="00452E2E">
        <w:t>= .005), employee benefits (</w:t>
      </w:r>
      <w:r w:rsidRPr="00452E2E">
        <w:rPr>
          <w:i/>
        </w:rPr>
        <w:t>ab</w:t>
      </w:r>
      <w:r w:rsidR="008000E6" w:rsidRPr="00452E2E">
        <w:rPr>
          <w:i/>
        </w:rPr>
        <w:t xml:space="preserve"> </w:t>
      </w:r>
      <w:r w:rsidRPr="00452E2E">
        <w:t>= -.000, CI = -.007 to .001; P</w:t>
      </w:r>
      <w:r w:rsidRPr="00452E2E">
        <w:rPr>
          <w:i/>
        </w:rPr>
        <w:t xml:space="preserve">m </w:t>
      </w:r>
      <w:r w:rsidRPr="00452E2E">
        <w:t>= -.006) and employee participation (</w:t>
      </w:r>
      <w:r w:rsidRPr="00452E2E">
        <w:rPr>
          <w:i/>
        </w:rPr>
        <w:t>ab</w:t>
      </w:r>
      <w:r w:rsidR="008000E6" w:rsidRPr="00452E2E">
        <w:rPr>
          <w:i/>
        </w:rPr>
        <w:t xml:space="preserve"> </w:t>
      </w:r>
      <w:r w:rsidRPr="00452E2E">
        <w:t>= -.003, CI = -.022 to .007; P</w:t>
      </w:r>
      <w:r w:rsidRPr="00452E2E">
        <w:rPr>
          <w:i/>
        </w:rPr>
        <w:t xml:space="preserve">m </w:t>
      </w:r>
      <w:r w:rsidRPr="00452E2E">
        <w:t>= -.004) – hypothesis 16</w:t>
      </w:r>
      <w:r w:rsidRPr="00452E2E">
        <w:rPr>
          <w:i/>
        </w:rPr>
        <w:t xml:space="preserve">a </w:t>
      </w:r>
      <w:r w:rsidRPr="00452E2E">
        <w:t>is therefore not supported.</w:t>
      </w:r>
    </w:p>
    <w:p w:rsidR="00D03A8E" w:rsidRPr="00452E2E" w:rsidRDefault="00B21171" w:rsidP="00D03A8E">
      <w:pPr>
        <w:pStyle w:val="Caption"/>
      </w:pPr>
      <w:bookmarkStart w:id="185" w:name="_Toc465419874"/>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15</w:t>
      </w:r>
      <w:r w:rsidR="00B26571">
        <w:rPr>
          <w:noProof/>
        </w:rPr>
        <w:fldChar w:fldCharType="end"/>
      </w:r>
      <w:r w:rsidR="00D03A8E" w:rsidRPr="00452E2E">
        <w:t>: Mediation Effect of Procedural Justice, Commitment-focused HR Attribution, Control-focused HR Attribution and Union Compliance HR Attribution on the Relationship between HR Practices and Affective Commitment</w:t>
      </w:r>
      <w:bookmarkEnd w:id="185"/>
    </w:p>
    <w:tbl>
      <w:tblPr>
        <w:tblStyle w:val="TableGrid"/>
        <w:tblW w:w="0" w:type="auto"/>
        <w:shd w:val="clear" w:color="auto" w:fill="FFFFFF" w:themeFill="background1"/>
        <w:tblLook w:val="04A0" w:firstRow="1" w:lastRow="0" w:firstColumn="1" w:lastColumn="0" w:noHBand="0" w:noVBand="1"/>
      </w:tblPr>
      <w:tblGrid>
        <w:gridCol w:w="2830"/>
        <w:gridCol w:w="1235"/>
        <w:gridCol w:w="828"/>
        <w:gridCol w:w="1086"/>
        <w:gridCol w:w="1086"/>
        <w:gridCol w:w="1264"/>
      </w:tblGrid>
      <w:tr w:rsidR="00452E2E" w:rsidRPr="00452E2E" w:rsidTr="00FE3D94">
        <w:tc>
          <w:tcPr>
            <w:tcW w:w="283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1235"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828"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1086"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1086"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c>
          <w:tcPr>
            <w:tcW w:w="1264"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Proportion of Mediation</w:t>
            </w:r>
          </w:p>
        </w:tc>
      </w:tr>
      <w:tr w:rsidR="00452E2E" w:rsidRPr="00452E2E" w:rsidTr="00FE3D94">
        <w:tc>
          <w:tcPr>
            <w:tcW w:w="2830"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1235"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.008</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.846</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.004</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.071</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.029</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 xml:space="preserve">Commitment-focused </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-.103</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-.052</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 xml:space="preserve">Union Compliance </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-.117</w:t>
            </w:r>
          </w:p>
        </w:tc>
      </w:tr>
      <w:tr w:rsidR="00452E2E" w:rsidRPr="00452E2E" w:rsidTr="00FE3D94">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r>
      <w:tr w:rsidR="00452E2E" w:rsidRPr="00452E2E" w:rsidTr="00FE3D94">
        <w:tc>
          <w:tcPr>
            <w:tcW w:w="283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82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108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26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r>
    </w:tbl>
    <w:p w:rsidR="00D03A8E" w:rsidRPr="00452E2E" w:rsidRDefault="00D03A8E" w:rsidP="00D03A8E">
      <w:pPr>
        <w:rPr>
          <w:sz w:val="16"/>
          <w:szCs w:val="16"/>
        </w:rPr>
      </w:pPr>
      <w:r w:rsidRPr="00452E2E">
        <w:rPr>
          <w:sz w:val="16"/>
          <w:szCs w:val="16"/>
        </w:rPr>
        <w:t>Notes: N = 521; Outcome variable is Affective commitment.</w:t>
      </w:r>
    </w:p>
    <w:p w:rsidR="003C6F80" w:rsidRPr="00452E2E" w:rsidRDefault="003C6F80" w:rsidP="003C6F80">
      <w:pPr>
        <w:spacing w:line="360" w:lineRule="auto"/>
        <w:jc w:val="both"/>
      </w:pPr>
    </w:p>
    <w:p w:rsidR="00D03A8E" w:rsidRPr="00452E2E" w:rsidRDefault="003C6F80" w:rsidP="00D03A8E">
      <w:pPr>
        <w:spacing w:line="360" w:lineRule="auto"/>
        <w:jc w:val="both"/>
      </w:pPr>
      <w:r w:rsidRPr="00452E2E">
        <w:lastRenderedPageBreak/>
        <w:t>Further, the table (7.15) indicates that the mediation effect of control-focused HR attribution on the relationship between HR practices and affective commitment  was non-significant for all the HR practices: training (</w:t>
      </w:r>
      <w:r w:rsidRPr="00452E2E">
        <w:rPr>
          <w:i/>
        </w:rPr>
        <w:t xml:space="preserve">ab </w:t>
      </w:r>
      <w:r w:rsidRPr="00452E2E">
        <w:t>= -.001, CI = -.010 to .002; P</w:t>
      </w:r>
      <w:r w:rsidRPr="00452E2E">
        <w:rPr>
          <w:i/>
        </w:rPr>
        <w:t xml:space="preserve">m </w:t>
      </w:r>
      <w:r w:rsidRPr="00452E2E">
        <w:t>= -.103), employee benefits (</w:t>
      </w:r>
      <w:r w:rsidRPr="00452E2E">
        <w:rPr>
          <w:i/>
        </w:rPr>
        <w:t>ab</w:t>
      </w:r>
      <w:r w:rsidRPr="00452E2E">
        <w:t>=.003, CI = -.001 to .005; P</w:t>
      </w:r>
      <w:r w:rsidRPr="00452E2E">
        <w:rPr>
          <w:i/>
        </w:rPr>
        <w:t xml:space="preserve">m </w:t>
      </w:r>
      <w:r w:rsidRPr="00452E2E">
        <w:t>= .005) and employee participation (</w:t>
      </w:r>
      <w:r w:rsidRPr="00452E2E">
        <w:rPr>
          <w:i/>
        </w:rPr>
        <w:t xml:space="preserve">ab </w:t>
      </w:r>
      <w:r w:rsidRPr="00452E2E">
        <w:t>= -.000, CI = -.006 to .001; P</w:t>
      </w:r>
      <w:r w:rsidRPr="00452E2E">
        <w:rPr>
          <w:i/>
        </w:rPr>
        <w:t xml:space="preserve">m </w:t>
      </w:r>
      <w:r w:rsidRPr="00452E2E">
        <w:t>= -.052) – this means that hypothesis 18</w:t>
      </w:r>
      <w:r w:rsidRPr="00452E2E">
        <w:rPr>
          <w:i/>
        </w:rPr>
        <w:t>a</w:t>
      </w:r>
      <w:r w:rsidRPr="00452E2E">
        <w:t xml:space="preserve"> is not supported. Finally, the table shows the mediation effect of union compliance HR attribution on the relationship between HR practices and affective commitment. Results however indicate that this relationship was non-significant for all the HR practices: training (</w:t>
      </w:r>
      <w:r w:rsidRPr="00452E2E">
        <w:rPr>
          <w:i/>
        </w:rPr>
        <w:t xml:space="preserve">ab </w:t>
      </w:r>
      <w:r w:rsidRPr="00452E2E">
        <w:t>= -.001, CI = -.008 to .001; P</w:t>
      </w:r>
      <w:r w:rsidRPr="00452E2E">
        <w:rPr>
          <w:i/>
        </w:rPr>
        <w:t xml:space="preserve">m </w:t>
      </w:r>
      <w:r w:rsidRPr="00452E2E">
        <w:t>= -.117), employee benefits (</w:t>
      </w:r>
      <w:r w:rsidRPr="00452E2E">
        <w:rPr>
          <w:i/>
        </w:rPr>
        <w:t xml:space="preserve">ab </w:t>
      </w:r>
      <w:r w:rsidRPr="00452E2E">
        <w:t>= -.001, CI = -.016 to .003; P</w:t>
      </w:r>
      <w:r w:rsidRPr="00452E2E">
        <w:rPr>
          <w:i/>
        </w:rPr>
        <w:t xml:space="preserve">m </w:t>
      </w:r>
      <w:r w:rsidRPr="00452E2E">
        <w:t>= -.019) and employee participation (</w:t>
      </w:r>
      <w:r w:rsidRPr="00452E2E">
        <w:rPr>
          <w:i/>
        </w:rPr>
        <w:t>ab</w:t>
      </w:r>
      <w:r w:rsidRPr="00452E2E">
        <w:t>= -.000, CI = -.008 to .002; P</w:t>
      </w:r>
      <w:r w:rsidRPr="00452E2E">
        <w:rPr>
          <w:i/>
        </w:rPr>
        <w:t xml:space="preserve">m </w:t>
      </w:r>
      <w:r w:rsidRPr="00452E2E">
        <w:t>= -.013). Based on these results, hypothesis 20</w:t>
      </w:r>
      <w:r w:rsidRPr="00452E2E">
        <w:rPr>
          <w:i/>
        </w:rPr>
        <w:t>a</w:t>
      </w:r>
      <w:r w:rsidR="00940EBC" w:rsidRPr="00452E2E">
        <w:t xml:space="preserve"> is not supported. </w:t>
      </w:r>
    </w:p>
    <w:p w:rsidR="00D03A8E" w:rsidRPr="00452E2E" w:rsidRDefault="00D03A8E" w:rsidP="00D03A8E">
      <w:pPr>
        <w:spacing w:line="360" w:lineRule="auto"/>
        <w:jc w:val="both"/>
        <w:rPr>
          <w:i/>
        </w:rPr>
      </w:pPr>
      <w:r w:rsidRPr="00452E2E">
        <w:rPr>
          <w:i/>
        </w:rPr>
        <w:t>Effect</w:t>
      </w:r>
      <w:r w:rsidR="004F46A5" w:rsidRPr="00452E2E">
        <w:rPr>
          <w:i/>
        </w:rPr>
        <w:t>s</w:t>
      </w:r>
      <w:r w:rsidRPr="00452E2E">
        <w:rPr>
          <w:i/>
        </w:rPr>
        <w:t xml:space="preserve"> of Mediating Variables on HR Practices-Normative Commitment Relationship</w:t>
      </w:r>
    </w:p>
    <w:p w:rsidR="00D03A8E" w:rsidRPr="00452E2E" w:rsidRDefault="00D03A8E" w:rsidP="00D03A8E">
      <w:pPr>
        <w:spacing w:line="360" w:lineRule="auto"/>
        <w:jc w:val="both"/>
      </w:pPr>
      <w:r w:rsidRPr="00452E2E">
        <w:rPr>
          <w:rFonts w:cs="StoneSerifStd-Medium"/>
          <w:szCs w:val="24"/>
        </w:rPr>
        <w:t>The effects of each of the mediating variables on the relationship between HR practices and normative commitment was examined with results presented in table 7.16</w:t>
      </w:r>
      <w:r w:rsidR="00453BBF" w:rsidRPr="00452E2E">
        <w:rPr>
          <w:rFonts w:cs="StoneSerifStd-Medium"/>
          <w:szCs w:val="24"/>
        </w:rPr>
        <w:t xml:space="preserve"> overleaf</w:t>
      </w:r>
      <w:r w:rsidRPr="00452E2E">
        <w:rPr>
          <w:rFonts w:cs="StoneSerifStd-Medium"/>
          <w:szCs w:val="24"/>
        </w:rPr>
        <w:t xml:space="preserve">. Results indicate that for the mediation effect of procedural justice on the relationship between HR practices and normative commitment, there was a significant mediation effect for training </w:t>
      </w:r>
      <w:r w:rsidRPr="00452E2E">
        <w:t>(</w:t>
      </w:r>
      <w:r w:rsidRPr="00452E2E">
        <w:rPr>
          <w:i/>
        </w:rPr>
        <w:t>ab</w:t>
      </w:r>
      <w:r w:rsidR="008000E6" w:rsidRPr="00452E2E">
        <w:rPr>
          <w:i/>
        </w:rPr>
        <w:t xml:space="preserve"> </w:t>
      </w:r>
      <w:r w:rsidRPr="00452E2E">
        <w:t>=</w:t>
      </w:r>
      <w:r w:rsidR="008000E6" w:rsidRPr="00452E2E">
        <w:t xml:space="preserve"> </w:t>
      </w:r>
      <w:r w:rsidRPr="00452E2E">
        <w:t>.068, CI = .030 to .126; P</w:t>
      </w:r>
      <w:r w:rsidRPr="00452E2E">
        <w:rPr>
          <w:i/>
        </w:rPr>
        <w:t xml:space="preserve">m </w:t>
      </w:r>
      <w:r w:rsidRPr="00452E2E">
        <w:t xml:space="preserve">= .702) </w:t>
      </w:r>
      <w:r w:rsidRPr="00452E2E">
        <w:rPr>
          <w:rFonts w:cs="StoneSerifStd-Medium"/>
          <w:szCs w:val="24"/>
        </w:rPr>
        <w:t xml:space="preserve">and employee benefits </w:t>
      </w:r>
      <w:r w:rsidRPr="00452E2E">
        <w:t>(</w:t>
      </w:r>
      <w:r w:rsidRPr="00452E2E">
        <w:rPr>
          <w:i/>
        </w:rPr>
        <w:t>ab</w:t>
      </w:r>
      <w:r w:rsidR="008000E6" w:rsidRPr="00452E2E">
        <w:rPr>
          <w:i/>
        </w:rPr>
        <w:t xml:space="preserve"> </w:t>
      </w:r>
      <w:r w:rsidRPr="00452E2E">
        <w:t>=</w:t>
      </w:r>
      <w:r w:rsidR="008000E6" w:rsidRPr="00452E2E">
        <w:t xml:space="preserve"> </w:t>
      </w:r>
      <w:r w:rsidRPr="00452E2E">
        <w:t>.042, CI = .010 to .088; P</w:t>
      </w:r>
      <w:r w:rsidRPr="00452E2E">
        <w:rPr>
          <w:i/>
        </w:rPr>
        <w:t xml:space="preserve">m </w:t>
      </w:r>
      <w:r w:rsidRPr="00452E2E">
        <w:t xml:space="preserve">= .263) </w:t>
      </w:r>
      <w:r w:rsidRPr="00452E2E">
        <w:rPr>
          <w:rFonts w:cs="StoneSerifStd-Medium"/>
          <w:szCs w:val="24"/>
        </w:rPr>
        <w:t xml:space="preserve">but a non-significant mediation effect for employee participation </w:t>
      </w:r>
      <w:r w:rsidRPr="00452E2E">
        <w:t>(</w:t>
      </w:r>
      <w:r w:rsidRPr="00452E2E">
        <w:rPr>
          <w:i/>
        </w:rPr>
        <w:t>ab</w:t>
      </w:r>
      <w:r w:rsidR="008000E6" w:rsidRPr="00452E2E">
        <w:rPr>
          <w:i/>
        </w:rPr>
        <w:t xml:space="preserve"> </w:t>
      </w:r>
      <w:r w:rsidRPr="00452E2E">
        <w:t>=</w:t>
      </w:r>
      <w:r w:rsidR="008000E6" w:rsidRPr="00452E2E">
        <w:t xml:space="preserve"> </w:t>
      </w:r>
      <w:r w:rsidRPr="00452E2E">
        <w:t>.005, CI = -.034 to .052; P</w:t>
      </w:r>
      <w:r w:rsidRPr="00452E2E">
        <w:rPr>
          <w:i/>
        </w:rPr>
        <w:t xml:space="preserve">m </w:t>
      </w:r>
      <w:r w:rsidRPr="00452E2E">
        <w:t>= .003)</w:t>
      </w:r>
      <w:r w:rsidRPr="00452E2E">
        <w:rPr>
          <w:rFonts w:cs="StoneSerifStd-Medium"/>
          <w:szCs w:val="24"/>
        </w:rPr>
        <w:t xml:space="preserve"> since the confidence intervals for the latter contained zero. Accordingly, hypothesis 6</w:t>
      </w:r>
      <w:r w:rsidRPr="00452E2E">
        <w:rPr>
          <w:rFonts w:cs="StoneSerifStd-Medium"/>
          <w:i/>
          <w:szCs w:val="24"/>
        </w:rPr>
        <w:t>b</w:t>
      </w:r>
      <w:r w:rsidRPr="00452E2E">
        <w:rPr>
          <w:rFonts w:cs="StoneSerifStd-Medium"/>
          <w:szCs w:val="24"/>
        </w:rPr>
        <w:t xml:space="preserve"> is partially supported since the significant mediation effect was not for all the HR practices. As for the mediation effect of commitment-focused HR attribution on the relationship between HR practices and normative commitment, results indicate that this relationship was non-significant for all the HR practices: training </w:t>
      </w:r>
      <w:r w:rsidRPr="00452E2E">
        <w:t>(</w:t>
      </w:r>
      <w:r w:rsidRPr="00452E2E">
        <w:rPr>
          <w:i/>
        </w:rPr>
        <w:t>ab</w:t>
      </w:r>
      <w:r w:rsidR="008000E6" w:rsidRPr="00452E2E">
        <w:rPr>
          <w:i/>
        </w:rPr>
        <w:t xml:space="preserve"> </w:t>
      </w:r>
      <w:r w:rsidRPr="00452E2E">
        <w:t>=</w:t>
      </w:r>
      <w:r w:rsidR="008000E6" w:rsidRPr="00452E2E">
        <w:t xml:space="preserve"> </w:t>
      </w:r>
      <w:r w:rsidRPr="00452E2E">
        <w:t>.000, CI = -.005 to .004; P</w:t>
      </w:r>
      <w:r w:rsidRPr="00452E2E">
        <w:rPr>
          <w:i/>
        </w:rPr>
        <w:t xml:space="preserve">m </w:t>
      </w:r>
      <w:r w:rsidRPr="00452E2E">
        <w:t>= .000), employee benefits (</w:t>
      </w:r>
      <w:r w:rsidRPr="00452E2E">
        <w:rPr>
          <w:i/>
        </w:rPr>
        <w:t>ab</w:t>
      </w:r>
      <w:r w:rsidR="008000E6" w:rsidRPr="00452E2E">
        <w:rPr>
          <w:i/>
        </w:rPr>
        <w:t xml:space="preserve"> </w:t>
      </w:r>
      <w:r w:rsidRPr="00452E2E">
        <w:t>=</w:t>
      </w:r>
      <w:r w:rsidR="008000E6" w:rsidRPr="00452E2E">
        <w:t xml:space="preserve"> </w:t>
      </w:r>
      <w:r w:rsidRPr="00452E2E">
        <w:t>.000, CI = -.005 to .007; P</w:t>
      </w:r>
      <w:r w:rsidRPr="00452E2E">
        <w:rPr>
          <w:i/>
        </w:rPr>
        <w:t xml:space="preserve">m </w:t>
      </w:r>
      <w:r w:rsidRPr="00452E2E">
        <w:t>= .000) and employee participation (</w:t>
      </w:r>
      <w:r w:rsidRPr="00452E2E">
        <w:rPr>
          <w:i/>
        </w:rPr>
        <w:t>ab</w:t>
      </w:r>
      <w:r w:rsidR="008000E6" w:rsidRPr="00452E2E">
        <w:rPr>
          <w:i/>
        </w:rPr>
        <w:t xml:space="preserve"> </w:t>
      </w:r>
      <w:r w:rsidRPr="00452E2E">
        <w:t>=</w:t>
      </w:r>
      <w:r w:rsidR="008000E6" w:rsidRPr="00452E2E">
        <w:t xml:space="preserve"> </w:t>
      </w:r>
      <w:r w:rsidRPr="00452E2E">
        <w:t>.000, CI = -.022 to .023; P</w:t>
      </w:r>
      <w:r w:rsidRPr="00452E2E">
        <w:rPr>
          <w:i/>
        </w:rPr>
        <w:t xml:space="preserve">m </w:t>
      </w:r>
      <w:r w:rsidRPr="00452E2E">
        <w:t>= .002). Therefore, hypothesis 16</w:t>
      </w:r>
      <w:r w:rsidRPr="00452E2E">
        <w:rPr>
          <w:i/>
        </w:rPr>
        <w:t>b</w:t>
      </w:r>
      <w:r w:rsidRPr="00452E2E">
        <w:t xml:space="preserve"> is not supported. </w:t>
      </w:r>
    </w:p>
    <w:p w:rsidR="00D03A8E" w:rsidRPr="00452E2E" w:rsidRDefault="00D03A8E" w:rsidP="00A53742">
      <w:pPr>
        <w:spacing w:line="360" w:lineRule="auto"/>
        <w:jc w:val="both"/>
      </w:pPr>
      <w:r w:rsidRPr="00452E2E">
        <w:t>Similar results were obtained on the mediation effect of control-focused HR attribution on the relationship between HR practices and normative commitment: training (</w:t>
      </w:r>
      <w:r w:rsidRPr="00452E2E">
        <w:rPr>
          <w:i/>
        </w:rPr>
        <w:t>ab</w:t>
      </w:r>
      <w:r w:rsidR="001B4C27" w:rsidRPr="00452E2E">
        <w:rPr>
          <w:i/>
        </w:rPr>
        <w:t xml:space="preserve"> </w:t>
      </w:r>
      <w:r w:rsidRPr="00452E2E">
        <w:t>= -.005, CI = -.021 to .004; P</w:t>
      </w:r>
      <w:r w:rsidRPr="00452E2E">
        <w:rPr>
          <w:i/>
        </w:rPr>
        <w:t xml:space="preserve">m </w:t>
      </w:r>
      <w:r w:rsidRPr="00452E2E">
        <w:t>= -.055), employee benefits (</w:t>
      </w:r>
      <w:r w:rsidRPr="00452E2E">
        <w:rPr>
          <w:i/>
        </w:rPr>
        <w:t>ab</w:t>
      </w:r>
      <w:r w:rsidR="001B4C27" w:rsidRPr="00452E2E">
        <w:rPr>
          <w:i/>
        </w:rPr>
        <w:t xml:space="preserve"> </w:t>
      </w:r>
      <w:r w:rsidRPr="00452E2E">
        <w:t>=</w:t>
      </w:r>
      <w:r w:rsidR="001B4C27" w:rsidRPr="00452E2E">
        <w:t xml:space="preserve"> </w:t>
      </w:r>
      <w:r w:rsidRPr="00452E2E">
        <w:t>.003, CI = -.005 to .021; P</w:t>
      </w:r>
      <w:r w:rsidRPr="00452E2E">
        <w:rPr>
          <w:i/>
        </w:rPr>
        <w:t xml:space="preserve">m </w:t>
      </w:r>
      <w:r w:rsidRPr="00452E2E">
        <w:t>= .021) and employee participation (</w:t>
      </w:r>
      <w:r w:rsidRPr="00452E2E">
        <w:rPr>
          <w:i/>
        </w:rPr>
        <w:t>ab</w:t>
      </w:r>
      <w:r w:rsidR="001B4C27" w:rsidRPr="00452E2E">
        <w:rPr>
          <w:i/>
        </w:rPr>
        <w:t xml:space="preserve"> </w:t>
      </w:r>
      <w:r w:rsidRPr="00452E2E">
        <w:t xml:space="preserve">= -.001, CI = -.030 to </w:t>
      </w:r>
      <w:r w:rsidRPr="00452E2E">
        <w:lastRenderedPageBreak/>
        <w:t>.007; P</w:t>
      </w:r>
      <w:r w:rsidRPr="00452E2E">
        <w:rPr>
          <w:i/>
        </w:rPr>
        <w:t xml:space="preserve">m </w:t>
      </w:r>
      <w:r w:rsidRPr="00452E2E">
        <w:t>= -.074)</w:t>
      </w:r>
      <w:r w:rsidR="003052E4" w:rsidRPr="00452E2E">
        <w:t>;</w:t>
      </w:r>
      <w:r w:rsidRPr="00452E2E">
        <w:t xml:space="preserve"> thus</w:t>
      </w:r>
      <w:r w:rsidR="003052E4" w:rsidRPr="00452E2E">
        <w:t>,</w:t>
      </w:r>
      <w:r w:rsidRPr="00452E2E">
        <w:t xml:space="preserve"> hypothesis 18</w:t>
      </w:r>
      <w:r w:rsidRPr="00452E2E">
        <w:rPr>
          <w:i/>
        </w:rPr>
        <w:t>b</w:t>
      </w:r>
      <w:r w:rsidR="003052E4" w:rsidRPr="00452E2E">
        <w:rPr>
          <w:i/>
        </w:rPr>
        <w:t xml:space="preserve"> </w:t>
      </w:r>
      <w:r w:rsidR="003052E4" w:rsidRPr="00452E2E">
        <w:t>is not supported</w:t>
      </w:r>
      <w:r w:rsidRPr="00452E2E">
        <w:t>. In terms of the mediation effect of union compliance HR attribution on the relationship between HR practices and normative commitment, results indicate that the relationship was non-significant for all the HR practices: training (</w:t>
      </w:r>
      <w:r w:rsidRPr="00452E2E">
        <w:rPr>
          <w:i/>
        </w:rPr>
        <w:t>ab</w:t>
      </w:r>
      <w:r w:rsidR="001B4C27" w:rsidRPr="00452E2E">
        <w:rPr>
          <w:i/>
        </w:rPr>
        <w:t xml:space="preserve"> </w:t>
      </w:r>
      <w:r w:rsidRPr="00452E2E">
        <w:t>=</w:t>
      </w:r>
      <w:r w:rsidR="001B4C27" w:rsidRPr="00452E2E">
        <w:t xml:space="preserve"> </w:t>
      </w:r>
      <w:r w:rsidRPr="00452E2E">
        <w:t>.002, CI = .003 to -.001; P</w:t>
      </w:r>
      <w:r w:rsidRPr="00452E2E">
        <w:rPr>
          <w:i/>
        </w:rPr>
        <w:t xml:space="preserve">m </w:t>
      </w:r>
      <w:r w:rsidRPr="00452E2E">
        <w:t>= .016), employee benefits (</w:t>
      </w:r>
      <w:r w:rsidRPr="00452E2E">
        <w:rPr>
          <w:i/>
        </w:rPr>
        <w:t>ab</w:t>
      </w:r>
      <w:r w:rsidR="001B4C27" w:rsidRPr="00452E2E">
        <w:rPr>
          <w:i/>
        </w:rPr>
        <w:t xml:space="preserve"> </w:t>
      </w:r>
      <w:r w:rsidRPr="00452E2E">
        <w:t>= -.006, CI = -.026 to .001; P</w:t>
      </w:r>
      <w:r w:rsidRPr="00452E2E">
        <w:rPr>
          <w:i/>
        </w:rPr>
        <w:t xml:space="preserve">m </w:t>
      </w:r>
      <w:r w:rsidRPr="00452E2E">
        <w:t>= -.037) and employee participation (</w:t>
      </w:r>
      <w:r w:rsidRPr="00452E2E">
        <w:rPr>
          <w:i/>
        </w:rPr>
        <w:t>ab</w:t>
      </w:r>
      <w:r w:rsidR="001B4C27" w:rsidRPr="00452E2E">
        <w:rPr>
          <w:i/>
        </w:rPr>
        <w:t xml:space="preserve"> </w:t>
      </w:r>
      <w:r w:rsidRPr="00452E2E">
        <w:t>=</w:t>
      </w:r>
      <w:r w:rsidR="001B4C27" w:rsidRPr="00452E2E">
        <w:t xml:space="preserve"> </w:t>
      </w:r>
      <w:r w:rsidRPr="00452E2E">
        <w:t>.000, CI = -.009 to .008; P</w:t>
      </w:r>
      <w:r w:rsidRPr="00452E2E">
        <w:rPr>
          <w:i/>
        </w:rPr>
        <w:t xml:space="preserve">m </w:t>
      </w:r>
      <w:r w:rsidRPr="00452E2E">
        <w:t>= -.000). Consequently, hypothesis 20</w:t>
      </w:r>
      <w:r w:rsidRPr="00452E2E">
        <w:rPr>
          <w:i/>
        </w:rPr>
        <w:t>b</w:t>
      </w:r>
      <w:r w:rsidR="00112496" w:rsidRPr="00452E2E">
        <w:t xml:space="preserve"> is not supported.</w:t>
      </w:r>
    </w:p>
    <w:p w:rsidR="00D03A8E" w:rsidRPr="00452E2E" w:rsidRDefault="00B21171" w:rsidP="00D03A8E">
      <w:pPr>
        <w:pStyle w:val="Caption"/>
        <w:rPr>
          <w:b w:val="0"/>
        </w:rPr>
      </w:pPr>
      <w:bookmarkStart w:id="186" w:name="_Toc465419875"/>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16</w:t>
      </w:r>
      <w:r w:rsidR="00B26571">
        <w:rPr>
          <w:noProof/>
        </w:rPr>
        <w:fldChar w:fldCharType="end"/>
      </w:r>
      <w:r w:rsidR="00D03A8E" w:rsidRPr="00452E2E">
        <w:t>: Mediation Effect of Procedural Justice, Commitment-focused HR Attribution, Control-focused HR Attribution and Union Compliance HR Attribution on the Relationship between HR Practices and Normative Commitment</w:t>
      </w:r>
      <w:bookmarkEnd w:id="186"/>
    </w:p>
    <w:tbl>
      <w:tblPr>
        <w:tblStyle w:val="TableGrid"/>
        <w:tblW w:w="0" w:type="auto"/>
        <w:shd w:val="clear" w:color="auto" w:fill="FFFFFF" w:themeFill="background1"/>
        <w:tblLook w:val="04A0" w:firstRow="1" w:lastRow="0" w:firstColumn="1" w:lastColumn="0" w:noHBand="0" w:noVBand="1"/>
      </w:tblPr>
      <w:tblGrid>
        <w:gridCol w:w="2830"/>
        <w:gridCol w:w="1235"/>
        <w:gridCol w:w="828"/>
        <w:gridCol w:w="1086"/>
        <w:gridCol w:w="1086"/>
        <w:gridCol w:w="1264"/>
      </w:tblGrid>
      <w:tr w:rsidR="00452E2E" w:rsidRPr="00452E2E" w:rsidTr="003123B8">
        <w:tc>
          <w:tcPr>
            <w:tcW w:w="283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1235"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828"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1086"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1086"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c>
          <w:tcPr>
            <w:tcW w:w="1264"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Proportion of Mediation</w:t>
            </w:r>
          </w:p>
        </w:tc>
      </w:tr>
      <w:tr w:rsidR="00452E2E" w:rsidRPr="00452E2E" w:rsidTr="003123B8">
        <w:tc>
          <w:tcPr>
            <w:tcW w:w="2830"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1235"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.068</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.025</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.030</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.126</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.702</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.042</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.010</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.088</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.263</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.052</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 xml:space="preserve">Commitment-focused </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-.055</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.021</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-.030</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-.074</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 xml:space="preserve">Union Compliance </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.016</w:t>
            </w:r>
          </w:p>
        </w:tc>
      </w:tr>
      <w:tr w:rsidR="00452E2E" w:rsidRPr="00452E2E" w:rsidTr="003123B8">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-.037</w:t>
            </w:r>
          </w:p>
        </w:tc>
      </w:tr>
      <w:tr w:rsidR="00452E2E" w:rsidRPr="00452E2E" w:rsidTr="003123B8">
        <w:tc>
          <w:tcPr>
            <w:tcW w:w="283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8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108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126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r>
    </w:tbl>
    <w:p w:rsidR="00D03A8E" w:rsidRPr="00452E2E" w:rsidRDefault="00D03A8E" w:rsidP="00D03A8E">
      <w:pPr>
        <w:rPr>
          <w:sz w:val="16"/>
          <w:szCs w:val="16"/>
        </w:rPr>
      </w:pPr>
      <w:r w:rsidRPr="00452E2E">
        <w:rPr>
          <w:sz w:val="16"/>
          <w:szCs w:val="16"/>
        </w:rPr>
        <w:t>Notes: N = 521; Outcome variable is Normative commitment.</w:t>
      </w:r>
    </w:p>
    <w:p w:rsidR="00D03A8E" w:rsidRPr="00452E2E" w:rsidRDefault="00D03A8E" w:rsidP="00D03A8E">
      <w:pPr>
        <w:rPr>
          <w:sz w:val="16"/>
          <w:szCs w:val="16"/>
        </w:rPr>
      </w:pPr>
    </w:p>
    <w:p w:rsidR="00D03A8E" w:rsidRPr="00452E2E" w:rsidRDefault="00D03A8E" w:rsidP="00D03A8E">
      <w:pPr>
        <w:spacing w:line="360" w:lineRule="auto"/>
        <w:jc w:val="both"/>
        <w:rPr>
          <w:i/>
        </w:rPr>
      </w:pPr>
      <w:r w:rsidRPr="00452E2E">
        <w:rPr>
          <w:i/>
        </w:rPr>
        <w:t>Effect</w:t>
      </w:r>
      <w:r w:rsidR="00B43E89" w:rsidRPr="00452E2E">
        <w:rPr>
          <w:i/>
        </w:rPr>
        <w:t>s</w:t>
      </w:r>
      <w:r w:rsidRPr="00452E2E">
        <w:rPr>
          <w:i/>
        </w:rPr>
        <w:t xml:space="preserve"> of Mediating Variables on HR Practices-Continuance Commitment Relationship</w:t>
      </w:r>
    </w:p>
    <w:p w:rsidR="00D03A8E" w:rsidRPr="00452E2E" w:rsidRDefault="00D03A8E" w:rsidP="00D03A8E">
      <w:pPr>
        <w:spacing w:line="360" w:lineRule="auto"/>
        <w:jc w:val="both"/>
      </w:pPr>
      <w:r w:rsidRPr="00452E2E">
        <w:t>The effect of each of the mediating variables on the relationship between HR practices and continuance commitment was examined with results presented in table 7.17</w:t>
      </w:r>
      <w:r w:rsidR="00652FCC" w:rsidRPr="00452E2E">
        <w:t xml:space="preserve"> </w:t>
      </w:r>
      <w:r w:rsidR="00FE01A8" w:rsidRPr="00452E2E">
        <w:t>below</w:t>
      </w:r>
      <w:r w:rsidR="00653C2E" w:rsidRPr="00452E2E">
        <w:t>. Results of</w:t>
      </w:r>
      <w:r w:rsidRPr="00452E2E">
        <w:t xml:space="preserve"> the mediation effect of procedural justice on </w:t>
      </w:r>
      <w:r w:rsidRPr="00452E2E">
        <w:lastRenderedPageBreak/>
        <w:t>continuance commitment was examined with results indicating a significant mediation effect for training (</w:t>
      </w:r>
      <w:r w:rsidRPr="00452E2E">
        <w:rPr>
          <w:i/>
        </w:rPr>
        <w:t>ab</w:t>
      </w:r>
      <w:r w:rsidR="001B4C27" w:rsidRPr="00452E2E">
        <w:rPr>
          <w:i/>
        </w:rPr>
        <w:t xml:space="preserve"> </w:t>
      </w:r>
      <w:r w:rsidRPr="00452E2E">
        <w:t>= -.029, CI = -.066 to -.009; P</w:t>
      </w:r>
      <w:r w:rsidRPr="00452E2E">
        <w:rPr>
          <w:i/>
        </w:rPr>
        <w:t xml:space="preserve">m </w:t>
      </w:r>
      <w:r w:rsidRPr="00452E2E">
        <w:t>= .221) and employee benefits (</w:t>
      </w:r>
      <w:r w:rsidRPr="00452E2E">
        <w:rPr>
          <w:i/>
        </w:rPr>
        <w:t>ab</w:t>
      </w:r>
      <w:r w:rsidR="001B4C27" w:rsidRPr="00452E2E">
        <w:rPr>
          <w:i/>
        </w:rPr>
        <w:t xml:space="preserve"> </w:t>
      </w:r>
      <w:r w:rsidRPr="00452E2E">
        <w:t>= -.018, CI = -.045 to -.003; P</w:t>
      </w:r>
      <w:r w:rsidRPr="00452E2E">
        <w:rPr>
          <w:i/>
        </w:rPr>
        <w:t xml:space="preserve">m </w:t>
      </w:r>
      <w:r w:rsidRPr="00452E2E">
        <w:t xml:space="preserve">= .137) with the confidence intervals without zero. This effect was negative (training: </w:t>
      </w:r>
      <w:r w:rsidRPr="00452E2E">
        <w:rPr>
          <w:i/>
        </w:rPr>
        <w:t>ab</w:t>
      </w:r>
      <w:r w:rsidRPr="00452E2E">
        <w:t xml:space="preserve"> = -.029; employee benefits: </w:t>
      </w:r>
      <w:r w:rsidRPr="00452E2E">
        <w:rPr>
          <w:i/>
        </w:rPr>
        <w:t>ab</w:t>
      </w:r>
      <w:r w:rsidRPr="00452E2E">
        <w:t xml:space="preserve"> = -.018) which further highlights the existence of social exchange rather than economic exchange relationship </w:t>
      </w:r>
      <w:r w:rsidRPr="00452E2E">
        <w:fldChar w:fldCharType="begin" w:fldLock="1"/>
      </w:r>
      <w:r w:rsidRPr="00452E2E">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"id" : "ITEM-2", "itemData" : { "DOI" : "10.1037//0021-9010.87.4.698", "ISBN" : "0021-9010", "ISSN" : "0021-9010", "PMID" : "12130443", "author" : [ { "dropping-particle" : "", "family" : "Rhoades", "given" : "Linda", "non-dropping-particle" : "", "parse-names" : false, "suffix" : "" }, { "dropping-particle" : "", "family" : "Eisenberger", "given" : "Robert", "non-dropping-particle" : "", "parse-names" : false, "suffix" : "" } ], "container-title" : "Journal of Applied Psychology", "id" : "ITEM-2", "issue" : "4", "issued" : { "date-parts" : [ [ "2002" ] ] }, "page" : "698-714", "title" : "Perceived organizational support: A review of the literature", "type" : "article-journal", "volume" : "87" }, "uris" : [ "http://www.mendeley.com/documents/?uuid=05fa9f60-bc12-4704-b3af-d9801fb50251" ] } ], "mendeley" : { "formattedCitation" : "(Blau 1964; Rhoades &amp; Eisenberger 2002)", "manualFormatting" : "(Blau, 1964; Rhoades &amp; Eisenberger, 2002)", "plainTextFormattedCitation" : "(Blau 1964; Rhoades &amp; Eisenberger 2002)", "previouslyFormattedCitation" : "(Blau 1964; Rhoades &amp; Eisenberger 2002)" }, "properties" : { "noteIndex" : 0 }, "schema" : "https://github.com/citation-style-language/schema/raw/master/csl-citation.json" }</w:instrText>
      </w:r>
      <w:r w:rsidRPr="00452E2E">
        <w:fldChar w:fldCharType="separate"/>
      </w:r>
      <w:r w:rsidRPr="00452E2E">
        <w:rPr>
          <w:noProof/>
        </w:rPr>
        <w:t>(Blau, 1964; Rhoades &amp; Eisenberger, 2002)</w:t>
      </w:r>
      <w:r w:rsidRPr="00452E2E">
        <w:fldChar w:fldCharType="end"/>
      </w:r>
      <w:r w:rsidRPr="00452E2E">
        <w:t xml:space="preserve"> between employees and their organizations in the context of Nigeria. Nevertheless, there was a significant mediation effect as expected whilst the mediation effect for employee participation was non-significant (</w:t>
      </w:r>
      <w:r w:rsidRPr="00452E2E">
        <w:rPr>
          <w:i/>
        </w:rPr>
        <w:t>ab</w:t>
      </w:r>
      <w:r w:rsidR="001B4C27" w:rsidRPr="00452E2E">
        <w:rPr>
          <w:i/>
        </w:rPr>
        <w:t xml:space="preserve"> </w:t>
      </w:r>
      <w:r w:rsidRPr="00452E2E">
        <w:t>= -.002, CI = -.024 to .013; P</w:t>
      </w:r>
      <w:r w:rsidRPr="00452E2E">
        <w:rPr>
          <w:i/>
        </w:rPr>
        <w:t xml:space="preserve">m </w:t>
      </w:r>
      <w:r w:rsidRPr="00452E2E">
        <w:t>= -.092). On this basis, hypothesis 6</w:t>
      </w:r>
      <w:r w:rsidRPr="00452E2E">
        <w:rPr>
          <w:i/>
        </w:rPr>
        <w:t>c</w:t>
      </w:r>
      <w:r w:rsidRPr="00452E2E">
        <w:t xml:space="preserve"> is partially supported. </w:t>
      </w:r>
    </w:p>
    <w:p w:rsidR="00D03A8E" w:rsidRPr="00452E2E" w:rsidRDefault="00B21171" w:rsidP="00D03A8E">
      <w:pPr>
        <w:pStyle w:val="Caption"/>
        <w:rPr>
          <w:b w:val="0"/>
        </w:rPr>
      </w:pPr>
      <w:bookmarkStart w:id="187" w:name="_Toc465419876"/>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17</w:t>
      </w:r>
      <w:r w:rsidR="00B26571">
        <w:rPr>
          <w:noProof/>
        </w:rPr>
        <w:fldChar w:fldCharType="end"/>
      </w:r>
      <w:r w:rsidR="00D03A8E" w:rsidRPr="00452E2E">
        <w:t>: Mediation Effect of Procedural Justice, Commitment-focused HR Attribution, Control-focused HR Attribution and Union Compliance HR Attribution on the Relationship between HR Practices and Continuance Commitment</w:t>
      </w:r>
      <w:bookmarkEnd w:id="187"/>
    </w:p>
    <w:tbl>
      <w:tblPr>
        <w:tblStyle w:val="TableGrid"/>
        <w:tblW w:w="0" w:type="auto"/>
        <w:shd w:val="clear" w:color="auto" w:fill="FFFFFF" w:themeFill="background1"/>
        <w:tblLook w:val="04A0" w:firstRow="1" w:lastRow="0" w:firstColumn="1" w:lastColumn="0" w:noHBand="0" w:noVBand="1"/>
      </w:tblPr>
      <w:tblGrid>
        <w:gridCol w:w="2830"/>
        <w:gridCol w:w="1235"/>
        <w:gridCol w:w="828"/>
        <w:gridCol w:w="1086"/>
        <w:gridCol w:w="1086"/>
        <w:gridCol w:w="1264"/>
      </w:tblGrid>
      <w:tr w:rsidR="00452E2E" w:rsidRPr="00452E2E" w:rsidTr="00F26027">
        <w:tc>
          <w:tcPr>
            <w:tcW w:w="2830"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1235"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828"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1086"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1086"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c>
          <w:tcPr>
            <w:tcW w:w="1264" w:type="dxa"/>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Proportion of Mediation</w:t>
            </w:r>
          </w:p>
        </w:tc>
      </w:tr>
      <w:tr w:rsidR="00452E2E" w:rsidRPr="00452E2E" w:rsidTr="00F26027">
        <w:tc>
          <w:tcPr>
            <w:tcW w:w="2830"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1235"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-.029</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-.066</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.221</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-.045</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.137</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-.092</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 xml:space="preserve">Commitment-focused </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.006</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-.029</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.023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-.103</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.019</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.015</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-.131</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 xml:space="preserve">Union Compliance </w:t>
            </w:r>
          </w:p>
          <w:p w:rsidR="00D03A8E" w:rsidRPr="00452E2E" w:rsidRDefault="00D03A8E" w:rsidP="00B57950">
            <w:pPr>
              <w:jc w:val="both"/>
              <w:rPr>
                <w:sz w:val="18"/>
                <w:szCs w:val="18"/>
              </w:rPr>
            </w:pPr>
            <w:r w:rsidRPr="00452E2E">
              <w:rPr>
                <w:b/>
                <w:sz w:val="18"/>
                <w:szCs w:val="18"/>
              </w:rPr>
              <w:t>HR Attribution</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i/>
                <w:sz w:val="18"/>
                <w:szCs w:val="18"/>
              </w:rPr>
            </w:pPr>
          </w:p>
          <w:p w:rsidR="00D03A8E" w:rsidRPr="00452E2E" w:rsidRDefault="00D03A8E" w:rsidP="00B57950">
            <w:pPr>
              <w:jc w:val="both"/>
              <w:rPr>
                <w:b/>
                <w:i/>
                <w:sz w:val="18"/>
                <w:szCs w:val="18"/>
              </w:rPr>
            </w:pPr>
            <w:r w:rsidRPr="00452E2E">
              <w:rPr>
                <w:b/>
                <w:i/>
                <w:sz w:val="18"/>
                <w:szCs w:val="18"/>
              </w:rPr>
              <w:t>HR Practices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Training</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.017</w:t>
            </w:r>
          </w:p>
        </w:tc>
      </w:tr>
      <w:tr w:rsidR="00452E2E" w:rsidRPr="00452E2E" w:rsidTr="00F26027">
        <w:tc>
          <w:tcPr>
            <w:tcW w:w="28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Benefits</w:t>
            </w:r>
          </w:p>
        </w:tc>
        <w:tc>
          <w:tcPr>
            <w:tcW w:w="1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.008</w:t>
            </w:r>
          </w:p>
        </w:tc>
        <w:tc>
          <w:tcPr>
            <w:tcW w:w="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1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.027</w:t>
            </w:r>
          </w:p>
        </w:tc>
        <w:tc>
          <w:tcPr>
            <w:tcW w:w="1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-.063</w:t>
            </w:r>
          </w:p>
        </w:tc>
      </w:tr>
      <w:tr w:rsidR="00452E2E" w:rsidRPr="00452E2E" w:rsidTr="00F26027">
        <w:tc>
          <w:tcPr>
            <w:tcW w:w="2830"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Employee Participation</w:t>
            </w:r>
          </w:p>
        </w:tc>
        <w:tc>
          <w:tcPr>
            <w:tcW w:w="1235"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828"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108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1086"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1264" w:type="dxa"/>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r>
    </w:tbl>
    <w:p w:rsidR="00D03A8E" w:rsidRPr="00452E2E" w:rsidRDefault="00D03A8E" w:rsidP="00D03A8E">
      <w:pPr>
        <w:rPr>
          <w:sz w:val="16"/>
          <w:szCs w:val="16"/>
        </w:rPr>
      </w:pPr>
      <w:r w:rsidRPr="00452E2E">
        <w:rPr>
          <w:sz w:val="16"/>
          <w:szCs w:val="16"/>
        </w:rPr>
        <w:t>Notes: N = 521; Outcome variable is Continuance commitment.</w:t>
      </w:r>
    </w:p>
    <w:p w:rsidR="00D03A8E" w:rsidRPr="00452E2E" w:rsidRDefault="00D03A8E" w:rsidP="00D03A8E">
      <w:pPr>
        <w:spacing w:line="360" w:lineRule="auto"/>
        <w:jc w:val="both"/>
      </w:pPr>
    </w:p>
    <w:p w:rsidR="00D03A8E" w:rsidRPr="00452E2E" w:rsidRDefault="00D03A8E" w:rsidP="00D03A8E">
      <w:pPr>
        <w:spacing w:line="360" w:lineRule="auto"/>
        <w:jc w:val="both"/>
      </w:pPr>
      <w:r w:rsidRPr="00452E2E">
        <w:t xml:space="preserve">On the mediation effect of commitment-focused HR attribution on the relationship between HR practices and continuance commitment, results indicate that there </w:t>
      </w:r>
      <w:r w:rsidRPr="00452E2E">
        <w:lastRenderedPageBreak/>
        <w:t>was a non-significant effect for all the HR practices: training (</w:t>
      </w:r>
      <w:r w:rsidRPr="00452E2E">
        <w:rPr>
          <w:i/>
        </w:rPr>
        <w:t>ab</w:t>
      </w:r>
      <w:r w:rsidR="001B4C27" w:rsidRPr="00452E2E">
        <w:rPr>
          <w:i/>
        </w:rPr>
        <w:t xml:space="preserve"> </w:t>
      </w:r>
      <w:r w:rsidRPr="00452E2E">
        <w:t>=</w:t>
      </w:r>
      <w:r w:rsidR="001B4C27" w:rsidRPr="00452E2E">
        <w:t xml:space="preserve"> </w:t>
      </w:r>
      <w:r w:rsidRPr="00452E2E">
        <w:t>.000, CI = -.003 to .006; P</w:t>
      </w:r>
      <w:r w:rsidRPr="00452E2E">
        <w:rPr>
          <w:i/>
        </w:rPr>
        <w:t xml:space="preserve">m </w:t>
      </w:r>
      <w:r w:rsidRPr="00452E2E">
        <w:t>= -.000), employee benefits (</w:t>
      </w:r>
      <w:r w:rsidRPr="00452E2E">
        <w:rPr>
          <w:i/>
        </w:rPr>
        <w:t>ab</w:t>
      </w:r>
      <w:r w:rsidR="001B4C27" w:rsidRPr="00452E2E">
        <w:rPr>
          <w:i/>
        </w:rPr>
        <w:t xml:space="preserve"> </w:t>
      </w:r>
      <w:r w:rsidRPr="00452E2E">
        <w:t>= -.000, CI = -.008 to .003; P</w:t>
      </w:r>
      <w:r w:rsidRPr="00452E2E">
        <w:rPr>
          <w:i/>
        </w:rPr>
        <w:t xml:space="preserve">m </w:t>
      </w:r>
      <w:r w:rsidRPr="00452E2E">
        <w:t>= .002) and employee participation (</w:t>
      </w:r>
      <w:r w:rsidRPr="00452E2E">
        <w:rPr>
          <w:i/>
        </w:rPr>
        <w:t>ab</w:t>
      </w:r>
      <w:r w:rsidR="001B4C27" w:rsidRPr="00452E2E">
        <w:rPr>
          <w:i/>
        </w:rPr>
        <w:t xml:space="preserve"> </w:t>
      </w:r>
      <w:r w:rsidRPr="00452E2E">
        <w:t>= -.002, CI = -.029 to .023; P</w:t>
      </w:r>
      <w:r w:rsidRPr="00452E2E">
        <w:rPr>
          <w:i/>
        </w:rPr>
        <w:t xml:space="preserve">m </w:t>
      </w:r>
      <w:r w:rsidRPr="00452E2E">
        <w:t>= -.103). This means that hypothesis 16</w:t>
      </w:r>
      <w:r w:rsidRPr="00452E2E">
        <w:rPr>
          <w:i/>
        </w:rPr>
        <w:t>c</w:t>
      </w:r>
      <w:r w:rsidRPr="00452E2E">
        <w:t xml:space="preserve"> is not supported. Similar findings were obtained for the mediation effect of control-focused HR attribution on the relationship between HR practices and continuance commitment. Specifically, mediation effect was not significant for training (</w:t>
      </w:r>
      <w:r w:rsidRPr="00452E2E">
        <w:rPr>
          <w:i/>
        </w:rPr>
        <w:t>ab</w:t>
      </w:r>
      <w:r w:rsidR="001B4C27" w:rsidRPr="00452E2E">
        <w:rPr>
          <w:i/>
        </w:rPr>
        <w:t xml:space="preserve"> </w:t>
      </w:r>
      <w:r w:rsidRPr="00452E2E">
        <w:t>= -.002, CI = -.014 to .002; P</w:t>
      </w:r>
      <w:r w:rsidRPr="00452E2E">
        <w:rPr>
          <w:i/>
        </w:rPr>
        <w:t xml:space="preserve">m </w:t>
      </w:r>
      <w:r w:rsidRPr="00452E2E">
        <w:t>= .019), employee benefits (</w:t>
      </w:r>
      <w:r w:rsidRPr="00452E2E">
        <w:rPr>
          <w:i/>
        </w:rPr>
        <w:t>ab</w:t>
      </w:r>
      <w:r w:rsidR="001B4C27" w:rsidRPr="00452E2E">
        <w:rPr>
          <w:i/>
        </w:rPr>
        <w:t xml:space="preserve"> </w:t>
      </w:r>
      <w:r w:rsidRPr="00452E2E">
        <w:t>=</w:t>
      </w:r>
      <w:r w:rsidR="001B4C27" w:rsidRPr="00452E2E">
        <w:t xml:space="preserve"> </w:t>
      </w:r>
      <w:r w:rsidRPr="00452E2E">
        <w:t>.001, CI = -.002 to .015; P</w:t>
      </w:r>
      <w:r w:rsidRPr="00452E2E">
        <w:rPr>
          <w:i/>
        </w:rPr>
        <w:t xml:space="preserve">m </w:t>
      </w:r>
      <w:r w:rsidRPr="00452E2E">
        <w:t>= -.011) and employee participation (</w:t>
      </w:r>
      <w:r w:rsidRPr="00452E2E">
        <w:rPr>
          <w:i/>
        </w:rPr>
        <w:t>ab</w:t>
      </w:r>
      <w:r w:rsidR="001B4C27" w:rsidRPr="00452E2E">
        <w:rPr>
          <w:i/>
        </w:rPr>
        <w:t xml:space="preserve"> </w:t>
      </w:r>
      <w:r w:rsidRPr="00452E2E">
        <w:t>= -.003, CI = -.023 to .003; P</w:t>
      </w:r>
      <w:r w:rsidRPr="00452E2E">
        <w:rPr>
          <w:i/>
        </w:rPr>
        <w:t xml:space="preserve">m </w:t>
      </w:r>
      <w:r w:rsidRPr="00452E2E">
        <w:t>= -.131) since the confidence intervals were not without zero. Accordingly, hypothesis 18</w:t>
      </w:r>
      <w:r w:rsidRPr="00452E2E">
        <w:rPr>
          <w:i/>
        </w:rPr>
        <w:t>c</w:t>
      </w:r>
      <w:r w:rsidRPr="00452E2E">
        <w:t xml:space="preserve"> is not supported. Similarly, the mediation effect of union compliance HR attribution on the relationship between HR practices and continuance commitment was non-significant for all the HR practices: training (</w:t>
      </w:r>
      <w:r w:rsidRPr="00452E2E">
        <w:rPr>
          <w:i/>
        </w:rPr>
        <w:t>ab</w:t>
      </w:r>
      <w:r w:rsidR="001B4C27" w:rsidRPr="00452E2E">
        <w:rPr>
          <w:i/>
        </w:rPr>
        <w:t xml:space="preserve"> </w:t>
      </w:r>
      <w:r w:rsidRPr="00452E2E">
        <w:t>= -.002, CI = -.012 to .002; P</w:t>
      </w:r>
      <w:r w:rsidRPr="00452E2E">
        <w:rPr>
          <w:i/>
        </w:rPr>
        <w:t xml:space="preserve">m </w:t>
      </w:r>
      <w:r w:rsidRPr="00452E2E">
        <w:t>= .017), employee benefits (</w:t>
      </w:r>
      <w:r w:rsidRPr="00452E2E">
        <w:rPr>
          <w:i/>
        </w:rPr>
        <w:t>ab</w:t>
      </w:r>
      <w:r w:rsidR="001B4C27" w:rsidRPr="00452E2E">
        <w:rPr>
          <w:i/>
        </w:rPr>
        <w:t xml:space="preserve"> </w:t>
      </w:r>
      <w:r w:rsidRPr="00452E2E">
        <w:t>=</w:t>
      </w:r>
      <w:r w:rsidR="001B4C27" w:rsidRPr="00452E2E">
        <w:t xml:space="preserve"> </w:t>
      </w:r>
      <w:r w:rsidRPr="00452E2E">
        <w:t>.008, CI = -.000 to .027; P</w:t>
      </w:r>
      <w:r w:rsidRPr="00452E2E">
        <w:rPr>
          <w:i/>
        </w:rPr>
        <w:t xml:space="preserve">m </w:t>
      </w:r>
      <w:r w:rsidRPr="00452E2E">
        <w:t>= -.063) and employee participation (</w:t>
      </w:r>
      <w:r w:rsidRPr="00452E2E">
        <w:rPr>
          <w:i/>
        </w:rPr>
        <w:t>ab</w:t>
      </w:r>
      <w:r w:rsidR="001B4C27" w:rsidRPr="00452E2E">
        <w:rPr>
          <w:i/>
        </w:rPr>
        <w:t xml:space="preserve"> </w:t>
      </w:r>
      <w:r w:rsidRPr="00452E2E">
        <w:t>=</w:t>
      </w:r>
      <w:r w:rsidR="001B4C27" w:rsidRPr="00452E2E">
        <w:t xml:space="preserve"> </w:t>
      </w:r>
      <w:r w:rsidRPr="00452E2E">
        <w:t>.000, CI = -.009 to .009; P</w:t>
      </w:r>
      <w:r w:rsidRPr="00452E2E">
        <w:rPr>
          <w:i/>
        </w:rPr>
        <w:t xml:space="preserve">m </w:t>
      </w:r>
      <w:r w:rsidRPr="00452E2E">
        <w:t>= .001) since the confidence intervals in each case contained zero. Thus, hypothesis 20</w:t>
      </w:r>
      <w:r w:rsidRPr="00452E2E">
        <w:rPr>
          <w:i/>
        </w:rPr>
        <w:t>c</w:t>
      </w:r>
      <w:r w:rsidRPr="00452E2E">
        <w:t xml:space="preserve"> is not supported.</w:t>
      </w:r>
    </w:p>
    <w:p w:rsidR="00D03A8E" w:rsidRPr="00452E2E" w:rsidRDefault="00CB47DD" w:rsidP="00D03A8E">
      <w:pPr>
        <w:spacing w:line="360" w:lineRule="auto"/>
        <w:jc w:val="both"/>
      </w:pPr>
      <w:r w:rsidRPr="00452E2E">
        <w:t>In sum</w:t>
      </w:r>
      <w:r w:rsidR="00447233" w:rsidRPr="00452E2E">
        <w:t>,</w:t>
      </w:r>
      <w:r w:rsidRPr="00452E2E">
        <w:t xml:space="preserve"> r</w:t>
      </w:r>
      <w:r w:rsidR="00D03A8E" w:rsidRPr="00452E2E">
        <w:t xml:space="preserve">esults of tests of mediation effects presented </w:t>
      </w:r>
      <w:r w:rsidR="00592ABC" w:rsidRPr="00452E2E">
        <w:t>in the preceding section</w:t>
      </w:r>
      <w:r w:rsidR="00D03A8E" w:rsidRPr="00452E2E">
        <w:t xml:space="preserve"> indicate that hypotheses 6a-c and 15 were partially supported whilst hypotheses 5, 16a-c, 17, 18a-c, 19 and 20a-c were not supported. Results of tests of moderated mediation effects are presented in the next section. </w:t>
      </w:r>
    </w:p>
    <w:p w:rsidR="00D03A8E" w:rsidRPr="00452E2E" w:rsidRDefault="00D03A8E" w:rsidP="00D03A8E">
      <w:pPr>
        <w:pStyle w:val="Heading4"/>
      </w:pPr>
      <w:bookmarkStart w:id="188" w:name="_Toc473808191"/>
      <w:r w:rsidRPr="00452E2E">
        <w:t>7.5.3 Tests of Moderated Mediation Effects</w:t>
      </w:r>
      <w:bookmarkEnd w:id="188"/>
    </w:p>
    <w:p w:rsidR="00D03A8E" w:rsidRPr="00452E2E" w:rsidRDefault="00D03A8E" w:rsidP="00D03A8E">
      <w:pPr>
        <w:spacing w:before="240" w:line="360" w:lineRule="auto"/>
        <w:jc w:val="both"/>
      </w:pPr>
      <w:r w:rsidRPr="00452E2E">
        <w:t xml:space="preserve">The analysis of moderated mediation follows a similar approach described in the section on mediation but unlike mediation, moderated mediation goes further to determine the conditions under which the effect of the independent variable on the dependent </w:t>
      </w:r>
      <w:r w:rsidR="00B23CD3" w:rsidRPr="00452E2E">
        <w:t xml:space="preserve">variable </w:t>
      </w:r>
      <w:r w:rsidRPr="00452E2E">
        <w:t xml:space="preserve">through a mediator is significant </w:t>
      </w:r>
      <w:r w:rsidRPr="00452E2E">
        <w:fldChar w:fldCharType="begin" w:fldLock="1"/>
      </w:r>
      <w:r w:rsidRPr="00452E2E">
        <w:instrText>ADDIN CSL_CITATION { "citationItems" : [ { "id" : "ITEM-1", "itemData" : { "DOI" : "10.1037/1082-989X.12.1.1", "ISBN" : "1082-989X (Print)\\r1082-989X (Linking)", "ISSN" : "1082-989X", "PMID" : "17402809", "abstract" : "Studies that combine moderation and mediation are prevalent in basic and applied psychology research. Typically, these studies are framed in terms of moderated mediation or mediated moderation, both of which involve similar analytical approaches. Unfortunately, these approaches have important shortcomings that conceal the nature of the moderated and the mediated effects under investigation. This article presents a general analytical framework for combining moderation and mediation that integrates moderated regression analysis and path analysis. This framework clarifies how moderator variables influence the paths that constitute the direct, indirect, and total effects of mediated models. The authors empirically illustrate this framework and give step-by-step instructions for estimation and interpretation. They summarize the advantages of their framework over current approaches, explain how it subsumes moderated mediation and mediated moderation, and describe how it can accommodate additional moderator and mediator variables, curvilinear relationships, and structural equation models with latent variables.", "author" : [ { "dropping-particle" : "", "family" : "Edwards", "given" : "Jeffrey R", "non-dropping-particle" : "", "parse-names" : false, "suffix" : "" }, { "dropping-particle" : "", "family" : "Lambert", "given" : "Lisa Schurer", "non-dropping-particle" : "", "parse-names" : false, "suffix" : "" } ], "container-title" : "Psychological methods", "id" : "ITEM-1", "issue" : "1", "issued" : { "date-parts" : [ [ "2007" ] ] }, "page" : "1-22", "title" : "Methods for integrating moderation and mediation: a general analytical framework using moderated path analysis.", "type" : "article-journal", "volume" : "12" }, "uris" : [ "http://www.mendeley.com/documents/?uuid=bd7316a0-20d0-4c88-ae65-96db5101e2b4" ] }, { "id" : "ITEM-2", "itemData" : { "DOI" : "10.1080/00273170701341316", "ISBN" : "0027-3171", "ISSN" : "0027-3171", "PMID" : "25552966", "abstract" : "This article provides researchers with a guide to properly construe and conduct analyses of conditional indirect effects, commonly known as moderated media- tion effects. We disentangle conflicting definitions of moderated mediation and describe approaches for estimating and testing a variety of hypotheses involving conditional indirect effects.We introduce standard errors for hypothesis testing and construction of confidence intervals in large samples but advocate that researchers use bootstrapping whenever possible. We also describe methods for probing sig- nificant conditional indirect effects by employing direct extensions of the simple slopes method and Johnson-Neyman technique for probing significant interactions. Finally, we provide an SPSS macro to facilitate the implementation of the recom- mended asymptotic and bootstrapping methods. We illustrate the application of these methods with an example drawn from the Michigan Study of Adolescent Life Transitions, showing that the indirect effect of intrinsic student interest on mathematics performance through teacher perceptions of talent is moderated by student math self-concept.", "author" : [ { "dropping-particle" : "", "family" : "Preacher", "given" : "Kristopher J.", "non-dropping-particle" : "", "parse-names" : false, "suffix" : "" }, { "dropping-particle" : "", "family" : "Rucker", "given" : "Derek D.", "non-dropping-particle" : "", "parse-names" : false, "suffix" : "" }, { "dropping-particle" : "", "family" : "Hayes", "given" : "Andrew F.", "non-dropping-particle" : "", "parse-names" : false, "suffix" : "" } ], "container-title" : "Multivariate Behavioral Research", "id" : "ITEM-2", "issue" : "1", "issued" : { "date-parts" : [ [ "2007" ] ] }, "page" : "185-227", "title" : "Addressing moderated mediation hypotheses: theory, methods, and prescriptions", "type" : "article-journal", "volume" : "42" }, "uris" : [ "http://www.mendeley.com/documents/?uuid=1c4ce467-5df1-4973-b1c3-c3e63da27338" ] } ], "mendeley" : { "formattedCitation" : "(Edwards &amp; Lambert 2007; Preacher et al. 2007)", "manualFormatting" : "(Edwards &amp; Lambert, 2007; Preacher et al., 2007)", "plainTextFormattedCitation" : "(Edwards &amp; Lambert 2007; Preacher et al. 2007)", "previouslyFormattedCitation" : "(Edwards &amp; Lambert 2007; Preacher et al. 2007)" }, "properties" : { "noteIndex" : 0 }, "schema" : "https://github.com/citation-style-language/schema/raw/master/csl-citation.json" }</w:instrText>
      </w:r>
      <w:r w:rsidRPr="00452E2E">
        <w:fldChar w:fldCharType="separate"/>
      </w:r>
      <w:r w:rsidRPr="00452E2E">
        <w:rPr>
          <w:noProof/>
        </w:rPr>
        <w:t xml:space="preserve">(Edwards &amp; Lambert, 2007; Preacher </w:t>
      </w:r>
      <w:r w:rsidRPr="00452E2E">
        <w:rPr>
          <w:i/>
          <w:noProof/>
        </w:rPr>
        <w:t>et al</w:t>
      </w:r>
      <w:r w:rsidRPr="00452E2E">
        <w:rPr>
          <w:noProof/>
        </w:rPr>
        <w:t>., 2007)</w:t>
      </w:r>
      <w:r w:rsidRPr="00452E2E">
        <w:fldChar w:fldCharType="end"/>
      </w:r>
      <w:r w:rsidRPr="00452E2E">
        <w:t xml:space="preserve">. In other words, the aim of moderated mediation is to analyse whether a mediation effect will change with the introduction of another variable known as the moderator </w:t>
      </w:r>
      <w:r w:rsidRPr="00452E2E">
        <w:fldChar w:fldCharType="begin" w:fldLock="1"/>
      </w:r>
      <w:r w:rsidRPr="00452E2E">
        <w:instrText>ADDIN CSL_CITATION { "citationItems" : [ { "id" : "ITEM-1", "itemData" : { "DOI" : "10.1080/00273170701341316", "ISBN" : "0027-3171", "ISSN" : "0027-3171", "PMID" : "25552966", "abstract" : "This article provides researchers with a guide to properly construe and conduct analyses of conditional indirect effects, commonly known as moderated media- tion effects. We disentangle conflicting definitions of moderated mediation and describe approaches for estimating and testing a variety of hypotheses involving conditional indirect effects.We introduce standard errors for hypothesis testing and construction of confidence intervals in large samples but advocate that researchers use bootstrapping whenever possible. We also describe methods for probing sig- nificant conditional indirect effects by employing direct extensions of the simple slopes method and Johnson-Neyman technique for probing significant interactions. Finally, we provide an SPSS macro to facilitate the implementation of the recom- mended asymptotic and bootstrapping methods. We illustrate the application of these methods with an example drawn from the Michigan Study of Adolescent Life Transitions, showing that the indirect effect of intrinsic student interest on mathematics performance through teacher perceptions of talent is moderated by student math self-concept.", "author" : [ { "dropping-particle" : "", "family" : "Preacher", "given" : "Kristopher J.", "non-dropping-particle" : "", "parse-names" : false, "suffix" : "" }, { "dropping-particle" : "", "family" : "Rucker", "given" : "Derek D.", "non-dropping-particle" : "", "parse-names" : false, "suffix" : "" }, { "dropping-particle" : "", "family" : "Hayes", "given" : "Andrew F.", "non-dropping-particle" : "", "parse-names" : false, "suffix" : "" } ], "container-title" : "Multivariate Behavioral Research", "id" : "ITEM-1", "issue" : "1", "issued" : { "date-parts" : [ [ "2007" ] ] }, "page" : "185-227", "title" : "Addressing moderated mediation hypotheses: theory, methods, and prescriptions", "type" : "article-journal", "volume" : "42" }, "uris" : [ "http://www.mendeley.com/documents/?uuid=1c4ce467-5df1-4973-b1c3-c3e63da27338" ] }, { "id" : "ITEM-2", "itemData" : { "DOI" : "10.1080/00273171.2014.962683", "ISBN" : "9780874216561", "ISSN" : "1532-7906", "PMID" : "15991970", "abstract" : "I describe a test of linear moderated mediation in path analysis based on an interval esti-mate of the parameter of a function linking the indirect effect to values of a moderator\u2014a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 "author" : [ { "dropping-particle" : "", "family" : "Hayes", "given" : "Andrew F", "non-dropping-particle" : "", "parse-names" : false, "suffix" : "" } ], "container-title" : "Multivariate Behavioral Research", "id" : "ITEM-2", "issue" : "1", "issued" : { "date-parts" : [ [ "2015" ] ] }, "page" : "1-22", "title" : "An index and test of linear moderated mediation", "type" : "article-journal", "volume" : "50" }, "uris" : [ "http://www.mendeley.com/documents/?uuid=060e041f-1aba-4899-a61c-fa56fd6f0f1a" ] } ], "mendeley" : { "formattedCitation" : "(Preacher et al. 2007; Hayes 2015)", "manualFormatting" : "(Preacher et al., 2007; Hayes, 2015)", "plainTextFormattedCitation" : "(Preacher et al. 2007; Hayes 2015)", "previouslyFormattedCitation" : "(Preacher et al. 2007; Hayes 2015)" }, "properties" : { "noteIndex" : 0 }, "schema" : "https://github.com/citation-style-language/schema/raw/master/csl-citation.json" }</w:instrText>
      </w:r>
      <w:r w:rsidRPr="00452E2E">
        <w:fldChar w:fldCharType="separate"/>
      </w:r>
      <w:r w:rsidRPr="00452E2E">
        <w:rPr>
          <w:noProof/>
        </w:rPr>
        <w:t xml:space="preserve">(Preacher </w:t>
      </w:r>
      <w:r w:rsidRPr="00452E2E">
        <w:rPr>
          <w:i/>
          <w:noProof/>
        </w:rPr>
        <w:t>et al</w:t>
      </w:r>
      <w:r w:rsidRPr="00452E2E">
        <w:rPr>
          <w:noProof/>
        </w:rPr>
        <w:t>., 2007; Hayes, 2015)</w:t>
      </w:r>
      <w:r w:rsidRPr="00452E2E">
        <w:fldChar w:fldCharType="end"/>
      </w:r>
      <w:r w:rsidRPr="00452E2E">
        <w:t>.  The diagram depicting moderated mediation is presented in figure 7.3 overleaf. In the diagram, X is the independent variable, Y is the dependent variable, M is the medi</w:t>
      </w:r>
      <w:r w:rsidR="00EB4865" w:rsidRPr="00452E2E">
        <w:t>ator whilst W is the moderator.</w:t>
      </w:r>
    </w:p>
    <w:p w:rsidR="00D03A8E" w:rsidRPr="00452E2E" w:rsidRDefault="00D03A8E" w:rsidP="00D03A8E">
      <w:pPr>
        <w:spacing w:before="240"/>
        <w:jc w:val="both"/>
      </w:pPr>
      <w:r w:rsidRPr="00452E2E">
        <w:rPr>
          <w:noProof/>
          <w:lang w:eastAsia="en-GB"/>
        </w:rPr>
        <w:lastRenderedPageBreak/>
        <mc:AlternateContent>
          <mc:Choice Requires="wpg">
            <w:drawing>
              <wp:anchor distT="0" distB="0" distL="114300" distR="114300" simplePos="0" relativeHeight="251644416" behindDoc="0" locked="0" layoutInCell="1" allowOverlap="1" wp14:anchorId="042E075A" wp14:editId="74DCAAFC">
                <wp:simplePos x="0" y="0"/>
                <wp:positionH relativeFrom="column">
                  <wp:posOffset>579755</wp:posOffset>
                </wp:positionH>
                <wp:positionV relativeFrom="paragraph">
                  <wp:posOffset>80374</wp:posOffset>
                </wp:positionV>
                <wp:extent cx="4500880" cy="2365828"/>
                <wp:effectExtent l="0" t="0" r="13970" b="15875"/>
                <wp:wrapNone/>
                <wp:docPr id="2" name="Group 2"/>
                <wp:cNvGraphicFramePr/>
                <a:graphic xmlns:a="http://schemas.openxmlformats.org/drawingml/2006/main">
                  <a:graphicData uri="http://schemas.microsoft.com/office/word/2010/wordprocessingGroup">
                    <wpg:wgp>
                      <wpg:cNvGrpSpPr/>
                      <wpg:grpSpPr>
                        <a:xfrm>
                          <a:off x="0" y="0"/>
                          <a:ext cx="4500880" cy="2365828"/>
                          <a:chOff x="0" y="0"/>
                          <a:chExt cx="4501166" cy="2343776"/>
                        </a:xfrm>
                      </wpg:grpSpPr>
                      <wps:wsp>
                        <wps:cNvPr id="3" name="Rectangle 3"/>
                        <wps:cNvSpPr/>
                        <wps:spPr>
                          <a:xfrm>
                            <a:off x="1931831" y="991673"/>
                            <a:ext cx="662305" cy="476519"/>
                          </a:xfrm>
                          <a:prstGeom prst="rect">
                            <a:avLst/>
                          </a:prstGeom>
                        </wps:spPr>
                        <wps:style>
                          <a:lnRef idx="2">
                            <a:schemeClr val="dk1"/>
                          </a:lnRef>
                          <a:fillRef idx="1">
                            <a:schemeClr val="lt1"/>
                          </a:fillRef>
                          <a:effectRef idx="0">
                            <a:schemeClr val="dk1"/>
                          </a:effectRef>
                          <a:fontRef idx="minor">
                            <a:schemeClr val="dk1"/>
                          </a:fontRef>
                        </wps:style>
                        <wps:txbx>
                          <w:txbxContent>
                            <w:p w:rsidR="00FD1596" w:rsidRPr="00E1160B" w:rsidRDefault="00FD1596" w:rsidP="00D03A8E">
                              <w:pPr>
                                <w:jc w:val="center"/>
                                <w:rPr>
                                  <w:rFonts w:ascii="Arial" w:hAnsi="Arial" w:cs="Arial"/>
                                  <w:i/>
                                  <w:sz w:val="32"/>
                                  <w:lang w:val="en-US"/>
                                </w:rPr>
                              </w:pPr>
                              <w:r w:rsidRPr="00E1160B">
                                <w:rPr>
                                  <w:rFonts w:ascii="Arial" w:hAnsi="Arial" w:cs="Arial"/>
                                  <w:i/>
                                  <w:sz w:val="32"/>
                                  <w:lang w:val="en-US"/>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1873876"/>
                            <a:ext cx="688528" cy="469900"/>
                          </a:xfrm>
                          <a:prstGeom prst="rect">
                            <a:avLst/>
                          </a:prstGeom>
                        </wps:spPr>
                        <wps:style>
                          <a:lnRef idx="2">
                            <a:schemeClr val="dk1"/>
                          </a:lnRef>
                          <a:fillRef idx="1">
                            <a:schemeClr val="lt1"/>
                          </a:fillRef>
                          <a:effectRef idx="0">
                            <a:schemeClr val="dk1"/>
                          </a:effectRef>
                          <a:fontRef idx="minor">
                            <a:schemeClr val="dk1"/>
                          </a:fontRef>
                        </wps:style>
                        <wps:txbx>
                          <w:txbxContent>
                            <w:p w:rsidR="00FD1596" w:rsidRPr="00E1160B" w:rsidRDefault="00FD1596" w:rsidP="00D03A8E">
                              <w:pPr>
                                <w:jc w:val="center"/>
                                <w:rPr>
                                  <w:rFonts w:ascii="Arial" w:hAnsi="Arial" w:cs="Arial"/>
                                  <w:i/>
                                  <w:sz w:val="32"/>
                                  <w:lang w:val="en-US"/>
                                </w:rPr>
                              </w:pPr>
                              <w:r>
                                <w:rPr>
                                  <w:rFonts w:ascii="Arial" w:hAnsi="Arial" w:cs="Arial"/>
                                  <w:i/>
                                  <w:sz w:val="32"/>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3825025" y="1873876"/>
                            <a:ext cx="676141" cy="469631"/>
                          </a:xfrm>
                          <a:prstGeom prst="rect">
                            <a:avLst/>
                          </a:prstGeom>
                        </wps:spPr>
                        <wps:style>
                          <a:lnRef idx="2">
                            <a:schemeClr val="dk1"/>
                          </a:lnRef>
                          <a:fillRef idx="1">
                            <a:schemeClr val="lt1"/>
                          </a:fillRef>
                          <a:effectRef idx="0">
                            <a:schemeClr val="dk1"/>
                          </a:effectRef>
                          <a:fontRef idx="minor">
                            <a:schemeClr val="dk1"/>
                          </a:fontRef>
                        </wps:style>
                        <wps:txbx>
                          <w:txbxContent>
                            <w:p w:rsidR="00FD1596" w:rsidRPr="00E1160B" w:rsidRDefault="00FD1596" w:rsidP="00D03A8E">
                              <w:pPr>
                                <w:jc w:val="center"/>
                                <w:rPr>
                                  <w:rFonts w:ascii="Arial" w:hAnsi="Arial" w:cs="Arial"/>
                                  <w:i/>
                                  <w:sz w:val="32"/>
                                  <w:lang w:val="en-US"/>
                                </w:rPr>
                              </w:pPr>
                              <w:r>
                                <w:rPr>
                                  <w:rFonts w:ascii="Arial" w:hAnsi="Arial" w:cs="Arial"/>
                                  <w:i/>
                                  <w:sz w:val="32"/>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flipV="1">
                            <a:off x="689019" y="1268569"/>
                            <a:ext cx="1243330" cy="855980"/>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2595093" y="1275008"/>
                            <a:ext cx="1229995" cy="888365"/>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689019" y="2234484"/>
                            <a:ext cx="3135604" cy="0"/>
                          </a:xfrm>
                          <a:prstGeom prst="straightConnector1">
                            <a:avLst/>
                          </a:prstGeom>
                          <a:ln w="28575">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9" name="Rectangle 9"/>
                        <wps:cNvSpPr/>
                        <wps:spPr>
                          <a:xfrm>
                            <a:off x="1938270" y="0"/>
                            <a:ext cx="662305" cy="476519"/>
                          </a:xfrm>
                          <a:prstGeom prst="rect">
                            <a:avLst/>
                          </a:prstGeom>
                        </wps:spPr>
                        <wps:style>
                          <a:lnRef idx="2">
                            <a:schemeClr val="dk1"/>
                          </a:lnRef>
                          <a:fillRef idx="1">
                            <a:schemeClr val="lt1"/>
                          </a:fillRef>
                          <a:effectRef idx="0">
                            <a:schemeClr val="dk1"/>
                          </a:effectRef>
                          <a:fontRef idx="minor">
                            <a:schemeClr val="dk1"/>
                          </a:fontRef>
                        </wps:style>
                        <wps:txbx>
                          <w:txbxContent>
                            <w:p w:rsidR="00FD1596" w:rsidRPr="00E1160B" w:rsidRDefault="00FD1596" w:rsidP="00D03A8E">
                              <w:pPr>
                                <w:jc w:val="center"/>
                                <w:rPr>
                                  <w:rFonts w:ascii="Arial" w:hAnsi="Arial" w:cs="Arial"/>
                                  <w:i/>
                                  <w:sz w:val="32"/>
                                  <w:lang w:val="en-US"/>
                                </w:rPr>
                              </w:pPr>
                              <w:r>
                                <w:rPr>
                                  <w:rFonts w:ascii="Arial" w:hAnsi="Arial" w:cs="Arial"/>
                                  <w:i/>
                                  <w:sz w:val="32"/>
                                  <w:lang w:val="en-US"/>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flipH="1">
                            <a:off x="1365160" y="244698"/>
                            <a:ext cx="572333" cy="1416453"/>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a:off x="2601532" y="244698"/>
                            <a:ext cx="495837" cy="1403574"/>
                          </a:xfrm>
                          <a:prstGeom prst="straightConnector1">
                            <a:avLst/>
                          </a:prstGeom>
                          <a:ln w="28575">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75E2B6E3" id="Group 2" o:spid="_x0000_s1084" style="position:absolute;left:0;text-align:left;margin-left:45.65pt;margin-top:6.35pt;width:354.4pt;height:186.3pt;z-index:251644416;mso-position-horizontal-relative:text;mso-position-vertical-relative:text;mso-height-relative:margin" coordsize="45011,2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">
                <v:rect id="Rectangle 3" o:spid="_x0000_s1085" style="position:absolute;left:19318;top:9916;width:6623;height:4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FD1596" w:rsidRPr="00E1160B" w:rsidRDefault="00FD1596" w:rsidP="00D03A8E">
                        <w:pPr>
                          <w:jc w:val="center"/>
                          <w:rPr>
                            <w:rFonts w:ascii="Arial" w:hAnsi="Arial" w:cs="Arial"/>
                            <w:i/>
                            <w:sz w:val="32"/>
                            <w:lang w:val="en-US"/>
                          </w:rPr>
                        </w:pPr>
                        <w:r w:rsidRPr="00E1160B">
                          <w:rPr>
                            <w:rFonts w:ascii="Arial" w:hAnsi="Arial" w:cs="Arial"/>
                            <w:i/>
                            <w:sz w:val="32"/>
                            <w:lang w:val="en-US"/>
                          </w:rPr>
                          <w:t>M</w:t>
                        </w:r>
                      </w:p>
                    </w:txbxContent>
                  </v:textbox>
                </v:rect>
                <v:rect id="Rectangle 4" o:spid="_x0000_s1086" style="position:absolute;top:18738;width:6885;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rsidR="00FD1596" w:rsidRPr="00E1160B" w:rsidRDefault="00FD1596" w:rsidP="00D03A8E">
                        <w:pPr>
                          <w:jc w:val="center"/>
                          <w:rPr>
                            <w:rFonts w:ascii="Arial" w:hAnsi="Arial" w:cs="Arial"/>
                            <w:i/>
                            <w:sz w:val="32"/>
                            <w:lang w:val="en-US"/>
                          </w:rPr>
                        </w:pPr>
                        <w:r>
                          <w:rPr>
                            <w:rFonts w:ascii="Arial" w:hAnsi="Arial" w:cs="Arial"/>
                            <w:i/>
                            <w:sz w:val="32"/>
                            <w:lang w:val="en-US"/>
                          </w:rPr>
                          <w:t>X</w:t>
                        </w:r>
                      </w:p>
                    </w:txbxContent>
                  </v:textbox>
                </v:rect>
                <v:rect id="Rectangle 5" o:spid="_x0000_s1087" style="position:absolute;left:38250;top:18738;width:6761;height:46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FD1596" w:rsidRPr="00E1160B" w:rsidRDefault="00FD1596" w:rsidP="00D03A8E">
                        <w:pPr>
                          <w:jc w:val="center"/>
                          <w:rPr>
                            <w:rFonts w:ascii="Arial" w:hAnsi="Arial" w:cs="Arial"/>
                            <w:i/>
                            <w:sz w:val="32"/>
                            <w:lang w:val="en-US"/>
                          </w:rPr>
                        </w:pPr>
                        <w:r>
                          <w:rPr>
                            <w:rFonts w:ascii="Arial" w:hAnsi="Arial" w:cs="Arial"/>
                            <w:i/>
                            <w:sz w:val="32"/>
                            <w:lang w:val="en-US"/>
                          </w:rPr>
                          <w:t>Y</w:t>
                        </w:r>
                      </w:p>
                    </w:txbxContent>
                  </v:textbox>
                </v:rect>
                <v:shape id="Straight Arrow Connector 6" o:spid="_x0000_s1088" type="#_x0000_t32" style="position:absolute;left:6890;top:12685;width:12433;height:8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4I8MAAADaAAAADwAAAGRycy9kb3ducmV2LnhtbESPT2vCQBTE74LfYXmF3upuQ1FJ3YSq&#10;FOqxGrTHR/blD82+DdlVUz99t1DwOMzMb5hVPtpOXGjwrWMNzzMFgrh0puVaQ3F4f1qC8AHZYOeY&#10;NPyQhzybTlaYGnflT7rsQy0ihH2KGpoQ+lRKXzZk0c9cTxy9yg0WQ5RDLc2A1wi3nUyUmkuLLceF&#10;BnvaNFR+789WQ7VYf8ldsfM3uiX9+WWhjqet0vrxYXx7BRFoDPfwf/vDaJjD35V4A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a+CPDAAAA2gAAAA8AAAAAAAAAAAAA&#10;AAAAoQIAAGRycy9kb3ducmV2LnhtbFBLBQYAAAAABAAEAPkAAACRAwAAAAA=&#10;" strokecolor="black [3200]" strokeweight="2.25pt">
                  <v:stroke endarrow="block" joinstyle="miter"/>
                </v:shape>
                <v:shape id="Straight Arrow Connector 7" o:spid="_x0000_s1089" type="#_x0000_t32" style="position:absolute;left:25950;top:12750;width:12300;height:8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zHMMAAADaAAAADwAAAGRycy9kb3ducmV2LnhtbESP0WrCQBRE34X+w3ILfdONhdYSs4oV&#10;2/qkJPUDLtmbbDB7N81uY/x7t1DwcZiZM0y2Hm0rBup941jBfJaAIC6dbrhWcPr+mL6B8AFZY+uY&#10;FFzJw3r1MMkw1e7COQ1FqEWEsE9RgQmhS6X0pSGLfuY64uhVrrcYouxrqXu8RLht5XOSvEqLDccF&#10;gx1tDZXn4tcq2B4/3yuJPzvOX2hhDsPuK7+elHp6HDdLEIHGcA//t/dawQL+rsQb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LcxzDAAAA2gAAAA8AAAAAAAAAAAAA&#10;AAAAoQIAAGRycy9kb3ducmV2LnhtbFBLBQYAAAAABAAEAPkAAACRAwAAAAA=&#10;" strokecolor="black [3200]" strokeweight="2.25pt">
                  <v:stroke endarrow="block" joinstyle="miter"/>
                </v:shape>
                <v:shape id="Straight Arrow Connector 8" o:spid="_x0000_s1090" type="#_x0000_t32" style="position:absolute;left:6890;top:22344;width:313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3iP8EAAADaAAAADwAAAGRycy9kb3ducmV2LnhtbERPy2rCQBTdC/7DcAvd6SQuYkkzCaUh&#10;IJQK2lpdXjI3D5q5EzKjpn/fWRS6PJx3VsxmEDeaXG9ZQbyOQBDXVvfcKvj8qFZPIJxH1jhYJgU/&#10;5KDIl4sMU23vfKDb0bcihLBLUUHn/ZhK6eqODLq1HYkD19jJoA9waqWe8B7CzSA3UZRIgz2Hhg5H&#10;eu2o/j5ejYLtqfxqad8kyYXf3qtzGVeH6qTU48P88gzC0+z/xX/unVYQtoYr4QbI/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zeI/wQAAANoAAAAPAAAAAAAAAAAAAAAA&#10;AKECAABkcnMvZG93bnJldi54bWxQSwUGAAAAAAQABAD5AAAAjwMAAAAA&#10;" strokecolor="black [3200]" strokeweight="2.25pt">
                  <v:stroke dashstyle="dash" endarrow="block" joinstyle="miter"/>
                </v:shape>
                <v:rect id="Rectangle 9" o:spid="_x0000_s1091" style="position:absolute;left:19382;width:6623;height:4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0MQA&#10;AADaAAAADwAAAGRycy9kb3ducmV2LnhtbESPzWrDMBCE74G8g9hAboncHJzGjRJMaaCQUtM0hxwX&#10;a2ubWisjqf55+ypQ6HGYmW+Y/XE0rejJ+caygod1AoK4tLrhSsH187R6BOEDssbWMimYyMPxMJ/t&#10;MdN24A/qL6ESEcI+QwV1CF0mpS9rMujXtiOO3pd1BkOUrpLa4RDhppWbJEmlwYbjQo0dPddUfl9+&#10;jAJbNFObu917/0bb27kIyTCmL0otF2P+BCLQGP7Df+1XrWAH9yvxB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039DEAAAA2gAAAA8AAAAAAAAAAAAAAAAAmAIAAGRycy9k&#10;b3ducmV2LnhtbFBLBQYAAAAABAAEAPUAAACJAwAAAAA=&#10;" fillcolor="white [3201]" strokecolor="black [3200]" strokeweight="1pt">
                  <v:textbox>
                    <w:txbxContent>
                      <w:p w:rsidR="00FD1596" w:rsidRPr="00E1160B" w:rsidRDefault="00FD1596" w:rsidP="00D03A8E">
                        <w:pPr>
                          <w:jc w:val="center"/>
                          <w:rPr>
                            <w:rFonts w:ascii="Arial" w:hAnsi="Arial" w:cs="Arial"/>
                            <w:i/>
                            <w:sz w:val="32"/>
                            <w:lang w:val="en-US"/>
                          </w:rPr>
                        </w:pPr>
                        <w:r>
                          <w:rPr>
                            <w:rFonts w:ascii="Arial" w:hAnsi="Arial" w:cs="Arial"/>
                            <w:i/>
                            <w:sz w:val="32"/>
                            <w:lang w:val="en-US"/>
                          </w:rPr>
                          <w:t>W</w:t>
                        </w:r>
                      </w:p>
                    </w:txbxContent>
                  </v:textbox>
                </v:rect>
                <v:shape id="Straight Arrow Connector 10" o:spid="_x0000_s1092" type="#_x0000_t32" style="position:absolute;left:13651;top:2446;width:5723;height:14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IE8MAAADbAAAADwAAAGRycy9kb3ducmV2LnhtbESPQWsCQQyF74L/YUihN52pFJXVUapS&#10;qMeqqMewE3eX7mSWnVFXf31zKPSW8F7e+zJfdr5WN2pjFdjC29CAIs6Dq7iwcNh/DqagYkJ2WAcm&#10;Cw+KsFz0e3PMXLjzN912qVASwjFDC2VKTaZ1zEvyGIehIRbtElqPSda20K7Fu4T7Wo+MGWuPFUtD&#10;iQ2tS8p/dldv4TJZnfX2sI1Peo6a6/vEHE8bY+3rS/cxA5WoS//mv+svJ/hCL7/IA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CBPDAAAA2wAAAA8AAAAAAAAAAAAA&#10;AAAAoQIAAGRycy9kb3ducmV2LnhtbFBLBQYAAAAABAAEAPkAAACRAwAAAAA=&#10;" strokecolor="black [3200]" strokeweight="2.25pt">
                  <v:stroke endarrow="block" joinstyle="miter"/>
                </v:shape>
                <v:shape id="Straight Arrow Connector 11" o:spid="_x0000_s1093" type="#_x0000_t32" style="position:absolute;left:26015;top:2446;width:4958;height:14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oScAAAADbAAAADwAAAGRycy9kb3ducmV2LnhtbERP24rCMBB9F/yHMAv7tqYurCtdo6zi&#10;7Ump+gFDMzZlm0m3ibX+vREE3+ZwrjOZdbYSLTW+dKxgOEhAEOdOl1woOB1XH2MQPiBrrByTght5&#10;mE37vQmm2l05o/YQChFD2KeowIRQp1L63JBFP3A1ceTOrrEYImwKqRu8xnBbyc8kGUmLJccGgzUt&#10;DOV/h4tVsNiv52eJ/0vOvujb7NrlJrudlHp/635/QATqwkv8dG91nD+Exy/xADm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raEnAAAAA2wAAAA8AAAAAAAAAAAAAAAAA&#10;oQIAAGRycy9kb3ducmV2LnhtbFBLBQYAAAAABAAEAPkAAACOAwAAAAA=&#10;" strokecolor="black [3200]" strokeweight="2.25pt">
                  <v:stroke endarrow="block" joinstyle="miter"/>
                </v:shape>
              </v:group>
            </w:pict>
          </mc:Fallback>
        </mc:AlternateContent>
      </w:r>
    </w:p>
    <w:p w:rsidR="00D03A8E" w:rsidRPr="00452E2E" w:rsidRDefault="00D03A8E" w:rsidP="00D03A8E">
      <w:pPr>
        <w:spacing w:before="240"/>
        <w:jc w:val="both"/>
        <w:rPr>
          <w:b/>
        </w:rPr>
      </w:pPr>
    </w:p>
    <w:p w:rsidR="00D03A8E" w:rsidRPr="00452E2E" w:rsidRDefault="00D03A8E" w:rsidP="00D03A8E">
      <w:r w:rsidRPr="00452E2E">
        <w:rPr>
          <w:noProof/>
          <w:lang w:eastAsia="en-GB"/>
        </w:rPr>
        <mc:AlternateContent>
          <mc:Choice Requires="wps">
            <w:drawing>
              <wp:anchor distT="0" distB="0" distL="114300" distR="114300" simplePos="0" relativeHeight="251629056" behindDoc="0" locked="0" layoutInCell="1" allowOverlap="1" wp14:anchorId="50987497" wp14:editId="03BDA631">
                <wp:simplePos x="0" y="0"/>
                <wp:positionH relativeFrom="column">
                  <wp:posOffset>2639060</wp:posOffset>
                </wp:positionH>
                <wp:positionV relativeFrom="paragraph">
                  <wp:posOffset>1398994</wp:posOffset>
                </wp:positionV>
                <wp:extent cx="302653" cy="244698"/>
                <wp:effectExtent l="0" t="0" r="2540" b="3175"/>
                <wp:wrapNone/>
                <wp:docPr id="12" name="Text Box 12"/>
                <wp:cNvGraphicFramePr/>
                <a:graphic xmlns:a="http://schemas.openxmlformats.org/drawingml/2006/main">
                  <a:graphicData uri="http://schemas.microsoft.com/office/word/2010/wordprocessingShape">
                    <wps:wsp>
                      <wps:cNvSpPr txBox="1"/>
                      <wps:spPr>
                        <a:xfrm>
                          <a:off x="0" y="0"/>
                          <a:ext cx="302653" cy="244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596" w:rsidRPr="00E1160B" w:rsidRDefault="00FD1596" w:rsidP="00D03A8E">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E4D5" id="Text Box 12" o:spid="_x0000_s1094" type="#_x0000_t202" style="position:absolute;margin-left:207.8pt;margin-top:110.15pt;width:23.85pt;height:19.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" fillcolor="white [3201]" stroked="f" strokeweight=".5pt">
                <v:textbox>
                  <w:txbxContent>
                    <w:p w:rsidR="00FD1596" w:rsidRPr="00E1160B" w:rsidRDefault="00FD1596" w:rsidP="00D03A8E">
                      <w:pPr>
                        <w:rPr>
                          <w:lang w:val="en-US"/>
                        </w:rPr>
                      </w:pPr>
                      <w:r>
                        <w:rPr>
                          <w:lang w:val="en-US"/>
                        </w:rPr>
                        <w:t>c’</w:t>
                      </w:r>
                    </w:p>
                  </w:txbxContent>
                </v:textbox>
              </v:shape>
            </w:pict>
          </mc:Fallback>
        </mc:AlternateContent>
      </w:r>
      <w:r w:rsidRPr="00452E2E">
        <w:rPr>
          <w:noProof/>
          <w:lang w:eastAsia="en-GB"/>
        </w:rPr>
        <mc:AlternateContent>
          <mc:Choice Requires="wps">
            <w:drawing>
              <wp:anchor distT="0" distB="0" distL="114300" distR="114300" simplePos="0" relativeHeight="251634176" behindDoc="0" locked="0" layoutInCell="1" allowOverlap="1" wp14:anchorId="1D9D5768" wp14:editId="382EEDB3">
                <wp:simplePos x="0" y="0"/>
                <wp:positionH relativeFrom="column">
                  <wp:posOffset>3682365</wp:posOffset>
                </wp:positionH>
                <wp:positionV relativeFrom="paragraph">
                  <wp:posOffset>807631</wp:posOffset>
                </wp:positionV>
                <wp:extent cx="302653" cy="244698"/>
                <wp:effectExtent l="0" t="0" r="2540" b="3175"/>
                <wp:wrapNone/>
                <wp:docPr id="13" name="Text Box 13"/>
                <wp:cNvGraphicFramePr/>
                <a:graphic xmlns:a="http://schemas.openxmlformats.org/drawingml/2006/main">
                  <a:graphicData uri="http://schemas.microsoft.com/office/word/2010/wordprocessingShape">
                    <wps:wsp>
                      <wps:cNvSpPr txBox="1"/>
                      <wps:spPr>
                        <a:xfrm>
                          <a:off x="0" y="0"/>
                          <a:ext cx="302653" cy="244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596" w:rsidRPr="00E1160B" w:rsidRDefault="00FD1596" w:rsidP="00D03A8E">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18FE0" id="Text Box 13" o:spid="_x0000_s1095" type="#_x0000_t202" style="position:absolute;margin-left:289.95pt;margin-top:63.6pt;width:23.85pt;height:1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" fillcolor="white [3201]" stroked="f" strokeweight=".5pt">
                <v:textbox>
                  <w:txbxContent>
                    <w:p w:rsidR="00FD1596" w:rsidRPr="00E1160B" w:rsidRDefault="00FD1596" w:rsidP="00D03A8E">
                      <w:pPr>
                        <w:rPr>
                          <w:lang w:val="en-US"/>
                        </w:rPr>
                      </w:pPr>
                      <w:r>
                        <w:rPr>
                          <w:lang w:val="en-US"/>
                        </w:rPr>
                        <w:t>b</w:t>
                      </w:r>
                    </w:p>
                  </w:txbxContent>
                </v:textbox>
              </v:shape>
            </w:pict>
          </mc:Fallback>
        </mc:AlternateContent>
      </w:r>
      <w:r w:rsidRPr="00452E2E">
        <w:rPr>
          <w:noProof/>
          <w:lang w:eastAsia="en-GB"/>
        </w:rPr>
        <mc:AlternateContent>
          <mc:Choice Requires="wps">
            <w:drawing>
              <wp:anchor distT="0" distB="0" distL="114300" distR="114300" simplePos="0" relativeHeight="251639296" behindDoc="0" locked="0" layoutInCell="1" allowOverlap="1" wp14:anchorId="7B61B95A" wp14:editId="6F109CEA">
                <wp:simplePos x="0" y="0"/>
                <wp:positionH relativeFrom="column">
                  <wp:posOffset>1731645</wp:posOffset>
                </wp:positionH>
                <wp:positionV relativeFrom="paragraph">
                  <wp:posOffset>793026</wp:posOffset>
                </wp:positionV>
                <wp:extent cx="302653" cy="244698"/>
                <wp:effectExtent l="0" t="0" r="2540" b="3175"/>
                <wp:wrapNone/>
                <wp:docPr id="14" name="Text Box 14"/>
                <wp:cNvGraphicFramePr/>
                <a:graphic xmlns:a="http://schemas.openxmlformats.org/drawingml/2006/main">
                  <a:graphicData uri="http://schemas.microsoft.com/office/word/2010/wordprocessingShape">
                    <wps:wsp>
                      <wps:cNvSpPr txBox="1"/>
                      <wps:spPr>
                        <a:xfrm>
                          <a:off x="0" y="0"/>
                          <a:ext cx="302653" cy="2446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1596" w:rsidRPr="00E1160B" w:rsidRDefault="00FD1596" w:rsidP="00D03A8E">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AFE9" id="Text Box 14" o:spid="_x0000_s1096" type="#_x0000_t202" style="position:absolute;margin-left:136.35pt;margin-top:62.45pt;width:23.85pt;height:19.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" fillcolor="white [3201]" stroked="f" strokeweight=".5pt">
                <v:textbox>
                  <w:txbxContent>
                    <w:p w:rsidR="00FD1596" w:rsidRPr="00E1160B" w:rsidRDefault="00FD1596" w:rsidP="00D03A8E">
                      <w:pPr>
                        <w:rPr>
                          <w:lang w:val="en-US"/>
                        </w:rPr>
                      </w:pPr>
                      <w:r>
                        <w:rPr>
                          <w:lang w:val="en-US"/>
                        </w:rPr>
                        <w:t>a</w:t>
                      </w:r>
                    </w:p>
                  </w:txbxContent>
                </v:textbox>
              </v:shape>
            </w:pict>
          </mc:Fallback>
        </mc:AlternateContent>
      </w:r>
    </w:p>
    <w:p w:rsidR="00D03A8E" w:rsidRPr="00452E2E" w:rsidRDefault="00D03A8E" w:rsidP="00D03A8E"/>
    <w:p w:rsidR="00D03A8E" w:rsidRPr="00452E2E" w:rsidRDefault="00D03A8E" w:rsidP="00D03A8E"/>
    <w:p w:rsidR="00D03A8E" w:rsidRPr="00452E2E" w:rsidRDefault="00D03A8E" w:rsidP="00D03A8E"/>
    <w:p w:rsidR="00D03A8E" w:rsidRPr="00452E2E" w:rsidRDefault="00D03A8E" w:rsidP="00D03A8E">
      <w:pPr>
        <w:pStyle w:val="Caption"/>
      </w:pPr>
    </w:p>
    <w:p w:rsidR="00D03A8E" w:rsidRPr="00452E2E" w:rsidRDefault="00D03A8E" w:rsidP="00D03A8E">
      <w:pPr>
        <w:pStyle w:val="Caption"/>
      </w:pPr>
    </w:p>
    <w:p w:rsidR="00D03A8E" w:rsidRPr="00452E2E" w:rsidRDefault="00D03A8E" w:rsidP="00D03A8E">
      <w:pPr>
        <w:pStyle w:val="Caption"/>
      </w:pPr>
    </w:p>
    <w:p w:rsidR="00D03A8E" w:rsidRPr="00452E2E" w:rsidRDefault="00D03A8E" w:rsidP="00D03A8E">
      <w:pPr>
        <w:pStyle w:val="Caption"/>
        <w:rPr>
          <w:b w:val="0"/>
        </w:rPr>
      </w:pPr>
      <w:bookmarkStart w:id="189" w:name="_Toc465382301"/>
      <w:r w:rsidRPr="00452E2E">
        <w:t>Figure 7</w:t>
      </w:r>
      <w:r w:rsidRPr="00452E2E">
        <w:noBreakHyphen/>
      </w:r>
      <w:r w:rsidR="00B26571">
        <w:fldChar w:fldCharType="begin"/>
      </w:r>
      <w:r w:rsidR="00B26571">
        <w:instrText xml:space="preserve"> SEQ Figure \* ARABIC \s 1 </w:instrText>
      </w:r>
      <w:r w:rsidR="00B26571">
        <w:fldChar w:fldCharType="separate"/>
      </w:r>
      <w:r w:rsidR="00AE2756" w:rsidRPr="00452E2E">
        <w:rPr>
          <w:noProof/>
        </w:rPr>
        <w:t>3</w:t>
      </w:r>
      <w:r w:rsidR="00B26571">
        <w:rPr>
          <w:noProof/>
        </w:rPr>
        <w:fldChar w:fldCharType="end"/>
      </w:r>
      <w:r w:rsidRPr="00452E2E">
        <w:t>: Moderated Mediation Model</w:t>
      </w:r>
      <w:bookmarkEnd w:id="189"/>
    </w:p>
    <w:p w:rsidR="008C7F9E" w:rsidRPr="00452E2E" w:rsidRDefault="008C7F9E" w:rsidP="00D03A8E">
      <w:pPr>
        <w:spacing w:before="240" w:line="360" w:lineRule="auto"/>
        <w:jc w:val="both"/>
      </w:pPr>
    </w:p>
    <w:p w:rsidR="00D03A8E" w:rsidRPr="00452E2E" w:rsidRDefault="00D03A8E" w:rsidP="00D03A8E">
      <w:pPr>
        <w:spacing w:before="240" w:line="360" w:lineRule="auto"/>
        <w:jc w:val="both"/>
      </w:pPr>
      <w:r w:rsidRPr="00452E2E">
        <w:t>The moderator in this study is sector since the study s</w:t>
      </w:r>
      <w:r w:rsidR="006E09D4" w:rsidRPr="00452E2E">
        <w:t>eeks</w:t>
      </w:r>
      <w:r w:rsidRPr="00452E2E">
        <w:t xml:space="preserve"> to examine whether the effect of mediating variables on the relationship between HR practices and employee attitudes will differ in </w:t>
      </w:r>
      <w:r w:rsidR="005C33F0" w:rsidRPr="00452E2E">
        <w:t xml:space="preserve">the </w:t>
      </w:r>
      <w:r w:rsidRPr="00452E2E">
        <w:t>public and private sector. Other variables are as described in the section on test of mediation. Just like mediation analysis earlier described, the analysis of moderated mediation was done using PROCESS macro</w:t>
      </w:r>
      <w:r w:rsidR="00F60A4D" w:rsidRPr="00BE5AF1">
        <w:rPr>
          <w:rStyle w:val="FootnoteReference"/>
        </w:rPr>
        <w:footnoteReference w:id="18"/>
      </w:r>
      <w:r w:rsidRPr="00452E2E">
        <w:t xml:space="preserve"> </w:t>
      </w:r>
      <w:r w:rsidRPr="00452E2E">
        <w:fldChar w:fldCharType="begin" w:fldLock="1"/>
      </w:r>
      <w:r w:rsidRPr="00452E2E">
        <w:instrText>ADDIN CSL_CITATION { "citationItems" : [ { "id" : "ITEM-1", "itemData" : { "DOI" : "978-1-60918-230-4", "ISBN" : "9781609182304", "ISSN" : "&lt;null&gt;", "PMID" : "17658881", "abstract" : "This document is a companion to Hayes, A. F. (in progress). An Introduction to Mediation, Moderation, and Conditional Process Analysis: A Regression-based Approach. Under contract for publication by Guilford Press. Statistical mediation and moderation analysis are widespread throughout the behavioral sciences. Increasingly, these methods are being integrated in the form of the analysis of \u2015mediated moderation\u2016 or \u2015moderated mediation,\u2016 or what Hayes and Preacher (in press) call conditional process modeling. In this paper, I offer a primer on some of the important concepts and methods in mediation analysis, moderation analysis, and conditional process modeling prior to describing PROCESS, a versatile modeling tool freely-available for SPSS and SAS that integrates many of the functions of existing and popular published statistical tools for mediation and moderation analysis as well as their integration. Examples of the use of PROCESS are provided, and some of its additional features as well as some limitations are described.", "author" : [ { "dropping-particle" : "", "family" : "Hayes", "given" : "Andrew F", "non-dropping-particle" : "", "parse-names" : false, "suffix" : "" } ], "container-title" : "White paper", "id" : "ITEM-1", "issued" : { "date-parts" : [ [ "2012" ] ] }, "page" : "1-39", "title" : "PROCESS: A versatile computational tool for observed variable mediation, moderation, and conditional process modeling", "type" : "article" }, "uris" : [ "http://www.mendeley.com/documents/?uuid=36046ddc-d0cc-4c59-84e7-f20489310e40" ] } ], "mendeley" : { "formattedCitation" : "(Hayes 2012)", "manualFormatting" : "(Hayes, 2012)", "plainTextFormattedCitation" : "(Hayes 2012)", "previouslyFormattedCitation" : "(Hayes 2012)" }, "properties" : { "noteIndex" : 0 }, "schema" : "https://github.com/citation-style-language/schema/raw/master/csl-citation.json" }</w:instrText>
      </w:r>
      <w:r w:rsidRPr="00452E2E">
        <w:fldChar w:fldCharType="separate"/>
      </w:r>
      <w:r w:rsidRPr="00452E2E">
        <w:rPr>
          <w:noProof/>
        </w:rPr>
        <w:t>(Hayes, 2012)</w:t>
      </w:r>
      <w:r w:rsidRPr="00452E2E">
        <w:fldChar w:fldCharType="end"/>
      </w:r>
      <w:r w:rsidRPr="00452E2E">
        <w:t xml:space="preserve"> but unlike the simple mediation analysis, the indirect effects are provided for each sector whilst the index of moderated mediation signifies the difference in the mediation effect with the introduction </w:t>
      </w:r>
      <w:r w:rsidR="00426AEE" w:rsidRPr="00452E2E">
        <w:t xml:space="preserve">of </w:t>
      </w:r>
      <w:r w:rsidRPr="00452E2E">
        <w:t xml:space="preserve">sector </w:t>
      </w:r>
      <w:r w:rsidRPr="00452E2E">
        <w:fldChar w:fldCharType="begin" w:fldLock="1"/>
      </w:r>
      <w:r w:rsidRPr="00452E2E">
        <w:instrText>ADDIN CSL_CITATION { "citationItems" : [ { "id" : "ITEM-1", "itemData" : { "DOI" : "10.1080/00273171.2014.962683", "ISBN" : "9780874216561", "ISSN" : "1532-7906", "PMID" : "15991970", "abstract" : "I describe a test of linear moderated mediation in path analysis based on an interval esti-mate of the parameter of a function linking the indirect effect to values of a moderator\u2014a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 "author" : [ { "dropping-particle" : "", "family" : "Hayes", "given" : "Andrew F", "non-dropping-particle" : "", "parse-names" : false, "suffix" : "" } ], "container-title" : "Multivariate Behavioral Research", "id" : "ITEM-1", "issue" : "1", "issued" : { "date-parts" : [ [ "2015" ] ] }, "page" : "1-22", "title" : "An index and test of linear moderated mediation", "type" : "article-journal", "volume" : "50" }, "uris" : [ "http://www.mendeley.com/documents/?uuid=060e041f-1aba-4899-a61c-fa56fd6f0f1a" ] } ], "mendeley" : { "formattedCitation" : "(Hayes 2015)", "manualFormatting" : "(Hayes, 2015)", "plainTextFormattedCitation" : "(Hayes 2015)", "previouslyFormattedCitation" : "(Hayes 2015)" }, "properties" : { "noteIndex" : 0 }, "schema" : "https://github.com/citation-style-language/schema/raw/master/csl-citation.json" }</w:instrText>
      </w:r>
      <w:r w:rsidRPr="00452E2E">
        <w:fldChar w:fldCharType="separate"/>
      </w:r>
      <w:r w:rsidRPr="00452E2E">
        <w:rPr>
          <w:noProof/>
        </w:rPr>
        <w:t>(Hayes, 2015)</w:t>
      </w:r>
      <w:r w:rsidRPr="00452E2E">
        <w:fldChar w:fldCharType="end"/>
      </w:r>
      <w:r w:rsidRPr="00452E2E">
        <w:t xml:space="preserve">. If the confidence intervals for the index of moderated mediation are without zero, it means there is </w:t>
      </w:r>
      <w:r w:rsidR="006307B4" w:rsidRPr="00452E2E">
        <w:t xml:space="preserve">a </w:t>
      </w:r>
      <w:r w:rsidRPr="00452E2E">
        <w:t xml:space="preserve">significant moderated mediation, otherwise moderated mediation is non-significant </w:t>
      </w:r>
      <w:r w:rsidRPr="00452E2E">
        <w:fldChar w:fldCharType="begin" w:fldLock="1"/>
      </w:r>
      <w:r w:rsidRPr="00452E2E">
        <w:instrText>ADDIN CSL_CITATION { "citationItems" : [ { "id" : "ITEM-1", "itemData" : { "DOI" : "10.1080/00273171.2014.962683", "ISBN" : "9780874216561", "ISSN" : "1532-7906", "PMID" : "15991970", "abstract" : "I describe a test of linear moderated mediation in path analysis based on an interval esti-mate of the parameter of a function linking the indirect effect to values of a moderator\u2014a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 "author" : [ { "dropping-particle" : "", "family" : "Hayes", "given" : "Andrew F", "non-dropping-particle" : "", "parse-names" : false, "suffix" : "" } ], "container-title" : "Multivariate Behavioral Research", "id" : "ITEM-1", "issue" : "1", "issued" : { "date-parts" : [ [ "2015" ] ] }, "page" : "1-22", "title" : "An index and test of linear moderated mediation", "type" : "article-journal", "volume" : "50" }, "uris" : [ "http://www.mendeley.com/documents/?uuid=060e041f-1aba-4899-a61c-fa56fd6f0f1a" ] } ], "mendeley" : { "formattedCitation" : "(Hayes 2015)", "manualFormatting" : "(Hayes, 2015)", "plainTextFormattedCitation" : "(Hayes 2015)", "previouslyFormattedCitation" : "(Hayes 2015)" }, "properties" : { "noteIndex" : 0 }, "schema" : "https://github.com/citation-style-language/schema/raw/master/csl-citation.json" }</w:instrText>
      </w:r>
      <w:r w:rsidRPr="00452E2E">
        <w:fldChar w:fldCharType="separate"/>
      </w:r>
      <w:r w:rsidRPr="00452E2E">
        <w:rPr>
          <w:noProof/>
        </w:rPr>
        <w:t>(Hayes, 2015)</w:t>
      </w:r>
      <w:r w:rsidRPr="00452E2E">
        <w:fldChar w:fldCharType="end"/>
      </w:r>
      <w:r w:rsidRPr="00452E2E">
        <w:t>. Where the moderated mediation is significant, the indirect effects (</w:t>
      </w:r>
      <w:r w:rsidRPr="00452E2E">
        <w:rPr>
          <w:i/>
        </w:rPr>
        <w:t>ab</w:t>
      </w:r>
      <w:r w:rsidRPr="00452E2E">
        <w:t xml:space="preserve">) in both private and public sector are then compared to determine which sector has a stronger mediation effect </w:t>
      </w:r>
      <w:r w:rsidRPr="00452E2E">
        <w:fldChar w:fldCharType="begin" w:fldLock="1"/>
      </w:r>
      <w:r w:rsidRPr="00452E2E">
        <w:instrText>ADDIN CSL_CITATION { "citationItems" : [ { "id" : "ITEM-1", "itemData" : { "DOI" : "10.1080/00273171.2014.962683", "ISBN" : "9780874216561", "ISSN" : "1532-7906", "PMID" : "15991970", "abstract" : "I describe a test of linear moderated mediation in path analysis based on an interval esti-mate of the parameter of a function linking the indirect effect to values of a moderator\u2014a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 "author" : [ { "dropping-particle" : "", "family" : "Hayes", "given" : "Andrew F", "non-dropping-particle" : "", "parse-names" : false, "suffix" : "" } ], "container-title" : "Multivariate Behavioral Research", "id" : "ITEM-1", "issue" : "1", "issued" : { "date-parts" : [ [ "2015" ] ] }, "page" : "1-22", "title" : "An index and test of linear moderated mediation", "type" : "article-journal", "volume" : "50" }, "uris" : [ "http://www.mendeley.com/documents/?uuid=060e041f-1aba-4899-a61c-fa56fd6f0f1a" ] } ], "mendeley" : { "formattedCitation" : "(Hayes 2015)", "manualFormatting" : "(Hayes, 2015)", "plainTextFormattedCitation" : "(Hayes 2015)", "previouslyFormattedCitation" : "(Hayes 2015)" }, "properties" : { "noteIndex" : 0 }, "schema" : "https://github.com/citation-style-language/schema/raw/master/csl-citation.json" }</w:instrText>
      </w:r>
      <w:r w:rsidRPr="00452E2E">
        <w:fldChar w:fldCharType="separate"/>
      </w:r>
      <w:r w:rsidRPr="00452E2E">
        <w:rPr>
          <w:noProof/>
        </w:rPr>
        <w:t>(Hayes, 2015)</w:t>
      </w:r>
      <w:r w:rsidRPr="00452E2E">
        <w:fldChar w:fldCharType="end"/>
      </w:r>
      <w:r w:rsidRPr="00452E2E">
        <w:t>. In presenting the results of moderated mediation in the subsequent sections, the index of moderated mediation (I</w:t>
      </w:r>
      <w:r w:rsidRPr="00452E2E">
        <w:rPr>
          <w:vertAlign w:val="subscript"/>
        </w:rPr>
        <w:t>m</w:t>
      </w:r>
      <w:r w:rsidRPr="00452E2E">
        <w:t xml:space="preserve">) and confidence intervals (CI) are reported. </w:t>
      </w:r>
    </w:p>
    <w:p w:rsidR="00D03A8E" w:rsidRPr="00452E2E" w:rsidRDefault="00D03A8E" w:rsidP="00D03A8E">
      <w:pPr>
        <w:spacing w:before="240" w:line="360" w:lineRule="auto"/>
        <w:jc w:val="both"/>
      </w:pPr>
    </w:p>
    <w:p w:rsidR="00D03A8E" w:rsidRPr="00452E2E" w:rsidRDefault="00D03A8E" w:rsidP="00D03A8E">
      <w:pPr>
        <w:jc w:val="both"/>
        <w:rPr>
          <w:i/>
        </w:rPr>
      </w:pPr>
      <w:r w:rsidRPr="00452E2E">
        <w:rPr>
          <w:i/>
        </w:rPr>
        <w:lastRenderedPageBreak/>
        <w:t>The Moderation Effect of Sector on the Effect of Mediating Variables on HR Practices-Job Satisfaction Relationship</w:t>
      </w:r>
    </w:p>
    <w:p w:rsidR="007B4B18" w:rsidRPr="00452E2E" w:rsidRDefault="007B4B18" w:rsidP="007B4B18">
      <w:pPr>
        <w:spacing w:line="360" w:lineRule="auto"/>
        <w:jc w:val="both"/>
      </w:pPr>
      <w:r w:rsidRPr="00452E2E">
        <w:t xml:space="preserve">The moderation effect of sector on the effect of mediation effect of mediating variables on HR practices-job satisfaction relationship was examined with results for procedural justice, commitment-focused HR attribution, control-focused HR attribution and union compliance HR attribution presented in tables 7.18, 7.19, 7.20 and 7.21 respectively. </w:t>
      </w:r>
      <w:r w:rsidR="00653C2E" w:rsidRPr="00452E2E">
        <w:t>Results of</w:t>
      </w:r>
      <w:r w:rsidR="0076222A" w:rsidRPr="00452E2E">
        <w:t xml:space="preserve"> the moderation effect of sector on </w:t>
      </w:r>
      <w:r w:rsidR="00FF572C" w:rsidRPr="00452E2E">
        <w:t xml:space="preserve">the mediating effect of </w:t>
      </w:r>
      <w:r w:rsidR="0076222A" w:rsidRPr="00452E2E">
        <w:t xml:space="preserve">procedural justice </w:t>
      </w:r>
      <w:r w:rsidR="00FF572C" w:rsidRPr="00452E2E">
        <w:t xml:space="preserve">on HR practices-job satisfaction relationship </w:t>
      </w:r>
      <w:r w:rsidR="0076222A" w:rsidRPr="00452E2E">
        <w:t>in table 7.18 below indicate a non-significant index of moderated mediation on all the HR practices: training (I</w:t>
      </w:r>
      <w:r w:rsidR="0076222A" w:rsidRPr="00452E2E">
        <w:rPr>
          <w:vertAlign w:val="subscript"/>
        </w:rPr>
        <w:t>m</w:t>
      </w:r>
      <w:r w:rsidR="0076222A" w:rsidRPr="00452E2E">
        <w:rPr>
          <w:i/>
        </w:rPr>
        <w:t xml:space="preserve"> </w:t>
      </w:r>
      <w:r w:rsidR="0076222A" w:rsidRPr="00452E2E">
        <w:t>= -.010, CI = -.038 to .007), employee benefits (I</w:t>
      </w:r>
      <w:r w:rsidR="0076222A" w:rsidRPr="00452E2E">
        <w:rPr>
          <w:vertAlign w:val="subscript"/>
        </w:rPr>
        <w:t>m</w:t>
      </w:r>
      <w:r w:rsidR="0076222A" w:rsidRPr="00452E2E">
        <w:rPr>
          <w:i/>
        </w:rPr>
        <w:t xml:space="preserve"> </w:t>
      </w:r>
      <w:r w:rsidR="0076222A" w:rsidRPr="00452E2E">
        <w:t>= -.015, CI = -.055 to .009) and employee participation (I</w:t>
      </w:r>
      <w:r w:rsidR="0076222A" w:rsidRPr="00452E2E">
        <w:rPr>
          <w:vertAlign w:val="subscript"/>
        </w:rPr>
        <w:t>m</w:t>
      </w:r>
      <w:r w:rsidR="0076222A" w:rsidRPr="00452E2E">
        <w:rPr>
          <w:i/>
        </w:rPr>
        <w:t xml:space="preserve"> </w:t>
      </w:r>
      <w:r w:rsidR="0076222A" w:rsidRPr="00452E2E">
        <w:t xml:space="preserve">= -.016, CI = -.052 to .013). This means that there was no significant effect of sector on the mediation effect of procedural justice on HR practices-job satisfaction relationship since the confidence intervals for each index of moderated mediation contained zero. Accordingly, </w:t>
      </w:r>
      <w:r w:rsidR="00EA2D95" w:rsidRPr="00452E2E">
        <w:t xml:space="preserve">hypothesis 7 is not supported. </w:t>
      </w:r>
    </w:p>
    <w:p w:rsidR="00D03A8E" w:rsidRPr="00452E2E" w:rsidRDefault="00B21171" w:rsidP="00D03A8E">
      <w:pPr>
        <w:pStyle w:val="Caption"/>
        <w:rPr>
          <w:b w:val="0"/>
        </w:rPr>
      </w:pPr>
      <w:bookmarkStart w:id="190" w:name="_Toc465419877"/>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18</w:t>
      </w:r>
      <w:r w:rsidR="00B26571">
        <w:rPr>
          <w:noProof/>
        </w:rPr>
        <w:fldChar w:fldCharType="end"/>
      </w:r>
      <w:r w:rsidR="00D03A8E" w:rsidRPr="00452E2E">
        <w:t>: Moderated Mediation Effect of Procedural Justice and Sector on the Relationship between HR Practices and Job Satisfaction</w:t>
      </w:r>
      <w:bookmarkEnd w:id="190"/>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job satisfaction.</w:t>
      </w:r>
    </w:p>
    <w:p w:rsidR="00D03A8E" w:rsidRPr="00452E2E" w:rsidRDefault="00D03A8E" w:rsidP="00D03A8E">
      <w:pPr>
        <w:spacing w:line="360" w:lineRule="auto"/>
        <w:jc w:val="both"/>
      </w:pPr>
    </w:p>
    <w:p w:rsidR="00EA2D95" w:rsidRPr="00452E2E" w:rsidRDefault="00EA2D95" w:rsidP="00D03A8E">
      <w:pPr>
        <w:spacing w:line="360" w:lineRule="auto"/>
        <w:jc w:val="both"/>
      </w:pPr>
      <w:r w:rsidRPr="00452E2E">
        <w:t xml:space="preserve">Similarly, table 7.19 overleaf shows a non-significant moderated mediation effect of sector on </w:t>
      </w:r>
      <w:r w:rsidR="00586C10" w:rsidRPr="00452E2E">
        <w:t xml:space="preserve">the mediating effect of </w:t>
      </w:r>
      <w:r w:rsidRPr="00452E2E">
        <w:t>commitment-focused HR attribution</w:t>
      </w:r>
      <w:r w:rsidR="00586C10" w:rsidRPr="00452E2E">
        <w:t xml:space="preserve"> on HR practices-job satisfaction relationship</w:t>
      </w:r>
      <w:r w:rsidRPr="00452E2E">
        <w:t>. Results for each HR practice indicate that the index of moderated mediation for training (I</w:t>
      </w:r>
      <w:r w:rsidRPr="00452E2E">
        <w:rPr>
          <w:vertAlign w:val="subscript"/>
        </w:rPr>
        <w:t>m</w:t>
      </w:r>
      <w:r w:rsidRPr="00452E2E">
        <w:rPr>
          <w:i/>
        </w:rPr>
        <w:t xml:space="preserve"> </w:t>
      </w:r>
      <w:r w:rsidRPr="00452E2E">
        <w:t>= -.010, CI = -.038 to .007), employee benefits (I</w:t>
      </w:r>
      <w:r w:rsidRPr="00452E2E">
        <w:rPr>
          <w:vertAlign w:val="subscript"/>
        </w:rPr>
        <w:t>m</w:t>
      </w:r>
      <w:r w:rsidRPr="00452E2E">
        <w:rPr>
          <w:i/>
        </w:rPr>
        <w:t xml:space="preserve"> </w:t>
      </w:r>
      <w:r w:rsidRPr="00452E2E">
        <w:t xml:space="preserve">= -.010, CI = -.038 to .007) and employee participation were </w:t>
      </w:r>
      <w:r w:rsidRPr="00452E2E">
        <w:lastRenderedPageBreak/>
        <w:t xml:space="preserve">non-significant since the confidence intervals contained zero in each case. This suggests </w:t>
      </w:r>
      <w:r w:rsidR="00404359" w:rsidRPr="00452E2E">
        <w:t xml:space="preserve">a </w:t>
      </w:r>
      <w:r w:rsidRPr="00452E2E">
        <w:t>no</w:t>
      </w:r>
      <w:r w:rsidR="00404359" w:rsidRPr="00452E2E">
        <w:t>n-</w:t>
      </w:r>
      <w:r w:rsidRPr="00452E2E">
        <w:t xml:space="preserve"> significant effect of sector on the mediation effect of commitment-focused HR attribution on HR practices-job satisfaction relationship. Therefore, h</w:t>
      </w:r>
      <w:r w:rsidR="00E74AD7" w:rsidRPr="00452E2E">
        <w:t xml:space="preserve">ypothesis 21 is not supported. </w:t>
      </w:r>
    </w:p>
    <w:p w:rsidR="00D03A8E" w:rsidRPr="00452E2E" w:rsidRDefault="00B21171" w:rsidP="00D03A8E">
      <w:pPr>
        <w:pStyle w:val="Caption"/>
        <w:rPr>
          <w:b w:val="0"/>
        </w:rPr>
      </w:pPr>
      <w:bookmarkStart w:id="191" w:name="_Toc465419878"/>
      <w:r w:rsidRPr="00452E2E">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19</w:t>
      </w:r>
      <w:r w:rsidR="00B26571">
        <w:rPr>
          <w:noProof/>
        </w:rPr>
        <w:fldChar w:fldCharType="end"/>
      </w:r>
      <w:r w:rsidR="00D03A8E" w:rsidRPr="00452E2E">
        <w:t>: Moderated Mediation Effect of Commitment-focused HR Attribution and Sector on the Relationship between HR Practices and Job Satisfaction</w:t>
      </w:r>
      <w:bookmarkEnd w:id="191"/>
    </w:p>
    <w:tbl>
      <w:tblPr>
        <w:tblStyle w:val="TableGrid"/>
        <w:tblW w:w="0" w:type="auto"/>
        <w:shd w:val="clear" w:color="auto" w:fill="FFFFFF" w:themeFill="background1"/>
        <w:tblLook w:val="04A0" w:firstRow="1" w:lastRow="0" w:firstColumn="1" w:lastColumn="0" w:noHBand="0" w:noVBand="1"/>
      </w:tblPr>
      <w:tblGrid>
        <w:gridCol w:w="4073"/>
        <w:gridCol w:w="1385"/>
        <w:gridCol w:w="838"/>
        <w:gridCol w:w="1005"/>
        <w:gridCol w:w="1028"/>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Commitment-focused HR Attribution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.029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.071</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rPr>
                <w:sz w:val="18"/>
                <w:szCs w:val="18"/>
              </w:rPr>
            </w:pPr>
            <w:r w:rsidRPr="00452E2E">
              <w:rPr>
                <w:sz w:val="18"/>
                <w:szCs w:val="18"/>
              </w:rPr>
              <w:t xml:space="preserve"> .028</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.075</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job satisfaction.</w:t>
      </w:r>
    </w:p>
    <w:p w:rsidR="00391EAC" w:rsidRPr="00452E2E" w:rsidRDefault="00391EAC" w:rsidP="00D03A8E">
      <w:pPr>
        <w:rPr>
          <w:sz w:val="16"/>
          <w:szCs w:val="16"/>
        </w:rPr>
      </w:pPr>
    </w:p>
    <w:p w:rsidR="00391EAC" w:rsidRPr="00452E2E" w:rsidRDefault="00653C2E" w:rsidP="00391EAC">
      <w:pPr>
        <w:spacing w:line="360" w:lineRule="auto"/>
        <w:jc w:val="both"/>
        <w:rPr>
          <w:sz w:val="16"/>
          <w:szCs w:val="16"/>
        </w:rPr>
      </w:pPr>
      <w:r w:rsidRPr="00452E2E">
        <w:t>Results of</w:t>
      </w:r>
      <w:r w:rsidR="00391EAC" w:rsidRPr="00452E2E">
        <w:t xml:space="preserve"> the moderation effect of sector on the mediating effect of control-focused HR attribution on HR practices-job satisfaction</w:t>
      </w:r>
      <w:r w:rsidR="00EE19BA" w:rsidRPr="00452E2E">
        <w:t xml:space="preserve"> relationship presented</w:t>
      </w:r>
      <w:r w:rsidR="00391EAC" w:rsidRPr="00452E2E">
        <w:t xml:space="preserve"> in table 7.20 </w:t>
      </w:r>
      <w:r w:rsidR="001F4EA7" w:rsidRPr="00452E2E">
        <w:t>overleaf</w:t>
      </w:r>
      <w:r w:rsidR="00586C10" w:rsidRPr="00452E2E">
        <w:t xml:space="preserve"> </w:t>
      </w:r>
      <w:r w:rsidR="00391EAC" w:rsidRPr="00452E2E">
        <w:t>indicate a non-significant moderated mediation effect for all the HR practices: training (I</w:t>
      </w:r>
      <w:r w:rsidR="00391EAC" w:rsidRPr="00452E2E">
        <w:rPr>
          <w:vertAlign w:val="subscript"/>
        </w:rPr>
        <w:t>m</w:t>
      </w:r>
      <w:r w:rsidR="00391EAC" w:rsidRPr="00452E2E">
        <w:rPr>
          <w:i/>
        </w:rPr>
        <w:t xml:space="preserve"> </w:t>
      </w:r>
      <w:r w:rsidR="00391EAC" w:rsidRPr="00452E2E">
        <w:t>= -.005, CI = -.001 to .023), employee benefits (I</w:t>
      </w:r>
      <w:r w:rsidR="00391EAC" w:rsidRPr="00452E2E">
        <w:rPr>
          <w:vertAlign w:val="subscript"/>
        </w:rPr>
        <w:t>m</w:t>
      </w:r>
      <w:r w:rsidR="00391EAC" w:rsidRPr="00452E2E">
        <w:rPr>
          <w:i/>
        </w:rPr>
        <w:t xml:space="preserve"> </w:t>
      </w:r>
      <w:r w:rsidR="00C61B79" w:rsidRPr="00452E2E">
        <w:t xml:space="preserve">= -.003, CI = </w:t>
      </w:r>
      <w:r w:rsidR="00391EAC" w:rsidRPr="00452E2E">
        <w:t>-.018 to .007) and employee participation (I</w:t>
      </w:r>
      <w:r w:rsidR="00391EAC" w:rsidRPr="00452E2E">
        <w:rPr>
          <w:vertAlign w:val="subscript"/>
        </w:rPr>
        <w:t>m</w:t>
      </w:r>
      <w:r w:rsidR="00391EAC" w:rsidRPr="00452E2E">
        <w:rPr>
          <w:i/>
        </w:rPr>
        <w:t xml:space="preserve"> </w:t>
      </w:r>
      <w:r w:rsidR="00391EAC" w:rsidRPr="00452E2E">
        <w:t>= .007, CI = -.002 to .029). This result indicates that there is no significant effect of sector on the mediation effect of HR practices-job satisfaction</w:t>
      </w:r>
      <w:r w:rsidR="005F3741" w:rsidRPr="00452E2E">
        <w:t xml:space="preserve">. </w:t>
      </w:r>
      <w:r w:rsidR="00031BE5" w:rsidRPr="00452E2E">
        <w:t>Nevertheless,</w:t>
      </w:r>
      <w:r w:rsidR="00391EAC" w:rsidRPr="00452E2E">
        <w:t xml:space="preserve"> hypothesis 23</w:t>
      </w:r>
      <w:r w:rsidR="005F3741" w:rsidRPr="00452E2E">
        <w:t xml:space="preserve"> is supported</w:t>
      </w:r>
      <w:r w:rsidR="001B2889" w:rsidRPr="00452E2E">
        <w:t xml:space="preserve"> since this hypothesis was stated in null form to the effect that there would be no difference in the mediation effect of sector on the mediation effect of control-focused HR attribution on HR practices-job satisfaction relationship</w:t>
      </w:r>
      <w:r w:rsidR="00391EAC" w:rsidRPr="00452E2E">
        <w:t>.</w:t>
      </w:r>
    </w:p>
    <w:p w:rsidR="001F4EA7" w:rsidRPr="00452E2E" w:rsidRDefault="001F4EA7" w:rsidP="00D03A8E">
      <w:pPr>
        <w:pStyle w:val="Caption"/>
      </w:pPr>
      <w:bookmarkStart w:id="192" w:name="_Toc465419879"/>
    </w:p>
    <w:p w:rsidR="001F4EA7" w:rsidRPr="00452E2E" w:rsidRDefault="001F4EA7" w:rsidP="00D03A8E">
      <w:pPr>
        <w:pStyle w:val="Caption"/>
      </w:pPr>
    </w:p>
    <w:p w:rsidR="001F4EA7" w:rsidRPr="00452E2E" w:rsidRDefault="001F4EA7" w:rsidP="00D03A8E">
      <w:pPr>
        <w:pStyle w:val="Caption"/>
      </w:pPr>
    </w:p>
    <w:p w:rsidR="001F4EA7" w:rsidRPr="00452E2E" w:rsidRDefault="001F4EA7" w:rsidP="00D03A8E">
      <w:pPr>
        <w:pStyle w:val="Caption"/>
      </w:pPr>
    </w:p>
    <w:p w:rsidR="001F4EA7" w:rsidRPr="00452E2E" w:rsidRDefault="001F4EA7" w:rsidP="00D03A8E">
      <w:pPr>
        <w:pStyle w:val="Caption"/>
      </w:pPr>
    </w:p>
    <w:p w:rsidR="00A40A1E" w:rsidRPr="00452E2E" w:rsidRDefault="00A40A1E" w:rsidP="00A40A1E"/>
    <w:p w:rsidR="00D03A8E" w:rsidRPr="00452E2E" w:rsidRDefault="00B21171" w:rsidP="00D03A8E">
      <w:pPr>
        <w:pStyle w:val="Caption"/>
        <w:rPr>
          <w:b w:val="0"/>
        </w:rPr>
      </w:pPr>
      <w:r w:rsidRPr="00452E2E">
        <w:lastRenderedPageBreak/>
        <w:t>Table 7</w:t>
      </w:r>
      <w:r w:rsidR="00D03A8E" w:rsidRPr="00452E2E">
        <w:t>.</w:t>
      </w:r>
      <w:r w:rsidR="00B26571">
        <w:fldChar w:fldCharType="begin"/>
      </w:r>
      <w:r w:rsidR="00B26571">
        <w:instrText xml:space="preserve"> SEQ Table \* ARABIC \s 1 </w:instrText>
      </w:r>
      <w:r w:rsidR="00B26571">
        <w:fldChar w:fldCharType="separate"/>
      </w:r>
      <w:r w:rsidR="00AE2756" w:rsidRPr="00452E2E">
        <w:rPr>
          <w:noProof/>
        </w:rPr>
        <w:t>20</w:t>
      </w:r>
      <w:r w:rsidR="00B26571">
        <w:rPr>
          <w:noProof/>
        </w:rPr>
        <w:fldChar w:fldCharType="end"/>
      </w:r>
      <w:r w:rsidR="00D03A8E" w:rsidRPr="00452E2E">
        <w:t>: Moderated Mediation Effect of Control-focused HR Attribution and Sector on the Relationship between HR Practices and Job Satisfaction</w:t>
      </w:r>
      <w:bookmarkEnd w:id="192"/>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 HR Attribution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.020</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.007</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.029</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job satisfaction.</w:t>
      </w:r>
    </w:p>
    <w:p w:rsidR="00391EAC" w:rsidRPr="00452E2E" w:rsidRDefault="00653C2E" w:rsidP="00D03A8E">
      <w:pPr>
        <w:spacing w:line="360" w:lineRule="auto"/>
        <w:jc w:val="both"/>
      </w:pPr>
      <w:r w:rsidRPr="00452E2E">
        <w:t>Finally, results of</w:t>
      </w:r>
      <w:r w:rsidR="0019232E" w:rsidRPr="00452E2E">
        <w:t xml:space="preserve"> the moderation effect of sector on the mediation effect of union compliance HR attribution on</w:t>
      </w:r>
      <w:r w:rsidR="0099146A" w:rsidRPr="00452E2E">
        <w:t xml:space="preserve"> HR practices-job satisfaction </w:t>
      </w:r>
      <w:r w:rsidR="0096582A" w:rsidRPr="00452E2E">
        <w:t xml:space="preserve">relationship </w:t>
      </w:r>
      <w:r w:rsidR="0099146A" w:rsidRPr="00452E2E">
        <w:t xml:space="preserve">in </w:t>
      </w:r>
      <w:r w:rsidR="0019232E" w:rsidRPr="00452E2E">
        <w:t>table 7.21</w:t>
      </w:r>
      <w:r w:rsidR="0099146A" w:rsidRPr="00452E2E">
        <w:t xml:space="preserve"> below</w:t>
      </w:r>
      <w:r w:rsidR="0019232E" w:rsidRPr="00452E2E">
        <w:t xml:space="preserve"> indicates a non-significant moderated mediation effect </w:t>
      </w:r>
      <w:r w:rsidR="00D46CAE" w:rsidRPr="00452E2E">
        <w:t xml:space="preserve">of sector on the mediation effect of union compliance HR attribution on HR practices-job satisfaction relationship </w:t>
      </w:r>
      <w:r w:rsidR="0019232E" w:rsidRPr="00452E2E">
        <w:t>for all the HR practices: training (I</w:t>
      </w:r>
      <w:r w:rsidR="0019232E" w:rsidRPr="00452E2E">
        <w:rPr>
          <w:vertAlign w:val="subscript"/>
        </w:rPr>
        <w:t>m</w:t>
      </w:r>
      <w:r w:rsidR="0019232E" w:rsidRPr="00452E2E">
        <w:rPr>
          <w:i/>
        </w:rPr>
        <w:t xml:space="preserve"> </w:t>
      </w:r>
      <w:r w:rsidR="0019232E" w:rsidRPr="00452E2E">
        <w:t>= -.012, CI = -.056 to .005), employee benefits (I</w:t>
      </w:r>
      <w:r w:rsidR="0019232E" w:rsidRPr="00452E2E">
        <w:rPr>
          <w:vertAlign w:val="subscript"/>
        </w:rPr>
        <w:t>m</w:t>
      </w:r>
      <w:r w:rsidR="0019232E" w:rsidRPr="00452E2E">
        <w:rPr>
          <w:i/>
        </w:rPr>
        <w:t xml:space="preserve"> </w:t>
      </w:r>
      <w:r w:rsidR="0019232E" w:rsidRPr="00452E2E">
        <w:t>= -.026, CI = -.084 to .008) and employee participation (I</w:t>
      </w:r>
      <w:r w:rsidR="0019232E" w:rsidRPr="00452E2E">
        <w:rPr>
          <w:vertAlign w:val="subscript"/>
        </w:rPr>
        <w:t>m</w:t>
      </w:r>
      <w:r w:rsidR="0019232E" w:rsidRPr="00452E2E">
        <w:rPr>
          <w:i/>
        </w:rPr>
        <w:t xml:space="preserve"> </w:t>
      </w:r>
      <w:r w:rsidR="0019232E" w:rsidRPr="00452E2E">
        <w:t xml:space="preserve">= -.099, CI = -.275 to .055). This means that hypothesis 25 which states that the mediation effect of union compliance HR attribution on the relationship between HR practices and job satisfaction will be higher in the public sector is not supported. </w:t>
      </w:r>
    </w:p>
    <w:p w:rsidR="00D03A8E" w:rsidRPr="00452E2E" w:rsidRDefault="00D03A8E" w:rsidP="00D03A8E">
      <w:pPr>
        <w:pStyle w:val="Caption"/>
        <w:rPr>
          <w:b w:val="0"/>
        </w:rPr>
      </w:pPr>
      <w:bookmarkStart w:id="193" w:name="_Toc465419880"/>
      <w:r w:rsidRPr="00452E2E">
        <w:t>Table 7.</w:t>
      </w:r>
      <w:r w:rsidR="00B26571">
        <w:fldChar w:fldCharType="begin"/>
      </w:r>
      <w:r w:rsidR="00B26571">
        <w:instrText xml:space="preserve"> SEQ Table \* ARABIC \s 1 </w:instrText>
      </w:r>
      <w:r w:rsidR="00B26571">
        <w:fldChar w:fldCharType="separate"/>
      </w:r>
      <w:r w:rsidR="00AE2756" w:rsidRPr="00452E2E">
        <w:rPr>
          <w:noProof/>
        </w:rPr>
        <w:t>21</w:t>
      </w:r>
      <w:r w:rsidR="00B26571">
        <w:rPr>
          <w:noProof/>
        </w:rPr>
        <w:fldChar w:fldCharType="end"/>
      </w:r>
      <w:r w:rsidRPr="00452E2E">
        <w:t>: Moderated Mediation Effect of Union Compliance HR Attribution and Sector on the Relationship between HR Practices and Job Satisfaction</w:t>
      </w:r>
      <w:bookmarkEnd w:id="193"/>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Union Compliance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-.096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.200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-.099</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-.275</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.055</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job satisfaction.</w:t>
      </w:r>
    </w:p>
    <w:p w:rsidR="008C5A62" w:rsidRPr="00452E2E" w:rsidRDefault="008C5A62" w:rsidP="00D03A8E">
      <w:pPr>
        <w:spacing w:line="240" w:lineRule="auto"/>
        <w:jc w:val="both"/>
        <w:rPr>
          <w:i/>
        </w:rPr>
      </w:pPr>
    </w:p>
    <w:p w:rsidR="00D03A8E" w:rsidRPr="00452E2E" w:rsidRDefault="00D03A8E" w:rsidP="00D03A8E">
      <w:pPr>
        <w:spacing w:line="240" w:lineRule="auto"/>
        <w:jc w:val="both"/>
        <w:rPr>
          <w:i/>
        </w:rPr>
      </w:pPr>
      <w:r w:rsidRPr="00452E2E">
        <w:rPr>
          <w:i/>
        </w:rPr>
        <w:t>The Moderation Effect of Sector on the Effect of Mediating Variables on HR Practices-Affective Commitment Relationship.</w:t>
      </w:r>
    </w:p>
    <w:p w:rsidR="00D03A8E" w:rsidRPr="00452E2E" w:rsidRDefault="00D03A8E" w:rsidP="00D03A8E">
      <w:pPr>
        <w:spacing w:line="360" w:lineRule="auto"/>
        <w:jc w:val="both"/>
      </w:pPr>
      <w:r w:rsidRPr="00452E2E">
        <w:t>The moderation effect</w:t>
      </w:r>
      <w:r w:rsidR="00CC518C" w:rsidRPr="00452E2E">
        <w:t>s</w:t>
      </w:r>
      <w:r w:rsidRPr="00452E2E">
        <w:t xml:space="preserve"> of sector on the mediation effect of each of procedural justice, commitment-focused HR attribution, control-focused HR attribution and union compliance HR attribution on HR practices-affective commitment relationship were examined with results presented in tables 7.22, 7.23, 7.24 and 7.25 respectively. </w:t>
      </w:r>
    </w:p>
    <w:p w:rsidR="00D03A8E" w:rsidRPr="00452E2E" w:rsidRDefault="00D03A8E" w:rsidP="00D03A8E">
      <w:pPr>
        <w:pStyle w:val="Caption"/>
        <w:rPr>
          <w:b w:val="0"/>
        </w:rPr>
      </w:pPr>
      <w:bookmarkStart w:id="194" w:name="_Toc465419881"/>
      <w:r w:rsidRPr="00452E2E">
        <w:t>Table 7.</w:t>
      </w:r>
      <w:r w:rsidR="00B26571">
        <w:fldChar w:fldCharType="begin"/>
      </w:r>
      <w:r w:rsidR="00B26571">
        <w:instrText xml:space="preserve"> SEQ Table \* ARABIC \s 1 </w:instrText>
      </w:r>
      <w:r w:rsidR="00B26571">
        <w:fldChar w:fldCharType="separate"/>
      </w:r>
      <w:r w:rsidR="00AE2756" w:rsidRPr="00452E2E">
        <w:rPr>
          <w:noProof/>
        </w:rPr>
        <w:t>22</w:t>
      </w:r>
      <w:r w:rsidR="00B26571">
        <w:rPr>
          <w:noProof/>
        </w:rPr>
        <w:fldChar w:fldCharType="end"/>
      </w:r>
      <w:r w:rsidRPr="00452E2E">
        <w:t>: Moderated Mediation Effect of Procedural Justice and Sector on the Relationship between HR Practices and Affective Commitment</w:t>
      </w:r>
      <w:bookmarkEnd w:id="194"/>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.073</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.034</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.017</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.075</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affective commitment.</w:t>
      </w:r>
    </w:p>
    <w:p w:rsidR="00D03A8E" w:rsidRPr="00452E2E" w:rsidRDefault="005C1D0D" w:rsidP="00D03A8E">
      <w:pPr>
        <w:spacing w:line="360" w:lineRule="auto"/>
        <w:jc w:val="both"/>
      </w:pPr>
      <w:r w:rsidRPr="00452E2E">
        <w:t>Results of the moderation effect of sector on the mediation effect of</w:t>
      </w:r>
      <w:r w:rsidR="00D03A8E" w:rsidRPr="00452E2E">
        <w:t xml:space="preserve"> procedural justice </w:t>
      </w:r>
      <w:r w:rsidRPr="00452E2E">
        <w:t>on HR practices-affective commitment relationship in table 7.22 above indicate</w:t>
      </w:r>
      <w:r w:rsidR="00D03A8E" w:rsidRPr="00452E2E">
        <w:t xml:space="preserve"> a significant moderated mediation effect for all the three HR practices: training (I</w:t>
      </w:r>
      <w:r w:rsidR="00D03A8E" w:rsidRPr="00452E2E">
        <w:rPr>
          <w:vertAlign w:val="subscript"/>
        </w:rPr>
        <w:t>m</w:t>
      </w:r>
      <w:r w:rsidR="00D03A8E" w:rsidRPr="00452E2E">
        <w:rPr>
          <w:i/>
        </w:rPr>
        <w:t xml:space="preserve"> </w:t>
      </w:r>
      <w:r w:rsidR="00D03A8E" w:rsidRPr="00452E2E">
        <w:t>= .022, CI = .003 to .006)</w:t>
      </w:r>
      <w:r w:rsidR="00B82C8F" w:rsidRPr="00452E2E">
        <w:t>,</w:t>
      </w:r>
      <w:r w:rsidR="00D03A8E" w:rsidRPr="00452E2E">
        <w:t xml:space="preserve"> employee benefits (I</w:t>
      </w:r>
      <w:r w:rsidR="00D03A8E" w:rsidRPr="00452E2E">
        <w:rPr>
          <w:vertAlign w:val="subscript"/>
        </w:rPr>
        <w:t>m</w:t>
      </w:r>
      <w:r w:rsidR="00D03A8E" w:rsidRPr="00452E2E">
        <w:rPr>
          <w:i/>
        </w:rPr>
        <w:t xml:space="preserve"> </w:t>
      </w:r>
      <w:r w:rsidR="00D03A8E" w:rsidRPr="00452E2E">
        <w:t>= .016, CI = .001 to .041) and employee participation (I</w:t>
      </w:r>
      <w:r w:rsidR="00D03A8E" w:rsidRPr="00452E2E">
        <w:rPr>
          <w:vertAlign w:val="subscript"/>
        </w:rPr>
        <w:t>m</w:t>
      </w:r>
      <w:r w:rsidR="00D03A8E" w:rsidRPr="00452E2E">
        <w:rPr>
          <w:i/>
        </w:rPr>
        <w:t xml:space="preserve"> </w:t>
      </w:r>
      <w:r w:rsidR="00D03A8E" w:rsidRPr="00452E2E">
        <w:t xml:space="preserve">= .034, CI = .005 to .075) since the confidence intervals were without zero. A further examination of the indirect effect scores for public and private sector suggests that for each of the HR practices, this effect was obviously higher in the public sector since the confidence intervals for the indirect effects of procedural justice on HR practices-affective commitment relationship for private sector contained zero for all the HR practices. The results for each sector are as follows: training (private sector: </w:t>
      </w:r>
      <w:r w:rsidR="00D03A8E" w:rsidRPr="00452E2E">
        <w:rPr>
          <w:i/>
        </w:rPr>
        <w:t>ab</w:t>
      </w:r>
      <w:r w:rsidR="00D03A8E" w:rsidRPr="00452E2E">
        <w:t xml:space="preserve">= .000, CI = -10 to .012; public sector: </w:t>
      </w:r>
      <w:r w:rsidR="00D03A8E" w:rsidRPr="00452E2E">
        <w:rPr>
          <w:i/>
        </w:rPr>
        <w:t>ab</w:t>
      </w:r>
      <w:r w:rsidR="00D03A8E" w:rsidRPr="00452E2E">
        <w:t xml:space="preserve"> = .022, CI = .004 to .055), employee benefits (private sector: </w:t>
      </w:r>
      <w:r w:rsidR="00D03A8E" w:rsidRPr="00452E2E">
        <w:rPr>
          <w:i/>
        </w:rPr>
        <w:t>ab</w:t>
      </w:r>
      <w:r w:rsidR="00D03A8E" w:rsidRPr="00452E2E">
        <w:t xml:space="preserve"> = .000, CI = -.008 to .008; public sector: </w:t>
      </w:r>
      <w:r w:rsidR="00D03A8E" w:rsidRPr="00452E2E">
        <w:rPr>
          <w:i/>
        </w:rPr>
        <w:t>ab</w:t>
      </w:r>
      <w:r w:rsidR="00D03A8E" w:rsidRPr="00452E2E">
        <w:t xml:space="preserve"> = .016, CI = .002 to .038) and employee participation </w:t>
      </w:r>
      <w:r w:rsidR="00D03A8E" w:rsidRPr="00452E2E">
        <w:lastRenderedPageBreak/>
        <w:t xml:space="preserve">(private sector: </w:t>
      </w:r>
      <w:r w:rsidR="00D03A8E" w:rsidRPr="00452E2E">
        <w:rPr>
          <w:i/>
        </w:rPr>
        <w:t>ab</w:t>
      </w:r>
      <w:r w:rsidR="00D03A8E" w:rsidRPr="00452E2E">
        <w:t xml:space="preserve"> = .000, CI = -.015 to .018; public sector: </w:t>
      </w:r>
      <w:r w:rsidR="00D03A8E" w:rsidRPr="00452E2E">
        <w:rPr>
          <w:i/>
        </w:rPr>
        <w:t>ab</w:t>
      </w:r>
      <w:r w:rsidR="00D03A8E" w:rsidRPr="00452E2E">
        <w:t xml:space="preserve"> = .034, CI = .007 to .073). This indicates that hypothesis </w:t>
      </w:r>
      <w:r w:rsidR="00D03A8E" w:rsidRPr="00452E2E">
        <w:rPr>
          <w:i/>
        </w:rPr>
        <w:t xml:space="preserve">8a </w:t>
      </w:r>
      <w:r w:rsidR="00D03A8E" w:rsidRPr="00452E2E">
        <w:t>which states that the mediation effect of procedural justice on the relationship between HR practices and affective commitment will be stronger in t</w:t>
      </w:r>
      <w:r w:rsidR="00752A77" w:rsidRPr="00452E2E">
        <w:t xml:space="preserve">he public sector is supported. </w:t>
      </w:r>
    </w:p>
    <w:p w:rsidR="00D03A8E" w:rsidRPr="00452E2E" w:rsidRDefault="00D03A8E" w:rsidP="00D03A8E">
      <w:pPr>
        <w:pStyle w:val="Caption"/>
        <w:rPr>
          <w:b w:val="0"/>
        </w:rPr>
      </w:pPr>
      <w:bookmarkStart w:id="195" w:name="_Toc465419882"/>
      <w:r w:rsidRPr="00452E2E">
        <w:t>Table 7.</w:t>
      </w:r>
      <w:r w:rsidR="00B26571">
        <w:fldChar w:fldCharType="begin"/>
      </w:r>
      <w:r w:rsidR="00B26571">
        <w:instrText xml:space="preserve"> SEQ Table \* ARABIC \s 1 </w:instrText>
      </w:r>
      <w:r w:rsidR="00B26571">
        <w:fldChar w:fldCharType="separate"/>
      </w:r>
      <w:r w:rsidR="00AE2756" w:rsidRPr="00452E2E">
        <w:rPr>
          <w:noProof/>
        </w:rPr>
        <w:t>23</w:t>
      </w:r>
      <w:r w:rsidR="00B26571">
        <w:rPr>
          <w:noProof/>
        </w:rPr>
        <w:fldChar w:fldCharType="end"/>
      </w:r>
      <w:r w:rsidRPr="00452E2E">
        <w:t>: Moderated Mediation Effect of Commitment-focused HR Attribution and Sector on the Relationship between HR Practices and Affective Commitment</w:t>
      </w:r>
      <w:bookmarkEnd w:id="195"/>
    </w:p>
    <w:tbl>
      <w:tblPr>
        <w:tblStyle w:val="TableGrid"/>
        <w:tblW w:w="0" w:type="auto"/>
        <w:shd w:val="clear" w:color="auto" w:fill="FFFFFF" w:themeFill="background1"/>
        <w:tblLook w:val="04A0" w:firstRow="1" w:lastRow="0" w:firstColumn="1" w:lastColumn="0" w:noHBand="0" w:noVBand="1"/>
      </w:tblPr>
      <w:tblGrid>
        <w:gridCol w:w="4073"/>
        <w:gridCol w:w="1385"/>
        <w:gridCol w:w="838"/>
        <w:gridCol w:w="1005"/>
        <w:gridCol w:w="1028"/>
      </w:tblGrid>
      <w:tr w:rsidR="00452E2E" w:rsidRPr="00452E2E" w:rsidTr="00B57950">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Commitment-focused HR Attribution</w:t>
            </w: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.008</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.040</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affective commitment.</w:t>
      </w:r>
    </w:p>
    <w:p w:rsidR="00D03A8E" w:rsidRPr="00452E2E" w:rsidRDefault="00D03A8E" w:rsidP="00D03A8E">
      <w:pPr>
        <w:spacing w:line="360" w:lineRule="auto"/>
        <w:jc w:val="both"/>
      </w:pPr>
      <w:r w:rsidRPr="00452E2E">
        <w:t xml:space="preserve">In terms of the moderated mediation effect of sector and commitment-focused on HR practices-affective commitment relationship, results in table 7.23 </w:t>
      </w:r>
      <w:r w:rsidR="00A31FC1" w:rsidRPr="00452E2E">
        <w:t xml:space="preserve">above </w:t>
      </w:r>
      <w:r w:rsidRPr="00452E2E">
        <w:t>indicate a non-significant moderated mediation effect for all the HR practices: training (I</w:t>
      </w:r>
      <w:r w:rsidRPr="00452E2E">
        <w:rPr>
          <w:vertAlign w:val="subscript"/>
        </w:rPr>
        <w:t>m</w:t>
      </w:r>
      <w:r w:rsidRPr="00452E2E">
        <w:rPr>
          <w:i/>
        </w:rPr>
        <w:t xml:space="preserve"> </w:t>
      </w:r>
      <w:r w:rsidRPr="00452E2E">
        <w:t>= .000, CI = -.006 to .006), employee benefits (I</w:t>
      </w:r>
      <w:r w:rsidRPr="00452E2E">
        <w:rPr>
          <w:vertAlign w:val="subscript"/>
        </w:rPr>
        <w:t>m</w:t>
      </w:r>
      <w:r w:rsidRPr="00452E2E">
        <w:rPr>
          <w:i/>
        </w:rPr>
        <w:t xml:space="preserve"> </w:t>
      </w:r>
      <w:r w:rsidRPr="00452E2E">
        <w:t>= .001, CI = -.002 to .014) and employee participation (I</w:t>
      </w:r>
      <w:r w:rsidRPr="00452E2E">
        <w:rPr>
          <w:vertAlign w:val="subscript"/>
        </w:rPr>
        <w:t>m</w:t>
      </w:r>
      <w:r w:rsidRPr="00452E2E">
        <w:rPr>
          <w:i/>
        </w:rPr>
        <w:t xml:space="preserve"> </w:t>
      </w:r>
      <w:r w:rsidRPr="00452E2E">
        <w:t>= .008, CI = -.012 to .040). This means that there is no significant effect of sector on the mediation effect of commitment-focused HR attribution on HR practices-af</w:t>
      </w:r>
      <w:r w:rsidR="00540EC6" w:rsidRPr="00452E2E">
        <w:t>fective commitment relationship. T</w:t>
      </w:r>
      <w:r w:rsidRPr="00452E2E">
        <w:t>here</w:t>
      </w:r>
      <w:r w:rsidR="00540EC6" w:rsidRPr="00452E2E">
        <w:t>fore,</w:t>
      </w:r>
      <w:r w:rsidRPr="00452E2E">
        <w:t xml:space="preserve"> hypothesis 22</w:t>
      </w:r>
      <w:r w:rsidRPr="00452E2E">
        <w:rPr>
          <w:i/>
        </w:rPr>
        <w:t>a</w:t>
      </w:r>
      <w:r w:rsidR="00540EC6" w:rsidRPr="00452E2E">
        <w:rPr>
          <w:i/>
        </w:rPr>
        <w:t xml:space="preserve"> </w:t>
      </w:r>
      <w:r w:rsidR="00540EC6" w:rsidRPr="00452E2E">
        <w:t xml:space="preserve">is not </w:t>
      </w:r>
      <w:r w:rsidR="00396A15" w:rsidRPr="00452E2E">
        <w:t>supported</w:t>
      </w:r>
      <w:r w:rsidRPr="00452E2E">
        <w:t xml:space="preserve">. </w:t>
      </w:r>
    </w:p>
    <w:p w:rsidR="00D51CF7" w:rsidRPr="00452E2E" w:rsidRDefault="00932EF1" w:rsidP="00D03A8E">
      <w:pPr>
        <w:spacing w:line="360" w:lineRule="auto"/>
        <w:jc w:val="both"/>
        <w:rPr>
          <w:i/>
        </w:rPr>
      </w:pPr>
      <w:r w:rsidRPr="00452E2E">
        <w:t>As for the moderated mediation effect of sector and control-focused HR attribution</w:t>
      </w:r>
      <w:r w:rsidR="00402463" w:rsidRPr="00452E2E">
        <w:t xml:space="preserve"> on HR practices-affective commitment relationship</w:t>
      </w:r>
      <w:r w:rsidRPr="00452E2E">
        <w:t xml:space="preserve">, results in table 7.24 </w:t>
      </w:r>
      <w:r w:rsidR="00240EF6" w:rsidRPr="00452E2E">
        <w:t>overleaf suggest</w:t>
      </w:r>
      <w:r w:rsidRPr="00452E2E">
        <w:t xml:space="preserve"> that the moderated mediation effect was non-significant: training (I</w:t>
      </w:r>
      <w:r w:rsidRPr="00452E2E">
        <w:rPr>
          <w:vertAlign w:val="subscript"/>
        </w:rPr>
        <w:t>m</w:t>
      </w:r>
      <w:r w:rsidRPr="00452E2E">
        <w:rPr>
          <w:i/>
        </w:rPr>
        <w:t xml:space="preserve"> </w:t>
      </w:r>
      <w:r w:rsidRPr="00452E2E">
        <w:t>= .002, CI = -.002 to .016), employee benefits (I</w:t>
      </w:r>
      <w:r w:rsidRPr="00452E2E">
        <w:rPr>
          <w:vertAlign w:val="subscript"/>
        </w:rPr>
        <w:t>m</w:t>
      </w:r>
      <w:r w:rsidRPr="00452E2E">
        <w:rPr>
          <w:i/>
        </w:rPr>
        <w:t xml:space="preserve"> </w:t>
      </w:r>
      <w:r w:rsidRPr="00452E2E">
        <w:t>= -.001, CI = -.013 to .002) and employee participation (I</w:t>
      </w:r>
      <w:r w:rsidRPr="00452E2E">
        <w:rPr>
          <w:vertAlign w:val="subscript"/>
        </w:rPr>
        <w:t>m</w:t>
      </w:r>
      <w:r w:rsidRPr="00452E2E">
        <w:rPr>
          <w:i/>
        </w:rPr>
        <w:t xml:space="preserve"> </w:t>
      </w:r>
      <w:r w:rsidRPr="00452E2E">
        <w:t>= .002, CI = -.002 to .019). Since hypothesis 24</w:t>
      </w:r>
      <w:r w:rsidRPr="00452E2E">
        <w:rPr>
          <w:i/>
        </w:rPr>
        <w:t>a</w:t>
      </w:r>
      <w:r w:rsidRPr="00452E2E">
        <w:t xml:space="preserve"> states that the mediation effect of control-focused HR attribution on the relationship between HR practices and affective </w:t>
      </w:r>
      <w:r w:rsidR="00A54D22" w:rsidRPr="00452E2E">
        <w:t xml:space="preserve">commitment </w:t>
      </w:r>
      <w:r w:rsidRPr="00452E2E">
        <w:t>will be the same in both public and private sector, hypothesis 24</w:t>
      </w:r>
      <w:r w:rsidR="00456A7C" w:rsidRPr="00452E2E">
        <w:rPr>
          <w:i/>
        </w:rPr>
        <w:t>a</w:t>
      </w:r>
      <w:r w:rsidR="00456A7C" w:rsidRPr="00452E2E">
        <w:t xml:space="preserve"> is therefore </w:t>
      </w:r>
      <w:r w:rsidR="00DB0888" w:rsidRPr="00452E2E">
        <w:t>supported</w:t>
      </w:r>
      <w:r w:rsidR="00456A7C" w:rsidRPr="00452E2E">
        <w:t>.</w:t>
      </w:r>
      <w:r w:rsidRPr="00452E2E">
        <w:rPr>
          <w:i/>
        </w:rPr>
        <w:t xml:space="preserve"> </w:t>
      </w:r>
    </w:p>
    <w:p w:rsidR="00D03A8E" w:rsidRPr="00452E2E" w:rsidRDefault="00D03A8E" w:rsidP="00D03A8E">
      <w:pPr>
        <w:pStyle w:val="Caption"/>
        <w:rPr>
          <w:b w:val="0"/>
        </w:rPr>
      </w:pPr>
      <w:bookmarkStart w:id="196" w:name="_Toc465419883"/>
      <w:r w:rsidRPr="00452E2E">
        <w:lastRenderedPageBreak/>
        <w:t>Table 7.</w:t>
      </w:r>
      <w:r w:rsidR="00B26571">
        <w:fldChar w:fldCharType="begin"/>
      </w:r>
      <w:r w:rsidR="00B26571">
        <w:instrText xml:space="preserve"> SEQ Table \* ARABIC \s 1 </w:instrText>
      </w:r>
      <w:r w:rsidR="00B26571">
        <w:fldChar w:fldCharType="separate"/>
      </w:r>
      <w:r w:rsidR="00AE2756" w:rsidRPr="00452E2E">
        <w:rPr>
          <w:noProof/>
        </w:rPr>
        <w:t>24</w:t>
      </w:r>
      <w:r w:rsidR="00B26571">
        <w:rPr>
          <w:noProof/>
        </w:rPr>
        <w:fldChar w:fldCharType="end"/>
      </w:r>
      <w:r w:rsidRPr="00452E2E">
        <w:t>: Moderated Mediation Effect of Control-focused HR Attribution and Sector on the Relationship between HR Practices and Affective Commitment</w:t>
      </w:r>
      <w:bookmarkEnd w:id="196"/>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 HR Attribution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affective commitment.</w:t>
      </w:r>
    </w:p>
    <w:p w:rsidR="00D03A8E" w:rsidRPr="00452E2E" w:rsidRDefault="00D03A8E" w:rsidP="00D03A8E">
      <w:pPr>
        <w:spacing w:line="360" w:lineRule="auto"/>
        <w:jc w:val="both"/>
      </w:pPr>
      <w:r w:rsidRPr="00452E2E">
        <w:t xml:space="preserve">For the moderated mediation effect of sector and union compliance HR attribution on HR practices-affective commitment relationship, results in table 7.25 </w:t>
      </w:r>
      <w:r w:rsidR="007C2920" w:rsidRPr="00452E2E">
        <w:t xml:space="preserve">below </w:t>
      </w:r>
      <w:r w:rsidRPr="00452E2E">
        <w:t>indicate a non-significant moderated mediation effect since the confidence intervals of the index of moderated mediation contained zero for each of the HR practices: training (I</w:t>
      </w:r>
      <w:r w:rsidRPr="00452E2E">
        <w:rPr>
          <w:vertAlign w:val="subscript"/>
        </w:rPr>
        <w:t>m</w:t>
      </w:r>
      <w:r w:rsidRPr="00452E2E">
        <w:rPr>
          <w:i/>
        </w:rPr>
        <w:t xml:space="preserve"> </w:t>
      </w:r>
      <w:r w:rsidRPr="00452E2E">
        <w:t>= .006, CI = -.011 to .042), employee benefits (I</w:t>
      </w:r>
      <w:r w:rsidRPr="00452E2E">
        <w:rPr>
          <w:vertAlign w:val="subscript"/>
        </w:rPr>
        <w:t>m</w:t>
      </w:r>
      <w:r w:rsidRPr="00452E2E">
        <w:rPr>
          <w:i/>
        </w:rPr>
        <w:t xml:space="preserve"> </w:t>
      </w:r>
      <w:r w:rsidRPr="00452E2E">
        <w:t>= .013, CI = -.028 to .064) and employee participation (I</w:t>
      </w:r>
      <w:r w:rsidRPr="00452E2E">
        <w:rPr>
          <w:vertAlign w:val="subscript"/>
        </w:rPr>
        <w:t>m</w:t>
      </w:r>
      <w:r w:rsidRPr="00452E2E">
        <w:rPr>
          <w:i/>
        </w:rPr>
        <w:t xml:space="preserve"> </w:t>
      </w:r>
      <w:r w:rsidRPr="00452E2E">
        <w:t>= .048, CI = -.115 to .192). Therefore, hypothesis 26</w:t>
      </w:r>
      <w:r w:rsidRPr="00452E2E">
        <w:rPr>
          <w:i/>
        </w:rPr>
        <w:t xml:space="preserve">a </w:t>
      </w:r>
      <w:r w:rsidRPr="00452E2E">
        <w:t xml:space="preserve">which states that the mediation effect of union compliance HR attribution on the relationship between HR practices and affective </w:t>
      </w:r>
      <w:r w:rsidR="00D56E5F" w:rsidRPr="00452E2E">
        <w:t xml:space="preserve">commitment will be higher in the public sector </w:t>
      </w:r>
      <w:r w:rsidRPr="00452E2E">
        <w:t xml:space="preserve">is not supported.  </w:t>
      </w:r>
    </w:p>
    <w:p w:rsidR="00D03A8E" w:rsidRPr="00452E2E" w:rsidRDefault="00D03A8E" w:rsidP="00D03A8E">
      <w:pPr>
        <w:pStyle w:val="Caption"/>
        <w:rPr>
          <w:b w:val="0"/>
        </w:rPr>
      </w:pPr>
      <w:bookmarkStart w:id="197" w:name="_Toc465419884"/>
      <w:r w:rsidRPr="00452E2E">
        <w:t>Table 7.</w:t>
      </w:r>
      <w:r w:rsidR="00B26571">
        <w:fldChar w:fldCharType="begin"/>
      </w:r>
      <w:r w:rsidR="00B26571">
        <w:instrText xml:space="preserve"> SEQ Table \* ARABIC \s 1 </w:instrText>
      </w:r>
      <w:r w:rsidR="00B26571">
        <w:fldChar w:fldCharType="separate"/>
      </w:r>
      <w:r w:rsidR="00AE2756" w:rsidRPr="00452E2E">
        <w:rPr>
          <w:noProof/>
        </w:rPr>
        <w:t>25</w:t>
      </w:r>
      <w:r w:rsidR="00B26571">
        <w:rPr>
          <w:noProof/>
        </w:rPr>
        <w:fldChar w:fldCharType="end"/>
      </w:r>
      <w:r w:rsidRPr="00452E2E">
        <w:t>: Moderated Mediation Effect of Union Compliance HR Attribution and Sector on the Relationship between HR Practices and Affective Commitment</w:t>
      </w:r>
      <w:bookmarkEnd w:id="197"/>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Union Compliance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-.134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.149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.104</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.048</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.081</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-.115</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.192</w:t>
            </w:r>
          </w:p>
        </w:tc>
      </w:tr>
    </w:tbl>
    <w:p w:rsidR="00D03A8E" w:rsidRPr="00452E2E" w:rsidRDefault="00E12716" w:rsidP="00D03A8E">
      <w:pPr>
        <w:rPr>
          <w:sz w:val="16"/>
          <w:szCs w:val="16"/>
        </w:rPr>
      </w:pPr>
      <w:r w:rsidRPr="00452E2E">
        <w:rPr>
          <w:sz w:val="16"/>
          <w:szCs w:val="16"/>
        </w:rPr>
        <w:t>Notes: N = 521</w:t>
      </w:r>
      <w:r w:rsidR="00D03A8E" w:rsidRPr="00452E2E">
        <w:rPr>
          <w:sz w:val="16"/>
          <w:szCs w:val="16"/>
        </w:rPr>
        <w:t>; Outcome variable is affective commitment.</w:t>
      </w:r>
    </w:p>
    <w:p w:rsidR="00D03A8E" w:rsidRPr="00452E2E" w:rsidRDefault="00D03A8E" w:rsidP="00D03A8E">
      <w:pPr>
        <w:jc w:val="both"/>
        <w:rPr>
          <w:i/>
        </w:rPr>
      </w:pPr>
    </w:p>
    <w:p w:rsidR="00D03A8E" w:rsidRPr="00452E2E" w:rsidRDefault="00D03A8E" w:rsidP="00D03A8E">
      <w:pPr>
        <w:jc w:val="both"/>
        <w:rPr>
          <w:i/>
        </w:rPr>
      </w:pPr>
      <w:r w:rsidRPr="00452E2E">
        <w:rPr>
          <w:i/>
        </w:rPr>
        <w:lastRenderedPageBreak/>
        <w:t>The Moderation Effect of Sector on the Effect of Mediating Variables on HR Practices-Normative Commitment Relationship.</w:t>
      </w:r>
    </w:p>
    <w:p w:rsidR="00D03A8E" w:rsidRPr="00452E2E" w:rsidRDefault="00D03A8E" w:rsidP="00D03A8E">
      <w:pPr>
        <w:spacing w:line="360" w:lineRule="auto"/>
        <w:jc w:val="both"/>
      </w:pPr>
      <w:r w:rsidRPr="00452E2E">
        <w:t>The moderation effect</w:t>
      </w:r>
      <w:r w:rsidR="002C4201" w:rsidRPr="00452E2E">
        <w:t>s</w:t>
      </w:r>
      <w:r w:rsidRPr="00452E2E">
        <w:t xml:space="preserve"> of sector on the mediation effect of each of procedural justice, commitment-focused HR attribution, control-focused HR attribution and union compliance HR attribution on HR practices-normative commitment relationship were examined with results presented in tables 7.26, 7.27, 7.28 and 7.29 respectively. </w:t>
      </w:r>
    </w:p>
    <w:p w:rsidR="00D03A8E" w:rsidRPr="00452E2E" w:rsidRDefault="00D03A8E" w:rsidP="00D03A8E">
      <w:pPr>
        <w:pStyle w:val="Caption"/>
        <w:rPr>
          <w:b w:val="0"/>
        </w:rPr>
      </w:pPr>
      <w:bookmarkStart w:id="198" w:name="_Toc465419885"/>
      <w:r w:rsidRPr="00452E2E">
        <w:t>Table 7.</w:t>
      </w:r>
      <w:r w:rsidR="00B26571">
        <w:fldChar w:fldCharType="begin"/>
      </w:r>
      <w:r w:rsidR="00B26571">
        <w:instrText xml:space="preserve"> SEQ Table \* ARABIC \s 1 </w:instrText>
      </w:r>
      <w:r w:rsidR="00B26571">
        <w:fldChar w:fldCharType="separate"/>
      </w:r>
      <w:r w:rsidR="00AE2756" w:rsidRPr="00452E2E">
        <w:rPr>
          <w:noProof/>
        </w:rPr>
        <w:t>26</w:t>
      </w:r>
      <w:r w:rsidR="00B26571">
        <w:rPr>
          <w:noProof/>
        </w:rPr>
        <w:fldChar w:fldCharType="end"/>
      </w:r>
      <w:r w:rsidR="00B21171" w:rsidRPr="00452E2E">
        <w:t xml:space="preserve">: </w:t>
      </w:r>
      <w:r w:rsidRPr="00452E2E">
        <w:t>Moderated Mediation Effect of Procedural Justice and Sector on the Relationship between HR Practices and Normative Commitment</w:t>
      </w:r>
      <w:bookmarkEnd w:id="198"/>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auto"/>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.095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.171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.062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.112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-.094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.031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.128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.091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.104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.054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.173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.068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.124</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.029</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-.103</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.015</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normative commitment.</w:t>
      </w:r>
    </w:p>
    <w:p w:rsidR="00D03A8E" w:rsidRPr="00452E2E" w:rsidRDefault="00D03A8E" w:rsidP="00D03A8E">
      <w:pPr>
        <w:rPr>
          <w:b/>
          <w:sz w:val="18"/>
          <w:szCs w:val="18"/>
        </w:rPr>
      </w:pPr>
    </w:p>
    <w:p w:rsidR="00D03A8E" w:rsidRPr="00452E2E" w:rsidRDefault="00D03A8E" w:rsidP="00D03A8E">
      <w:pPr>
        <w:spacing w:line="360" w:lineRule="auto"/>
        <w:jc w:val="both"/>
      </w:pPr>
      <w:r w:rsidRPr="00452E2E">
        <w:t xml:space="preserve">Results </w:t>
      </w:r>
      <w:r w:rsidR="00E85720" w:rsidRPr="00452E2E">
        <w:t>presented in table 7.26 above</w:t>
      </w:r>
      <w:r w:rsidRPr="00452E2E">
        <w:t xml:space="preserve"> indicate a non-significant moderated effect </w:t>
      </w:r>
      <w:r w:rsidR="00F312D4" w:rsidRPr="00452E2E">
        <w:t xml:space="preserve">sector on the mediation effect of procedural justice on HR practices-normative commitment relationship </w:t>
      </w:r>
      <w:r w:rsidRPr="00452E2E">
        <w:t>for all the HR practices: training (I</w:t>
      </w:r>
      <w:r w:rsidRPr="00452E2E">
        <w:rPr>
          <w:vertAlign w:val="subscript"/>
        </w:rPr>
        <w:t>m</w:t>
      </w:r>
      <w:r w:rsidRPr="00452E2E">
        <w:rPr>
          <w:i/>
        </w:rPr>
        <w:t xml:space="preserve"> </w:t>
      </w:r>
      <w:r w:rsidRPr="00452E2E">
        <w:t>= -.033, CI = -.094 to .012), employee benefits (I</w:t>
      </w:r>
      <w:r w:rsidRPr="00452E2E">
        <w:rPr>
          <w:vertAlign w:val="subscript"/>
        </w:rPr>
        <w:t>m</w:t>
      </w:r>
      <w:r w:rsidRPr="00452E2E">
        <w:rPr>
          <w:i/>
        </w:rPr>
        <w:t xml:space="preserve"> </w:t>
      </w:r>
      <w:r w:rsidRPr="00452E2E">
        <w:t>= -.023, CI = -.066 to .006) and employee participation (I</w:t>
      </w:r>
      <w:r w:rsidRPr="00452E2E">
        <w:rPr>
          <w:vertAlign w:val="subscript"/>
        </w:rPr>
        <w:t>m</w:t>
      </w:r>
      <w:r w:rsidRPr="00452E2E">
        <w:rPr>
          <w:i/>
        </w:rPr>
        <w:t xml:space="preserve"> </w:t>
      </w:r>
      <w:r w:rsidRPr="00452E2E">
        <w:t>= -.036, CI = -.103 to .015) which means hypothesis 8</w:t>
      </w:r>
      <w:r w:rsidRPr="00452E2E">
        <w:rPr>
          <w:i/>
        </w:rPr>
        <w:t xml:space="preserve">b </w:t>
      </w:r>
      <w:r w:rsidRPr="00452E2E">
        <w:t xml:space="preserve">which states that the mediating effect of procedural justice on the relationship between HR practices and normative commitment will be stronger in the public sector is not supported. </w:t>
      </w:r>
    </w:p>
    <w:p w:rsidR="00FC415B" w:rsidRPr="00452E2E" w:rsidRDefault="00FC415B" w:rsidP="00CD5D98">
      <w:pPr>
        <w:pStyle w:val="Caption"/>
        <w:spacing w:line="360" w:lineRule="auto"/>
        <w:rPr>
          <w:b w:val="0"/>
          <w:sz w:val="24"/>
          <w:szCs w:val="24"/>
        </w:rPr>
      </w:pPr>
      <w:bookmarkStart w:id="199" w:name="_Toc465419886"/>
      <w:r w:rsidRPr="00452E2E">
        <w:rPr>
          <w:b w:val="0"/>
          <w:sz w:val="24"/>
          <w:szCs w:val="24"/>
        </w:rPr>
        <w:t xml:space="preserve">In terms of the moderated mediation effect of sector and commitment-focused HR attribution on HR practices-normative commitment relationship, results in table 7.27 </w:t>
      </w:r>
      <w:r w:rsidR="000A000B" w:rsidRPr="00452E2E">
        <w:rPr>
          <w:b w:val="0"/>
          <w:sz w:val="24"/>
          <w:szCs w:val="24"/>
        </w:rPr>
        <w:t xml:space="preserve">overleaf </w:t>
      </w:r>
      <w:r w:rsidRPr="00452E2E">
        <w:rPr>
          <w:b w:val="0"/>
          <w:sz w:val="24"/>
          <w:szCs w:val="24"/>
        </w:rPr>
        <w:t>report a non-significant moderated mediation effect for all the HR practices: training (I</w:t>
      </w:r>
      <w:r w:rsidRPr="00452E2E">
        <w:rPr>
          <w:b w:val="0"/>
          <w:sz w:val="24"/>
          <w:szCs w:val="24"/>
          <w:vertAlign w:val="subscript"/>
        </w:rPr>
        <w:t>m</w:t>
      </w:r>
      <w:r w:rsidRPr="00452E2E">
        <w:rPr>
          <w:b w:val="0"/>
          <w:i/>
          <w:sz w:val="24"/>
          <w:szCs w:val="24"/>
        </w:rPr>
        <w:t xml:space="preserve"> </w:t>
      </w:r>
      <w:r w:rsidRPr="00452E2E">
        <w:rPr>
          <w:b w:val="0"/>
          <w:sz w:val="24"/>
          <w:szCs w:val="24"/>
        </w:rPr>
        <w:t>= -.000, CI = -.013 to .011), employee benefits (I</w:t>
      </w:r>
      <w:r w:rsidRPr="00452E2E">
        <w:rPr>
          <w:b w:val="0"/>
          <w:sz w:val="24"/>
          <w:szCs w:val="24"/>
          <w:vertAlign w:val="subscript"/>
        </w:rPr>
        <w:t>m</w:t>
      </w:r>
      <w:r w:rsidRPr="00452E2E">
        <w:rPr>
          <w:b w:val="0"/>
          <w:i/>
          <w:sz w:val="24"/>
          <w:szCs w:val="24"/>
        </w:rPr>
        <w:t xml:space="preserve"> </w:t>
      </w:r>
      <w:r w:rsidRPr="00452E2E">
        <w:rPr>
          <w:b w:val="0"/>
          <w:sz w:val="24"/>
          <w:szCs w:val="24"/>
        </w:rPr>
        <w:t>= .003, CI = -.004 to .023) and employee participation (I</w:t>
      </w:r>
      <w:r w:rsidRPr="00452E2E">
        <w:rPr>
          <w:b w:val="0"/>
          <w:sz w:val="24"/>
          <w:szCs w:val="24"/>
          <w:vertAlign w:val="subscript"/>
        </w:rPr>
        <w:t>m</w:t>
      </w:r>
      <w:r w:rsidRPr="00452E2E">
        <w:rPr>
          <w:b w:val="0"/>
          <w:i/>
          <w:sz w:val="24"/>
          <w:szCs w:val="24"/>
        </w:rPr>
        <w:t xml:space="preserve"> </w:t>
      </w:r>
      <w:r w:rsidRPr="00452E2E">
        <w:rPr>
          <w:b w:val="0"/>
          <w:sz w:val="24"/>
          <w:szCs w:val="24"/>
        </w:rPr>
        <w:t>= .010, CI = -.026 to .078)</w:t>
      </w:r>
      <w:r w:rsidR="00DF4B57" w:rsidRPr="00452E2E">
        <w:rPr>
          <w:b w:val="0"/>
          <w:sz w:val="24"/>
          <w:szCs w:val="24"/>
        </w:rPr>
        <w:t>.</w:t>
      </w:r>
      <w:r w:rsidRPr="00452E2E">
        <w:rPr>
          <w:b w:val="0"/>
          <w:sz w:val="24"/>
          <w:szCs w:val="24"/>
        </w:rPr>
        <w:t xml:space="preserve"> </w:t>
      </w:r>
      <w:r w:rsidR="00DF4B57" w:rsidRPr="00452E2E">
        <w:rPr>
          <w:b w:val="0"/>
          <w:sz w:val="24"/>
          <w:szCs w:val="24"/>
        </w:rPr>
        <w:t>This means</w:t>
      </w:r>
      <w:r w:rsidRPr="00452E2E">
        <w:rPr>
          <w:b w:val="0"/>
          <w:sz w:val="24"/>
          <w:szCs w:val="24"/>
        </w:rPr>
        <w:t xml:space="preserve"> </w:t>
      </w:r>
      <w:r w:rsidR="00DF4B57" w:rsidRPr="00452E2E">
        <w:rPr>
          <w:b w:val="0"/>
          <w:sz w:val="24"/>
          <w:szCs w:val="24"/>
        </w:rPr>
        <w:t>that</w:t>
      </w:r>
      <w:r w:rsidRPr="00452E2E">
        <w:rPr>
          <w:b w:val="0"/>
          <w:sz w:val="24"/>
          <w:szCs w:val="24"/>
        </w:rPr>
        <w:t xml:space="preserve"> hypothesis 22</w:t>
      </w:r>
      <w:r w:rsidRPr="00452E2E">
        <w:rPr>
          <w:b w:val="0"/>
          <w:i/>
          <w:sz w:val="24"/>
          <w:szCs w:val="24"/>
        </w:rPr>
        <w:t>b</w:t>
      </w:r>
      <w:r w:rsidRPr="00452E2E">
        <w:rPr>
          <w:b w:val="0"/>
          <w:sz w:val="24"/>
          <w:szCs w:val="24"/>
        </w:rPr>
        <w:t xml:space="preserve"> which states that the mediation effect of commitment-</w:t>
      </w:r>
      <w:r w:rsidRPr="00452E2E">
        <w:rPr>
          <w:b w:val="0"/>
          <w:sz w:val="24"/>
          <w:szCs w:val="24"/>
        </w:rPr>
        <w:lastRenderedPageBreak/>
        <w:t>focused HR attribution on the relationship between HR practices and normative commitment will be higher in the private sector</w:t>
      </w:r>
      <w:r w:rsidR="00EF1F5F" w:rsidRPr="00452E2E">
        <w:rPr>
          <w:b w:val="0"/>
          <w:sz w:val="24"/>
          <w:szCs w:val="24"/>
        </w:rPr>
        <w:t xml:space="preserve"> is not </w:t>
      </w:r>
      <w:r w:rsidR="00D17A9F" w:rsidRPr="00452E2E">
        <w:rPr>
          <w:b w:val="0"/>
          <w:sz w:val="24"/>
          <w:szCs w:val="24"/>
        </w:rPr>
        <w:t>supported</w:t>
      </w:r>
      <w:r w:rsidRPr="00452E2E">
        <w:rPr>
          <w:b w:val="0"/>
          <w:sz w:val="24"/>
          <w:szCs w:val="24"/>
        </w:rPr>
        <w:t>.</w:t>
      </w:r>
    </w:p>
    <w:p w:rsidR="00D03A8E" w:rsidRPr="00452E2E" w:rsidRDefault="00D03A8E" w:rsidP="00D03A8E">
      <w:pPr>
        <w:pStyle w:val="Caption"/>
        <w:rPr>
          <w:b w:val="0"/>
        </w:rPr>
      </w:pPr>
      <w:r w:rsidRPr="00452E2E">
        <w:t>Table 7.</w:t>
      </w:r>
      <w:r w:rsidR="00B26571">
        <w:fldChar w:fldCharType="begin"/>
      </w:r>
      <w:r w:rsidR="00B26571">
        <w:instrText xml:space="preserve"> SEQ Table \* ARABIC \s 1 </w:instrText>
      </w:r>
      <w:r w:rsidR="00B26571">
        <w:fldChar w:fldCharType="separate"/>
      </w:r>
      <w:r w:rsidR="00AE2756" w:rsidRPr="00452E2E">
        <w:rPr>
          <w:noProof/>
        </w:rPr>
        <w:t>27</w:t>
      </w:r>
      <w:r w:rsidR="00B26571">
        <w:rPr>
          <w:noProof/>
        </w:rPr>
        <w:fldChar w:fldCharType="end"/>
      </w:r>
      <w:r w:rsidRPr="00452E2E">
        <w:t>: Moderated Mediation Effect of Commitment-focused HR Attribution and Sector on the Relationship between HR Practices and Normative Commitment</w:t>
      </w:r>
      <w:bookmarkEnd w:id="199"/>
    </w:p>
    <w:tbl>
      <w:tblPr>
        <w:tblStyle w:val="TableGrid"/>
        <w:tblW w:w="0" w:type="auto"/>
        <w:shd w:val="clear" w:color="auto" w:fill="FFFFFF" w:themeFill="background1"/>
        <w:tblLook w:val="04A0" w:firstRow="1" w:lastRow="0" w:firstColumn="1" w:lastColumn="0" w:noHBand="0" w:noVBand="1"/>
      </w:tblPr>
      <w:tblGrid>
        <w:gridCol w:w="4066"/>
        <w:gridCol w:w="1384"/>
        <w:gridCol w:w="838"/>
        <w:gridCol w:w="1004"/>
        <w:gridCol w:w="1027"/>
      </w:tblGrid>
      <w:tr w:rsidR="00452E2E" w:rsidRPr="00452E2E" w:rsidTr="00B57950">
        <w:tc>
          <w:tcPr>
            <w:tcW w:w="0" w:type="auto"/>
            <w:tcBorders>
              <w:top w:val="single" w:sz="12" w:space="0" w:color="auto"/>
              <w:left w:val="single" w:sz="12"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Commitment-focused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.048</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.010</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.025</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.078</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normative commitment.</w:t>
      </w:r>
    </w:p>
    <w:p w:rsidR="00D03A8E" w:rsidRPr="00452E2E" w:rsidRDefault="00D03A8E" w:rsidP="00D03A8E">
      <w:pPr>
        <w:rPr>
          <w:b/>
          <w:sz w:val="18"/>
          <w:szCs w:val="18"/>
        </w:rPr>
      </w:pPr>
    </w:p>
    <w:p w:rsidR="005010B9" w:rsidRPr="00452E2E" w:rsidRDefault="005010B9" w:rsidP="005010B9">
      <w:pPr>
        <w:spacing w:line="360" w:lineRule="auto"/>
        <w:jc w:val="both"/>
      </w:pPr>
      <w:r w:rsidRPr="00452E2E">
        <w:t>Similarly, the results for moderated mediation effect of sector and control-focused HR attribution on HR practices-normative commitment relationship presented in table 7.28 overleaf indicate a non-significant moderated mediation effect for all the HR practices: training (I</w:t>
      </w:r>
      <w:r w:rsidRPr="00452E2E">
        <w:rPr>
          <w:vertAlign w:val="subscript"/>
        </w:rPr>
        <w:t>m</w:t>
      </w:r>
      <w:r w:rsidRPr="00452E2E">
        <w:rPr>
          <w:i/>
        </w:rPr>
        <w:t xml:space="preserve"> </w:t>
      </w:r>
      <w:r w:rsidRPr="00452E2E">
        <w:t>= .001, CI = -.007 to .020), employee benefits (I</w:t>
      </w:r>
      <w:r w:rsidRPr="00452E2E">
        <w:rPr>
          <w:vertAlign w:val="subscript"/>
        </w:rPr>
        <w:t>m</w:t>
      </w:r>
      <w:r w:rsidRPr="00452E2E">
        <w:rPr>
          <w:i/>
        </w:rPr>
        <w:t xml:space="preserve"> </w:t>
      </w:r>
      <w:r w:rsidRPr="00452E2E">
        <w:t>= -.000, CI = -.016 to .008) and employee participation (I</w:t>
      </w:r>
      <w:r w:rsidRPr="00452E2E">
        <w:rPr>
          <w:vertAlign w:val="subscript"/>
        </w:rPr>
        <w:t>m</w:t>
      </w:r>
      <w:r w:rsidRPr="00452E2E">
        <w:rPr>
          <w:i/>
        </w:rPr>
        <w:t xml:space="preserve"> </w:t>
      </w:r>
      <w:r w:rsidRPr="00452E2E">
        <w:t>= .001, CI = -.010 to .025). Nevertheless, hypothesis 24</w:t>
      </w:r>
      <w:r w:rsidRPr="00452E2E">
        <w:rPr>
          <w:i/>
        </w:rPr>
        <w:t xml:space="preserve">b </w:t>
      </w:r>
      <w:r w:rsidRPr="00452E2E">
        <w:t xml:space="preserve">is supported since it states that the mediation effect of control-focused HR attribution on the relationship between HR practices and normative commitment will be the same in both public and private sector. </w:t>
      </w:r>
    </w:p>
    <w:p w:rsidR="00D03A8E" w:rsidRPr="00452E2E" w:rsidRDefault="00D03A8E" w:rsidP="00D03A8E">
      <w:pPr>
        <w:rPr>
          <w:b/>
          <w:sz w:val="18"/>
          <w:szCs w:val="18"/>
        </w:rPr>
      </w:pPr>
    </w:p>
    <w:p w:rsidR="00635311" w:rsidRPr="00452E2E" w:rsidRDefault="00635311" w:rsidP="00D03A8E">
      <w:pPr>
        <w:rPr>
          <w:b/>
          <w:sz w:val="18"/>
          <w:szCs w:val="18"/>
        </w:rPr>
      </w:pPr>
    </w:p>
    <w:p w:rsidR="00635311" w:rsidRPr="00452E2E" w:rsidRDefault="00635311" w:rsidP="00D03A8E">
      <w:pPr>
        <w:rPr>
          <w:b/>
          <w:sz w:val="18"/>
          <w:szCs w:val="18"/>
        </w:rPr>
      </w:pPr>
    </w:p>
    <w:p w:rsidR="00635311" w:rsidRPr="00452E2E" w:rsidRDefault="00635311" w:rsidP="00D03A8E">
      <w:pPr>
        <w:rPr>
          <w:b/>
          <w:sz w:val="18"/>
          <w:szCs w:val="18"/>
        </w:rPr>
      </w:pPr>
    </w:p>
    <w:p w:rsidR="00635311" w:rsidRPr="00452E2E" w:rsidRDefault="00635311" w:rsidP="00D03A8E">
      <w:pPr>
        <w:rPr>
          <w:b/>
          <w:sz w:val="18"/>
          <w:szCs w:val="18"/>
        </w:rPr>
      </w:pPr>
    </w:p>
    <w:p w:rsidR="00635311" w:rsidRPr="00452E2E" w:rsidRDefault="00635311" w:rsidP="00D03A8E">
      <w:pPr>
        <w:rPr>
          <w:b/>
          <w:sz w:val="18"/>
          <w:szCs w:val="18"/>
        </w:rPr>
      </w:pPr>
    </w:p>
    <w:p w:rsidR="00635311" w:rsidRPr="00452E2E" w:rsidRDefault="00635311" w:rsidP="00D03A8E">
      <w:pPr>
        <w:rPr>
          <w:b/>
          <w:sz w:val="18"/>
          <w:szCs w:val="18"/>
        </w:rPr>
      </w:pPr>
    </w:p>
    <w:p w:rsidR="00842450" w:rsidRPr="00452E2E" w:rsidRDefault="00842450" w:rsidP="00D03A8E">
      <w:pPr>
        <w:rPr>
          <w:b/>
          <w:sz w:val="18"/>
          <w:szCs w:val="18"/>
        </w:rPr>
      </w:pPr>
    </w:p>
    <w:p w:rsidR="00635311" w:rsidRPr="00452E2E" w:rsidRDefault="00635311" w:rsidP="00D03A8E">
      <w:pPr>
        <w:rPr>
          <w:b/>
          <w:sz w:val="18"/>
          <w:szCs w:val="18"/>
        </w:rPr>
      </w:pPr>
    </w:p>
    <w:p w:rsidR="00635311" w:rsidRPr="00452E2E" w:rsidRDefault="00635311" w:rsidP="00D03A8E">
      <w:pPr>
        <w:rPr>
          <w:b/>
          <w:sz w:val="18"/>
          <w:szCs w:val="18"/>
        </w:rPr>
      </w:pPr>
    </w:p>
    <w:p w:rsidR="00D03A8E" w:rsidRPr="00452E2E" w:rsidRDefault="00D03A8E" w:rsidP="00D03A8E">
      <w:pPr>
        <w:pStyle w:val="Caption"/>
        <w:rPr>
          <w:b w:val="0"/>
        </w:rPr>
      </w:pPr>
      <w:bookmarkStart w:id="200" w:name="_Toc465419887"/>
      <w:r w:rsidRPr="00452E2E">
        <w:lastRenderedPageBreak/>
        <w:t>Table 7.</w:t>
      </w:r>
      <w:r w:rsidR="00B26571">
        <w:fldChar w:fldCharType="begin"/>
      </w:r>
      <w:r w:rsidR="00B26571">
        <w:instrText xml:space="preserve"> SEQ Table \* ARABIC \s 1 </w:instrText>
      </w:r>
      <w:r w:rsidR="00B26571">
        <w:fldChar w:fldCharType="separate"/>
      </w:r>
      <w:r w:rsidR="00AE2756" w:rsidRPr="00452E2E">
        <w:rPr>
          <w:noProof/>
        </w:rPr>
        <w:t>28</w:t>
      </w:r>
      <w:r w:rsidR="00B26571">
        <w:rPr>
          <w:noProof/>
        </w:rPr>
        <w:fldChar w:fldCharType="end"/>
      </w:r>
      <w:r w:rsidRPr="00452E2E">
        <w:t>: Moderated Mediation Effect of Control-focused HR Attribution and Sector on the Relationship between HR Practices and Normative Commitment</w:t>
      </w:r>
      <w:bookmarkEnd w:id="200"/>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.025</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normative commitment.</w:t>
      </w:r>
    </w:p>
    <w:p w:rsidR="00D03A8E" w:rsidRPr="00452E2E" w:rsidRDefault="002B11E7" w:rsidP="00A27484">
      <w:pPr>
        <w:spacing w:line="360" w:lineRule="auto"/>
        <w:jc w:val="both"/>
      </w:pPr>
      <w:r w:rsidRPr="00452E2E">
        <w:t>Finally, results of</w:t>
      </w:r>
      <w:r w:rsidR="00A27484" w:rsidRPr="00452E2E">
        <w:t xml:space="preserve"> the moderated mediation effect of sector and union compliance HR attribution on HR practices-normative commitment relationship presented in table 7.29 </w:t>
      </w:r>
      <w:r w:rsidR="00D5453A" w:rsidRPr="00452E2E">
        <w:t xml:space="preserve">below </w:t>
      </w:r>
      <w:r w:rsidR="00A27484" w:rsidRPr="00452E2E">
        <w:t>show a non-significant moderated mediation effect for all the HR practices: training (I</w:t>
      </w:r>
      <w:r w:rsidR="00A27484" w:rsidRPr="00452E2E">
        <w:rPr>
          <w:vertAlign w:val="subscript"/>
        </w:rPr>
        <w:t>m</w:t>
      </w:r>
      <w:r w:rsidR="00A27484" w:rsidRPr="00452E2E">
        <w:rPr>
          <w:i/>
        </w:rPr>
        <w:t xml:space="preserve"> </w:t>
      </w:r>
      <w:r w:rsidR="00A27484" w:rsidRPr="00452E2E">
        <w:t>= -.002, CI = -.053 to .026), employee benefits (I</w:t>
      </w:r>
      <w:r w:rsidR="00A27484" w:rsidRPr="00452E2E">
        <w:rPr>
          <w:vertAlign w:val="subscript"/>
        </w:rPr>
        <w:t>m</w:t>
      </w:r>
      <w:r w:rsidR="00A27484" w:rsidRPr="00452E2E">
        <w:rPr>
          <w:i/>
        </w:rPr>
        <w:t xml:space="preserve"> </w:t>
      </w:r>
      <w:r w:rsidR="00A27484" w:rsidRPr="00452E2E">
        <w:t>= -.005, CI = -.064 to .051) and employee participation (I</w:t>
      </w:r>
      <w:r w:rsidR="00A27484" w:rsidRPr="00452E2E">
        <w:rPr>
          <w:vertAlign w:val="subscript"/>
        </w:rPr>
        <w:t>m</w:t>
      </w:r>
      <w:r w:rsidR="00A27484" w:rsidRPr="00452E2E">
        <w:rPr>
          <w:i/>
        </w:rPr>
        <w:t xml:space="preserve"> </w:t>
      </w:r>
      <w:r w:rsidR="00A27484" w:rsidRPr="00452E2E">
        <w:t>= -.019, CI = -.285 to .181)</w:t>
      </w:r>
      <w:r w:rsidR="00217B41" w:rsidRPr="00452E2E">
        <w:t>,</w:t>
      </w:r>
      <w:r w:rsidR="00A27484" w:rsidRPr="00452E2E">
        <w:t xml:space="preserve"> which means that hypothesis 26</w:t>
      </w:r>
      <w:r w:rsidR="00A27484" w:rsidRPr="00452E2E">
        <w:rPr>
          <w:i/>
        </w:rPr>
        <w:t xml:space="preserve">b </w:t>
      </w:r>
      <w:r w:rsidR="00A27484" w:rsidRPr="00452E2E">
        <w:t xml:space="preserve">is not supported. </w:t>
      </w:r>
    </w:p>
    <w:p w:rsidR="00D03A8E" w:rsidRPr="00452E2E" w:rsidRDefault="00D03A8E" w:rsidP="00D03A8E">
      <w:pPr>
        <w:pStyle w:val="Caption"/>
        <w:rPr>
          <w:b w:val="0"/>
        </w:rPr>
      </w:pPr>
      <w:bookmarkStart w:id="201" w:name="_Toc465419888"/>
      <w:r w:rsidRPr="00452E2E">
        <w:t>Table 7.</w:t>
      </w:r>
      <w:r w:rsidR="00B26571">
        <w:fldChar w:fldCharType="begin"/>
      </w:r>
      <w:r w:rsidR="00B26571">
        <w:instrText xml:space="preserve"> SEQ Table \* ARABIC \s 1 </w:instrText>
      </w:r>
      <w:r w:rsidR="00B26571">
        <w:fldChar w:fldCharType="separate"/>
      </w:r>
      <w:r w:rsidR="00AE2756" w:rsidRPr="00452E2E">
        <w:rPr>
          <w:noProof/>
        </w:rPr>
        <w:t>29</w:t>
      </w:r>
      <w:r w:rsidR="00B26571">
        <w:rPr>
          <w:noProof/>
        </w:rPr>
        <w:fldChar w:fldCharType="end"/>
      </w:r>
      <w:r w:rsidRPr="00452E2E">
        <w:t>: Moderated Mediation Effect of Union Compliance HR Attribution and Sector on the Relationship between HR Practices and Normative Commitment</w:t>
      </w:r>
      <w:bookmarkEnd w:id="201"/>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Union Compliance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.092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.181</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-.188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.054</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.112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-.285</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.181</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normative commitment.</w:t>
      </w:r>
    </w:p>
    <w:p w:rsidR="00D03A8E" w:rsidRPr="00452E2E" w:rsidRDefault="00D03A8E" w:rsidP="00D03A8E">
      <w:pPr>
        <w:spacing w:line="360" w:lineRule="auto"/>
        <w:jc w:val="both"/>
      </w:pPr>
    </w:p>
    <w:p w:rsidR="00A27484" w:rsidRPr="00452E2E" w:rsidRDefault="00A27484" w:rsidP="00D03A8E">
      <w:pPr>
        <w:jc w:val="both"/>
        <w:rPr>
          <w:i/>
        </w:rPr>
      </w:pPr>
    </w:p>
    <w:p w:rsidR="00A27484" w:rsidRPr="00452E2E" w:rsidRDefault="00A27484" w:rsidP="00D03A8E">
      <w:pPr>
        <w:jc w:val="both"/>
        <w:rPr>
          <w:i/>
        </w:rPr>
      </w:pPr>
    </w:p>
    <w:p w:rsidR="00D03A8E" w:rsidRPr="00452E2E" w:rsidRDefault="00D03A8E" w:rsidP="00D03A8E">
      <w:pPr>
        <w:jc w:val="both"/>
        <w:rPr>
          <w:i/>
        </w:rPr>
      </w:pPr>
      <w:r w:rsidRPr="00452E2E">
        <w:rPr>
          <w:i/>
        </w:rPr>
        <w:lastRenderedPageBreak/>
        <w:t>The Moderation Effect of Sector on the Effect of Mediating Variables on HR Practices-Continuance Commitment Relationship.</w:t>
      </w:r>
    </w:p>
    <w:p w:rsidR="00D03A8E" w:rsidRPr="00452E2E" w:rsidRDefault="00D03A8E" w:rsidP="00D03A8E">
      <w:pPr>
        <w:spacing w:line="360" w:lineRule="auto"/>
        <w:jc w:val="both"/>
      </w:pPr>
      <w:r w:rsidRPr="00452E2E">
        <w:t>The moderation effect of sector on the mediation effect of each of procedural justice, commitment-focused HR attribution, control-focused HR attribution and union compliance HR attribution on HR practices-continuance commitment relationship were examined with results presented in tables 7.30, 7.31, 7.32 and 7.33 respectively. Results for moderated mediation effect of</w:t>
      </w:r>
      <w:r w:rsidR="00FE3999" w:rsidRPr="00452E2E">
        <w:t xml:space="preserve"> sector and procedural justice in table 7.30 below</w:t>
      </w:r>
      <w:r w:rsidRPr="00452E2E">
        <w:t xml:space="preserve"> indicate a non-significant moderated mediation effect for all the HR practices: training (I</w:t>
      </w:r>
      <w:r w:rsidRPr="00452E2E">
        <w:rPr>
          <w:vertAlign w:val="subscript"/>
        </w:rPr>
        <w:t>m</w:t>
      </w:r>
      <w:r w:rsidRPr="00452E2E">
        <w:rPr>
          <w:i/>
        </w:rPr>
        <w:t xml:space="preserve"> </w:t>
      </w:r>
      <w:r w:rsidRPr="00452E2E">
        <w:t>= .002, CI = -.052 to .055), employee benefits (I</w:t>
      </w:r>
      <w:r w:rsidRPr="00452E2E">
        <w:rPr>
          <w:vertAlign w:val="subscript"/>
        </w:rPr>
        <w:t>m</w:t>
      </w:r>
      <w:r w:rsidRPr="00452E2E">
        <w:rPr>
          <w:i/>
        </w:rPr>
        <w:t xml:space="preserve"> </w:t>
      </w:r>
      <w:r w:rsidRPr="00452E2E">
        <w:t>= .002, CI = -.038 to .040) and employee participation (I</w:t>
      </w:r>
      <w:r w:rsidRPr="00452E2E">
        <w:rPr>
          <w:vertAlign w:val="subscript"/>
        </w:rPr>
        <w:t>m</w:t>
      </w:r>
      <w:r w:rsidRPr="00452E2E">
        <w:rPr>
          <w:i/>
        </w:rPr>
        <w:t xml:space="preserve"> </w:t>
      </w:r>
      <w:r w:rsidRPr="00452E2E">
        <w:t>= .003, CI = -.055 to .064) which means that hypothesis 8</w:t>
      </w:r>
      <w:r w:rsidRPr="00452E2E">
        <w:rPr>
          <w:i/>
        </w:rPr>
        <w:t xml:space="preserve">c </w:t>
      </w:r>
      <w:r w:rsidRPr="00452E2E">
        <w:t xml:space="preserve">which states that the mediation effect of procedural justice on the relationship between HR practices and continuance commitment will be stronger in the public sector is not supported. </w:t>
      </w:r>
    </w:p>
    <w:p w:rsidR="00D03A8E" w:rsidRPr="00452E2E" w:rsidRDefault="00D03A8E" w:rsidP="00D03A8E">
      <w:pPr>
        <w:pStyle w:val="Caption"/>
        <w:rPr>
          <w:b w:val="0"/>
        </w:rPr>
      </w:pPr>
      <w:bookmarkStart w:id="202" w:name="_Toc465419889"/>
      <w:r w:rsidRPr="00452E2E">
        <w:t>Table 7.</w:t>
      </w:r>
      <w:r w:rsidR="00B26571">
        <w:fldChar w:fldCharType="begin"/>
      </w:r>
      <w:r w:rsidR="00B26571">
        <w:instrText xml:space="preserve"> SEQ Table \* ARABIC \s 1 </w:instrText>
      </w:r>
      <w:r w:rsidR="00B26571">
        <w:fldChar w:fldCharType="separate"/>
      </w:r>
      <w:r w:rsidR="00AE2756" w:rsidRPr="00452E2E">
        <w:rPr>
          <w:noProof/>
        </w:rPr>
        <w:t>30</w:t>
      </w:r>
      <w:r w:rsidR="00B26571">
        <w:rPr>
          <w:noProof/>
        </w:rPr>
        <w:fldChar w:fldCharType="end"/>
      </w:r>
      <w:r w:rsidRPr="00452E2E">
        <w:t>: Moderated Mediation Effect of Procedural Justice and Sector on the Relationship between HR Practices and Continuance Commitment</w:t>
      </w:r>
      <w:bookmarkEnd w:id="202"/>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Procedural Justice</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.055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.040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-.097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.029</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-.055</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.064</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continuance commitment.</w:t>
      </w:r>
    </w:p>
    <w:p w:rsidR="00D03A8E" w:rsidRPr="00452E2E" w:rsidRDefault="00D03A8E" w:rsidP="00D03A8E">
      <w:pPr>
        <w:rPr>
          <w:b/>
          <w:sz w:val="18"/>
          <w:szCs w:val="18"/>
        </w:rPr>
      </w:pPr>
    </w:p>
    <w:p w:rsidR="00D03A8E" w:rsidRPr="00452E2E" w:rsidRDefault="00D03A8E" w:rsidP="00D03A8E">
      <w:pPr>
        <w:spacing w:line="360" w:lineRule="auto"/>
        <w:jc w:val="both"/>
      </w:pPr>
      <w:r w:rsidRPr="00452E2E">
        <w:t xml:space="preserve">As for the moderated mediation effect of sector and commitment-focused HR attribution on HR practices-continuance commitment relationship, results in table 7.31 </w:t>
      </w:r>
      <w:r w:rsidR="00EC50D7" w:rsidRPr="00452E2E">
        <w:t xml:space="preserve">overleaf </w:t>
      </w:r>
      <w:r w:rsidRPr="00452E2E">
        <w:t>indicate a non-significant moderated mediation effect for all the HR practices: training (I</w:t>
      </w:r>
      <w:r w:rsidRPr="00452E2E">
        <w:rPr>
          <w:vertAlign w:val="subscript"/>
        </w:rPr>
        <w:t>m</w:t>
      </w:r>
      <w:r w:rsidRPr="00452E2E">
        <w:rPr>
          <w:i/>
        </w:rPr>
        <w:t xml:space="preserve"> </w:t>
      </w:r>
      <w:r w:rsidRPr="00452E2E">
        <w:t>= .000, CI = -.005 to .009), employee benefits (I</w:t>
      </w:r>
      <w:r w:rsidRPr="00452E2E">
        <w:rPr>
          <w:vertAlign w:val="subscript"/>
        </w:rPr>
        <w:t>m</w:t>
      </w:r>
      <w:r w:rsidRPr="00452E2E">
        <w:rPr>
          <w:i/>
        </w:rPr>
        <w:t xml:space="preserve"> </w:t>
      </w:r>
      <w:r w:rsidRPr="00452E2E">
        <w:t>= .000, CI = -.009 to .012) and employee participation (I</w:t>
      </w:r>
      <w:r w:rsidRPr="00452E2E">
        <w:rPr>
          <w:vertAlign w:val="subscript"/>
        </w:rPr>
        <w:t>m</w:t>
      </w:r>
      <w:r w:rsidRPr="00452E2E">
        <w:rPr>
          <w:i/>
        </w:rPr>
        <w:t xml:space="preserve"> </w:t>
      </w:r>
      <w:r w:rsidRPr="00452E2E">
        <w:t xml:space="preserve">= .001, CI = -.058 to .048) since the confidence intervals in each case contain zero. This </w:t>
      </w:r>
      <w:r w:rsidR="00CA4E13" w:rsidRPr="00452E2E">
        <w:t>indicates that</w:t>
      </w:r>
      <w:r w:rsidRPr="00452E2E">
        <w:t xml:space="preserve"> hypothesis 22</w:t>
      </w:r>
      <w:r w:rsidRPr="00452E2E">
        <w:rPr>
          <w:i/>
        </w:rPr>
        <w:t>c</w:t>
      </w:r>
      <w:r w:rsidRPr="00452E2E">
        <w:t xml:space="preserve"> which states that the mediation effect of commitment-focused HR attribution on </w:t>
      </w:r>
      <w:r w:rsidRPr="00452E2E">
        <w:lastRenderedPageBreak/>
        <w:t>the relationship between HR practices and continuance commitment will be higher in the private sector</w:t>
      </w:r>
      <w:r w:rsidR="00CA4E13" w:rsidRPr="00452E2E">
        <w:t xml:space="preserve"> is not supported</w:t>
      </w:r>
      <w:r w:rsidRPr="00452E2E">
        <w:t xml:space="preserve">. </w:t>
      </w:r>
    </w:p>
    <w:p w:rsidR="00D03A8E" w:rsidRPr="00452E2E" w:rsidRDefault="00D03A8E" w:rsidP="00D03A8E">
      <w:pPr>
        <w:pStyle w:val="Caption"/>
        <w:rPr>
          <w:b w:val="0"/>
        </w:rPr>
      </w:pPr>
      <w:bookmarkStart w:id="203" w:name="_Toc465419890"/>
      <w:r w:rsidRPr="00452E2E">
        <w:t>Table 7.</w:t>
      </w:r>
      <w:r w:rsidR="00B26571">
        <w:fldChar w:fldCharType="begin"/>
      </w:r>
      <w:r w:rsidR="00B26571">
        <w:instrText xml:space="preserve"> SEQ Table \* ARABIC \s 1 </w:instrText>
      </w:r>
      <w:r w:rsidR="00B26571">
        <w:fldChar w:fldCharType="separate"/>
      </w:r>
      <w:r w:rsidR="00AE2756" w:rsidRPr="00452E2E">
        <w:rPr>
          <w:noProof/>
        </w:rPr>
        <w:t>31</w:t>
      </w:r>
      <w:r w:rsidR="00B26571">
        <w:rPr>
          <w:noProof/>
        </w:rPr>
        <w:fldChar w:fldCharType="end"/>
      </w:r>
      <w:r w:rsidRPr="00452E2E">
        <w:t>: Moderated Mediation Effect of Commitment-focused HR Attribution and Sector on the Relationship between HR Practices and Continuance Commitment</w:t>
      </w:r>
      <w:bookmarkEnd w:id="203"/>
    </w:p>
    <w:tbl>
      <w:tblPr>
        <w:tblStyle w:val="TableGrid"/>
        <w:tblW w:w="0" w:type="auto"/>
        <w:shd w:val="clear" w:color="auto" w:fill="FFFFFF" w:themeFill="background1"/>
        <w:tblLook w:val="04A0" w:firstRow="1" w:lastRow="0" w:firstColumn="1" w:lastColumn="0" w:noHBand="0" w:noVBand="1"/>
      </w:tblPr>
      <w:tblGrid>
        <w:gridCol w:w="4073"/>
        <w:gridCol w:w="1385"/>
        <w:gridCol w:w="838"/>
        <w:gridCol w:w="1005"/>
        <w:gridCol w:w="1028"/>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Commitment-focused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.030</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.001</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-.058</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.048</w:t>
            </w:r>
          </w:p>
        </w:tc>
      </w:tr>
    </w:tbl>
    <w:p w:rsidR="00D03A8E" w:rsidRPr="00452E2E" w:rsidRDefault="00D03A8E" w:rsidP="00D03A8E">
      <w:pPr>
        <w:rPr>
          <w:sz w:val="16"/>
          <w:szCs w:val="16"/>
        </w:rPr>
      </w:pPr>
      <w:r w:rsidRPr="00452E2E">
        <w:rPr>
          <w:sz w:val="16"/>
          <w:szCs w:val="16"/>
        </w:rPr>
        <w:t>Notes: N = 5</w:t>
      </w:r>
      <w:r w:rsidR="00AE69A9" w:rsidRPr="00452E2E">
        <w:rPr>
          <w:sz w:val="16"/>
          <w:szCs w:val="16"/>
        </w:rPr>
        <w:t>2</w:t>
      </w:r>
      <w:r w:rsidRPr="00452E2E">
        <w:rPr>
          <w:sz w:val="16"/>
          <w:szCs w:val="16"/>
        </w:rPr>
        <w:t>1; Outcome variable is continuance commitment.</w:t>
      </w:r>
    </w:p>
    <w:p w:rsidR="00D03A8E" w:rsidRPr="00452E2E" w:rsidRDefault="00D03A8E" w:rsidP="00D03A8E">
      <w:pPr>
        <w:rPr>
          <w:b/>
          <w:sz w:val="18"/>
          <w:szCs w:val="18"/>
        </w:rPr>
      </w:pPr>
    </w:p>
    <w:p w:rsidR="00D03A8E" w:rsidRPr="00452E2E" w:rsidRDefault="00D03A8E" w:rsidP="00D03A8E">
      <w:pPr>
        <w:pStyle w:val="Caption"/>
        <w:rPr>
          <w:b w:val="0"/>
        </w:rPr>
      </w:pPr>
      <w:bookmarkStart w:id="204" w:name="_Toc465419891"/>
      <w:r w:rsidRPr="00452E2E">
        <w:t>Table 7.</w:t>
      </w:r>
      <w:r w:rsidR="00B26571">
        <w:fldChar w:fldCharType="begin"/>
      </w:r>
      <w:r w:rsidR="00B26571">
        <w:instrText xml:space="preserve"> SEQ Table \* ARABIC \s 1 </w:instrText>
      </w:r>
      <w:r w:rsidR="00B26571">
        <w:fldChar w:fldCharType="separate"/>
      </w:r>
      <w:r w:rsidR="00AE2756" w:rsidRPr="00452E2E">
        <w:rPr>
          <w:noProof/>
        </w:rPr>
        <w:t>32</w:t>
      </w:r>
      <w:r w:rsidR="00B26571">
        <w:rPr>
          <w:noProof/>
        </w:rPr>
        <w:fldChar w:fldCharType="end"/>
      </w:r>
      <w:r w:rsidRPr="00452E2E">
        <w:t>: Moderated Mediation Effect of Control-focused HR Attribution and Sector on the Relationship between HR Practices and Continuance Commitment</w:t>
      </w:r>
      <w:bookmarkEnd w:id="204"/>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Control-focused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-.052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.022</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-.005</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.064</w:t>
            </w:r>
          </w:p>
        </w:tc>
      </w:tr>
    </w:tbl>
    <w:p w:rsidR="00D03A8E" w:rsidRPr="00452E2E" w:rsidRDefault="00AE69A9" w:rsidP="00D03A8E">
      <w:pPr>
        <w:rPr>
          <w:sz w:val="16"/>
          <w:szCs w:val="16"/>
        </w:rPr>
      </w:pPr>
      <w:r w:rsidRPr="00452E2E">
        <w:rPr>
          <w:sz w:val="16"/>
          <w:szCs w:val="16"/>
        </w:rPr>
        <w:t>Notes: N = 521</w:t>
      </w:r>
      <w:r w:rsidR="00D03A8E" w:rsidRPr="00452E2E">
        <w:rPr>
          <w:sz w:val="16"/>
          <w:szCs w:val="16"/>
        </w:rPr>
        <w:t>; Outcome variable is continuance commitment.</w:t>
      </w:r>
    </w:p>
    <w:p w:rsidR="00D03A8E" w:rsidRPr="00452E2E" w:rsidRDefault="00D03A8E" w:rsidP="00D03A8E">
      <w:pPr>
        <w:spacing w:line="360" w:lineRule="auto"/>
        <w:jc w:val="both"/>
      </w:pPr>
      <w:r w:rsidRPr="00452E2E">
        <w:t xml:space="preserve">Similar findings were reported </w:t>
      </w:r>
      <w:r w:rsidR="0062253E" w:rsidRPr="00452E2E">
        <w:t>for</w:t>
      </w:r>
      <w:r w:rsidRPr="00452E2E">
        <w:t xml:space="preserve"> the moderated mediation effect of sector and control-focused HR attribution on HR practices- continuance commitment relationship. Results in table 7.32 </w:t>
      </w:r>
      <w:r w:rsidR="00E716C3" w:rsidRPr="00452E2E">
        <w:t xml:space="preserve">above </w:t>
      </w:r>
      <w:r w:rsidRPr="00452E2E">
        <w:t>indicate a non-significant moderated mediation effect for all the HR practices: training (I</w:t>
      </w:r>
      <w:r w:rsidRPr="00452E2E">
        <w:rPr>
          <w:vertAlign w:val="subscript"/>
        </w:rPr>
        <w:t>m</w:t>
      </w:r>
      <w:r w:rsidRPr="00452E2E">
        <w:rPr>
          <w:i/>
        </w:rPr>
        <w:t xml:space="preserve"> </w:t>
      </w:r>
      <w:r w:rsidRPr="00452E2E">
        <w:t>= .011, CI = -.006 to .044), employee benefits (I</w:t>
      </w:r>
      <w:r w:rsidRPr="00452E2E">
        <w:rPr>
          <w:vertAlign w:val="subscript"/>
        </w:rPr>
        <w:t>m</w:t>
      </w:r>
      <w:r w:rsidRPr="00452E2E">
        <w:rPr>
          <w:i/>
        </w:rPr>
        <w:t xml:space="preserve"> </w:t>
      </w:r>
      <w:r w:rsidRPr="00452E2E">
        <w:t>= -.006, CI = -.032 to .010) and employee participation (I</w:t>
      </w:r>
      <w:r w:rsidRPr="00452E2E">
        <w:rPr>
          <w:vertAlign w:val="subscript"/>
        </w:rPr>
        <w:t>m</w:t>
      </w:r>
      <w:r w:rsidRPr="00452E2E">
        <w:rPr>
          <w:i/>
        </w:rPr>
        <w:t xml:space="preserve"> </w:t>
      </w:r>
      <w:r w:rsidRPr="00452E2E">
        <w:t>= .016, CI = -.005 to .064) since the confidence intervals contained zero in each case. Nevertheless, hypothesis 24</w:t>
      </w:r>
      <w:r w:rsidRPr="00452E2E">
        <w:rPr>
          <w:i/>
        </w:rPr>
        <w:t>c</w:t>
      </w:r>
      <w:r w:rsidRPr="00452E2E">
        <w:t xml:space="preserve"> is supported since it states that the mediation effect </w:t>
      </w:r>
      <w:r w:rsidRPr="00452E2E">
        <w:lastRenderedPageBreak/>
        <w:t xml:space="preserve">of control-focused HR attribution on the relationship between HR practices and continuance commitment will be the same in both public and private sector. </w:t>
      </w:r>
    </w:p>
    <w:p w:rsidR="00D03A8E" w:rsidRPr="00452E2E" w:rsidRDefault="00D03A8E" w:rsidP="00D03A8E">
      <w:pPr>
        <w:pStyle w:val="Caption"/>
        <w:rPr>
          <w:b w:val="0"/>
        </w:rPr>
      </w:pPr>
      <w:bookmarkStart w:id="205" w:name="_Toc465419892"/>
      <w:r w:rsidRPr="00452E2E">
        <w:t>Table 7.</w:t>
      </w:r>
      <w:r w:rsidR="00B26571">
        <w:fldChar w:fldCharType="begin"/>
      </w:r>
      <w:r w:rsidR="00B26571">
        <w:instrText xml:space="preserve"> SEQ Ta</w:instrText>
      </w:r>
      <w:r w:rsidR="00B26571">
        <w:instrText xml:space="preserve">ble \* ARABIC \s 1 </w:instrText>
      </w:r>
      <w:r w:rsidR="00B26571">
        <w:fldChar w:fldCharType="separate"/>
      </w:r>
      <w:r w:rsidR="00AE2756" w:rsidRPr="00452E2E">
        <w:rPr>
          <w:noProof/>
        </w:rPr>
        <w:t>33</w:t>
      </w:r>
      <w:r w:rsidR="00B26571">
        <w:rPr>
          <w:noProof/>
        </w:rPr>
        <w:fldChar w:fldCharType="end"/>
      </w:r>
      <w:r w:rsidRPr="00452E2E">
        <w:t>: Moderated Mediation Effect of Union Compliance HR Attribution and Sector on the Relationship between HR Practices and Continuance Commitment</w:t>
      </w:r>
      <w:bookmarkEnd w:id="205"/>
    </w:p>
    <w:tbl>
      <w:tblPr>
        <w:tblStyle w:val="TableGrid"/>
        <w:tblW w:w="0" w:type="auto"/>
        <w:shd w:val="clear" w:color="auto" w:fill="FFFFFF" w:themeFill="background1"/>
        <w:tblLook w:val="04A0" w:firstRow="1" w:lastRow="0" w:firstColumn="1" w:lastColumn="0" w:noHBand="0" w:noVBand="1"/>
      </w:tblPr>
      <w:tblGrid>
        <w:gridCol w:w="4005"/>
        <w:gridCol w:w="1388"/>
        <w:gridCol w:w="840"/>
        <w:gridCol w:w="1008"/>
        <w:gridCol w:w="1031"/>
      </w:tblGrid>
      <w:tr w:rsidR="00452E2E" w:rsidRPr="00452E2E" w:rsidTr="00B57950">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Variables</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Indirect Effect</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SE</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LLCI</w:t>
            </w:r>
          </w:p>
        </w:tc>
        <w:tc>
          <w:tcPr>
            <w:tcW w:w="0" w:type="auto"/>
            <w:tcBorders>
              <w:top w:val="single" w:sz="12" w:space="0" w:color="auto"/>
              <w:left w:val="single" w:sz="4" w:space="0" w:color="FFFFFF" w:themeColor="background1"/>
              <w:bottom w:val="single" w:sz="4" w:space="0" w:color="000000"/>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sz w:val="18"/>
                <w:szCs w:val="18"/>
              </w:rPr>
              <w:t>Boot ULCI</w:t>
            </w:r>
          </w:p>
        </w:tc>
      </w:tr>
      <w:tr w:rsidR="00452E2E" w:rsidRPr="00452E2E" w:rsidTr="00B57950">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b/>
                <w:i/>
                <w:sz w:val="18"/>
                <w:szCs w:val="18"/>
              </w:rPr>
              <w:t>Mediator</w:t>
            </w:r>
            <w:r w:rsidRPr="00452E2E">
              <w:rPr>
                <w:b/>
                <w:sz w:val="18"/>
                <w:szCs w:val="18"/>
              </w:rPr>
              <w:t>:</w:t>
            </w:r>
            <w:r w:rsidRPr="00452E2E">
              <w:rPr>
                <w:sz w:val="18"/>
                <w:szCs w:val="18"/>
              </w:rPr>
              <w:t xml:space="preserve"> </w:t>
            </w:r>
            <w:r w:rsidRPr="00452E2E">
              <w:rPr>
                <w:b/>
                <w:sz w:val="18"/>
                <w:szCs w:val="18"/>
              </w:rPr>
              <w:t>Union Compliance HR Attribution</w:t>
            </w: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000000"/>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Training</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.016</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.047</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.085</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Benefits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-.083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.031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.006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.079</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.038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-.009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.143</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Independent Variable: </w:t>
            </w:r>
            <w:r w:rsidRPr="00452E2E">
              <w:rPr>
                <w:b/>
                <w:sz w:val="18"/>
                <w:szCs w:val="18"/>
              </w:rPr>
              <w:t>Employee Participation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b/>
                <w:sz w:val="18"/>
                <w:szCs w:val="18"/>
              </w:rPr>
            </w:pPr>
            <w:r w:rsidRPr="00452E2E">
              <w:rPr>
                <w:b/>
                <w:i/>
                <w:sz w:val="18"/>
                <w:szCs w:val="18"/>
              </w:rPr>
              <w:t xml:space="preserve">Moderator: </w:t>
            </w:r>
            <w:r w:rsidRPr="00452E2E">
              <w:rPr>
                <w:b/>
                <w:sz w:val="18"/>
                <w:szCs w:val="18"/>
              </w:rPr>
              <w:t>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Private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-.253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.140</w:t>
            </w:r>
          </w:p>
        </w:tc>
      </w:tr>
      <w:tr w:rsidR="00452E2E" w:rsidRPr="00452E2E" w:rsidTr="00B57950">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Public Sector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.116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.046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.032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.213</w:t>
            </w:r>
          </w:p>
        </w:tc>
      </w:tr>
      <w:tr w:rsidR="00452E2E" w:rsidRPr="00452E2E" w:rsidTr="00B57950">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Index of Moderated Mediation</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 xml:space="preserve"> .143</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.122</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-.036</w:t>
            </w:r>
          </w:p>
        </w:tc>
        <w:tc>
          <w:tcPr>
            <w:tcW w:w="0" w:type="auto"/>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rsidR="00D03A8E" w:rsidRPr="00452E2E" w:rsidRDefault="00D03A8E" w:rsidP="00B57950">
            <w:pPr>
              <w:jc w:val="both"/>
              <w:rPr>
                <w:sz w:val="18"/>
                <w:szCs w:val="18"/>
              </w:rPr>
            </w:pPr>
            <w:r w:rsidRPr="00452E2E">
              <w:rPr>
                <w:sz w:val="18"/>
                <w:szCs w:val="18"/>
              </w:rPr>
              <w:t>.403</w:t>
            </w:r>
          </w:p>
        </w:tc>
      </w:tr>
    </w:tbl>
    <w:p w:rsidR="00D03A8E" w:rsidRPr="00452E2E" w:rsidRDefault="00AE69A9" w:rsidP="00D03A8E">
      <w:pPr>
        <w:rPr>
          <w:sz w:val="16"/>
          <w:szCs w:val="16"/>
        </w:rPr>
      </w:pPr>
      <w:r w:rsidRPr="00452E2E">
        <w:rPr>
          <w:sz w:val="16"/>
          <w:szCs w:val="16"/>
        </w:rPr>
        <w:t>Notes: N = 521</w:t>
      </w:r>
      <w:r w:rsidR="00D03A8E" w:rsidRPr="00452E2E">
        <w:rPr>
          <w:sz w:val="16"/>
          <w:szCs w:val="16"/>
        </w:rPr>
        <w:t>; Outcome variable is continuance commitment.</w:t>
      </w:r>
    </w:p>
    <w:p w:rsidR="00D03A8E" w:rsidRPr="00452E2E" w:rsidRDefault="00D03A8E" w:rsidP="00D03A8E">
      <w:pPr>
        <w:spacing w:line="360" w:lineRule="auto"/>
        <w:jc w:val="both"/>
      </w:pPr>
      <w:r w:rsidRPr="00452E2E">
        <w:t xml:space="preserve">Finally, results of the moderated mediation effect of sector and union compliance HR attribution on HR practices-continuance commitment relationship presented in table 7.33 </w:t>
      </w:r>
      <w:r w:rsidR="00D323D3" w:rsidRPr="00452E2E">
        <w:t xml:space="preserve">above </w:t>
      </w:r>
      <w:r w:rsidRPr="00452E2E">
        <w:t>indicate a non-significant moderated mediation effect for all the HR practices: training (I</w:t>
      </w:r>
      <w:r w:rsidRPr="00452E2E">
        <w:rPr>
          <w:vertAlign w:val="subscript"/>
        </w:rPr>
        <w:t>m</w:t>
      </w:r>
      <w:r w:rsidRPr="00452E2E">
        <w:rPr>
          <w:i/>
        </w:rPr>
        <w:t xml:space="preserve"> </w:t>
      </w:r>
      <w:r w:rsidRPr="00452E2E">
        <w:t>= .017, CI = -.003 to .085), employee benefits (I</w:t>
      </w:r>
      <w:r w:rsidRPr="00452E2E">
        <w:rPr>
          <w:vertAlign w:val="subscript"/>
        </w:rPr>
        <w:t>m</w:t>
      </w:r>
      <w:r w:rsidRPr="00452E2E">
        <w:rPr>
          <w:i/>
        </w:rPr>
        <w:t xml:space="preserve"> </w:t>
      </w:r>
      <w:r w:rsidRPr="00452E2E">
        <w:t>= .038, CI = -.009 to .143) and employee participation (I</w:t>
      </w:r>
      <w:r w:rsidRPr="00452E2E">
        <w:rPr>
          <w:vertAlign w:val="subscript"/>
        </w:rPr>
        <w:t>m</w:t>
      </w:r>
      <w:r w:rsidRPr="00452E2E">
        <w:rPr>
          <w:i/>
        </w:rPr>
        <w:t xml:space="preserve"> </w:t>
      </w:r>
      <w:r w:rsidRPr="00452E2E">
        <w:t>= .143, CI = -.036 to .403) since the confidence intervals in each case contained zero. This indicates that hypothesis 26</w:t>
      </w:r>
      <w:r w:rsidRPr="00452E2E">
        <w:rPr>
          <w:i/>
        </w:rPr>
        <w:t xml:space="preserve">c </w:t>
      </w:r>
      <w:r w:rsidRPr="00452E2E">
        <w:t xml:space="preserve">which states that the mediation effect of union compliance HR attribution on the relationship between HR practices and continuance commitment will be higher in the public sector is not supported. </w:t>
      </w:r>
    </w:p>
    <w:p w:rsidR="00D03A8E" w:rsidRPr="00452E2E" w:rsidRDefault="002D2E09" w:rsidP="00D03A8E">
      <w:pPr>
        <w:spacing w:line="360" w:lineRule="auto"/>
        <w:jc w:val="both"/>
      </w:pPr>
      <w:r w:rsidRPr="00452E2E">
        <w:t>In sum, r</w:t>
      </w:r>
      <w:r w:rsidR="00D03A8E" w:rsidRPr="00452E2E">
        <w:t xml:space="preserve">esults of tests of moderated mediation effects indicate that only hypothesis 8a was supported. On the other hand, hypotheses 8b-c, 21, 22a-c, 23, 24a-c, 25 and 26a-c were not supported. The summary of the chapter is the focus of the next section. </w:t>
      </w:r>
    </w:p>
    <w:p w:rsidR="00D03A8E" w:rsidRPr="00452E2E" w:rsidRDefault="00D03A8E" w:rsidP="00170224">
      <w:pPr>
        <w:pStyle w:val="Heading3"/>
      </w:pPr>
      <w:bookmarkStart w:id="206" w:name="_Toc473808192"/>
      <w:r w:rsidRPr="00452E2E">
        <w:t>7.6 Summary</w:t>
      </w:r>
      <w:bookmarkEnd w:id="206"/>
    </w:p>
    <w:p w:rsidR="00D03A8E" w:rsidRPr="00452E2E" w:rsidRDefault="00D03A8E" w:rsidP="00D03A8E">
      <w:pPr>
        <w:spacing w:line="360" w:lineRule="auto"/>
        <w:jc w:val="both"/>
      </w:pPr>
      <w:r w:rsidRPr="00452E2E">
        <w:t>The analysis of data and findings from study 2 were presented in this chapter. The chapter presented the analysis of data to establish reliability and construct validity of the constructs in the research. Thereafter, hypothesized relationships that were presented in chapter 6 were tested via regression analysis, test</w:t>
      </w:r>
      <w:r w:rsidR="00052B7E" w:rsidRPr="00452E2E">
        <w:t>s</w:t>
      </w:r>
      <w:r w:rsidRPr="00452E2E">
        <w:t xml:space="preserve"> of mediation effect</w:t>
      </w:r>
      <w:r w:rsidR="00052B7E" w:rsidRPr="00452E2E">
        <w:t>s</w:t>
      </w:r>
      <w:r w:rsidRPr="00452E2E">
        <w:t xml:space="preserve"> and test</w:t>
      </w:r>
      <w:r w:rsidR="00052B7E" w:rsidRPr="00452E2E">
        <w:t>s</w:t>
      </w:r>
      <w:r w:rsidRPr="00452E2E">
        <w:t xml:space="preserve"> of moderated mediation effect</w:t>
      </w:r>
      <w:r w:rsidR="00052B7E" w:rsidRPr="00452E2E">
        <w:t>s</w:t>
      </w:r>
      <w:r w:rsidRPr="00452E2E">
        <w:t xml:space="preserve">. Findings reveal that HR practices </w:t>
      </w:r>
      <w:r w:rsidRPr="00452E2E">
        <w:lastRenderedPageBreak/>
        <w:t xml:space="preserve">had significant positive relationship with job satisfaction, affective commitment and normative commitment. The effect of HR practices on continuance commitment was however negative. Further, results indicate that procedural justice had significant effects on affective and normative commitment but not with job satisfaction. In addition, commitment-focused HR attribution had significant effects on job satisfaction but not with all the three forms of organizational commitment. However, both control-focused and union compliance HR attributions had no significant effects on job satisfaction and the three forms of organizational commitment. </w:t>
      </w:r>
    </w:p>
    <w:p w:rsidR="00D03A8E" w:rsidRPr="00452E2E" w:rsidRDefault="00D03A8E" w:rsidP="00D03A8E">
      <w:pPr>
        <w:spacing w:line="360" w:lineRule="auto"/>
        <w:jc w:val="both"/>
      </w:pPr>
      <w:r w:rsidRPr="00452E2E">
        <w:t xml:space="preserve">The test of mediation effect revealed that the effect of training and employee benefits on affective, normative and continuance commitment were mediated by procedural justice whilst there was no mediation effect of procedural justice on the relationship between employee participation and employee attitudes. Neither was there </w:t>
      </w:r>
      <w:r w:rsidR="00052B7E" w:rsidRPr="00452E2E">
        <w:t xml:space="preserve">a </w:t>
      </w:r>
      <w:r w:rsidRPr="00452E2E">
        <w:t xml:space="preserve">mediation effect of procedural justice on </w:t>
      </w:r>
      <w:r w:rsidR="00371AF6" w:rsidRPr="00452E2E">
        <w:t xml:space="preserve">the relationship between </w:t>
      </w:r>
      <w:r w:rsidRPr="00452E2E">
        <w:t>HR practices and employee attitudes. As for the mediation effect of HR attributions, findings revealed that only commitment-focused HR attribution mediated the relationship between employee participation and job satisfaction but not with any of the three forms of organizational commitment. However, there was no mediation effect of commitment-focused HR attribution on the relationship between training as well as employee benefits on any of the employee attitudes. Further, the other two forms of HR attributions – control-focused and union compliance HR attributions – had no mediation effect on the relationship between HR practices and employee attitudes.</w:t>
      </w:r>
    </w:p>
    <w:p w:rsidR="00D03A8E" w:rsidRPr="00452E2E" w:rsidRDefault="00D03A8E" w:rsidP="00D03A8E">
      <w:pPr>
        <w:spacing w:line="360" w:lineRule="auto"/>
        <w:jc w:val="both"/>
      </w:pPr>
      <w:r w:rsidRPr="00452E2E">
        <w:t>Finally, the test</w:t>
      </w:r>
      <w:r w:rsidR="00DD7D67" w:rsidRPr="00452E2E">
        <w:t>s</w:t>
      </w:r>
      <w:r w:rsidRPr="00452E2E">
        <w:t xml:space="preserve"> of moderated mediation effect</w:t>
      </w:r>
      <w:r w:rsidR="00DD7D67" w:rsidRPr="00452E2E">
        <w:t>s</w:t>
      </w:r>
      <w:r w:rsidRPr="00452E2E">
        <w:t xml:space="preserve"> indicated that the mediation effect of procedural justice on the relationship between HR practices (training, employee benefits and employee participation) and affective commitment was </w:t>
      </w:r>
      <w:r w:rsidR="005D69DE" w:rsidRPr="00452E2E">
        <w:t>higher</w:t>
      </w:r>
      <w:r w:rsidRPr="00452E2E">
        <w:t xml:space="preserve"> in the public sector. Results of moderated mediation effect of sector and HR attributions on the relationship between HR practices and employee attitudes were however not significant. The results of the test of hypotheses are summarised in table 7. 34. The findings from this study along with those from study 1 </w:t>
      </w:r>
      <w:r w:rsidR="008D0A3B" w:rsidRPr="00452E2E">
        <w:t>will</w:t>
      </w:r>
      <w:r w:rsidRPr="00452E2E">
        <w:t xml:space="preserve"> be discussed in the next chapter. </w:t>
      </w:r>
    </w:p>
    <w:p w:rsidR="001718AD" w:rsidRPr="00452E2E" w:rsidRDefault="001718AD" w:rsidP="00D03A8E">
      <w:pPr>
        <w:pStyle w:val="Caption"/>
      </w:pPr>
      <w:bookmarkStart w:id="207" w:name="_Toc465419893"/>
    </w:p>
    <w:p w:rsidR="00D03A8E" w:rsidRPr="00452E2E" w:rsidRDefault="00D03A8E" w:rsidP="00D03A8E">
      <w:pPr>
        <w:pStyle w:val="Caption"/>
        <w:rPr>
          <w:b w:val="0"/>
          <w:sz w:val="20"/>
          <w:szCs w:val="20"/>
        </w:rPr>
      </w:pPr>
      <w:r w:rsidRPr="00452E2E">
        <w:lastRenderedPageBreak/>
        <w:t>Table 7.</w:t>
      </w:r>
      <w:r w:rsidR="00B26571">
        <w:fldChar w:fldCharType="begin"/>
      </w:r>
      <w:r w:rsidR="00B26571">
        <w:instrText xml:space="preserve"> SEQ Table \* ARABIC \s 1 </w:instrText>
      </w:r>
      <w:r w:rsidR="00B26571">
        <w:fldChar w:fldCharType="separate"/>
      </w:r>
      <w:r w:rsidR="00AE2756" w:rsidRPr="00452E2E">
        <w:rPr>
          <w:noProof/>
        </w:rPr>
        <w:t>34</w:t>
      </w:r>
      <w:r w:rsidR="00B26571">
        <w:rPr>
          <w:noProof/>
        </w:rPr>
        <w:fldChar w:fldCharType="end"/>
      </w:r>
      <w:r w:rsidRPr="00452E2E">
        <w:t>: Summary of Hypotheses Results</w:t>
      </w:r>
      <w:bookmarkEnd w:id="207"/>
    </w:p>
    <w:tbl>
      <w:tblPr>
        <w:tblStyle w:val="TableGrid"/>
        <w:tblW w:w="0" w:type="auto"/>
        <w:tblLook w:val="04A0" w:firstRow="1" w:lastRow="0" w:firstColumn="1" w:lastColumn="0" w:noHBand="0" w:noVBand="1"/>
      </w:tblPr>
      <w:tblGrid>
        <w:gridCol w:w="1245"/>
        <w:gridCol w:w="5513"/>
        <w:gridCol w:w="1571"/>
      </w:tblGrid>
      <w:tr w:rsidR="00452E2E" w:rsidRPr="00452E2E" w:rsidTr="00B57950">
        <w:tc>
          <w:tcPr>
            <w:tcW w:w="1142" w:type="dxa"/>
          </w:tcPr>
          <w:p w:rsidR="00D03A8E" w:rsidRPr="00452E2E" w:rsidRDefault="00D03A8E" w:rsidP="00B57950">
            <w:pPr>
              <w:rPr>
                <w:b/>
                <w:sz w:val="20"/>
                <w:szCs w:val="20"/>
              </w:rPr>
            </w:pPr>
            <w:r w:rsidRPr="00452E2E">
              <w:rPr>
                <w:b/>
                <w:sz w:val="20"/>
                <w:szCs w:val="20"/>
              </w:rPr>
              <w:t>Hypothesis</w:t>
            </w:r>
          </w:p>
        </w:tc>
        <w:tc>
          <w:tcPr>
            <w:tcW w:w="6224" w:type="dxa"/>
          </w:tcPr>
          <w:p w:rsidR="00D03A8E" w:rsidRPr="00452E2E" w:rsidRDefault="00D03A8E" w:rsidP="00B57950">
            <w:pPr>
              <w:rPr>
                <w:b/>
                <w:sz w:val="20"/>
                <w:szCs w:val="20"/>
              </w:rPr>
            </w:pPr>
            <w:r w:rsidRPr="00452E2E">
              <w:rPr>
                <w:b/>
                <w:sz w:val="20"/>
                <w:szCs w:val="20"/>
              </w:rPr>
              <w:t>Hypothesis Statement</w:t>
            </w:r>
          </w:p>
        </w:tc>
        <w:tc>
          <w:tcPr>
            <w:tcW w:w="1650" w:type="dxa"/>
          </w:tcPr>
          <w:p w:rsidR="00D03A8E" w:rsidRPr="00452E2E" w:rsidRDefault="00D03A8E" w:rsidP="00B57950">
            <w:pPr>
              <w:rPr>
                <w:b/>
                <w:sz w:val="20"/>
                <w:szCs w:val="20"/>
              </w:rPr>
            </w:pPr>
            <w:r w:rsidRPr="00452E2E">
              <w:rPr>
                <w:b/>
                <w:sz w:val="20"/>
                <w:szCs w:val="20"/>
              </w:rPr>
              <w:t>Finding</w:t>
            </w:r>
          </w:p>
        </w:tc>
      </w:tr>
      <w:tr w:rsidR="00452E2E" w:rsidRPr="00452E2E" w:rsidTr="00B57950">
        <w:tc>
          <w:tcPr>
            <w:tcW w:w="1142" w:type="dxa"/>
          </w:tcPr>
          <w:p w:rsidR="00D03A8E" w:rsidRPr="00452E2E" w:rsidRDefault="00D03A8E" w:rsidP="00B57950">
            <w:pPr>
              <w:rPr>
                <w:sz w:val="20"/>
                <w:szCs w:val="20"/>
              </w:rPr>
            </w:pPr>
            <w:r w:rsidRPr="00452E2E">
              <w:rPr>
                <w:sz w:val="20"/>
                <w:szCs w:val="20"/>
              </w:rPr>
              <w:t>1</w:t>
            </w:r>
          </w:p>
        </w:tc>
        <w:tc>
          <w:tcPr>
            <w:tcW w:w="6224" w:type="dxa"/>
          </w:tcPr>
          <w:p w:rsidR="00D03A8E" w:rsidRPr="00452E2E" w:rsidRDefault="00D03A8E" w:rsidP="00B57950">
            <w:pPr>
              <w:rPr>
                <w:sz w:val="20"/>
                <w:szCs w:val="20"/>
              </w:rPr>
            </w:pPr>
            <w:r w:rsidRPr="00452E2E">
              <w:rPr>
                <w:sz w:val="20"/>
                <w:szCs w:val="20"/>
              </w:rPr>
              <w:t>There is a positive relationship between HR practices and job satisfaction</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There is a positive relationship between HR practices and affective commitment</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There is a positive relationship between HR practices and normative commitment.</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rPr>
          <w:trHeight w:val="570"/>
        </w:trPr>
        <w:tc>
          <w:tcPr>
            <w:tcW w:w="1142" w:type="dxa"/>
          </w:tcPr>
          <w:p w:rsidR="00D03A8E" w:rsidRPr="00452E2E" w:rsidRDefault="00D03A8E" w:rsidP="00B57950">
            <w:pPr>
              <w:rPr>
                <w:i/>
                <w:sz w:val="20"/>
                <w:szCs w:val="20"/>
              </w:rPr>
            </w:pPr>
            <w:r w:rsidRPr="00452E2E">
              <w:rPr>
                <w:sz w:val="20"/>
                <w:szCs w:val="20"/>
              </w:rPr>
              <w:t>2</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There is a positive relationship between HR practices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3</w:t>
            </w:r>
          </w:p>
        </w:tc>
        <w:tc>
          <w:tcPr>
            <w:tcW w:w="6224" w:type="dxa"/>
          </w:tcPr>
          <w:p w:rsidR="00D03A8E" w:rsidRPr="00452E2E" w:rsidRDefault="00D03A8E" w:rsidP="00B57950">
            <w:pPr>
              <w:jc w:val="both"/>
              <w:rPr>
                <w:sz w:val="20"/>
                <w:szCs w:val="20"/>
              </w:rPr>
            </w:pPr>
            <w:r w:rsidRPr="00452E2E">
              <w:rPr>
                <w:sz w:val="20"/>
                <w:szCs w:val="20"/>
              </w:rPr>
              <w:t>There is a positive relationship between procedural justice and job satisfaction</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4</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There is a positive relationship between procedural justice and affective commitment</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4</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There is a positive relationship between procedural justice and normative commitment</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4</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There is a positive relationship between procedural justice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5</w:t>
            </w:r>
          </w:p>
        </w:tc>
        <w:tc>
          <w:tcPr>
            <w:tcW w:w="6224" w:type="dxa"/>
          </w:tcPr>
          <w:p w:rsidR="00D03A8E" w:rsidRPr="00452E2E" w:rsidRDefault="00D03A8E" w:rsidP="00B57950">
            <w:pPr>
              <w:jc w:val="both"/>
              <w:rPr>
                <w:sz w:val="20"/>
                <w:szCs w:val="20"/>
              </w:rPr>
            </w:pPr>
            <w:r w:rsidRPr="00452E2E">
              <w:rPr>
                <w:sz w:val="20"/>
                <w:szCs w:val="20"/>
              </w:rPr>
              <w:t>Procedural justice will mediate the relationship between HR practices and job satisfaction</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6</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Procedural justice will mediate the relationship between HR practices and affective commitment</w:t>
            </w:r>
          </w:p>
        </w:tc>
        <w:tc>
          <w:tcPr>
            <w:tcW w:w="1650" w:type="dxa"/>
          </w:tcPr>
          <w:p w:rsidR="00D03A8E" w:rsidRPr="00452E2E" w:rsidRDefault="00D03A8E" w:rsidP="00B57950">
            <w:pPr>
              <w:rPr>
                <w:sz w:val="20"/>
                <w:szCs w:val="20"/>
              </w:rPr>
            </w:pPr>
            <w:r w:rsidRPr="00452E2E">
              <w:rPr>
                <w:sz w:val="20"/>
                <w:szCs w:val="20"/>
              </w:rPr>
              <w:t>Partially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6</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Procedural justice will mediate the relationship between HR practices and normative commitment</w:t>
            </w:r>
          </w:p>
        </w:tc>
        <w:tc>
          <w:tcPr>
            <w:tcW w:w="1650" w:type="dxa"/>
          </w:tcPr>
          <w:p w:rsidR="00D03A8E" w:rsidRPr="00452E2E" w:rsidRDefault="00D03A8E" w:rsidP="00B57950">
            <w:pPr>
              <w:rPr>
                <w:sz w:val="20"/>
                <w:szCs w:val="20"/>
              </w:rPr>
            </w:pPr>
            <w:r w:rsidRPr="00452E2E">
              <w:rPr>
                <w:sz w:val="20"/>
                <w:szCs w:val="20"/>
              </w:rPr>
              <w:t>Partially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6</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Procedural justice will mediate the relationship between HR practices and continuance commitment</w:t>
            </w:r>
          </w:p>
        </w:tc>
        <w:tc>
          <w:tcPr>
            <w:tcW w:w="1650" w:type="dxa"/>
          </w:tcPr>
          <w:p w:rsidR="00D03A8E" w:rsidRPr="00452E2E" w:rsidRDefault="00D03A8E" w:rsidP="00B57950">
            <w:pPr>
              <w:rPr>
                <w:sz w:val="20"/>
                <w:szCs w:val="20"/>
              </w:rPr>
            </w:pPr>
            <w:r w:rsidRPr="00452E2E">
              <w:rPr>
                <w:sz w:val="20"/>
                <w:szCs w:val="20"/>
              </w:rPr>
              <w:t>Partially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7</w:t>
            </w:r>
          </w:p>
        </w:tc>
        <w:tc>
          <w:tcPr>
            <w:tcW w:w="6224" w:type="dxa"/>
          </w:tcPr>
          <w:p w:rsidR="00D03A8E" w:rsidRPr="00452E2E" w:rsidRDefault="00D03A8E" w:rsidP="00B57950">
            <w:pPr>
              <w:jc w:val="both"/>
              <w:rPr>
                <w:sz w:val="20"/>
                <w:szCs w:val="20"/>
              </w:rPr>
            </w:pPr>
            <w:r w:rsidRPr="00452E2E">
              <w:rPr>
                <w:sz w:val="20"/>
                <w:szCs w:val="20"/>
              </w:rPr>
              <w:t>The mediation effect of procedural justice on the relationship between HR practices and job satisfaction will be stronger in the public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8</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 mediation effect of procedural justice on the relationship between HR practices and affective commitment will be stronger in the public sector</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8</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 mediation effect of procedural justice on the relationship between HR practices and normative commitment will be stronger in the public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8</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 mediation effect of procedural justice on the relationship between HR practices and continuance commitment will be stronger in the public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9</w:t>
            </w:r>
          </w:p>
        </w:tc>
        <w:tc>
          <w:tcPr>
            <w:tcW w:w="6224" w:type="dxa"/>
          </w:tcPr>
          <w:p w:rsidR="00D03A8E" w:rsidRPr="00452E2E" w:rsidRDefault="00D03A8E" w:rsidP="00B57950">
            <w:pPr>
              <w:jc w:val="both"/>
              <w:rPr>
                <w:sz w:val="20"/>
                <w:szCs w:val="20"/>
              </w:rPr>
            </w:pPr>
            <w:r w:rsidRPr="00452E2E">
              <w:rPr>
                <w:sz w:val="20"/>
                <w:szCs w:val="20"/>
              </w:rPr>
              <w:t>There is a positive relationship between commitment-focused HR attribution and job satisfaction</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10</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There is a positive relationship between commitment-focused HR attribution and affective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10</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There is a positive relationship between commitment-focused HR attribution and normative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10</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There is a positive relationship between commitment-focused HR attribution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11</w:t>
            </w:r>
          </w:p>
        </w:tc>
        <w:tc>
          <w:tcPr>
            <w:tcW w:w="6224" w:type="dxa"/>
          </w:tcPr>
          <w:p w:rsidR="00D03A8E" w:rsidRPr="00452E2E" w:rsidRDefault="00D03A8E" w:rsidP="00B57950">
            <w:pPr>
              <w:jc w:val="both"/>
              <w:rPr>
                <w:sz w:val="20"/>
                <w:szCs w:val="20"/>
              </w:rPr>
            </w:pPr>
            <w:r w:rsidRPr="00452E2E">
              <w:rPr>
                <w:sz w:val="20"/>
                <w:szCs w:val="20"/>
              </w:rPr>
              <w:t>There is a negative relationship between control-focused HR attribution and job satisfaction</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12</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There is a negative relationship between control-focused HR attribution and affective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12</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There is a negative relationship between control-focused HR attribution and normative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12</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There is a negative relationship between control-focused HR attribution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13</w:t>
            </w:r>
          </w:p>
        </w:tc>
        <w:tc>
          <w:tcPr>
            <w:tcW w:w="6224" w:type="dxa"/>
          </w:tcPr>
          <w:p w:rsidR="00D03A8E" w:rsidRPr="00452E2E" w:rsidRDefault="00D03A8E" w:rsidP="00B57950">
            <w:pPr>
              <w:jc w:val="both"/>
              <w:rPr>
                <w:sz w:val="20"/>
                <w:szCs w:val="20"/>
              </w:rPr>
            </w:pPr>
            <w:r w:rsidRPr="00452E2E">
              <w:rPr>
                <w:sz w:val="20"/>
                <w:szCs w:val="20"/>
              </w:rPr>
              <w:t>There is a positive relationship between union compliance HR attribution and job satisfaction</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lastRenderedPageBreak/>
              <w:t>14</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There is a positive relationship between union compliance HR attribution and affective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14</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There is a positive relationship between union compliance HR attribution and normative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14</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There is a positive relationship between union compliance HR attribution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15</w:t>
            </w:r>
          </w:p>
        </w:tc>
        <w:tc>
          <w:tcPr>
            <w:tcW w:w="6224" w:type="dxa"/>
          </w:tcPr>
          <w:p w:rsidR="00D03A8E" w:rsidRPr="00452E2E" w:rsidRDefault="00D03A8E" w:rsidP="00B57950">
            <w:pPr>
              <w:jc w:val="both"/>
              <w:rPr>
                <w:sz w:val="20"/>
                <w:szCs w:val="20"/>
              </w:rPr>
            </w:pPr>
            <w:r w:rsidRPr="00452E2E">
              <w:rPr>
                <w:sz w:val="20"/>
                <w:szCs w:val="20"/>
              </w:rPr>
              <w:t>Commitment-focused HR attribution will mediate the relationship between HR practices and job satisfaction</w:t>
            </w:r>
          </w:p>
        </w:tc>
        <w:tc>
          <w:tcPr>
            <w:tcW w:w="1650" w:type="dxa"/>
          </w:tcPr>
          <w:p w:rsidR="00D03A8E" w:rsidRPr="00452E2E" w:rsidRDefault="00D03A8E" w:rsidP="00B57950">
            <w:pPr>
              <w:rPr>
                <w:sz w:val="20"/>
                <w:szCs w:val="20"/>
              </w:rPr>
            </w:pPr>
            <w:r w:rsidRPr="00452E2E">
              <w:rPr>
                <w:sz w:val="20"/>
                <w:szCs w:val="20"/>
              </w:rPr>
              <w:t>Partially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16</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Commitment-focused HR attribution will mediate the relationship between HR practices and affective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16</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Commitment-focused HR attribution will mediate the relationship between HR practices and normative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16</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Commitment-focused HR attribution will mediate the relationship between HR practices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17</w:t>
            </w:r>
          </w:p>
        </w:tc>
        <w:tc>
          <w:tcPr>
            <w:tcW w:w="6224" w:type="dxa"/>
          </w:tcPr>
          <w:p w:rsidR="00D03A8E" w:rsidRPr="00452E2E" w:rsidRDefault="00D03A8E" w:rsidP="00B57950">
            <w:pPr>
              <w:jc w:val="both"/>
              <w:rPr>
                <w:sz w:val="20"/>
                <w:szCs w:val="20"/>
              </w:rPr>
            </w:pPr>
            <w:r w:rsidRPr="00452E2E">
              <w:rPr>
                <w:sz w:val="20"/>
                <w:szCs w:val="20"/>
              </w:rPr>
              <w:t>Control-focused HR attribution will mediate the relationship between HR practices and job satisfaction</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18</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Control-focused HR attribution will mediate the relationship between HR practices and affective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18</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Control-focused HR attribution will mediate the relationship between HR practices and normative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18</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Control-focused HR attribution will mediate the relationship between HR practices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19</w:t>
            </w:r>
          </w:p>
        </w:tc>
        <w:tc>
          <w:tcPr>
            <w:tcW w:w="6224" w:type="dxa"/>
          </w:tcPr>
          <w:p w:rsidR="00D03A8E" w:rsidRPr="00452E2E" w:rsidRDefault="00D03A8E" w:rsidP="00B57950">
            <w:pPr>
              <w:jc w:val="both"/>
              <w:rPr>
                <w:sz w:val="20"/>
                <w:szCs w:val="20"/>
              </w:rPr>
            </w:pPr>
            <w:r w:rsidRPr="00452E2E">
              <w:rPr>
                <w:sz w:val="20"/>
                <w:szCs w:val="20"/>
              </w:rPr>
              <w:t>Union compliance HR attribution will mediate the relationship between HR practices and job satisfaction</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20</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Union compliance HR attribution will mediate the relationship between HR practices and affective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20</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Union compliance HR attribution will mediate the relationship between HR practices and normative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20</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Union compliance HR attribution will mediate the relationship between HR practices and continuance commitment</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21</w:t>
            </w:r>
          </w:p>
        </w:tc>
        <w:tc>
          <w:tcPr>
            <w:tcW w:w="6224" w:type="dxa"/>
          </w:tcPr>
          <w:p w:rsidR="00D03A8E" w:rsidRPr="00452E2E" w:rsidRDefault="00D03A8E" w:rsidP="00B57950">
            <w:pPr>
              <w:jc w:val="both"/>
              <w:rPr>
                <w:sz w:val="20"/>
                <w:szCs w:val="20"/>
              </w:rPr>
            </w:pPr>
            <w:r w:rsidRPr="00452E2E">
              <w:rPr>
                <w:sz w:val="20"/>
                <w:szCs w:val="20"/>
              </w:rPr>
              <w:t>The mediation effect of commitment-focused HR attribution on the relationship between HR practices and job satisfaction will be higher in the private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22</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 mediation effect of commitment-focused HR attribution on the relationship between HR practices and affective commitment will be higher in the private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22</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 mediation effect of commitment-focused HR attribution on the relationship between HR practices and normative commitment will be higher in the private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22</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 mediation effect of commitment-focused HR attribution on the relationship between HR practices and continuance commitment will be higher in the private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t>23</w:t>
            </w:r>
          </w:p>
        </w:tc>
        <w:tc>
          <w:tcPr>
            <w:tcW w:w="6224" w:type="dxa"/>
          </w:tcPr>
          <w:p w:rsidR="00D03A8E" w:rsidRPr="00452E2E" w:rsidRDefault="00D03A8E" w:rsidP="00B57950">
            <w:pPr>
              <w:jc w:val="both"/>
              <w:rPr>
                <w:sz w:val="20"/>
                <w:szCs w:val="20"/>
              </w:rPr>
            </w:pPr>
            <w:r w:rsidRPr="00452E2E">
              <w:rPr>
                <w:sz w:val="20"/>
                <w:szCs w:val="20"/>
              </w:rPr>
              <w:t>The mediation effect of control-focused HR attribution on the relationship between HR practices and job satisfaction will be the same in both public and private sector</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24</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 mediation effect of control-focused HR attribution on the relationship between HR practices and affective commitment will be the same in both public and private sector</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24</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 mediation effect of control-focused HR attribution on the relationship between HR practices and normative commitment will be the same in both public and private sector</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24</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 mediation effect of control-focused HR attribution on the relationship between HR practices and continuance commitment will be the same in both public and private sector</w:t>
            </w:r>
          </w:p>
        </w:tc>
        <w:tc>
          <w:tcPr>
            <w:tcW w:w="1650" w:type="dxa"/>
          </w:tcPr>
          <w:p w:rsidR="00D03A8E" w:rsidRPr="00452E2E" w:rsidRDefault="00D03A8E" w:rsidP="00B57950">
            <w:pPr>
              <w:rPr>
                <w:sz w:val="20"/>
                <w:szCs w:val="20"/>
              </w:rPr>
            </w:pPr>
            <w:r w:rsidRPr="00452E2E">
              <w:rPr>
                <w:sz w:val="20"/>
                <w:szCs w:val="20"/>
              </w:rPr>
              <w:t>Supported</w:t>
            </w:r>
          </w:p>
        </w:tc>
      </w:tr>
      <w:tr w:rsidR="00452E2E" w:rsidRPr="00452E2E" w:rsidTr="00B57950">
        <w:tc>
          <w:tcPr>
            <w:tcW w:w="1142" w:type="dxa"/>
          </w:tcPr>
          <w:p w:rsidR="00D03A8E" w:rsidRPr="00452E2E" w:rsidRDefault="00D03A8E" w:rsidP="00B57950">
            <w:pPr>
              <w:rPr>
                <w:sz w:val="20"/>
                <w:szCs w:val="20"/>
              </w:rPr>
            </w:pPr>
            <w:r w:rsidRPr="00452E2E">
              <w:rPr>
                <w:sz w:val="20"/>
                <w:szCs w:val="20"/>
              </w:rPr>
              <w:lastRenderedPageBreak/>
              <w:t>25</w:t>
            </w:r>
          </w:p>
        </w:tc>
        <w:tc>
          <w:tcPr>
            <w:tcW w:w="6224" w:type="dxa"/>
          </w:tcPr>
          <w:p w:rsidR="00D03A8E" w:rsidRPr="00452E2E" w:rsidRDefault="00D03A8E" w:rsidP="00B57950">
            <w:pPr>
              <w:jc w:val="both"/>
              <w:rPr>
                <w:sz w:val="20"/>
                <w:szCs w:val="20"/>
              </w:rPr>
            </w:pPr>
            <w:r w:rsidRPr="00452E2E">
              <w:rPr>
                <w:sz w:val="20"/>
                <w:szCs w:val="20"/>
              </w:rPr>
              <w:t>The mediation effect of union compliance HR attribution on the relationship between HR practices and job satisfaction will be higher in the public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26</w:t>
            </w:r>
            <w:r w:rsidRPr="00452E2E">
              <w:rPr>
                <w:i/>
                <w:sz w:val="20"/>
                <w:szCs w:val="20"/>
              </w:rPr>
              <w:t>a</w:t>
            </w:r>
          </w:p>
        </w:tc>
        <w:tc>
          <w:tcPr>
            <w:tcW w:w="6224" w:type="dxa"/>
          </w:tcPr>
          <w:p w:rsidR="00D03A8E" w:rsidRPr="00452E2E" w:rsidRDefault="00D03A8E" w:rsidP="00B57950">
            <w:pPr>
              <w:jc w:val="both"/>
              <w:rPr>
                <w:sz w:val="20"/>
                <w:szCs w:val="20"/>
              </w:rPr>
            </w:pPr>
            <w:r w:rsidRPr="00452E2E">
              <w:rPr>
                <w:sz w:val="20"/>
                <w:szCs w:val="20"/>
              </w:rPr>
              <w:t>The mediation effect of union compliance HR attribution on the relationship between HR practices and affective commitment will be higher in the public sector</w:t>
            </w:r>
          </w:p>
        </w:tc>
        <w:tc>
          <w:tcPr>
            <w:tcW w:w="1650" w:type="dxa"/>
          </w:tcPr>
          <w:p w:rsidR="00D03A8E" w:rsidRPr="00452E2E" w:rsidRDefault="00D03A8E" w:rsidP="00B57950">
            <w:pPr>
              <w:rPr>
                <w:sz w:val="20"/>
                <w:szCs w:val="20"/>
              </w:rPr>
            </w:pPr>
            <w:r w:rsidRPr="00452E2E">
              <w:rPr>
                <w:sz w:val="20"/>
                <w:szCs w:val="20"/>
              </w:rPr>
              <w:t>Not Supported</w:t>
            </w:r>
          </w:p>
        </w:tc>
      </w:tr>
      <w:tr w:rsidR="00452E2E" w:rsidRPr="00452E2E" w:rsidTr="00B57950">
        <w:tc>
          <w:tcPr>
            <w:tcW w:w="1142" w:type="dxa"/>
          </w:tcPr>
          <w:p w:rsidR="00D03A8E" w:rsidRPr="00452E2E" w:rsidRDefault="00D03A8E" w:rsidP="00B57950">
            <w:pPr>
              <w:rPr>
                <w:i/>
                <w:sz w:val="20"/>
                <w:szCs w:val="20"/>
              </w:rPr>
            </w:pPr>
            <w:r w:rsidRPr="00452E2E">
              <w:rPr>
                <w:sz w:val="20"/>
                <w:szCs w:val="20"/>
              </w:rPr>
              <w:t>26</w:t>
            </w:r>
            <w:r w:rsidRPr="00452E2E">
              <w:rPr>
                <w:i/>
                <w:sz w:val="20"/>
                <w:szCs w:val="20"/>
              </w:rPr>
              <w:t>b</w:t>
            </w:r>
          </w:p>
        </w:tc>
        <w:tc>
          <w:tcPr>
            <w:tcW w:w="6224" w:type="dxa"/>
          </w:tcPr>
          <w:p w:rsidR="00D03A8E" w:rsidRPr="00452E2E" w:rsidRDefault="00D03A8E" w:rsidP="00B57950">
            <w:pPr>
              <w:jc w:val="both"/>
              <w:rPr>
                <w:sz w:val="20"/>
                <w:szCs w:val="20"/>
              </w:rPr>
            </w:pPr>
            <w:r w:rsidRPr="00452E2E">
              <w:rPr>
                <w:sz w:val="20"/>
                <w:szCs w:val="20"/>
              </w:rPr>
              <w:t>The mediation effect of union compliance HR attribution on the relationship between HR practices and normative commitment will be higher in the public sector</w:t>
            </w:r>
          </w:p>
        </w:tc>
        <w:tc>
          <w:tcPr>
            <w:tcW w:w="1650" w:type="dxa"/>
          </w:tcPr>
          <w:p w:rsidR="00D03A8E" w:rsidRPr="00452E2E" w:rsidRDefault="00D03A8E" w:rsidP="00B57950">
            <w:pPr>
              <w:rPr>
                <w:sz w:val="20"/>
                <w:szCs w:val="20"/>
              </w:rPr>
            </w:pPr>
            <w:r w:rsidRPr="00452E2E">
              <w:rPr>
                <w:sz w:val="20"/>
                <w:szCs w:val="20"/>
              </w:rPr>
              <w:t>Not Supported</w:t>
            </w:r>
          </w:p>
        </w:tc>
      </w:tr>
      <w:tr w:rsidR="00D03A8E" w:rsidRPr="00452E2E" w:rsidTr="00B57950">
        <w:tc>
          <w:tcPr>
            <w:tcW w:w="1142" w:type="dxa"/>
          </w:tcPr>
          <w:p w:rsidR="00D03A8E" w:rsidRPr="00452E2E" w:rsidRDefault="00D03A8E" w:rsidP="00B57950">
            <w:pPr>
              <w:rPr>
                <w:i/>
                <w:sz w:val="20"/>
                <w:szCs w:val="20"/>
              </w:rPr>
            </w:pPr>
            <w:r w:rsidRPr="00452E2E">
              <w:rPr>
                <w:sz w:val="20"/>
                <w:szCs w:val="20"/>
              </w:rPr>
              <w:t>26</w:t>
            </w:r>
            <w:r w:rsidRPr="00452E2E">
              <w:rPr>
                <w:i/>
                <w:sz w:val="20"/>
                <w:szCs w:val="20"/>
              </w:rPr>
              <w:t>c</w:t>
            </w:r>
          </w:p>
        </w:tc>
        <w:tc>
          <w:tcPr>
            <w:tcW w:w="6224" w:type="dxa"/>
          </w:tcPr>
          <w:p w:rsidR="00D03A8E" w:rsidRPr="00452E2E" w:rsidRDefault="00D03A8E" w:rsidP="00B57950">
            <w:pPr>
              <w:jc w:val="both"/>
              <w:rPr>
                <w:sz w:val="20"/>
                <w:szCs w:val="20"/>
              </w:rPr>
            </w:pPr>
            <w:r w:rsidRPr="00452E2E">
              <w:rPr>
                <w:sz w:val="20"/>
                <w:szCs w:val="20"/>
              </w:rPr>
              <w:t>The mediation effect of union compliance HR attribution on the relationship between HR practices and continuance commitment will be higher in the public sector</w:t>
            </w:r>
          </w:p>
        </w:tc>
        <w:tc>
          <w:tcPr>
            <w:tcW w:w="1650" w:type="dxa"/>
          </w:tcPr>
          <w:p w:rsidR="00D03A8E" w:rsidRPr="00452E2E" w:rsidRDefault="00D03A8E" w:rsidP="00B57950">
            <w:pPr>
              <w:rPr>
                <w:sz w:val="20"/>
                <w:szCs w:val="20"/>
              </w:rPr>
            </w:pPr>
            <w:r w:rsidRPr="00452E2E">
              <w:rPr>
                <w:sz w:val="20"/>
                <w:szCs w:val="20"/>
              </w:rPr>
              <w:t>Not Supported</w:t>
            </w:r>
          </w:p>
        </w:tc>
      </w:tr>
    </w:tbl>
    <w:p w:rsidR="00D03A8E" w:rsidRPr="00452E2E" w:rsidRDefault="00D03A8E" w:rsidP="00D03A8E">
      <w:pPr>
        <w:rPr>
          <w:sz w:val="20"/>
          <w:szCs w:val="20"/>
        </w:rPr>
      </w:pPr>
    </w:p>
    <w:p w:rsidR="00D03A8E" w:rsidRPr="00452E2E" w:rsidRDefault="00D03A8E" w:rsidP="00D03A8E">
      <w:pPr>
        <w:jc w:val="both"/>
      </w:pPr>
    </w:p>
    <w:p w:rsidR="00D03A8E" w:rsidRPr="00452E2E" w:rsidRDefault="00D03A8E" w:rsidP="00D03A8E">
      <w:pPr>
        <w:jc w:val="both"/>
        <w:rPr>
          <w:b/>
        </w:rPr>
      </w:pPr>
    </w:p>
    <w:p w:rsidR="00D03A8E" w:rsidRPr="00452E2E" w:rsidRDefault="00D03A8E" w:rsidP="00D03A8E">
      <w:r w:rsidRPr="00452E2E">
        <w:br w:type="page"/>
      </w:r>
    </w:p>
    <w:p w:rsidR="00D03A8E" w:rsidRPr="00452E2E" w:rsidRDefault="00D03A8E" w:rsidP="00D03A8E">
      <w:pPr>
        <w:pStyle w:val="Heading1"/>
        <w:numPr>
          <w:ilvl w:val="0"/>
          <w:numId w:val="0"/>
        </w:numPr>
      </w:pPr>
      <w:bookmarkStart w:id="208" w:name="_Toc473808193"/>
      <w:r w:rsidRPr="00452E2E">
        <w:lastRenderedPageBreak/>
        <w:t>CHAPTER EIGHT</w:t>
      </w:r>
      <w:bookmarkEnd w:id="208"/>
    </w:p>
    <w:p w:rsidR="00D03A8E" w:rsidRPr="00452E2E" w:rsidRDefault="00D03A8E" w:rsidP="00D03A8E">
      <w:pPr>
        <w:pStyle w:val="Heading2"/>
      </w:pPr>
      <w:bookmarkStart w:id="209" w:name="_Toc473808194"/>
      <w:bookmarkStart w:id="210" w:name="_Toc465271213"/>
      <w:r w:rsidRPr="00452E2E">
        <w:t>DISCUSSION</w:t>
      </w:r>
      <w:bookmarkEnd w:id="209"/>
      <w:r w:rsidRPr="00452E2E">
        <w:t xml:space="preserve"> </w:t>
      </w:r>
      <w:bookmarkEnd w:id="210"/>
    </w:p>
    <w:p w:rsidR="00D03A8E" w:rsidRPr="00452E2E" w:rsidRDefault="00D03A8E" w:rsidP="00D03A8E"/>
    <w:p w:rsidR="00D03A8E" w:rsidRPr="00452E2E" w:rsidRDefault="00D03A8E" w:rsidP="00170224">
      <w:pPr>
        <w:pStyle w:val="Heading3"/>
      </w:pPr>
      <w:bookmarkStart w:id="211" w:name="_Toc465271214"/>
      <w:bookmarkStart w:id="212" w:name="_Toc473808195"/>
      <w:r w:rsidRPr="00452E2E">
        <w:t>8.1 Introduction</w:t>
      </w:r>
      <w:bookmarkEnd w:id="211"/>
      <w:bookmarkEnd w:id="212"/>
    </w:p>
    <w:p w:rsidR="00D03A8E" w:rsidRPr="00452E2E" w:rsidRDefault="00D03A8E" w:rsidP="00D03A8E">
      <w:pPr>
        <w:spacing w:line="360" w:lineRule="auto"/>
        <w:jc w:val="both"/>
      </w:pPr>
      <w:r w:rsidRPr="00452E2E">
        <w:t>The aim of this chapter is to provide a detailed discussion of the findings from study 1 reported in chapter 5 and the findings from study 2 reported in the previous chapter. In addition, the conclusions drawn from the research are provided in this chapter as well as the research contributions. The findings from both studies are therefore integrated into a single piece of research whilst the discussion is arranged based on the three research questions addressed in the research. The chapter begins with a discussion of how institutions influence HRM in public and public sector in Nigeria. This is followed by the specific techniques of HRM adopted in public and</w:t>
      </w:r>
      <w:r w:rsidR="0008539C" w:rsidRPr="00452E2E">
        <w:t xml:space="preserve"> private sector in Nigeria whilst</w:t>
      </w:r>
      <w:r w:rsidRPr="00452E2E">
        <w:t xml:space="preserve"> the final section is focused on the effects of HR practices on employee attitudes in public and private sector. </w:t>
      </w:r>
    </w:p>
    <w:p w:rsidR="00D03A8E" w:rsidRPr="00452E2E" w:rsidRDefault="00D03A8E" w:rsidP="00170224">
      <w:pPr>
        <w:pStyle w:val="Heading3"/>
      </w:pPr>
      <w:bookmarkStart w:id="213" w:name="_Toc465271215"/>
      <w:bookmarkStart w:id="214" w:name="_Toc473808196"/>
      <w:r w:rsidRPr="00452E2E">
        <w:t>8.2 How do institutions influence HRM in public and private sector in Nigeria?</w:t>
      </w:r>
      <w:bookmarkEnd w:id="213"/>
      <w:bookmarkEnd w:id="214"/>
    </w:p>
    <w:p w:rsidR="00D03A8E" w:rsidRPr="00452E2E" w:rsidRDefault="00D03A8E" w:rsidP="00D03A8E">
      <w:pPr>
        <w:spacing w:line="360" w:lineRule="auto"/>
        <w:jc w:val="both"/>
      </w:pPr>
      <w:r w:rsidRPr="00452E2E">
        <w:t xml:space="preserve">To address the question of how institutions influence HRM in public and private sector in Nigeria, 122 HR managers in public and private sector were surveyed. The focus of the survey was to tap the views of HR managers from diverse industries on the extent to which labour laws, trade unions, professional bodies, vocational education set-up, international institutions and government policy influenced HRM decisions in their organizations. In addition, qualitative interviews were conducted with HR managers in order to have a better understanding of the dynamics of how HRM is influenced by institutions in public and private sector in Nigeria. Although the framework of new institutionalism developed by </w:t>
      </w:r>
      <w:r w:rsidRPr="00452E2E">
        <w:fldChar w:fldCharType="begin" w:fldLock="1"/>
      </w:r>
      <w:r w:rsidRPr="00452E2E">
        <w:instrText>ADDIN CSL_CITATION { "citationItems" : [ { "id" : "ITEM-1", "itemData" : { "author" : [ { "dropping-particle" : "", "family" : "DiMaggio", "given" : "P.J.", "non-dropping-particle" : "", "parse-names" : false, "suffix" : "" }, { "dropping-particle" : "", "family" : "Powell", "given" : "W.W.", "non-dropping-particle" : "", "parse-names" : false, "suffix" : "" } ], "container-title" : "American Sociological Review", "id" : "ITEM-1", "issue" : "2", "issued" : { "date-parts" : [ [ "1983" ] ] }, "page" : "147-160", "title" : "The iron cage revisited: Institutional isomorphism and collective rationality in organizational fields", "type" : "article-journal", "volume" : "48" }, "uris" : [ "http://www.mendeley.com/documents/?uuid=173aaf26-bb0f-440b-9525-ae2f5aa9b9fc" ] } ], "mendeley" : { "formattedCitation" : "(DiMaggio &amp; Powell 1983)", "manualFormatting" : "DiMaggio &amp; Powell (1983)", "plainTextFormattedCitation" : "(DiMaggio &amp; Powell 1983)", "previouslyFormattedCitation" : "(DiMaggio &amp; Powell 1983)" }, "properties" : { "noteIndex" : 0 }, "schema" : "https://github.com/citation-style-language/schema/raw/master/csl-citation.json" }</w:instrText>
      </w:r>
      <w:r w:rsidRPr="00452E2E">
        <w:fldChar w:fldCharType="separate"/>
      </w:r>
      <w:r w:rsidRPr="00452E2E">
        <w:rPr>
          <w:noProof/>
        </w:rPr>
        <w:t>DiMaggio &amp; Powell (1983)</w:t>
      </w:r>
      <w:r w:rsidRPr="00452E2E">
        <w:fldChar w:fldCharType="end"/>
      </w:r>
      <w:r w:rsidRPr="00452E2E">
        <w:t xml:space="preserve"> provided a guide on the structure of the interview questions, </w:t>
      </w:r>
      <w:r w:rsidR="00DE42F9" w:rsidRPr="00452E2E">
        <w:t>I</w:t>
      </w:r>
      <w:r w:rsidRPr="00452E2E">
        <w:t xml:space="preserve"> also considered alternative institutional frameworks to provide direction in which to look, whilst analysing the data obtained from qualitative interviews. Findings from survey data indicated that national labour laws, trade unions, professional bodies, international institutions and government policy influenced HRM in both public and private sector.  However, findings suggest that </w:t>
      </w:r>
      <w:r w:rsidR="00A05E8E" w:rsidRPr="00452E2E">
        <w:t>contrary</w:t>
      </w:r>
      <w:r w:rsidR="00BB4AB4" w:rsidRPr="00452E2E">
        <w:t xml:space="preserve"> to the sociological institutional approaches (DiMaggio &amp; Powell, 1983), </w:t>
      </w:r>
      <w:r w:rsidRPr="00452E2E">
        <w:t xml:space="preserve">these institutions did not influence HRM in a similar way whilst the </w:t>
      </w:r>
      <w:r w:rsidRPr="00452E2E">
        <w:lastRenderedPageBreak/>
        <w:t xml:space="preserve">influence of institutions on HRM generally would depend on the industry, sector or size of the organization. </w:t>
      </w:r>
    </w:p>
    <w:p w:rsidR="00D03A8E" w:rsidRPr="00452E2E" w:rsidRDefault="00D03A8E" w:rsidP="00D03A8E">
      <w:pPr>
        <w:spacing w:line="360" w:lineRule="auto"/>
        <w:jc w:val="both"/>
      </w:pPr>
      <w:r w:rsidRPr="00452E2E">
        <w:t>Based on the views of HR managers</w:t>
      </w:r>
      <w:r w:rsidR="00B7349E" w:rsidRPr="00452E2E">
        <w:t xml:space="preserve"> obtained from </w:t>
      </w:r>
      <w:r w:rsidR="0081468E" w:rsidRPr="00452E2E">
        <w:t xml:space="preserve">the </w:t>
      </w:r>
      <w:r w:rsidR="00B7349E" w:rsidRPr="00452E2E">
        <w:t>survey data</w:t>
      </w:r>
      <w:r w:rsidRPr="00452E2E">
        <w:t xml:space="preserve">, trade unions had the highest influence on HRM whilst international institutions had the lowest influence. Nevertheless, the influence of trade unions was more likely in government ministries, departments and agencies (MDAs) </w:t>
      </w:r>
      <w:r w:rsidR="00610D6E">
        <w:t xml:space="preserve">than in </w:t>
      </w:r>
      <w:r w:rsidR="00610D6E" w:rsidRPr="00452E2E">
        <w:t xml:space="preserve">the </w:t>
      </w:r>
      <w:r w:rsidR="00610D6E">
        <w:t xml:space="preserve">manufacturing industry </w:t>
      </w:r>
      <w:r w:rsidRPr="00452E2E">
        <w:t xml:space="preserve">whilst in terms of sector, the influence of trade unions was more likely to be encountered in the public sector than in private sector organizations. This indicates the anti-union stance of </w:t>
      </w:r>
      <w:r w:rsidR="001D12F9" w:rsidRPr="00452E2E">
        <w:t xml:space="preserve">some </w:t>
      </w:r>
      <w:r w:rsidRPr="00452E2E">
        <w:t xml:space="preserve">private sector organizations in line with the ideologies of neo-liberalism </w:t>
      </w:r>
      <w:r w:rsidRPr="00452E2E">
        <w:fldChar w:fldCharType="begin" w:fldLock="1"/>
      </w:r>
      <w:r w:rsidRPr="00452E2E">
        <w:instrText>ADDIN CSL_CITATION { "citationItems" : [ { "id" : "ITEM-1", "itemData" : { "abstract" : "Since the inception of paid/wage employment, through a combination of sustained struggles and appeals to the conscience of the rest of society, workers, using the platform provided by their organizations (trade unions), have been able to secure for themselves a number of rights. These rights are predicated on, and complemented by, some constitutional provisions which confer certain rights on workers as citizens of their countries. However, in the new world economic order elegantly referred to as globalization workers' rights have been dealt a devastating blow. Under globalization driven by neoliberalism and anchored on less state involvement in the economic sphere, governments, particularly in their obsession to attract foreign direct investments as well as satisfying private corporate interests, have been arm-twisted to relax labor laws that seek to protect workers from extreme abuse within the employment relationship. This unfolds within the context of the increasing autocracy of the capitalist state, not only in Nigeria but worldwide by which basic labor rights, such as the right to freedom of association and collective bargaining, are brazenly violated even in the advanced democracies. Based on a combination of empirical data and secondary materials, this essay establishes that the level of compliance with existing legislation on workers' rights is low in Nigeria. The research also finds that official enforcement is equally low; a situation that is encouraged by weak institutional capacity of the labor administration system. Closely related to weak institutional capacity is the lack of the political will on the part of the subservient Nigerian state to protect its worker-citizens. It is against this backdrop that the paper submits that given the failure of the state to ensure compliance with laws which seek to protect workers, workers, their organisations, and allies within the broader labour movement need to look beyond the state and its agencies to secure rights at work. The reality equally calls for a deeper understanding of the issues involved and a holistic response of the working class, both national and transnational. [ABSTRACT FROM AUTHOR]", "author" : [ { "dropping-particle" : "", "family" : "Adewumi", "given" : "Funmi", "non-dropping-particle" : "", "parse-names" : false, "suffix" : "" } ], "container-title" : "WorkingUSA", "id" : "ITEM-1", "issue" : "December", "issued" : { "date-parts" : [ [ "2012" ] ] }, "page" : "529-547", "title" : "The global economy, trade unions and the protection of workers' rights in Nigeria", "type" : "article-journal", "volume" : "15" }, "uris" : [ "http://www.mendeley.com/documents/?uuid=83e0a08f-76b3-46e8-a1f0-ae8e0126bf34" ] } ], "mendeley" : { "formattedCitation" : "(Adewumi 2012)", "manualFormatting" : "(Adewumi, 2012)", "plainTextFormattedCitation" : "(Adewumi 2012)", "previouslyFormattedCitation" : "(Adewumi 2012)" }, "properties" : { "noteIndex" : 0 }, "schema" : "https://github.com/citation-style-language/schema/raw/master/csl-citation.json" }</w:instrText>
      </w:r>
      <w:r w:rsidRPr="00452E2E">
        <w:fldChar w:fldCharType="separate"/>
      </w:r>
      <w:r w:rsidRPr="00452E2E">
        <w:rPr>
          <w:noProof/>
        </w:rPr>
        <w:t>(Adewumi, 2012)</w:t>
      </w:r>
      <w:r w:rsidRPr="00452E2E">
        <w:fldChar w:fldCharType="end"/>
      </w:r>
      <w:r w:rsidRPr="00452E2E">
        <w:t xml:space="preserve">. </w:t>
      </w:r>
    </w:p>
    <w:p w:rsidR="00D03A8E" w:rsidRPr="00452E2E" w:rsidRDefault="00D03A8E" w:rsidP="00D03A8E">
      <w:pPr>
        <w:spacing w:line="360" w:lineRule="auto"/>
        <w:jc w:val="both"/>
      </w:pPr>
      <w:r w:rsidRPr="00452E2E">
        <w:t xml:space="preserve">In terms of the size of the organization, large organizations were more likely to indicate that HRM decisions in their organizations were influenced by institutions than small organizations. On the other hand, and expectedly, industries with professionalized employee groups like the health industry were more likely to indicate the influence of professional bodies on HRM decisions. This diversity in the influence of institutions on HRM based on size, industry and sector resonates with the literature on segmented business system theory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"plainTextFormattedCitation" : "(Wood &amp; Frynas 2006)", "previouslyFormattedCitation" : "(Wood &amp; Frynas 2006)" }, "properties" : { "noteIndex" : 0 }, "schema" : "https://github.com/citation-style-language/schema/raw/master/csl-citation.json" }</w:instrText>
      </w:r>
      <w:r w:rsidRPr="00452E2E">
        <w:fldChar w:fldCharType="separate"/>
      </w:r>
      <w:r w:rsidRPr="00452E2E">
        <w:rPr>
          <w:noProof/>
        </w:rPr>
        <w:t>(Wood &amp; Frynas, 2006)</w:t>
      </w:r>
      <w:r w:rsidRPr="00452E2E">
        <w:fldChar w:fldCharType="end"/>
      </w:r>
      <w:r w:rsidRPr="00452E2E">
        <w:t xml:space="preserve">. As noted by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"ITEM-1",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"(Wood &amp; Horwitz 2015)", "manualFormatting" : "Wood &amp; Horwitz (2015 p.23)", "plainTextFormattedCitation" : "(Wood &amp; Horwitz 2015)", "previouslyFormattedCitation" : "(Wood &amp; Horwitz 2015)" }, "properties" : { "noteIndex" : 0 }, "schema" : "https://github.com/citation-style-language/schema/raw/master/csl-citation.json" }</w:instrText>
      </w:r>
      <w:r w:rsidRPr="00452E2E">
        <w:fldChar w:fldCharType="separate"/>
      </w:r>
      <w:r w:rsidRPr="00452E2E">
        <w:rPr>
          <w:noProof/>
        </w:rPr>
        <w:t>Wood &amp; Horwitz (2015</w:t>
      </w:r>
      <w:r w:rsidR="00EB5AF1" w:rsidRPr="00452E2E">
        <w:rPr>
          <w:noProof/>
        </w:rPr>
        <w:t>,</w:t>
      </w:r>
      <w:r w:rsidRPr="00452E2E">
        <w:rPr>
          <w:noProof/>
        </w:rPr>
        <w:t xml:space="preserve"> p.23)</w:t>
      </w:r>
      <w:r w:rsidRPr="00452E2E">
        <w:fldChar w:fldCharType="end"/>
      </w:r>
      <w:r w:rsidRPr="00452E2E">
        <w:t xml:space="preserve">, the segmented business system theory “highlights uneven nature of institutional coverage and great internal variations according to firm type or sector”. </w:t>
      </w:r>
      <w:r w:rsidR="00DB2CEE" w:rsidRPr="00452E2E">
        <w:t xml:space="preserve">This </w:t>
      </w:r>
      <w:r w:rsidR="00256AA5" w:rsidRPr="00452E2E">
        <w:t>ind</w:t>
      </w:r>
      <w:r w:rsidR="00B9729B" w:rsidRPr="00452E2E">
        <w:t>icates</w:t>
      </w:r>
      <w:r w:rsidR="00256AA5" w:rsidRPr="00452E2E">
        <w:t xml:space="preserve"> the relevance of</w:t>
      </w:r>
      <w:r w:rsidR="00DB2CEE" w:rsidRPr="00452E2E">
        <w:t xml:space="preserve"> comparative institutional theories </w:t>
      </w:r>
      <w:r w:rsidR="00256AA5" w:rsidRPr="00452E2E">
        <w:t>to the</w:t>
      </w:r>
      <w:r w:rsidR="00DB2CEE" w:rsidRPr="00452E2E">
        <w:t xml:space="preserve"> understanding </w:t>
      </w:r>
      <w:r w:rsidR="003552A5" w:rsidRPr="00452E2E">
        <w:t xml:space="preserve">of the influence of </w:t>
      </w:r>
      <w:r w:rsidR="00DB2CEE" w:rsidRPr="00452E2E">
        <w:t xml:space="preserve">institutions </w:t>
      </w:r>
      <w:r w:rsidR="003552A5" w:rsidRPr="00452E2E">
        <w:t xml:space="preserve">on HRM </w:t>
      </w:r>
      <w:r w:rsidR="00DB2CEE" w:rsidRPr="00452E2E">
        <w:t xml:space="preserve">in Nigeria since these theories account for national differences in institutional </w:t>
      </w:r>
      <w:r w:rsidR="00235BAB" w:rsidRPr="00452E2E">
        <w:t>configurations</w:t>
      </w:r>
      <w:r w:rsidR="00DB2CEE" w:rsidRPr="00452E2E">
        <w:t xml:space="preserve"> of countries</w:t>
      </w:r>
      <w:r w:rsidR="00A55CD3" w:rsidRPr="00452E2E">
        <w:t xml:space="preserve"> (Wood </w:t>
      </w:r>
      <w:r w:rsidR="00A55CD3" w:rsidRPr="00452E2E">
        <w:rPr>
          <w:i/>
        </w:rPr>
        <w:t>et al.</w:t>
      </w:r>
      <w:r w:rsidR="00A55CD3" w:rsidRPr="00452E2E">
        <w:t>, 2012)</w:t>
      </w:r>
      <w:r w:rsidR="00DB2CEE" w:rsidRPr="00452E2E">
        <w:t xml:space="preserve">. </w:t>
      </w:r>
    </w:p>
    <w:p w:rsidR="00D03A8E" w:rsidRPr="00452E2E" w:rsidRDefault="00D03A8E" w:rsidP="00D03A8E">
      <w:pPr>
        <w:spacing w:line="360" w:lineRule="auto"/>
        <w:jc w:val="both"/>
      </w:pPr>
      <w:r w:rsidRPr="00452E2E">
        <w:t>The findings from the survey data were corroborated by findings from interview data, although the latter provided deeper insights on how institutions influenced HRM in both sectors. From the interview data, institutions such as labour laws, trade</w:t>
      </w:r>
      <w:r w:rsidR="00D66E9F" w:rsidRPr="00452E2E">
        <w:t xml:space="preserve"> unions, regulatory bodies and two</w:t>
      </w:r>
      <w:r w:rsidRPr="00452E2E">
        <w:t xml:space="preserve"> context-specific theme</w:t>
      </w:r>
      <w:r w:rsidR="00D66E9F" w:rsidRPr="00452E2E">
        <w:t>s</w:t>
      </w:r>
      <w:r w:rsidRPr="00452E2E">
        <w:t xml:space="preserve"> identified as </w:t>
      </w:r>
      <w:r w:rsidR="00D66E9F" w:rsidRPr="00452E2E">
        <w:t>host community and influence of elites</w:t>
      </w:r>
      <w:r w:rsidRPr="00452E2E">
        <w:t xml:space="preserve"> were categorised as coercive institutional mechanisms </w:t>
      </w:r>
      <w:r w:rsidRPr="00452E2E">
        <w:fldChar w:fldCharType="begin" w:fldLock="1"/>
      </w:r>
      <w:r w:rsidRPr="00452E2E">
        <w:instrText>ADDIN CSL_CITATION { "citationItems" : [ { "id" : "ITEM-1", "itemData" : { "author" : [ { "dropping-particle" : "", "family" : "DiMaggio", "given" : "P.J.", "non-dropping-particle" : "", "parse-names" : false, "suffix" : "" }, { "dropping-particle" : "", "family" : "Powell", "given" : "W.W.", "non-dropping-particle" : "", "parse-names" : false, "suffix" : "" } ], "container-title" : "American Sociological Review", "id" : "ITEM-1", "issue" : "2", "issued" : { "date-parts" : [ [ "1983" ] ] }, "page" : "147-160", "title" : "The iron cage revisited: Institutional isomorphism and collective rationality in organizational fields", "type" : "article-journal", "volume" : "48" }, "uris" : [ "http://www.mendeley.com/documents/?uuid=173aaf26-bb0f-440b-9525-ae2f5aa9b9fc" ] }, { "id" : "ITEM-2", "itemData" : { "author" : [ { "dropping-particle" : "", "family" : "Paauwe", "given" : "Jaap", "non-dropping-particle" : "", "parse-names" : false, "suffix" : "" }, { "dropping-particle" : "", "family" : "Boselie", "given" : "Paul", "non-dropping-particle" : "", "parse-names" : false, "suffix" : "" } ], "container-title" : "Human Resource Management Journal", "id" : "ITEM-2", "issue" : "3", "issued" : { "date-parts" : [ [ "2003" ] ] }, "page" : "56-70", "title" : "Challenging the 'strategic HRM' and the relevance of the institutional setting", "type" : "article-journal", "volume" : "13" }, "uris" : [ "http://www.mendeley.com/documents/?uuid=2dc96162-ed59-4e9b-8836-d32783466b93" ] } ], "mendeley" : { "formattedCitation" : "(DiMaggio &amp; Powell 1983; Paauwe &amp; Boselie 2003)", "manualFormatting" : "(DiMaggio &amp; Powell, 1983; Paauwe &amp; Boselie, 2003)", "plainTextFormattedCitation" : "(DiMaggio &amp; Powell 1983; Paauwe &amp; Boselie 2003)", "previouslyFormattedCitation" : "(DiMaggio &amp; Powell 1983; Paauwe &amp; Boselie 2003)" }, "properties" : { "noteIndex" : 0 }, "schema" : "https://github.com/citation-style-language/schema/raw/master/csl-citation.json" }</w:instrText>
      </w:r>
      <w:r w:rsidRPr="00452E2E">
        <w:fldChar w:fldCharType="separate"/>
      </w:r>
      <w:r w:rsidRPr="00452E2E">
        <w:rPr>
          <w:noProof/>
        </w:rPr>
        <w:t>(DiMaggio &amp; Powell, 1983; Paauwe &amp; Boselie, 2003)</w:t>
      </w:r>
      <w:r w:rsidRPr="00452E2E">
        <w:fldChar w:fldCharType="end"/>
      </w:r>
      <w:r w:rsidRPr="00452E2E">
        <w:t xml:space="preserve">. Whilst these coercive mechanisms influenced HRM in both sectors, there were striking differences in the level of influence between public and private sector organizations. Although organizations from both public and private sector alluded </w:t>
      </w:r>
      <w:r w:rsidRPr="00452E2E">
        <w:lastRenderedPageBreak/>
        <w:t xml:space="preserve">to the importance of labour laws in determining HRM policies in their organizations, it was evident that in some cases, not all aspects of labour laws were adhered to in private organizations. For instance, findings </w:t>
      </w:r>
      <w:r w:rsidR="00E62B73" w:rsidRPr="00452E2E">
        <w:t xml:space="preserve">from the interview data </w:t>
      </w:r>
      <w:r w:rsidRPr="00452E2E">
        <w:t xml:space="preserve">indicate that not all private organizations adhered to the minimum wage law in Nigeria. This is especially the case when low-skilled employees are involved. On the other hand, findings pointed to the adherence to labour laws in the public sector. The lack of compliance with some aspects of labour legislation in some private organizations is reflective of the uneven coverage of institutions highlighted by segmented business system theorists and is typical of many African contexts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"id" : "ITEM-2",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"ITEM-2", "issued" : { "date-parts" : [ [ "2012" ] ] }, "page" : "495-511", "publisher" : "Edward Elgar", "publisher-place" : "Cheltenham, UK", "title" : "The practice of HRM in Africa in comparative perspective", "type" : "chapter" }, "uris" : [ "http://www.mendeley.com/documents/?uuid=c50d4f41-3d16-4383-bbfc-941b6ffeeb24" ] } ], "mendeley" : { "formattedCitation" : "(Wood &amp; Frynas 2006; Bischoff &amp; Wood 2012)", "manualFormatting" : "(Wood &amp; Frynas, 2006; Bischoff &amp; Wood, 2012)", "plainTextFormattedCitation" : "(Wood &amp; Frynas 2006; Bischoff &amp; Wood 2012)", "previouslyFormattedCitation" : "(Wood &amp; Frynas 2006; Bischoff &amp; Wood 2012)" }, "properties" : { "noteIndex" : 0 }, "schema" : "https://github.com/citation-style-language/schema/raw/master/csl-citation.json" }</w:instrText>
      </w:r>
      <w:r w:rsidRPr="00452E2E">
        <w:fldChar w:fldCharType="separate"/>
      </w:r>
      <w:r w:rsidRPr="00452E2E">
        <w:rPr>
          <w:noProof/>
        </w:rPr>
        <w:t>(Wood &amp; Frynas, 2006; Bischoff &amp; Wood, 2012)</w:t>
      </w:r>
      <w:r w:rsidRPr="00452E2E">
        <w:fldChar w:fldCharType="end"/>
      </w:r>
      <w:r w:rsidRPr="00452E2E">
        <w:t xml:space="preserve">. </w:t>
      </w:r>
    </w:p>
    <w:p w:rsidR="00D03A8E" w:rsidRPr="00452E2E" w:rsidRDefault="00D03A8E" w:rsidP="00D03A8E">
      <w:pPr>
        <w:spacing w:line="360" w:lineRule="auto"/>
        <w:jc w:val="both"/>
      </w:pPr>
      <w:r w:rsidRPr="00452E2E">
        <w:t xml:space="preserve">Of course, where labour law enforcement agencies are weak and competition is fierce, employers who are not responsible are bound to take advantage of workers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What is more, the high level of unemployment in many African contexts confers undue advantage to employers when dealing with employees </w:t>
      </w:r>
      <w:r w:rsidRPr="00452E2E">
        <w:fldChar w:fldCharType="begin" w:fldLock="1"/>
      </w:r>
      <w:r w:rsidRPr="00452E2E">
        <w:instrText>ADDIN CSL_CITATION { "citationItems" : [ { "id" : "ITEM-1", "itemData" : { "author" : [ { "dropping-particle" : "", "family" : "Aryee", "given" : "Samuel", "non-dropping-particle" : "", "parse-names" : false, "suffix" : "" } ], "container-title" : "Managing human resources in Africa", "editor"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"ITEM-1", "issued" : { "date-parts" : [ [ "2004" ] ] }, "page" : "121-134", "publisher" : "Routledge", "publisher-place" : "London", "title" : "HRM in Ghana", "type" : "chapter" }, "uris" : [ "http://www.mendeley.com/documents/?uuid=33c2f00a-0655-400e-9adc-892f7cfa3679" ] }, { "id" : "ITEM-2", "itemData" : { "author"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"ITEM-2", "issued" : { "date-parts" : [ [ "2004" ] ] }, "publisher" : "Routledge", "publisher-place" : "London", "title" : "Managing human resources in Africa", "type" : "book" }, "uris" : [ "http://www.mendeley.com/documents/?uuid=37a69d52-443a-40f7-be09-6be2075c9afe" ] }, { "id" : "ITEM-3",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"ITEM-3",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"(Aryee 2004; Kamoche et al. 2004; Wood et al. 2011)", "manualFormatting" : "(Aryee, 2004; Kamoche et al., 2004; Wood et al., 2011)", "plainTextFormattedCitation" : "(Aryee 2004; Kamoche et al. 2004; Wood et al. 2011)", "previouslyFormattedCitation" : "(Aryee 2004; Kamoche et al. 2004; Wood et al. 2011)" }, "properties" : { "noteIndex" : 0 }, "schema" : "https://github.com/citation-style-language/schema/raw/master/csl-citation.json" }</w:instrText>
      </w:r>
      <w:r w:rsidRPr="00452E2E">
        <w:fldChar w:fldCharType="separate"/>
      </w:r>
      <w:r w:rsidRPr="00452E2E">
        <w:rPr>
          <w:noProof/>
        </w:rPr>
        <w:t xml:space="preserve">(Aryee, 2004; Kamoche </w:t>
      </w:r>
      <w:r w:rsidRPr="00452E2E">
        <w:rPr>
          <w:i/>
          <w:noProof/>
        </w:rPr>
        <w:t>et al</w:t>
      </w:r>
      <w:r w:rsidRPr="00452E2E">
        <w:rPr>
          <w:noProof/>
        </w:rPr>
        <w:t xml:space="preserve">., 2004; Wood </w:t>
      </w:r>
      <w:r w:rsidRPr="00452E2E">
        <w:rPr>
          <w:i/>
          <w:noProof/>
        </w:rPr>
        <w:t>et al</w:t>
      </w:r>
      <w:r w:rsidRPr="00452E2E">
        <w:rPr>
          <w:noProof/>
        </w:rPr>
        <w:t>., 2011)</w:t>
      </w:r>
      <w:r w:rsidRPr="00452E2E">
        <w:fldChar w:fldCharType="end"/>
      </w:r>
      <w:r w:rsidRPr="00452E2E">
        <w:t xml:space="preserve">. In contexts of high unemployment, workers are compelled to put up with poor conditions of work due to the shortage or lack of alternative jobs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"plainTextFormattedCitation" : "(Wood et al. 2011)", "previouslyFormattedCitation" : "(Wood et al. 2011)"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2011)</w:t>
      </w:r>
      <w:r w:rsidRPr="00452E2E">
        <w:fldChar w:fldCharType="end"/>
      </w:r>
      <w:r w:rsidRPr="00452E2E">
        <w:t xml:space="preserve">. In the particular case of Nigeria, this situation is exacerbated by the high level of corruption wherein in some cases, those that are responsible for enforcing compliance with labour laws deliberately turn a blind eye to such violations of the law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"(Okpara &amp; Wynn 2008)", "manualFormatting" : "(Okpara &amp; Wynn, 2008)", "plainTextFormattedCitation" : "(Okpara &amp; Wynn 2008)", "previouslyFormattedCitation" : "(Okpara &amp; Wynn 2008)" }, "properties" : { "noteIndex" : 0 }, "schema" : "https://github.com/citation-style-language/schema/raw/master/csl-citation.json" }</w:instrText>
      </w:r>
      <w:r w:rsidRPr="00452E2E">
        <w:fldChar w:fldCharType="separate"/>
      </w:r>
      <w:r w:rsidRPr="00452E2E">
        <w:rPr>
          <w:noProof/>
        </w:rPr>
        <w:t>(Okpara &amp; Wynn, 2008)</w:t>
      </w:r>
      <w:r w:rsidRPr="00452E2E">
        <w:fldChar w:fldCharType="end"/>
      </w:r>
      <w:r w:rsidRPr="00452E2E">
        <w:t xml:space="preserve">. Notwithstanding the presence of corruption, and perhaps due to the public scrutiny that public organizations generally face </w:t>
      </w:r>
      <w:r w:rsidRPr="00452E2E">
        <w:fldChar w:fldCharType="begin" w:fldLock="1"/>
      </w:r>
      <w:r w:rsidRPr="00452E2E">
        <w:instrText>ADDIN CSL_CITATION { "citationItems" : [ { "id" : "ITEM-1", "itemData" : { "author" : [ { "dropping-particle" : "", "family" : "Rainey", "given" : "Hal G.", "non-dropping-particle" : "", "parse-names" : false, "suffix" : "" } ], "edition" : "5th", "id" : "ITEM-1", "issued" : { "date-parts" : [ [ "2014" ] ] }, "publisher" : "Jossey-Bass", "publisher-place" : "San Francisco CA", "title" : "Understanding and managing public organizations", "type" : "book" }, "uris" : [ "http://www.mendeley.com/documents/?uuid=e4509630-4d2f-4f7b-acc0-ef9c899faaab" ] } ], "mendeley" : { "formattedCitation" : "(Rainey 2014)", "manualFormatting" : "(Rainey, 2014)", "plainTextFormattedCitation" : "(Rainey 2014)", "previouslyFormattedCitation" : "(Rainey 2014)" }, "properties" : { "noteIndex" : 0 }, "schema" : "https://github.com/citation-style-language/schema/raw/master/csl-citation.json" }</w:instrText>
      </w:r>
      <w:r w:rsidRPr="00452E2E">
        <w:fldChar w:fldCharType="separate"/>
      </w:r>
      <w:r w:rsidRPr="00452E2E">
        <w:rPr>
          <w:noProof/>
        </w:rPr>
        <w:t>(Rainey, 2014)</w:t>
      </w:r>
      <w:r w:rsidRPr="00452E2E">
        <w:fldChar w:fldCharType="end"/>
      </w:r>
      <w:r w:rsidRPr="00452E2E">
        <w:t xml:space="preserve">, the evidence suggests that HRM in the public sector in Nigeria is more likely to be influenced by labour laws than HRM in the private sector. This may suggest, as others have pointed out </w:t>
      </w:r>
      <w:r w:rsidRPr="00452E2E">
        <w:fldChar w:fldCharType="begin" w:fldLock="1"/>
      </w:r>
      <w:r w:rsidRPr="00452E2E">
        <w:instrText>ADDIN CSL_CITATION { "citationItems" : [ { "id" : "ITEM-1", "itemData" : { "author" : [ { "dropping-particle" : "", "family" : "Dibben", "given" : "Pauline", "non-dropping-particle" : "", "parse-names" : false, "suffix" : "" }, { "dropping-particle" : "", "family" : "Wood", "given" : "Geoffrey", "non-dropping-particle" : "", "parse-names" : false, "suffix" : "" } ], "container-title" : "Effective people management in Africa", "editor"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"ITEM-1", "issued" : { "date-parts" : [ [ "2013" ] ] }, "page" : "72-94", "publisher" : "Palgrave Macmillan", "publisher-place" : "Basingstoke", "title" : "Privatization and employment relations in Africa", "type" : "chapter" }, "uris" : [ "http://www.mendeley.com/documents/?uuid=ef3ac935-a000-43ed-beef-50e0b2d443f8" ] } ], "mendeley" : { "formattedCitation" : "(Dibben &amp; Wood 2013)", "manualFormatting" : "(Dibben &amp; Wood, 2013)", "plainTextFormattedCitation" : "(Dibben &amp; Wood 2013)", "previouslyFormattedCitation" : "(Dibben &amp; Wood 2013)" }, "properties" : { "noteIndex" : 0 }, "schema" : "https://github.com/citation-style-language/schema/raw/master/csl-citation.json" }</w:instrText>
      </w:r>
      <w:r w:rsidRPr="00452E2E">
        <w:fldChar w:fldCharType="separate"/>
      </w:r>
      <w:r w:rsidRPr="00452E2E">
        <w:rPr>
          <w:noProof/>
        </w:rPr>
        <w:t>(Dibben &amp; Wood, 2013)</w:t>
      </w:r>
      <w:r w:rsidRPr="00452E2E">
        <w:fldChar w:fldCharType="end"/>
      </w:r>
      <w:r w:rsidRPr="00452E2E">
        <w:t xml:space="preserve">, that the public sector plays an exemplary role in providing better conditions of employment. </w:t>
      </w:r>
    </w:p>
    <w:p w:rsidR="00E42607" w:rsidRPr="00452E2E" w:rsidRDefault="00D03A8E" w:rsidP="00D03A8E">
      <w:pPr>
        <w:spacing w:line="360" w:lineRule="auto"/>
        <w:jc w:val="both"/>
      </w:pPr>
      <w:r w:rsidRPr="00452E2E">
        <w:t xml:space="preserve">The requirements of regulatory bodies also influence HRM in public and private sector in Nigeria. Again, just like the case of labour laws, the influence of regulatory bodies may be inhibited due to the presence of corruption as some organizations may fail to comply with regulatory requirements without sanctions. Nevertheless, findings suggest that the level of influence of regulatory bodies is more pronounced in the public sector due to the multiplicity of regulatory bodies. One </w:t>
      </w:r>
      <w:r w:rsidRPr="00452E2E">
        <w:lastRenderedPageBreak/>
        <w:t xml:space="preserve">particular example of the influence of regulatory bodies on HRM in the public sector is the Federal Character Commission whose role is to ensure that the employee-base of public sector organizations cuts across all the geo-political zones in Nigeria </w:t>
      </w:r>
      <w:r w:rsidRPr="00452E2E">
        <w:fldChar w:fldCharType="begin" w:fldLock="1"/>
      </w:r>
      <w:r w:rsidRPr="00452E2E">
        <w:instrText>ADDIN CSL_CITATION { "citationItems" : [ { "id" : "ITEM-1", "itemData" : { "DOI" : "10.1002/jid", "abstract" : "Nigeria, South Africa and Namibia, all divided societies, have affirmative action programmes aimed at bridging the profound inequalities between different segments of their population. Many others African countries have milder versions, such as parliamentary quotas for women. This study examines the necessity for affirmative action and the effectiveness of the Federal Character Commission (FCC), set up in Nigeria to oversee the process. It examines the historical connections between ethnic inequalities, governance and conflict in Nigeria and the various efforts at reforming the entrenched ethnic imbalances in the Nigerian public sector. It advances both philosophical and instrumentalist arguments in defence of affirmative action and, against this background, examines the effectiveness of the commission. A core argument is that the commission should be evaluated on both its intended and unintended effects on Nigerian public life. If this wider standard is used, then the commission has contributed positively to the management of ethnic inequalities in the Nigerian public sector. Some of the challenges facing the commission are also highlighted.", "author" : [ { "dropping-particle" : "", "family" : "Mustapha", "given" : "Abdul Raufu", "non-dropping-particle" : "", "parse-names" : false, "suffix" : "" } ], "container-title" : "Journal of International Development", "id" : "ITEM-1", "issue" : "43", "issued" : { "date-parts" : [ [ "2009" ] ] }, "page" : "561-576", "title" : "Institutionalising ethnic representation : how effective is affirmative action in Nigeria ?", "type" : "article-journal", "volume" : "576" }, "uris" : [ "http://www.mendeley.com/documents/?uuid=225bc6b9-e852-41cf-a452-00ea8c4f9ace" ] } ], "mendeley" : { "formattedCitation" : "(Mustapha 2009)", "manualFormatting" : "(Mustapha, 2009)", "plainTextFormattedCitation" : "(Mustapha 2009)", "previouslyFormattedCitation" : "(Mustapha 2009)" }, "properties" : { "noteIndex" : 0 }, "schema" : "https://github.com/citation-style-language/schema/raw/master/csl-citation.json" }</w:instrText>
      </w:r>
      <w:r w:rsidRPr="00452E2E">
        <w:fldChar w:fldCharType="separate"/>
      </w:r>
      <w:r w:rsidRPr="00452E2E">
        <w:rPr>
          <w:noProof/>
        </w:rPr>
        <w:t>(Mustapha, 2009)</w:t>
      </w:r>
      <w:r w:rsidRPr="00452E2E">
        <w:fldChar w:fldCharType="end"/>
      </w:r>
      <w:r w:rsidRPr="00452E2E">
        <w:t xml:space="preserve">. This kind of arrangement is common in societies where there is ethnic diversity and/or where historical inequities exist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"author" : [ { "dropping-particle" : "", "family" : "Dibben", "given" : "Pauline", "non-dropping-particle" : "", "parse-names" : false, "suffix" : "" }, { "dropping-particle" : "", "family" : "Wood", "given" : "Geoffrey", "non-dropping-particle" : "", "parse-names" : false, "suffix" : "" } ], "container-title" : "Effective people management in Africa", "editor"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"ITEM-2", "issued" : { "date-parts" : [ [ "2013" ] ] }, "page" : "72-94", "publisher" : "Palgrave Macmillan", "publisher-place" : "Basingstoke", "title" : "Privatization and employment relations in Africa", "type" : "chapter" }, "uris" : [ "http://www.mendeley.com/documents/?uuid=ef3ac935-a000-43ed-beef-50e0b2d443f8" ] } ], "mendeley" : { "formattedCitation" : "(Webster &amp; Wood 2005; Dibben &amp; Wood 2013)", "manualFormatting" : "(Webster &amp; Wood, 2005; Dibben &amp; Wood, 2013)", "plainTextFormattedCitation" : "(Webster &amp; Wood 2005; Dibben &amp; Wood 2013)", "previouslyFormattedCitation" : "(Webster &amp; Wood 2005; Dibben &amp; Wood 2013)" }, "properties" : { "noteIndex" : 0 }, "schema" : "https://github.com/citation-style-language/schema/raw/master/csl-citation.json" }</w:instrText>
      </w:r>
      <w:r w:rsidRPr="00452E2E">
        <w:fldChar w:fldCharType="separate"/>
      </w:r>
      <w:r w:rsidRPr="00452E2E">
        <w:rPr>
          <w:noProof/>
        </w:rPr>
        <w:t>(Webster &amp; Wood, 2005; Dibben &amp; Wood, 2013)</w:t>
      </w:r>
      <w:r w:rsidRPr="00452E2E">
        <w:fldChar w:fldCharType="end"/>
      </w:r>
      <w:r w:rsidRPr="00452E2E">
        <w:t xml:space="preserve">. This highlights the role of the public sector in bridging ethnic diversity in many African contexts </w:t>
      </w:r>
      <w:r w:rsidRPr="00452E2E">
        <w:fldChar w:fldCharType="begin" w:fldLock="1"/>
      </w:r>
      <w:r w:rsidRPr="00452E2E">
        <w:instrText>ADDIN CSL_CITATION { "citationItems" : [ { "id" : "ITEM-1", "itemData" : { "author" : [ { "dropping-particle" : "", "family" : "Dibben", "given" : "Pauline", "non-dropping-particle" : "", "parse-names" : false, "suffix" : "" }, { "dropping-particle" : "", "family" : "Wood", "given" : "Geoffrey", "non-dropping-particle" : "", "parse-names" : false, "suffix" : "" } ], "container-title" : "Effective people management in Africa", "editor"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"ITEM-1", "issued" : { "date-parts" : [ [ "2013" ] ] }, "page" : "72-94", "publisher" : "Palgrave Macmillan", "publisher-place" : "Basingstoke", "title" : "Privatization and employment relations in Africa", "type" : "chapter" }, "uris" : [ "http://www.mendeley.com/documents/?uuid=ef3ac935-a000-43ed-beef-50e0b2d443f8" ] } ], "mendeley" : { "formattedCitation" : "(Dibben &amp; Wood 2013)", "manualFormatting" : "(Dibben &amp; Wood, 2013)", "plainTextFormattedCitation" : "(Dibben &amp; Wood 2013)", "previouslyFormattedCitation" : "(Dibben &amp; Wood 2013)" }, "properties" : { "noteIndex" : 0 }, "schema" : "https://github.com/citation-style-language/schema/raw/master/csl-citation.json" }</w:instrText>
      </w:r>
      <w:r w:rsidRPr="00452E2E">
        <w:fldChar w:fldCharType="separate"/>
      </w:r>
      <w:r w:rsidRPr="00452E2E">
        <w:rPr>
          <w:noProof/>
        </w:rPr>
        <w:t>(Dibben &amp; Wood, 2013)</w:t>
      </w:r>
      <w:r w:rsidRPr="00452E2E">
        <w:fldChar w:fldCharType="end"/>
      </w:r>
      <w:r w:rsidRPr="00452E2E">
        <w:t xml:space="preserve">. </w:t>
      </w:r>
    </w:p>
    <w:p w:rsidR="00D03A8E" w:rsidRPr="00452E2E" w:rsidRDefault="00D03A8E" w:rsidP="00D03A8E">
      <w:pPr>
        <w:spacing w:line="360" w:lineRule="auto"/>
        <w:jc w:val="both"/>
      </w:pPr>
      <w:r w:rsidRPr="00452E2E">
        <w:t xml:space="preserve">Thus, whilst it might be tempting to criticise the federal character principle for promoting mediocrity against meritocracy in the Nigerian public sector </w:t>
      </w:r>
      <w:r w:rsidRPr="00452E2E">
        <w:fldChar w:fldCharType="begin" w:fldLock="1"/>
      </w:r>
      <w:r w:rsidRPr="00452E2E">
        <w:instrText>ADDIN CSL_CITATION { "citationItems" : [ { "id" : "ITEM-1", "itemData" : { "author" : [ { "dropping-particle" : "", "family" : "Olusoji", "given" : "G", "non-dropping-particle" : "", "parse-names" : false, "suffix" : "" }, { "dropping-particle" : "", "family" : "Owoyemi", "given" : "O", "non-dropping-particle" : "", "parse-names" : false, "suffix" : "" }, { "dropping-particle" : "", "family" : "Adegboye", "given" : "M", "non-dropping-particle" : "", "parse-names" : false, "suffix" : "" } ], "container-title" : "International Review of Social Sciences and Humanities", "id" : "ITEM-1", "issue" : "1", "issued" : { "date-parts" : [ [ "2014" ] ] }, "page" : "46-51", "title" : "Meritocracy- 0 versus mediocrity-1 : and mediocrity won : the case of the Nigerian federal character principle (FCP )", "type" : "article-journal", "volume" : "7" }, "uris" : [ "http://www.mendeley.com/documents/?uuid=8916436a-d66e-4192-8760-8242afaae292" ] } ], "mendeley" : { "formattedCitation" : "(Olusoji et al. 2014)", "manualFormatting" : "(Olusoji et al., 2014)", "plainTextFormattedCitation" : "(Olusoji et al. 2014)", "previouslyFormattedCitation" : "(Olusoji et al. 2014)" }, "properties" : { "noteIndex" : 0 }, "schema" : "https://github.com/citation-style-language/schema/raw/master/csl-citation.json" }</w:instrText>
      </w:r>
      <w:r w:rsidRPr="00452E2E">
        <w:fldChar w:fldCharType="separate"/>
      </w:r>
      <w:r w:rsidRPr="00452E2E">
        <w:rPr>
          <w:noProof/>
        </w:rPr>
        <w:t>(</w:t>
      </w:r>
      <w:r w:rsidR="00E87196" w:rsidRPr="00452E2E">
        <w:rPr>
          <w:noProof/>
        </w:rPr>
        <w:t xml:space="preserve">e.g. </w:t>
      </w:r>
      <w:r w:rsidRPr="00452E2E">
        <w:rPr>
          <w:noProof/>
        </w:rPr>
        <w:t xml:space="preserve">Olusoji </w:t>
      </w:r>
      <w:r w:rsidRPr="00452E2E">
        <w:rPr>
          <w:i/>
          <w:noProof/>
        </w:rPr>
        <w:t>et al</w:t>
      </w:r>
      <w:r w:rsidRPr="00452E2E">
        <w:rPr>
          <w:noProof/>
        </w:rPr>
        <w:t>., 2014)</w:t>
      </w:r>
      <w:r w:rsidRPr="00452E2E">
        <w:fldChar w:fldCharType="end"/>
      </w:r>
      <w:r w:rsidRPr="00452E2E">
        <w:t>, viewed from an institutional perspective, the federal character principle is a clas</w:t>
      </w:r>
      <w:r w:rsidR="00DF14D8" w:rsidRPr="00452E2E">
        <w:t xml:space="preserve">sic example of </w:t>
      </w:r>
      <w:r w:rsidR="00ED4A00" w:rsidRPr="00452E2E">
        <w:t xml:space="preserve">a </w:t>
      </w:r>
      <w:r w:rsidR="00DF14D8" w:rsidRPr="00452E2E">
        <w:t>complementarity</w:t>
      </w:r>
      <w:r w:rsidRPr="00452E2E">
        <w:t xml:space="preserve"> that </w:t>
      </w:r>
      <w:r w:rsidR="00DF14D8" w:rsidRPr="00452E2E">
        <w:t>is</w:t>
      </w:r>
      <w:r w:rsidRPr="00452E2E">
        <w:t xml:space="preserve"> aimed at ‘compensating for systemic weaknesses’ </w:t>
      </w:r>
      <w:r w:rsidRPr="00452E2E">
        <w:fldChar w:fldCharType="begin" w:fldLock="1"/>
      </w:r>
      <w:r w:rsidRPr="00452E2E">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"(cf. Lane &amp; Wood, 2009)", "plainTextFormattedCitation" : "(Lane &amp; Wood 2009)", "previouslyFormattedCitation" : "(Lane &amp; Wood 2009)" }, "properties" : { "noteIndex" : 0 }, "schema" : "https://github.com/citation-style-language/schema/raw/master/csl-citation.json" }</w:instrText>
      </w:r>
      <w:r w:rsidRPr="00452E2E">
        <w:fldChar w:fldCharType="separate"/>
      </w:r>
      <w:r w:rsidRPr="00452E2E">
        <w:rPr>
          <w:noProof/>
        </w:rPr>
        <w:t>(cf. Lane &amp; Wood, 2009)</w:t>
      </w:r>
      <w:r w:rsidRPr="00452E2E">
        <w:fldChar w:fldCharType="end"/>
      </w:r>
      <w:r w:rsidRPr="00452E2E">
        <w:t xml:space="preserve">. Nevertheless, if not properly monitored, some managers in the public sector may hide under the cloak of federal character principle to perpetrate ethnicity, nepotism and favouritism </w:t>
      </w:r>
      <w:r w:rsidRPr="00452E2E">
        <w:fldChar w:fldCharType="begin" w:fldLock="1"/>
      </w:r>
      <w:r w:rsidRPr="00452E2E">
        <w:instrText>ADDIN CSL_CITATION { "citationItems" : [ { "id" : "ITEM-1", "itemData" : { "DOI" : "10.1002/jid", "abstract" : "Nigeria, South Africa and Namibia, all divided societies, have affirmative action programmes aimed at bridging the profound inequalities between different segments of their population. Many others African countries have milder versions, such as parliamentary quotas for women. This study examines the necessity for affirmative action and the effectiveness of the Federal Character Commission (FCC), set up in Nigeria to oversee the process. It examines the historical connections between ethnic inequalities, governance and conflict in Nigeria and the various efforts at reforming the entrenched ethnic imbalances in the Nigerian public sector. It advances both philosophical and instrumentalist arguments in defence of affirmative action and, against this background, examines the effectiveness of the commission. A core argument is that the commission should be evaluated on both its intended and unintended effects on Nigerian public life. If this wider standard is used, then the commission has contributed positively to the management of ethnic inequalities in the Nigerian public sector. Some of the challenges facing the commission are also highlighted.", "author" : [ { "dropping-particle" : "", "family" : "Mustapha", "given" : "Abdul Raufu", "non-dropping-particle" : "", "parse-names" : false, "suffix" : "" } ], "container-title" : "Journal of International Development", "id" : "ITEM-1", "issue" : "43", "issued" : { "date-parts" : [ [ "2009" ] ] }, "page" : "561-576", "title" : "Institutionalising ethnic representation : how effective is affirmative action in Nigeria ?", "type" : "article-journal", "volume" : "576" }, "uris" : [ "http://www.mendeley.com/documents/?uuid=225bc6b9-e852-41cf-a452-00ea8c4f9ace" ] } ], "mendeley" : { "formattedCitation" : "(Mustapha 2009)", "manualFormatting" : "(Mustapha, 2009)", "plainTextFormattedCitation" : "(Mustapha 2009)", "previouslyFormattedCitation" : "(Mustapha 2009)" }, "properties" : { "noteIndex" : 0 }, "schema" : "https://github.com/citation-style-language/schema/raw/master/csl-citation.json" }</w:instrText>
      </w:r>
      <w:r w:rsidRPr="00452E2E">
        <w:fldChar w:fldCharType="separate"/>
      </w:r>
      <w:r w:rsidRPr="00452E2E">
        <w:rPr>
          <w:noProof/>
        </w:rPr>
        <w:t>(Mustapha, 2009)</w:t>
      </w:r>
      <w:r w:rsidRPr="00452E2E">
        <w:fldChar w:fldCharType="end"/>
      </w:r>
      <w:r w:rsidRPr="00452E2E">
        <w:t xml:space="preserve">. </w:t>
      </w:r>
    </w:p>
    <w:p w:rsidR="00D03A8E" w:rsidRPr="00452E2E" w:rsidRDefault="00D03A8E" w:rsidP="00D03A8E">
      <w:pPr>
        <w:spacing w:line="360" w:lineRule="auto"/>
        <w:jc w:val="both"/>
      </w:pPr>
      <w:r w:rsidRPr="00452E2E">
        <w:t xml:space="preserve">It has been argued that decent work and pay as well as national development could be achieved in developing countries through trade unionism </w:t>
      </w:r>
      <w:r w:rsidRPr="00452E2E">
        <w:fldChar w:fldCharType="begin" w:fldLock="1"/>
      </w:r>
      <w:r w:rsidRPr="00452E2E">
        <w:instrText>ADDIN CSL_CITATION { "citationItems" : [ { "id" : "ITEM-1", "itemData" : { "DOI" : "10.1108/01425450810879358", "ISBN" : "0143772961015", "ISSN" : "0142-5455", "author" : [ { "dropping-particle" : "", "family" : "Fajana", "given" : "Sola", "non-dropping-particle" : "", "parse-names" : false, "suffix" : "" } ], "container-title" : "Employee Relations", "id" : "ITEM-1", "issue" : "4", "issued" : { "date-parts" : [ [ "2008" ] ] }, "page" : "372-390", "title" : "The Nigerian informal economy: instigating decent work and pay, and national development through unionisation", "type" : "article-journal", "volume" : "30" }, "uris" : [ "http://www.mendeley.com/documents/?uuid=3cbe9b25-91d8-4abc-a710-25f1a8f27130" ] } ], "mendeley" : { "formattedCitation" : "(Fajana 2008)", "manualFormatting" : "(Fajana, 2008)", "plainTextFormattedCitation" : "(Fajana 2008)", "previouslyFormattedCitation" : "(Fajana 2008)" }, "properties" : { "noteIndex" : 0 }, "schema" : "https://github.com/citation-style-language/schema/raw/master/csl-citation.json" }</w:instrText>
      </w:r>
      <w:r w:rsidRPr="00452E2E">
        <w:fldChar w:fldCharType="separate"/>
      </w:r>
      <w:r w:rsidRPr="00452E2E">
        <w:rPr>
          <w:noProof/>
        </w:rPr>
        <w:t>(Fajana, 2008)</w:t>
      </w:r>
      <w:r w:rsidRPr="00452E2E">
        <w:fldChar w:fldCharType="end"/>
      </w:r>
      <w:r w:rsidRPr="00452E2E">
        <w:t xml:space="preserve">. However, in contrast to the public sector where trade unions have a relatively strong influence on HRM decisions, trade unionism in the private sector in Nigeria is weak or in some instances absent. </w:t>
      </w:r>
      <w:r w:rsidR="00E04328" w:rsidRPr="00452E2E">
        <w:t xml:space="preserve">Surprisingly, all the private sector organizations that participated in the </w:t>
      </w:r>
      <w:r w:rsidR="0038603D" w:rsidRPr="00452E2E">
        <w:t xml:space="preserve">qualitative </w:t>
      </w:r>
      <w:r w:rsidR="00E04328" w:rsidRPr="00452E2E">
        <w:t>interviews were not unionised. Moreover, f</w:t>
      </w:r>
      <w:r w:rsidRPr="00452E2E">
        <w:t>indings from</w:t>
      </w:r>
      <w:r w:rsidR="000167C7" w:rsidRPr="00452E2E">
        <w:t xml:space="preserve"> the interview data demonstrate</w:t>
      </w:r>
      <w:r w:rsidRPr="00452E2E">
        <w:t xml:space="preserve"> the anti-union stance of HR managers in </w:t>
      </w:r>
      <w:r w:rsidR="00E04328" w:rsidRPr="00452E2E">
        <w:t>these</w:t>
      </w:r>
      <w:r w:rsidRPr="00452E2E">
        <w:t xml:space="preserve"> private sector</w:t>
      </w:r>
      <w:r w:rsidR="006919C4" w:rsidRPr="00452E2E">
        <w:t xml:space="preserve"> organizations</w:t>
      </w:r>
      <w:r w:rsidR="00E04328" w:rsidRPr="00452E2E">
        <w:t>.</w:t>
      </w:r>
      <w:r w:rsidR="006919C4" w:rsidRPr="00452E2E">
        <w:t xml:space="preserve"> </w:t>
      </w:r>
      <w:r w:rsidRPr="00452E2E">
        <w:t xml:space="preserve">Although there are claims of freedom of association as a fundamental human right in modern democracies, such rights are not respected in many private organizations when it comes to workers’ rights to belong to trade unions </w:t>
      </w:r>
      <w:r w:rsidRPr="00452E2E">
        <w:fldChar w:fldCharType="begin" w:fldLock="1"/>
      </w:r>
      <w:r w:rsidRPr="00452E2E">
        <w:instrText>ADDIN CSL_CITATION { "citationItems" : [ { "id" : "ITEM-1", "itemData" : { "abstract" : "Since the inception of paid/wage employment, through a combination of sustained struggles and appeals to the conscience of the rest of society, workers, using the platform provided by their organizations (trade unions), have been able to secure for themselves a number of rights. These rights are predicated on, and complemented by, some constitutional provisions which confer certain rights on workers as citizens of their countries. However, in the new world economic order elegantly referred to as globalization workers' rights have been dealt a devastating blow. Under globalization driven by neoliberalism and anchored on less state involvement in the economic sphere, governments, particularly in their obsession to attract foreign direct investments as well as satisfying private corporate interests, have been arm-twisted to relax labor laws that seek to protect workers from extreme abuse within the employment relationship. This unfolds within the context of the increasing autocracy of the capitalist state, not only in Nigeria but worldwide by which basic labor rights, such as the right to freedom of association and collective bargaining, are brazenly violated even in the advanced democracies. Based on a combination of empirical data and secondary materials, this essay establishes that the level of compliance with existing legislation on workers' rights is low in Nigeria. The research also finds that official enforcement is equally low; a situation that is encouraged by weak institutional capacity of the labor administration system. Closely related to weak institutional capacity is the lack of the political will on the part of the subservient Nigerian state to protect its worker-citizens. It is against this backdrop that the paper submits that given the failure of the state to ensure compliance with laws which seek to protect workers, workers, their organisations, and allies within the broader labour movement need to look beyond the state and its agencies to secure rights at work. The reality equally calls for a deeper understanding of the issues involved and a holistic response of the working class, both national and transnational. [ABSTRACT FROM AUTHOR]", "author" : [ { "dropping-particle" : "", "family" : "Adewumi", "given" : "Funmi", "non-dropping-particle" : "", "parse-names" : false, "suffix" : "" } ], "container-title" : "WorkingUSA", "id" : "ITEM-1", "issue" : "December", "issued" : { "date-parts" : [ [ "2012" ] ] }, "page" : "529-547", "title" : "The global economy, trade unions and the protection of workers' rights in Nigeria", "type" : "article-journal", "volume" : "15" }, "uris" : [ "http://www.mendeley.com/documents/?uuid=83e0a08f-76b3-46e8-a1f0-ae8e0126bf34" ] } ], "mendeley" : { "formattedCitation" : "(Adewumi 2012)", "manualFormatting" : "(Adewumi, 2012a)", "plainTextFormattedCitation" : "(Adewumi 2012)", "previouslyFormattedCitation" : "(Adewumi 2012)" }, "properties" : { "noteIndex" : 0 }, "schema" : "https://github.com/citation-style-language/schema/raw/master/csl-citation.json" }</w:instrText>
      </w:r>
      <w:r w:rsidRPr="00452E2E">
        <w:fldChar w:fldCharType="separate"/>
      </w:r>
      <w:r w:rsidRPr="00452E2E">
        <w:rPr>
          <w:noProof/>
        </w:rPr>
        <w:t>(Adewumi, 2012</w:t>
      </w:r>
      <w:r w:rsidRPr="00452E2E">
        <w:rPr>
          <w:i/>
          <w:noProof/>
        </w:rPr>
        <w:t>a</w:t>
      </w:r>
      <w:r w:rsidRPr="00452E2E">
        <w:rPr>
          <w:noProof/>
        </w:rPr>
        <w:t>)</w:t>
      </w:r>
      <w:r w:rsidRPr="00452E2E">
        <w:fldChar w:fldCharType="end"/>
      </w:r>
      <w:r w:rsidRPr="00452E2E">
        <w:t xml:space="preserve">. Even where there is union presence, the high level of unemployment weakens the capacity of trade unions to demand for improved conditions of work </w:t>
      </w:r>
      <w:r w:rsidRPr="00452E2E">
        <w:fldChar w:fldCharType="begin" w:fldLock="1"/>
      </w:r>
      <w:r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"id" : "ITEM-2", "itemData" : { "abstract" : "Since the inception of paid/wage employment, through a combination of sustained struggles and appeals to the conscience of the rest of society, workers, using the platform provided by their organizations (trade unions), have been able to secure for themselves a number of rights. These rights are predicated on, and complemented by, some constitutional provisions which confer certain rights on workers as citizens of their countries. However, in the new world economic order elegantly referred to as globalization workers' rights have been dealt a devastating blow. Under globalization driven by neoliberalism and anchored on less state involvement in the economic sphere, governments, particularly in their obsession to attract foreign direct investments as well as satisfying private corporate interests, have been arm-twisted to relax labor laws that seek to protect workers from extreme abuse within the employment relationship. This unfolds within the context of the increasing autocracy of the capitalist state, not only in Nigeria but worldwide by which basic labor rights, such as the right to freedom of association and collective bargaining, are brazenly violated even in the advanced democracies. Based on a combination of empirical data and secondary materials, this essay establishes that the level of compliance with existing legislation on workers' rights is low in Nigeria. The research also finds that official enforcement is equally low; a situation that is encouraged by weak institutional capacity of the labor administration system. Closely related to weak institutional capacity is the lack of the political will on the part of the subservient Nigerian state to protect its worker-citizens. It is against this backdrop that the paper submits that given the failure of the state to ensure compliance with laws which seek to protect workers, workers, their organisations, and allies within the broader labour movement need to look beyond the state and its agencies to secure rights at work. The reality equally calls for a deeper understanding of the issues involved and a holistic response of the working class, both national and transnational. [ABSTRACT FROM AUTHOR]", "author" : [ { "dropping-particle" : "", "family" : "Adewumi", "given" : "Funmi", "non-dropping-particle" : "", "parse-names" : false, "suffix" : "" } ], "container-title" : "WorkingUSA", "id" : "ITEM-2", "issue" : "December", "issued" : { "date-parts" : [ [ "2012" ] ] }, "page" : "529-547", "title" : "The global economy, trade unions and the protection of workers' rights in Nigeria", "type" : "article-journal", "volume" : "15" }, "uris" : [ "http://www.mendeley.com/documents/?uuid=83e0a08f-76b3-46e8-a1f0-ae8e0126bf34" ] } ], "mendeley" : { "formattedCitation" : "(Fajana 2007; Adewumi 2012)", "manualFormatting" : "(Fajana, 2007; Adewumi, 2012a)", "plainTextFormattedCitation" : "(Fajana 2007; Adewumi 2012)", "previouslyFormattedCitation" : "(Fajana 2007; Adewumi 2012)" }, "properties" : { "noteIndex" : 0 }, "schema" : "https://github.com/citation-style-language/schema/raw/master/csl-citation.json" }</w:instrText>
      </w:r>
      <w:r w:rsidRPr="00452E2E">
        <w:fldChar w:fldCharType="separate"/>
      </w:r>
      <w:r w:rsidRPr="00452E2E">
        <w:rPr>
          <w:noProof/>
        </w:rPr>
        <w:t>(Fajana, 2007; Adewumi, 2012</w:t>
      </w:r>
      <w:r w:rsidRPr="00452E2E">
        <w:rPr>
          <w:i/>
          <w:noProof/>
        </w:rPr>
        <w:t>a</w:t>
      </w:r>
      <w:r w:rsidRPr="00452E2E">
        <w:rPr>
          <w:noProof/>
        </w:rPr>
        <w:t>)</w:t>
      </w:r>
      <w:r w:rsidRPr="00452E2E">
        <w:fldChar w:fldCharType="end"/>
      </w:r>
      <w:r w:rsidRPr="00452E2E">
        <w:t xml:space="preserve">. </w:t>
      </w:r>
    </w:p>
    <w:p w:rsidR="00D03A8E" w:rsidRPr="00452E2E" w:rsidRDefault="00D03A8E" w:rsidP="00D03A8E">
      <w:pPr>
        <w:spacing w:line="360" w:lineRule="auto"/>
        <w:jc w:val="both"/>
      </w:pPr>
      <w:r w:rsidRPr="00452E2E">
        <w:t xml:space="preserve">In fact, the anti-union stance of </w:t>
      </w:r>
      <w:r w:rsidR="00B25467" w:rsidRPr="00452E2E">
        <w:t>some</w:t>
      </w:r>
      <w:r w:rsidRPr="00452E2E">
        <w:t xml:space="preserve"> private sector organizations epitomises the dictatorial tendencies of neo-liberalism </w:t>
      </w:r>
      <w:r w:rsidRPr="00452E2E">
        <w:fldChar w:fldCharType="begin" w:fldLock="1"/>
      </w:r>
      <w:r w:rsidRPr="00452E2E">
        <w:instrText>ADDIN CSL_CITATION { "citationItems" : [ { "id" : "ITEM-1", "itemData" : { "author" : [ { "dropping-particle" : "", "family" : "Dardot", "given" : "P.", "non-dropping-particle" : "", "parse-names" : false, "suffix" : "" }, { "dropping-particle" : "", "family" : "Laval", "given" : "C.", "non-dropping-particle" : "", "parse-names" : false, "suffix" : "" } ], "id" : "ITEM-1", "issued" : { "date-parts" : [ [ "2013" ] ] }, "publisher" : "Verso", "publisher-place" : "London", "title" : "The new way of the world: On neoliberal society", "type" : "book" }, "uris" : [ "http://www.mendeley.com/documents/?uuid=bb3afa2d-6c13-446d-a270-db32efb66685" ] } ], "mendeley" : { "formattedCitation" : "(Dardot &amp; Laval 2013)", "manualFormatting" : "(Dardot &amp; Laval, 2013)", "plainTextFormattedCitation" : "(Dardot &amp; Laval 2013)", "previouslyFormattedCitation" : "(Dardot &amp; Laval 2013)" }, "properties" : { "noteIndex" : 0 }, "schema" : "https://github.com/citation-style-language/schema/raw/master/csl-citation.json" }</w:instrText>
      </w:r>
      <w:r w:rsidRPr="00452E2E">
        <w:fldChar w:fldCharType="separate"/>
      </w:r>
      <w:r w:rsidRPr="00452E2E">
        <w:rPr>
          <w:noProof/>
        </w:rPr>
        <w:t>(Dardot &amp; Laval, 2013)</w:t>
      </w:r>
      <w:r w:rsidRPr="00452E2E">
        <w:fldChar w:fldCharType="end"/>
      </w:r>
      <w:r w:rsidRPr="00452E2E">
        <w:t xml:space="preserve">. Such neo-liberal ideologies have found their way into developing countries via the instrumentality of the World Bank and IMF who force developing countries to relax laws protecting </w:t>
      </w:r>
      <w:r w:rsidRPr="00452E2E">
        <w:lastRenderedPageBreak/>
        <w:t xml:space="preserve">workers’ rights under the guise of promoting free trade and attracting foreign direct investment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"ITEM-1",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"(Wood &amp; Horwitz 2015)", "manualFormatting" : "(Wood &amp; Horwitz, 2015)", "plainTextFormattedCitation" : "(Wood &amp; Horwitz 2015)", "previouslyFormattedCitation" : "(Wood &amp; Horwitz 2015)" }, "properties" : { "noteIndex" : 0 }, "schema" : "https://github.com/citation-style-language/schema/raw/master/csl-citation.json" }</w:instrText>
      </w:r>
      <w:r w:rsidRPr="00452E2E">
        <w:fldChar w:fldCharType="separate"/>
      </w:r>
      <w:r w:rsidRPr="00452E2E">
        <w:rPr>
          <w:noProof/>
        </w:rPr>
        <w:t>(Wood &amp; Horwitz, 2015)</w:t>
      </w:r>
      <w:r w:rsidRPr="00452E2E">
        <w:fldChar w:fldCharType="end"/>
      </w:r>
      <w:r w:rsidRPr="00452E2E">
        <w:t xml:space="preserve">. It goes without saying that the weakened position of trade unions in </w:t>
      </w:r>
      <w:r w:rsidR="00B25467" w:rsidRPr="00452E2E">
        <w:t>some</w:t>
      </w:r>
      <w:r w:rsidRPr="00452E2E">
        <w:t xml:space="preserve"> private sector </w:t>
      </w:r>
      <w:r w:rsidR="00B25467" w:rsidRPr="00452E2E">
        <w:t xml:space="preserve">organizations </w:t>
      </w:r>
      <w:r w:rsidRPr="00452E2E">
        <w:t xml:space="preserve">has worsened the conditions of employment in Nigeria as workers are deprived </w:t>
      </w:r>
      <w:r w:rsidR="00C716F8" w:rsidRPr="00452E2E">
        <w:t xml:space="preserve">of </w:t>
      </w:r>
      <w:r w:rsidRPr="00452E2E">
        <w:t xml:space="preserve">the opportunity to seek better conditions of work through collective bargaining agreements </w:t>
      </w:r>
      <w:r w:rsidRPr="00452E2E">
        <w:fldChar w:fldCharType="begin" w:fldLock="1"/>
      </w:r>
      <w:r w:rsidRPr="00452E2E">
        <w:instrText>ADDIN CSL_CITATION { "citationItems" : [ { "id" : "ITEM-1", "itemData" : { "author" : [ { "dropping-particle" : "", "family" : "Fajana", "given" : "Sola", "non-dropping-particle" : "", "parse-names" : false, "suffix" : "" } ], "container-title" : "Industrial relations in Africa", "editor" : [ { "dropping-particle" : "", "family" : "Wood", "given" : "Geoffrey", "non-dropping-particle" : "", "parse-names" : false, "suffix" : "" }, { "dropping-particle" : "", "family" : "Brewster", "given" : "Chris", "non-dropping-particle" : "", "parse-names" : false, "suffix" : "" } ], "id" : "ITEM-1", "issued" : { "date-parts" : [ [ "2007" ] ] }, "page" : "147-161", "publisher" : "Routledge", "publisher-place" : "Basingstoke", "title" : "The development of industrial relations in Nigeria", "type" : "chapter" }, "uris" : [ "http://www.mendeley.com/documents/?uuid=f2b8aead-5881-431a-ac66-a771fb408edd" ] }, { "id" : "ITEM-2", "itemData" : { "author" : [ { "dropping-particle" : "", "family" : "Adewumi", "given" : "Funmi;", "non-dropping-particle" : "", "parse-names" : false, "suffix" : "" }, { "dropping-particle" : "", "family" : "Adenuga", "given" : "Adebimpe", "non-dropping-particle" : "", "parse-names" : false, "suffix" : "" } ], "id" : "ITEM-2", "issued" : { "date-parts" : [ [ "2010" ] ] }, "publisher" : "Friedrich-Ebert-Stiftung", "publisher-place" : "Abuja", "title" : "The state of workers\u2019 rights in Nigeria: an examination of the banking, oil and gas and telecommunication sectors", "type" : "book" }, "uris" : [ "http://www.mendeley.com/documents/?uuid=bca142ac-ccc5-402b-9bf8-6c83b4ca57bf" ] } ], "mendeley" : { "formattedCitation" : "(Fajana 2007; Adewumi &amp; Adenuga 2010)", "manualFormatting" : "(Fajana, 2007; Adewumi &amp; Adenuga, 2010)", "plainTextFormattedCitation" : "(Fajana 2007; Adewumi &amp; Adenuga 2010)", "previouslyFormattedCitation" : "(Fajana 2007; Adewumi &amp; Adenuga 2010)" }, "properties" : { "noteIndex" : 0 }, "schema" : "https://github.com/citation-style-language/schema/raw/master/csl-citation.json" }</w:instrText>
      </w:r>
      <w:r w:rsidRPr="00452E2E">
        <w:fldChar w:fldCharType="separate"/>
      </w:r>
      <w:r w:rsidRPr="00452E2E">
        <w:rPr>
          <w:noProof/>
        </w:rPr>
        <w:t>(Fajana, 2007; Adewumi &amp; Adenuga, 2010)</w:t>
      </w:r>
      <w:r w:rsidRPr="00452E2E">
        <w:fldChar w:fldCharType="end"/>
      </w:r>
      <w:r w:rsidRPr="00452E2E">
        <w:t xml:space="preserve">. Instead, it confers on employers the right to hire and fire arbitrarily as evidenced in </w:t>
      </w:r>
      <w:r w:rsidR="004A39C6" w:rsidRPr="00452E2E">
        <w:t>private commercial banks in Nigeria</w:t>
      </w:r>
      <w:r w:rsidRPr="00452E2E">
        <w:t xml:space="preserve"> </w:t>
      </w:r>
      <w:r w:rsidRPr="00452E2E">
        <w:fldChar w:fldCharType="begin" w:fldLock="1"/>
      </w:r>
      <w:r w:rsidRPr="00452E2E">
        <w:instrText>ADDIN CSL_CITATION { "citationItems" : [ { "id" : "ITEM-1", "itemData" : { "author" : [ { "dropping-particle" : "", "family" : "Chovwen", "given" : "Catherine", "non-dropping-particle" : "", "parse-names" : false, "suffix" : "" }, { "dropping-particle" : "", "family" : "Ivensor", "given" : "Emilia", "non-dropping-particle" : "", "parse-names" : false, "suffix" : "" } ], "container-title" : "Gender in Management: An International Journal", "id" : "ITEM-1", "issue" : "5", "issued" : { "date-parts" : [ [ "2009" ] ] }, "page" : "316-326", "title" : "Job insecurity and motivation among women in Nigerian consolidated banks", "type" : "article-journal", "volume" : "24" }, "uris" : [ "http://www.mendeley.com/documents/?uuid=4676421c-2fb4-464e-ac69-dc2232b07f95" ] }, { "id" : "ITEM-2", "itemData" : { "DOI" : "10.1080/09585192.2012.671509", "ISSN" : "0958-5192", "abstract" : "Despite the increasing number of mergers and acquisitions (M&amp;A) taking place in Africa, research of this phenomenon, particularly in this continent, is extremely scarce. There is also growing awareness amongst researchers of the importance of human resource management (HRM) practices in general throughout the merger process. This makes an enquiry into its role in this context opportune. By analysing the recent M&amp;A wave in the Nigerian banking sector, this paper explores HRM practices throughout the M&amp;A process. Through interviews of key informants in each merging bank, key HRM practices are identified and conclusions drawn about their contribution to overall M&amp;A outcomes. Implications for theory and practice are discussed and future research directions offered.", "author" : [ { "dropping-particle" : "", "family" : "Gomes", "given" : "Emanuel", "non-dropping-particle" : "", "parse-names" : false, "suffix" : "" }, { "dropping-particle" : "", "family" : "Angwin", "given" : "Duncan", "non-dropping-particle" : "", "parse-names" : false, "suffix" : "" }, { "dropping-particle" : "", "family" : "Peter", "given" : "Emmanuel", "non-dropping-particle" : "", "parse-names" : false, "suffix" : "" }, { "dropping-particle" : "", "family" : "Mellahi", "given" : "Kamel", "non-dropping-particle" : "", "parse-names" : false, "suffix" : "" } ], "container-title" : "The International Journal of Human Resource Management", "id" : "ITEM-2", "issue" : "June", "issued" : { "date-parts" : [ [ "2012" ] ] }, "page" : "37-41", "title" : "HRM issues and outcomes in African mergers and acquisitions: a study of the Nigerian banking sector", "type" : "article-journal", "volume" : "5192" }, "uris" : [ "http://www.mendeley.com/documents/?uuid=918c4f32-201e-4dad-a677-28daa6de6629" ] } ], "mendeley" : { "formattedCitation" : "(Chovwen &amp; Ivensor 2009; Gomes et al. 2012)", "manualFormatting" : "(Chovwen &amp; Ivensor, 2009; Gomes et al., 2012)", "plainTextFormattedCitation" : "(Chovwen &amp; Ivensor 2009; Gomes et al. 2012)", "previouslyFormattedCitation" : "(Chovwen &amp; Ivensor 2009; Gomes et al. 2012)" }, "properties" : { "noteIndex" : 0 }, "schema" : "https://github.com/citation-style-language/schema/raw/master/csl-citation.json" }</w:instrText>
      </w:r>
      <w:r w:rsidRPr="00452E2E">
        <w:fldChar w:fldCharType="separate"/>
      </w:r>
      <w:r w:rsidRPr="00452E2E">
        <w:rPr>
          <w:noProof/>
        </w:rPr>
        <w:t xml:space="preserve">(Chovwen &amp; Ivensor, 2009; Gomes </w:t>
      </w:r>
      <w:r w:rsidRPr="00452E2E">
        <w:rPr>
          <w:i/>
          <w:noProof/>
        </w:rPr>
        <w:t>et al</w:t>
      </w:r>
      <w:r w:rsidRPr="00452E2E">
        <w:rPr>
          <w:noProof/>
        </w:rPr>
        <w:t>., 2012)</w:t>
      </w:r>
      <w:r w:rsidRPr="00452E2E">
        <w:fldChar w:fldCharType="end"/>
      </w:r>
      <w:r w:rsidRPr="00452E2E">
        <w:t>.</w:t>
      </w:r>
    </w:p>
    <w:p w:rsidR="009C6050" w:rsidRPr="00452E2E" w:rsidRDefault="00D03A8E" w:rsidP="00D03A8E">
      <w:pPr>
        <w:spacing w:line="360" w:lineRule="auto"/>
        <w:jc w:val="both"/>
      </w:pPr>
      <w:r w:rsidRPr="00452E2E">
        <w:t>Apart from the coerci</w:t>
      </w:r>
      <w:r w:rsidR="0027199C" w:rsidRPr="00452E2E">
        <w:t>ve mechanisms described above,</w:t>
      </w:r>
      <w:r w:rsidRPr="00452E2E">
        <w:t xml:space="preserve"> </w:t>
      </w:r>
      <w:r w:rsidR="0027199C" w:rsidRPr="00452E2E">
        <w:t xml:space="preserve">two </w:t>
      </w:r>
      <w:r w:rsidRPr="00452E2E">
        <w:t>context-specific coercive mechanism</w:t>
      </w:r>
      <w:r w:rsidR="0027199C" w:rsidRPr="00452E2E">
        <w:t>s</w:t>
      </w:r>
      <w:r w:rsidRPr="00452E2E">
        <w:t xml:space="preserve"> that eme</w:t>
      </w:r>
      <w:r w:rsidR="0027199C" w:rsidRPr="00452E2E">
        <w:t>rged from the interview data were</w:t>
      </w:r>
      <w:r w:rsidRPr="00452E2E">
        <w:t xml:space="preserve"> labelled as </w:t>
      </w:r>
      <w:r w:rsidR="0027199C" w:rsidRPr="00452E2E">
        <w:t>host community and influence of elites</w:t>
      </w:r>
      <w:r w:rsidRPr="00452E2E">
        <w:t xml:space="preserve">. These </w:t>
      </w:r>
      <w:r w:rsidR="0059111F" w:rsidRPr="00452E2E">
        <w:t>various</w:t>
      </w:r>
      <w:r w:rsidR="0027199C" w:rsidRPr="00452E2E">
        <w:t xml:space="preserve"> groups may</w:t>
      </w:r>
      <w:r w:rsidRPr="00452E2E">
        <w:t xml:space="preserve"> wield some influence on HRM decisions especially in the area of recruitment and selection.  In many African contexts where unemployment is high, it is common for individuals to secure employment through social networks </w:t>
      </w:r>
      <w:r w:rsidRPr="00452E2E">
        <w:fldChar w:fldCharType="begin" w:fldLock="1"/>
      </w:r>
      <w:r w:rsidRPr="00452E2E">
        <w:instrText>ADDIN CSL_CITATION { "citationItems" : [ { "id" : "ITEM-1", "itemData" : { "DOI" : "10.1177/1470595803003003007", "ISBN" : "1470-5958", "ISSN" : "14705958", "abstract" : "Research on recruitment has neglected the possible influence of political instability and civil wars. This article seeks to redress this gap, by providing insights into recruitment and selection criteria in African countries during a time of political instability, based on the case of Algeria. The research focuses on how small businesses in highly unstable political environments vet candidates, the recruitment channels they use, and the type of criteria small businesses use during the recruitment process. Through interviews with 14 managers of small and medium sized enterprises, data were collected on recruitment and selection criteria of 144 employees. It was found that a tradition of basing recruitment on extended family networks has mutated into narrower and more confining networks based on trust. Copyright \u00a9 2003 SAGE Publications.", "author" : [ { "dropping-particle" : "", "family" : "Mellahi", "given" : "Kamel", "non-dropping-particle" : "", "parse-names" : false, "suffix" : "" }, { "dropping-particle" : "", "family" : "Wood", "given" : "Geoffrey T.", "non-dropping-particle" : "", "parse-names" : false, "suffix" : "" } ], "container-title" : "International Journal of Cross Cultural Management", "id" : "ITEM-1", "issue" : "3", "issued" : { "date-parts" : [ [ "2003" ] ] }, "page" : "369-381", "title" : "From kinship to trust: Changing recruitment practices in unstable political contexts", "type" : "article-journal", "volume" : "3" }, "uris" : [ "http://www.mendeley.com/documents/?uuid=24af9a65-8959-43b9-a68e-6aa268bbec1b"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"(Mellahi &amp; Wood 2003; Webster &amp; Wood 2005)", "manualFormatting" : "(Mellahi &amp; Wood, 2003; Webster &amp; Wood, 2005)", "plainTextFormattedCitation" : "(Mellahi &amp; Wood 2003; Webster &amp; Wood 2005)", "previouslyFormattedCitation" : "(Mellahi &amp; Wood 2003; Webster &amp; Wood 2005)" }, "properties" : { "noteIndex" : 0 }, "schema" : "https://github.com/citation-style-language/schema/raw/master/csl-citation.json" }</w:instrText>
      </w:r>
      <w:r w:rsidRPr="00452E2E">
        <w:fldChar w:fldCharType="separate"/>
      </w:r>
      <w:r w:rsidRPr="00452E2E">
        <w:rPr>
          <w:noProof/>
        </w:rPr>
        <w:t>(Mellahi &amp; Wood, 2003; Webster &amp; Wood, 2005)</w:t>
      </w:r>
      <w:r w:rsidRPr="00452E2E">
        <w:fldChar w:fldCharType="end"/>
      </w:r>
      <w:r w:rsidRPr="00452E2E">
        <w:t xml:space="preserve">. For instance, it is common for some politician or top government functionary to influence the employment of their kith and kin in the public sector in Nigeria </w:t>
      </w:r>
      <w:r w:rsidRPr="00452E2E">
        <w:fldChar w:fldCharType="begin" w:fldLock="1"/>
      </w:r>
      <w:r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"author" : [ { "dropping-particle" : "", "family" : "Adeleye", "given" : "I.", "non-dropping-particle" : "", "parse-names" : false, "suffix" : "" } ], "container-title" : "African Journal of Business Management", "id" : "ITEM-2", "issue" : "6", "issued" : { "date-parts" : [ [ "2011" ] ] }, "page" : "2028\u20132039", "title" : "Theorising human resource management in Africa: Beyond cultural relativism", "type" : "article-journal", "volume" : "5" }, "uris" : [ "http://www.mendeley.com/documents/?uuid=b6058017-794b-4523-80e3-eae4db7ca9ff" ] }, { "id" : "ITEM-3", "itemData" : { "author" : [ { "dropping-particle" : "", "family" : "Akanle", "given" : "O.", "non-dropping-particle" : "", "parse-names" : false, "suffix" : "" }, { "dropping-particle" : "", "family" : "Adesina", "given" : "J. O.", "non-dropping-particle" : "", "parse-names" : false, "suffix" : "" } ], "container-title" : "Journal of Developing Societies", "id" : "ITEM-3", "issue" : "4", "issued" : { "date-parts" : [ [ "2015" ] ] }, "page" : "421-446", "title" : "Corruption and the Nigerian development quagmire: Popular narratives and current interrogations", "type" : "article-journal", "volume" : "31" }, "uris" : [ "http://www.mendeley.com/documents/?uuid=55be4474-7f74-4fbe-969f-e1361a51316a" ] } ], "mendeley" : { "formattedCitation" : "(Anakwe 2002; Adeleye 2011; Akanle &amp; Adesina 2015)", "manualFormatting" : "(Anakwe, 2002; Adeleye, 2011; Akanle &amp; Adesina, 2015)", "plainTextFormattedCitation" : "(Anakwe 2002; Adeleye 2011; Akanle &amp; Adesina 2015)", "previouslyFormattedCitation" : "(Anakwe 2002; Adeleye 2011; Akanle &amp; Adesina 2015)" }, "properties" : { "noteIndex" : 0 }, "schema" : "https://github.com/citation-style-language/schema/raw/master/csl-citation.json" }</w:instrText>
      </w:r>
      <w:r w:rsidRPr="00452E2E">
        <w:fldChar w:fldCharType="separate"/>
      </w:r>
      <w:r w:rsidRPr="00452E2E">
        <w:rPr>
          <w:noProof/>
        </w:rPr>
        <w:t>(Anakwe, 2002; Adeleye, 2011; Akanle &amp; Adesina, 2015)</w:t>
      </w:r>
      <w:r w:rsidRPr="00452E2E">
        <w:fldChar w:fldCharType="end"/>
      </w:r>
      <w:r w:rsidRPr="00452E2E">
        <w:t xml:space="preserve">. </w:t>
      </w:r>
    </w:p>
    <w:p w:rsidR="00D03A8E" w:rsidRPr="00452E2E" w:rsidRDefault="00D03A8E" w:rsidP="00D03A8E">
      <w:pPr>
        <w:spacing w:line="360" w:lineRule="auto"/>
        <w:jc w:val="both"/>
      </w:pPr>
      <w:r w:rsidRPr="00452E2E">
        <w:t xml:space="preserve">Of course, the issue of nepotism and favouritism </w:t>
      </w:r>
      <w:r w:rsidR="00977F2D" w:rsidRPr="00452E2E">
        <w:t>may</w:t>
      </w:r>
      <w:r w:rsidRPr="00452E2E">
        <w:t xml:space="preserve"> not limited to the public sector</w:t>
      </w:r>
      <w:r w:rsidR="00977F2D" w:rsidRPr="00452E2E">
        <w:t>. As findings from the interview data suggest,</w:t>
      </w:r>
      <w:r w:rsidRPr="00452E2E">
        <w:t xml:space="preserve"> high net worth individuals </w:t>
      </w:r>
      <w:r w:rsidR="00977F2D" w:rsidRPr="00452E2E">
        <w:t>may</w:t>
      </w:r>
      <w:r w:rsidRPr="00452E2E">
        <w:t xml:space="preserve"> influence employment in the private sector in return for patronage. </w:t>
      </w:r>
      <w:r w:rsidR="00FF2361" w:rsidRPr="00452E2E">
        <w:t>Indeed, d</w:t>
      </w:r>
      <w:r w:rsidR="00F22FD2" w:rsidRPr="00452E2E">
        <w:t>ue to the ethnic diversity in Nigeria, and coupled with the limited emp</w:t>
      </w:r>
      <w:r w:rsidR="00135E51" w:rsidRPr="00452E2E">
        <w:t>loyment opportunities in the country</w:t>
      </w:r>
      <w:r w:rsidR="00F22FD2" w:rsidRPr="00452E2E">
        <w:t xml:space="preserve">, many writers on Nigerian HRM have highlighted the </w:t>
      </w:r>
      <w:r w:rsidR="0063771E" w:rsidRPr="00452E2E">
        <w:t>influence</w:t>
      </w:r>
      <w:r w:rsidR="00F22FD2" w:rsidRPr="00452E2E">
        <w:t xml:space="preserve"> </w:t>
      </w:r>
      <w:r w:rsidR="0063771E" w:rsidRPr="00452E2E">
        <w:t>of</w:t>
      </w:r>
      <w:r w:rsidR="00F22FD2" w:rsidRPr="00452E2E">
        <w:t xml:space="preserve"> </w:t>
      </w:r>
      <w:r w:rsidRPr="00452E2E">
        <w:t>favo</w:t>
      </w:r>
      <w:r w:rsidR="00F22FD2" w:rsidRPr="00452E2E">
        <w:t xml:space="preserve">uritism and nepotism </w:t>
      </w:r>
      <w:r w:rsidR="0063771E" w:rsidRPr="00452E2E">
        <w:t xml:space="preserve">on recruitment and selection </w:t>
      </w:r>
      <w:r w:rsidR="00F22FD2" w:rsidRPr="00452E2E">
        <w:t>in some</w:t>
      </w:r>
      <w:r w:rsidRPr="00452E2E">
        <w:t xml:space="preserve"> organizations in Nigeria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"ITEM-2", "issue" : "7", "issued" : { "date-parts" : [ [ "2002" ] ] }, "page" : "1042-1059", "title" : "Human resource management practices in Nigeria: Challenges and insights", "type" : "article-journal", "volume" : "13" }, "uris" : [ "http://www.mendeley.com/documents/?uuid=05a9e25e-4e60-410a-af56-a98b14b9eb28" ] }, { "id" : "ITEM-3",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"ITEM-3",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"(Ovadje &amp; Ankomah 2001; Anakwe 2002; Okpara &amp; Wynn 2008)", "manualFormatting" : "(Ovadje &amp; Ankomah, 2001; Anakwe, 2002; Okpara &amp; Wynn, 2008)", "plainTextFormattedCitation" : "(Ovadje &amp; Ankomah 2001; Anakwe 2002; Okpara &amp; Wynn 2008)", "previouslyFormattedCitation" : "(Ovadje &amp; Ankomah 2001; Anakwe 2002; Okpara &amp; Wynn 2008)" }, "properties" : { "noteIndex" : 0 }, "schema" : "https://github.com/citation-style-language/schema/raw/master/csl-citation.json" }</w:instrText>
      </w:r>
      <w:r w:rsidRPr="00452E2E">
        <w:fldChar w:fldCharType="separate"/>
      </w:r>
      <w:r w:rsidRPr="00452E2E">
        <w:rPr>
          <w:noProof/>
        </w:rPr>
        <w:t>(Ovadje &amp; Ankomah, 2001; Anakwe, 2002; Okpara &amp; Wynn, 2008)</w:t>
      </w:r>
      <w:r w:rsidRPr="00452E2E">
        <w:fldChar w:fldCharType="end"/>
      </w:r>
      <w:r w:rsidR="00135350" w:rsidRPr="00452E2E">
        <w:t xml:space="preserve">. </w:t>
      </w:r>
      <w:r w:rsidRPr="00452E2E">
        <w:t>There is also the issue of host communities that influence employment decisions in many organizations by requesting for some employment quotas for members of the community. In order to maintain a cordial relationship with the host community, organizations are forced to develop recruitment and selection policies that take into account the demands of the host community. In sum, these institutions</w:t>
      </w:r>
      <w:r w:rsidR="00F22FD2" w:rsidRPr="00452E2E">
        <w:t>,</w:t>
      </w:r>
      <w:r w:rsidRPr="00452E2E">
        <w:t xml:space="preserve"> although informal, exert some influence on HRM in both public and private sector in Nigeria. </w:t>
      </w:r>
    </w:p>
    <w:p w:rsidR="00D03A8E" w:rsidRPr="00452E2E" w:rsidRDefault="00D03A8E" w:rsidP="00D03A8E">
      <w:pPr>
        <w:spacing w:line="360" w:lineRule="auto"/>
        <w:jc w:val="both"/>
      </w:pPr>
      <w:r w:rsidRPr="00452E2E">
        <w:lastRenderedPageBreak/>
        <w:t>Whilst the discussion on coercive mechanisms highlight the differences in the ways institutions influence HRM in public and private sector in Nigeria</w:t>
      </w:r>
      <w:r w:rsidR="00171D99" w:rsidRPr="00452E2E">
        <w:t xml:space="preserve"> as identified from </w:t>
      </w:r>
      <w:r w:rsidR="008C693C" w:rsidRPr="00452E2E">
        <w:t xml:space="preserve">the </w:t>
      </w:r>
      <w:r w:rsidR="00171D99" w:rsidRPr="00452E2E">
        <w:t>qualitative interviews</w:t>
      </w:r>
      <w:r w:rsidRPr="00452E2E">
        <w:t xml:space="preserve">, equally identified </w:t>
      </w:r>
      <w:r w:rsidR="00171D99" w:rsidRPr="00452E2E">
        <w:t>from</w:t>
      </w:r>
      <w:r w:rsidRPr="00452E2E">
        <w:t xml:space="preserve"> the</w:t>
      </w:r>
      <w:r w:rsidR="00171D99" w:rsidRPr="00452E2E">
        <w:t>se</w:t>
      </w:r>
      <w:r w:rsidRPr="00452E2E">
        <w:t xml:space="preserve"> </w:t>
      </w:r>
      <w:r w:rsidR="00171D99" w:rsidRPr="00452E2E">
        <w:t>interviews</w:t>
      </w:r>
      <w:r w:rsidRPr="00452E2E">
        <w:t xml:space="preserve"> were institutions that influenced HRM in both sectors in the same direction. Among these were staff transfer/imitation and the influence of consultants which are classified under mimetic mechanisms </w:t>
      </w:r>
      <w:r w:rsidRPr="00452E2E">
        <w:fldChar w:fldCharType="begin" w:fldLock="1"/>
      </w:r>
      <w:r w:rsidRPr="00452E2E">
        <w:instrText>ADDIN CSL_CITATION { "citationItems" : [ { "id" : "ITEM-1", "itemData" : { "author" : [ { "dropping-particle" : "", "family" : "DiMaggio", "given" : "P.J.", "non-dropping-particle" : "", "parse-names" : false, "suffix" : "" }, { "dropping-particle" : "", "family" : "Powell", "given" : "W.W.", "non-dropping-particle" : "", "parse-names" : false, "suffix" : "" } ], "container-title" : "American Sociological Review", "id" : "ITEM-1", "issue" : "2", "issued" : { "date-parts" : [ [ "1983" ] ] }, "page" : "147-160", "title" : "The iron cage revisited: Institutional isomorphism and collective rationality in organizational fields", "type" : "article-journal", "volume" : "48" }, "uris" : [ "http://www.mendeley.com/documents/?uuid=173aaf26-bb0f-440b-9525-ae2f5aa9b9fc" ] }, { "id" : "ITEM-2", "itemData" : { "author" : [ { "dropping-particle" : "", "family" : "Paauwe", "given" : "Jaap", "non-dropping-particle" : "", "parse-names" : false, "suffix" : "" }, { "dropping-particle" : "", "family" : "Boselie", "given" : "Paul", "non-dropping-particle" : "", "parse-names" : false, "suffix" : "" } ], "container-title" : "Human Resource Management Journal", "id" : "ITEM-2", "issue" : "3", "issued" : { "date-parts" : [ [ "2003" ] ] }, "page" : "56-70", "title" : "Challenging the 'strategic HRM' and the relevance of the institutional setting", "type" : "article-journal", "volume" : "13" }, "uris" : [ "http://www.mendeley.com/documents/?uuid=2dc96162-ed59-4e9b-8836-d32783466b93" ] } ], "mendeley" : { "formattedCitation" : "(DiMaggio &amp; Powell 1983; Paauwe &amp; Boselie 2003)", "manualFormatting" : "(DiMaggio &amp; Powell, 1983; Paauwe &amp; Boselie, 2003)", "plainTextFormattedCitation" : "(DiMaggio &amp; Powell 1983; Paauwe &amp; Boselie 2003)", "previouslyFormattedCitation" : "(DiMaggio &amp; Powell 1983; Paauwe &amp; Boselie 2003)" }, "properties" : { "noteIndex" : 0 }, "schema" : "https://github.com/citation-style-language/schema/raw/master/csl-citation.json" }</w:instrText>
      </w:r>
      <w:r w:rsidRPr="00452E2E">
        <w:fldChar w:fldCharType="separate"/>
      </w:r>
      <w:r w:rsidRPr="00452E2E">
        <w:rPr>
          <w:noProof/>
        </w:rPr>
        <w:t>(DiMaggio &amp; Powell, 1983; Paauwe &amp; Boselie, 2003)</w:t>
      </w:r>
      <w:r w:rsidRPr="00452E2E">
        <w:fldChar w:fldCharType="end"/>
      </w:r>
      <w:r w:rsidRPr="00452E2E">
        <w:t xml:space="preserve">. As organizations hire staff from other organizations, they are bound to transfer with them some practices from previous organizations which may result to the spread of HR practices across organizations </w:t>
      </w:r>
      <w:r w:rsidRPr="00452E2E">
        <w:fldChar w:fldCharType="begin" w:fldLock="1"/>
      </w:r>
      <w:r w:rsidRPr="00452E2E">
        <w:instrText>ADDIN CSL_CITATION { "citationItems" : [ { "id" : "ITEM-1",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"ITEM-1", "issued" : { "date-parts" : [ [ "2007" ] ] }, "page" : "166-184", "publisher" : "Oxford University Press", "publisher-place" : "New York", "title" : "HRM and societal embeddedness", "type" : "chapter" }, "uris" : [ "http://www.mendeley.com/documents/?uuid=bc50bffa-b076-4ece-b963-52ac09293458" ] } ], "mendeley" : { "formattedCitation" : "(Paauwe &amp; Boselie 2007)", "manualFormatting" : "(Paauwe &amp; Boselie, 2007)", "plainTextFormattedCitation" : "(Paauwe &amp; Boselie 2007)", "previouslyFormattedCitation" : "(Paauwe &amp; Boselie 2007)" }, "properties" : { "noteIndex" : 0 }, "schema" : "https://github.com/citation-style-language/schema/raw/master/csl-citation.json" }</w:instrText>
      </w:r>
      <w:r w:rsidRPr="00452E2E">
        <w:fldChar w:fldCharType="separate"/>
      </w:r>
      <w:r w:rsidRPr="00452E2E">
        <w:rPr>
          <w:noProof/>
        </w:rPr>
        <w:t>(Paauwe &amp; Boselie, 2007)</w:t>
      </w:r>
      <w:r w:rsidRPr="00452E2E">
        <w:fldChar w:fldCharType="end"/>
      </w:r>
      <w:r w:rsidRPr="00452E2E">
        <w:t xml:space="preserve">.  Results suggest that this was the case in both public and private sector, especially in the banking industry in Nigeria where staff turnover is high. </w:t>
      </w:r>
    </w:p>
    <w:p w:rsidR="00D03A8E" w:rsidRPr="00452E2E" w:rsidRDefault="00D03A8E" w:rsidP="00D03A8E">
      <w:pPr>
        <w:spacing w:line="360" w:lineRule="auto"/>
        <w:jc w:val="both"/>
      </w:pPr>
      <w:r w:rsidRPr="00452E2E">
        <w:t xml:space="preserve">In a similar vein, the increasing use of consultants to recommend HRM solutions means that practices are bound to spread across organizations </w:t>
      </w:r>
      <w:r w:rsidRPr="00452E2E">
        <w:fldChar w:fldCharType="begin" w:fldLock="1"/>
      </w:r>
      <w:r w:rsidRPr="00452E2E">
        <w:instrText>ADDIN CSL_CITATION { "citationItems" : [ { "id" : "ITEM-1", "itemData" : { "author" : [ { "dropping-particle" : "", "family" : "Paauwe", "given" : "Jaap", "non-dropping-particle" : "", "parse-names" : false, "suffix" : "" }, { "dropping-particle" : "", "family" : "Boselie", "given" : "Paul", "non-dropping-particle" : "", "parse-names" : false, "suffix" : "" } ], "container-title" : "The Oxford handbook of human resource management", "editor" : [ { "dropping-particle" : "", "family" : "Boxall", "given" : "P.", "non-dropping-particle" : "", "parse-names" : false, "suffix" : "" }, { "dropping-particle" : "", "family" : "Purcell", "given" : "J.", "non-dropping-particle" : "", "parse-names" : false, "suffix" : "" }, { "dropping-particle" : "", "family" : "Wright", "given" : "P.", "non-dropping-particle" : "", "parse-names" : false, "suffix" : "" } ], "id" : "ITEM-1", "issued" : { "date-parts" : [ [ "2007" ] ] }, "page" : "166-184", "publisher" : "Oxford University Press", "publisher-place" : "New York", "title" : "HRM and societal embeddedness", "type" : "chapter" }, "uris" : [ "http://www.mendeley.com/documents/?uuid=bc50bffa-b076-4ece-b963-52ac09293458" ] } ], "mendeley" : { "formattedCitation" : "(Paauwe &amp; Boselie 2007)", "manualFormatting" : "(Paauwe &amp; Boselie, 2007)", "plainTextFormattedCitation" : "(Paauwe &amp; Boselie 2007)", "previouslyFormattedCitation" : "(Paauwe &amp; Boselie 2007)" }, "properties" : { "noteIndex" : 0 }, "schema" : "https://github.com/citation-style-language/schema/raw/master/csl-citation.json" }</w:instrText>
      </w:r>
      <w:r w:rsidRPr="00452E2E">
        <w:fldChar w:fldCharType="separate"/>
      </w:r>
      <w:r w:rsidRPr="00452E2E">
        <w:rPr>
          <w:noProof/>
        </w:rPr>
        <w:t>(Paauwe &amp; Boselie, 2007)</w:t>
      </w:r>
      <w:r w:rsidRPr="00452E2E">
        <w:fldChar w:fldCharType="end"/>
      </w:r>
      <w:r w:rsidRPr="00452E2E">
        <w:t xml:space="preserve">. This is especially the case when organizations face uncertain circumstances since adopting HRM solutions based on recommendations from consultants may enhance the legitimacy of organizations </w:t>
      </w:r>
      <w:r w:rsidRPr="00452E2E">
        <w:fldChar w:fldCharType="begin" w:fldLock="1"/>
      </w:r>
      <w:r w:rsidRPr="00452E2E">
        <w:instrText>ADDIN CSL_CITATION { "citationItems" : [ { "id" : "ITEM-1", "itemData" : { "DOI" : "10.1111/j.1467-8551.2011.00750.x", "ISBN" : "1045-3172", "ISSN" : "10453172", "PMID" : "43767397", "abstract" : "Much is claimed of management consultancy by critics and celebrants alike. Through shaping and legitimizing ideas and catalysing change, it has impacted on management practice and people\u2019s lives more generally. Given the growth of consultancy as an industry and wider activity, few have challenged these views. However, there are good reasons for treating them with some caution. In particular, its impact is exaggerated in geographical scope and confused with that of management ideas in general \u2013 consultancy as a scapegoat for management. At the same time, recent changes in both the nature and status of management and of consultancy have rendered traditional boundary distinctions less tenable such that the scope and impact of consultancy may be even greater than is typically assumed. Overall, its impact has been both understated and overstated. I therefore argue for a more cautious and critical approach. This recognizes consultancy as an integral part of management, where its distinctive role lies more in its structural position and ambiguous visibility and accountability than its practices, skills or occupational/professional identity claims. The research agenda thus becomes one of more clearly identifying the consequences of management as well as of consultancy, in part through a consideration of contexts where they are, or were, largely absent.\"", "author" : [ { "dropping-particle" : "", "family" : "Sturdy", "given" : "Andrew", "non-dropping-particle" : "", "parse-names" : false, "suffix" : "" } ], "container-title" : "British Journal of Management", "id" : "ITEM-1", "issue" : "3", "issued" : { "date-parts" : [ [ "2011" ] ] }, "page" : "517-530", "title" : "Consultancy's consequences? A critical assessment of management consultancy's impact on management", "type" : "article-journal", "volume" : "22" }, "uris" : [ "http://www.mendeley.com/documents/?uuid=6cc4cc86-8d73-453b-a10f-7b4b6b5f43e1" ] } ], "mendeley" : { "formattedCitation" : "(Sturdy 2011)", "manualFormatting" : "(Sturdy, 2011)", "plainTextFormattedCitation" : "(Sturdy 2011)", "previouslyFormattedCitation" : "(Sturdy 2011)" }, "properties" : { "noteIndex" : 0 }, "schema" : "https://github.com/citation-style-language/schema/raw/master/csl-citation.json" }</w:instrText>
      </w:r>
      <w:r w:rsidRPr="00452E2E">
        <w:fldChar w:fldCharType="separate"/>
      </w:r>
      <w:r w:rsidRPr="00452E2E">
        <w:rPr>
          <w:noProof/>
        </w:rPr>
        <w:t>(Sturdy, 2011)</w:t>
      </w:r>
      <w:r w:rsidRPr="00452E2E">
        <w:fldChar w:fldCharType="end"/>
      </w:r>
      <w:r w:rsidRPr="00452E2E">
        <w:t xml:space="preserve">. Nevertheless,  </w:t>
      </w:r>
      <w:r w:rsidRPr="00452E2E">
        <w:fldChar w:fldCharType="begin" w:fldLock="1"/>
      </w:r>
      <w:r w:rsidRPr="00452E2E">
        <w:instrText>ADDIN CSL_CITATION { "citationItems" : [ { "id" : "ITEM-1", "itemData" : { "DOI" : "10.1111/j.1467-8551.2011.00750.x", "ISBN" : "1045-3172", "ISSN" : "10453172", "PMID" : "43767397", "abstract" : "Much is claimed of management consultancy by critics and celebrants alike. Through shaping and legitimizing ideas and catalysing change, it has impacted on management practice and people\u2019s lives more generally. Given the growth of consultancy as an industry and wider activity, few have challenged these views. However, there are good reasons for treating them with some caution. In particular, its impact is exaggerated in geographical scope and confused with that of management ideas in general \u2013 consultancy as a scapegoat for management. At the same time, recent changes in both the nature and status of management and of consultancy have rendered traditional boundary distinctions less tenable such that the scope and impact of consultancy may be even greater than is typically assumed. Overall, its impact has been both understated and overstated. I therefore argue for a more cautious and critical approach. This recognizes consultancy as an integral part of management, where its distinctive role lies more in its structural position and ambiguous visibility and accountability than its practices, skills or occupational/professional identity claims. The research agenda thus becomes one of more clearly identifying the consequences of management as well as of consultancy, in part through a consideration of contexts where they are, or were, largely absent.\"", "author" : [ { "dropping-particle" : "", "family" : "Sturdy", "given" : "Andrew", "non-dropping-particle" : "", "parse-names" : false, "suffix" : "" } ], "container-title" : "British Journal of Management", "id" : "ITEM-1", "issue" : "3", "issued" : { "date-parts" : [ [ "2011" ] ] }, "page" : "517-530", "title" : "Consultancy's consequences? A critical assessment of management consultancy's impact on management", "type" : "article-journal", "volume" : "22" }, "uris" : [ "http://www.mendeley.com/documents/?uuid=6cc4cc86-8d73-453b-a10f-7b4b6b5f43e1" ] } ], "mendeley" : { "formattedCitation" : "(Sturdy 2011)", "manualFormatting" : "Sturdy (2011)", "plainTextFormattedCitation" : "(Sturdy 2011)", "previouslyFormattedCitation" : "(Sturdy 2011)" }, "properties" : { "noteIndex" : 0 }, "schema" : "https://github.com/citation-style-language/schema/raw/master/csl-citation.json" }</w:instrText>
      </w:r>
      <w:r w:rsidRPr="00452E2E">
        <w:fldChar w:fldCharType="separate"/>
      </w:r>
      <w:r w:rsidRPr="00452E2E">
        <w:rPr>
          <w:noProof/>
        </w:rPr>
        <w:t>Sturdy (2011)</w:t>
      </w:r>
      <w:r w:rsidRPr="00452E2E">
        <w:fldChar w:fldCharType="end"/>
      </w:r>
      <w:r w:rsidRPr="00452E2E">
        <w:t xml:space="preserve"> emphasized the need for organizations to be cautious when seeking managerial solutions from consultants since most of the recommendations from consultants are aimed at instigating neo-liberal reforms in organizations.  Thus, in some cases, management consultants may act as agents for promoting neo-liberal ideologies across different contexts </w:t>
      </w:r>
      <w:r w:rsidRPr="00452E2E">
        <w:fldChar w:fldCharType="begin" w:fldLock="1"/>
      </w:r>
      <w:r w:rsidRPr="00452E2E">
        <w:instrText>ADDIN CSL_CITATION { "citationItems" : [ { "id" : "ITEM-1", "itemData" : { "author" : [ { "dropping-particle" : "", "family" : "Dardot", "given" : "P.", "non-dropping-particle" : "", "parse-names" : false, "suffix" : "" }, { "dropping-particle" : "", "family" : "Laval", "given" : "C.", "non-dropping-particle" : "", "parse-names" : false, "suffix" : "" } ], "id" : "ITEM-1", "issued" : { "date-parts" : [ [ "2013" ] ] }, "publisher" : "Verso", "publisher-place" : "London", "title" : "The new way of the world: On neoliberal society", "type" : "book" }, "uris" : [ "http://www.mendeley.com/documents/?uuid=bb3afa2d-6c13-446d-a270-db32efb66685" ] }, { "id" : "ITEM-2", "itemData" : { "DOI" : "10.1111/j.1467-8551.2011.00750.x", "ISBN" : "1045-3172", "ISSN" : "10453172", "PMID" : "43767397", "abstract" : "Much is claimed of management consultancy by critics and celebrants alike. Through shaping and legitimizing ideas and catalysing change, it has impacted on management practice and people\u2019s lives more generally. Given the growth of consultancy as an industry and wider activity, few have challenged these views. However, there are good reasons for treating them with some caution. In particular, its impact is exaggerated in geographical scope and confused with that of management ideas in general \u2013 consultancy as a scapegoat for management. At the same time, recent changes in both the nature and status of management and of consultancy have rendered traditional boundary distinctions less tenable such that the scope and impact of consultancy may be even greater than is typically assumed. Overall, its impact has been both understated and overstated. I therefore argue for a more cautious and critical approach. This recognizes consultancy as an integral part of management, where its distinctive role lies more in its structural position and ambiguous visibility and accountability than its practices, skills or occupational/professional identity claims. The research agenda thus becomes one of more clearly identifying the consequences of management as well as of consultancy, in part through a consideration of contexts where they are, or were, largely absent.\"", "author" : [ { "dropping-particle" : "", "family" : "Sturdy", "given" : "Andrew", "non-dropping-particle" : "", "parse-names" : false, "suffix" : "" } ], "container-title" : "British Journal of Management", "id" : "ITEM-2", "issue" : "3", "issued" : { "date-parts" : [ [ "2011" ] ] }, "page" : "517-530", "title" : "Consultancy's consequences? A critical assessment of management consultancy's impact on management", "type" : "article-journal", "volume" : "22" }, "uris" : [ "http://www.mendeley.com/documents/?uuid=6cc4cc86-8d73-453b-a10f-7b4b6b5f43e1" ] } ], "mendeley" : { "formattedCitation" : "(Dardot &amp; Laval 2013; Sturdy 2011)", "manualFormatting" : "(Dardot &amp; Laval, 2013; Sturdy, 2011)", "plainTextFormattedCitation" : "(Dardot &amp; Laval 2013; Sturdy 2011)", "previouslyFormattedCitation" : "(Dardot &amp; Laval 2013; Sturdy 2011)" }, "properties" : { "noteIndex" : 0 }, "schema" : "https://github.com/citation-style-language/schema/raw/master/csl-citation.json" }</w:instrText>
      </w:r>
      <w:r w:rsidRPr="00452E2E">
        <w:fldChar w:fldCharType="separate"/>
      </w:r>
      <w:r w:rsidR="00E941E7" w:rsidRPr="00452E2E">
        <w:rPr>
          <w:noProof/>
        </w:rPr>
        <w:t>(Sturdy, 2011; Dardot &amp; Laval, 2013</w:t>
      </w:r>
      <w:r w:rsidRPr="00452E2E">
        <w:rPr>
          <w:noProof/>
        </w:rPr>
        <w:t>)</w:t>
      </w:r>
      <w:r w:rsidRPr="00452E2E">
        <w:fldChar w:fldCharType="end"/>
      </w:r>
      <w:r w:rsidRPr="00452E2E">
        <w:t xml:space="preserve">. In the case of Nigeria and as the findings </w:t>
      </w:r>
      <w:r w:rsidR="00BB6A17" w:rsidRPr="00452E2E">
        <w:t xml:space="preserve">from </w:t>
      </w:r>
      <w:r w:rsidR="00B63134" w:rsidRPr="00452E2E">
        <w:t xml:space="preserve">the </w:t>
      </w:r>
      <w:r w:rsidR="00BB6A17" w:rsidRPr="00452E2E">
        <w:t xml:space="preserve">qualitative interviews </w:t>
      </w:r>
      <w:r w:rsidRPr="00452E2E">
        <w:t xml:space="preserve">suggest, some neo-liberal practices such as downsizing have been experimented in many organizations based on the recommendation of management consultants. This finding corresponds with the sentiments expressed by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who noted at the time that there was increased interest in the use of consultants to provide solutions to management problems in Nigeria which has resulted to t</w:t>
      </w:r>
      <w:r w:rsidR="008B10CC" w:rsidRPr="00452E2E">
        <w:t xml:space="preserve">he spread of ‘best practices’. </w:t>
      </w:r>
      <w:r w:rsidRPr="00452E2E">
        <w:t xml:space="preserve">After more than a decade following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Ankomah's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Ankomah's (2001)</w:t>
      </w:r>
      <w:r w:rsidRPr="00452E2E">
        <w:fldChar w:fldCharType="end"/>
      </w:r>
      <w:r w:rsidRPr="00452E2E">
        <w:t xml:space="preserve"> observation, the find</w:t>
      </w:r>
      <w:r w:rsidR="008B75F6" w:rsidRPr="00452E2E">
        <w:t>ings from this research suggest</w:t>
      </w:r>
      <w:r w:rsidRPr="00452E2E">
        <w:t xml:space="preserve"> that this interest has not waned and may have resulted in part, to the similarity of some HRM practices across organizations in Nigeria. </w:t>
      </w:r>
    </w:p>
    <w:p w:rsidR="00D03A8E" w:rsidRPr="00452E2E" w:rsidRDefault="00D03A8E" w:rsidP="00D03A8E">
      <w:pPr>
        <w:spacing w:line="360" w:lineRule="auto"/>
        <w:jc w:val="both"/>
      </w:pPr>
      <w:r w:rsidRPr="00452E2E">
        <w:lastRenderedPageBreak/>
        <w:t xml:space="preserve">In addition to the influence of mimetic mechanisms, normative mechanisms categorised as professional socialization </w:t>
      </w:r>
      <w:r w:rsidR="00317068" w:rsidRPr="00452E2E">
        <w:t xml:space="preserve">based on the findings from the qualitative interviews </w:t>
      </w:r>
      <w:r w:rsidRPr="00452E2E">
        <w:t xml:space="preserve">also influenced HRM in public and private sector in the same direction. Findings indicate that both public and private organizations demonstrated a tendency to rely on professionals to perform the function of HRM in their organizations. This is perhaps due to the recognition of HRM to organizational success. The implication is that HRM professionals, through their educational background as well as their participation in professional associations and training institutes </w:t>
      </w:r>
      <w:r w:rsidR="00546DD4" w:rsidRPr="00452E2E">
        <w:t>may contribute</w:t>
      </w:r>
      <w:r w:rsidRPr="00452E2E">
        <w:t xml:space="preserve"> to the spread of neo-liberal HRM practices across organizations. The Chartered Institute of Personnel Management (CIPM) – an equivalent of the Chartered Institute of Personnel Development (CIPD) in UK – is one of the avenues for disseminating HRM practices across organizations in Nigeria.  In addition, the attendance of HRM professionals to workshops and seminars both locally and internationally has aided the dissemination of HRM </w:t>
      </w:r>
      <w:r w:rsidR="00EF0FEB" w:rsidRPr="00452E2E">
        <w:t xml:space="preserve">practices across organizations. </w:t>
      </w:r>
      <w:r w:rsidRPr="00452E2E">
        <w:t xml:space="preserve">Such workshops, often sponsored by international development partners, in the case of public sector organizations, are usually aimed at disseminating ‘best practices’ in HRM. </w:t>
      </w:r>
    </w:p>
    <w:p w:rsidR="00D03A8E" w:rsidRPr="00452E2E" w:rsidRDefault="00D03A8E" w:rsidP="00D03A8E">
      <w:pPr>
        <w:spacing w:line="360" w:lineRule="auto"/>
        <w:jc w:val="both"/>
      </w:pPr>
      <w:r w:rsidRPr="00452E2E">
        <w:t>In addition, participation in employers’ associations may provide avenues for the spread of HRM practices in the private sector. The Nigeria Employers</w:t>
      </w:r>
      <w:r w:rsidR="00FF5FFE" w:rsidRPr="00452E2E">
        <w:t>’</w:t>
      </w:r>
      <w:r w:rsidRPr="00452E2E">
        <w:t xml:space="preserve"> Consultative Association (NECA) is the umbrella employers</w:t>
      </w:r>
      <w:r w:rsidR="00CE71AA" w:rsidRPr="00452E2E">
        <w:t>’</w:t>
      </w:r>
      <w:r w:rsidRPr="00452E2E">
        <w:t xml:space="preserve"> association in Nigeria where employers meet to discuss employment-related issues and may become an avenue for dissemination of practices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Other affiliate employers association organised along industry lines as the findings suggest, may serve as </w:t>
      </w:r>
      <w:r w:rsidR="00271017" w:rsidRPr="00452E2E">
        <w:t>platforms</w:t>
      </w:r>
      <w:r w:rsidRPr="00452E2E">
        <w:t xml:space="preserve"> for disseminating HR practices in a particular industry. </w:t>
      </w:r>
    </w:p>
    <w:p w:rsidR="00D03A8E" w:rsidRPr="00452E2E" w:rsidRDefault="00D03A8E" w:rsidP="00D03A8E">
      <w:pPr>
        <w:spacing w:line="360" w:lineRule="auto"/>
        <w:jc w:val="both"/>
      </w:pPr>
      <w:r w:rsidRPr="00452E2E">
        <w:t xml:space="preserve">Findings </w:t>
      </w:r>
      <w:r w:rsidR="00EF0FEB" w:rsidRPr="00452E2E">
        <w:t xml:space="preserve">from the qualitative interviews </w:t>
      </w:r>
      <w:r w:rsidRPr="00452E2E">
        <w:t xml:space="preserve">also suggest that </w:t>
      </w:r>
      <w:r w:rsidRPr="00452E2E">
        <w:rPr>
          <w:i/>
        </w:rPr>
        <w:t xml:space="preserve">economic pressures </w:t>
      </w:r>
      <w:r w:rsidRPr="00452E2E">
        <w:t xml:space="preserve">influence the nature of HRM across organizations in Nigeria since organizations are not insulated from the economic environment in which they operate. As the literature on comparative HRM suggests, the economic conditions of countries will influence the way organizations relate with employees </w:t>
      </w:r>
      <w:r w:rsidRPr="00452E2E">
        <w:fldChar w:fldCharType="begin" w:fldLock="1"/>
      </w:r>
      <w:r w:rsidRPr="00452E2E">
        <w:instrText>ADDIN CSL_CITATION { "citationItems" : [ { "id" : "ITEM-1", "itemData" : { "author" : [ { "dropping-particle" : "", "family" : "Brewster", "given" : "Chris", "non-dropping-particle" : "", "parse-names" : false, "suffix" : "" }, { "dropping-particle" : "", "family" : "Mayrhofer", "given" : "Wolfgang", "non-dropping-particle" : "", "parse-names" : false, "suffix" : "" } ], "chapter-number" : "1",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"1-23", "publisher" : "Edward Elgar", "publisher-place" : "Cheltenham, UK", "title" : "Comparative human resource management: An introduction", "type" : "chapter" }, "uris" : [ "http://www.mendeley.com/documents/?uuid=3c9bc995-b399-4f2b-920d-18cfbc74a1c0" ] } ], "mendeley" : { "formattedCitation" : "(Brewster &amp; Mayrhofer 2012)", "manualFormatting" : "(Brewster &amp; Mayrhofer, 2012)", "plainTextFormattedCitation" : "(Brewster &amp; Mayrhofer 2012)", "previouslyFormattedCitation" : "(Brewster &amp; Mayrhofer 2012)" }, "properties" : { "noteIndex" : 0 }, "schema" : "https://github.com/citation-style-language/schema/raw/master/csl-citation.json" }</w:instrText>
      </w:r>
      <w:r w:rsidRPr="00452E2E">
        <w:fldChar w:fldCharType="separate"/>
      </w:r>
      <w:r w:rsidRPr="00452E2E">
        <w:rPr>
          <w:noProof/>
        </w:rPr>
        <w:t>(Brewster &amp; Mayrhofer, 2012)</w:t>
      </w:r>
      <w:r w:rsidRPr="00452E2E">
        <w:fldChar w:fldCharType="end"/>
      </w:r>
      <w:r w:rsidRPr="00452E2E">
        <w:t xml:space="preserve">. In the case of Nigeria, employees are often faced with poor economic conditions for which they rely on employers to develop policies that will enable them cope with economic </w:t>
      </w:r>
      <w:r w:rsidR="003D5137" w:rsidRPr="00452E2E">
        <w:t>challenges</w:t>
      </w:r>
      <w:r w:rsidRPr="00452E2E">
        <w:t xml:space="preserve">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Due to the poor </w:t>
      </w:r>
      <w:r w:rsidRPr="00452E2E">
        <w:lastRenderedPageBreak/>
        <w:t xml:space="preserve">state of infrastructure in Nigeria, responsible employers may provide transport or housing facilities to employees to enable them cope better with work. Nevertheless, this may more likely be the case in the public sector since most times private organizations seek to minimise labour cost. Thus, such economic pressures may influence HRM in both public and private sector, particularly when it comes to providing employee benefits. </w:t>
      </w:r>
    </w:p>
    <w:p w:rsidR="00D03A8E" w:rsidRPr="00452E2E" w:rsidRDefault="00D03A8E" w:rsidP="00D03A8E">
      <w:pPr>
        <w:spacing w:line="360" w:lineRule="auto"/>
        <w:jc w:val="both"/>
      </w:pPr>
      <w:r w:rsidRPr="00452E2E">
        <w:t>In sum, the findings on the influence of institutions on HRM suggest the existence of mimetic and normative forces that tend to shape HRM in the same direction in both public and private sector. However, coercive mechanisms tend to shape HRM in different directions in public and private sector with the influence of coercive mechanisms stronger in the public sector. More so, there are informal institutions and economic pressures that influence HRM in both public and private sector in Nigeria</w:t>
      </w:r>
      <w:r w:rsidR="006C4996" w:rsidRPr="00452E2E">
        <w:t>, which fu</w:t>
      </w:r>
      <w:r w:rsidR="00705B36" w:rsidRPr="00452E2E">
        <w:t>r</w:t>
      </w:r>
      <w:r w:rsidR="006C4996" w:rsidRPr="00452E2E">
        <w:t>ther highlights the context-nature of HRM</w:t>
      </w:r>
      <w:r w:rsidRPr="00452E2E">
        <w:t>.</w:t>
      </w:r>
    </w:p>
    <w:p w:rsidR="00D03A8E" w:rsidRPr="00452E2E" w:rsidRDefault="00D03A8E" w:rsidP="00170224">
      <w:pPr>
        <w:pStyle w:val="Heading3"/>
      </w:pPr>
      <w:bookmarkStart w:id="215" w:name="_Toc465271216"/>
      <w:bookmarkStart w:id="216" w:name="_Toc473808197"/>
      <w:r w:rsidRPr="00452E2E">
        <w:t>8.3 What are the Specific Techniques of HRM adopted in Public and Private Sector in Nigeria?</w:t>
      </w:r>
      <w:bookmarkEnd w:id="215"/>
      <w:bookmarkEnd w:id="216"/>
    </w:p>
    <w:p w:rsidR="00D03A8E" w:rsidRPr="00452E2E" w:rsidRDefault="00D03A8E" w:rsidP="00D03A8E">
      <w:pPr>
        <w:spacing w:line="360" w:lineRule="auto"/>
        <w:jc w:val="both"/>
      </w:pPr>
      <w:r w:rsidRPr="00452E2E">
        <w:t xml:space="preserve">The specific techniques of HRM used in four domains of HRM namely, recruitment and selection, training, employee benefits and employee participation were examined in public and private sector in Nigeria. The discussion of findings on the specific techniques used in each HRM domain is presented below. </w:t>
      </w:r>
    </w:p>
    <w:p w:rsidR="00D03A8E" w:rsidRPr="00452E2E" w:rsidRDefault="00D03A8E" w:rsidP="00D03A8E">
      <w:pPr>
        <w:pStyle w:val="Heading4"/>
      </w:pPr>
      <w:bookmarkStart w:id="217" w:name="_Toc473808198"/>
      <w:r w:rsidRPr="00452E2E">
        <w:t>8.3.1 Recruitment and Selection</w:t>
      </w:r>
      <w:bookmarkEnd w:id="217"/>
      <w:r w:rsidRPr="00452E2E">
        <w:t xml:space="preserve"> </w:t>
      </w:r>
    </w:p>
    <w:p w:rsidR="00D03A8E" w:rsidRPr="00452E2E" w:rsidRDefault="00D03A8E" w:rsidP="00D03A8E">
      <w:pPr>
        <w:spacing w:line="360" w:lineRule="auto"/>
        <w:jc w:val="both"/>
      </w:pPr>
      <w:r w:rsidRPr="00452E2E">
        <w:t>The techniques of recruitment in public and private sector organizations in Nigeria were examined from the pers</w:t>
      </w:r>
      <w:r w:rsidR="00F46337" w:rsidRPr="00452E2E">
        <w:t>pective of HR managers. Data were</w:t>
      </w:r>
      <w:r w:rsidRPr="00452E2E">
        <w:t xml:space="preserve"> collected on the specific techniques used for recruiting management staff, technical staff, clerical staff and manual staff. For each category of staff, managers provided information on whether recruitment was done internally, via word of mouth, via advertisement, via recruitment agencies, or whether other systems of recruitment were used. Findings indicate that overall, advertisement was the most preferred method of recruitment in public and private sector in Nigeria. This finding corresponds with earlier findings on recruitment techniques used by organizations in Nigeria </w:t>
      </w:r>
      <w:r w:rsidRPr="00452E2E">
        <w:fldChar w:fldCharType="begin" w:fldLock="1"/>
      </w:r>
      <w:r w:rsidRPr="00452E2E">
        <w:instrText>ADDIN CSL_CITATION { "citationItems" : [ { "id" : "ITEM-1", "itemData" : { "abstract" : "This study presents the results of a survey of the extent to which organizations in two West African countries use various human resource management (HRM) practices and the perceived importance of these practices. Survey data were collected from 166 organizations in Ghana and Nigeria. Descriptive data are presented with respect to the use and implementation of traditional HRM practices such as recruitment, selection, performance appraisal, and training and development. In addition, data focusing on the perceived importance of these activities and other more specific HRM activities are presented and discussed. Finally, results of the present survey are compared with similiar data reported for US organizations and suggestions and recommendations for future research are discussed.", "author" : [ { "dropping-particle" : "", "family" : "Arthur", "given" : "Winfred", "non-dropping-particle" : "", "parse-names" : false, "suffix" : "" }, { "dropping-particle" : "", "family" : "Woehr", "given" : "David J", "non-dropping-particle" : "", "parse-names" : false, "suffix" : "" }, { "dropping-particle" : "", "family" : "Akande", "given" : "Adebowale", "non-dropping-particle" : "", "parse-names" : false, "suffix" : "" }, { "dropping-particle" : "", "family" : "Strong", "given" : "Mark H", "non-dropping-particle" : "", "parse-names" : false, "suffix" : "" } ], "container-title" : "The International Journal of Human Resource Management", "id" : "ITEM-1", "issue" : "2", "issued" : { "date-parts" : [ [ "1995" ] ] }, "page" : "347-367", "title" : "Human resource managment in West Africa: Practices and perceptions", "type" : "article-journal", "volume" : "6" }, "uris" : [ "http://www.mendeley.com/documents/?uuid=70d9522a-da7a-4fbe-8dcf-770a76025ea1" ] } ], "mendeley" : { "formattedCitation" : "(Arthur et al. 1995)", "manualFormatting" : "(Arthur et al., 1995)", "plainTextFormattedCitation" : "(Arthur et al. 1995)", "previouslyFormattedCitation" : "(Arthur et al. 1995)" }, "properties" : { "noteIndex" : 0 }, "schema" : "https://github.com/citation-style-language/schema/raw/master/csl-citation.json" }</w:instrText>
      </w:r>
      <w:r w:rsidRPr="00452E2E">
        <w:fldChar w:fldCharType="separate"/>
      </w:r>
      <w:r w:rsidRPr="00452E2E">
        <w:rPr>
          <w:noProof/>
        </w:rPr>
        <w:t xml:space="preserve">(Arthur </w:t>
      </w:r>
      <w:r w:rsidRPr="00452E2E">
        <w:rPr>
          <w:i/>
          <w:noProof/>
        </w:rPr>
        <w:t>et al</w:t>
      </w:r>
      <w:r w:rsidRPr="00452E2E">
        <w:rPr>
          <w:noProof/>
        </w:rPr>
        <w:t>., 1995)</w:t>
      </w:r>
      <w:r w:rsidRPr="00452E2E">
        <w:fldChar w:fldCharType="end"/>
      </w:r>
      <w:r w:rsidRPr="00452E2E">
        <w:t xml:space="preserve">. However, the use of advertisement as indeed other techniques of recruitment varied according to employee category, industry, sector and size of organization. </w:t>
      </w:r>
    </w:p>
    <w:p w:rsidR="008A10AF" w:rsidRPr="00452E2E" w:rsidRDefault="00D03A8E" w:rsidP="00D03A8E">
      <w:pPr>
        <w:spacing w:line="360" w:lineRule="auto"/>
        <w:jc w:val="both"/>
      </w:pPr>
      <w:r w:rsidRPr="00452E2E">
        <w:lastRenderedPageBreak/>
        <w:t xml:space="preserve">Whilst advertisement was mostly used for recruiting management and technical staff, the recruitment of staff internally and via word of mouth were more likely to be used for recruiting clerical and manual staff respectively. This indicates that the technique of recruitment used by organizations in Nigeria depends in part, on the category of staff to be recruited. In terms of sector, advertisement was more likely to be used in public sector than in private sector organizations for recruiting management, technical and clerical staff. This is unsurprising since apart from the cost of advertisement which some private organizations may try to avoid, the relatively high use of advertisement in public sector is perhaps to enable public sector organizations attract applicants from diverse ethnic backgrounds in line with the federal character principle </w:t>
      </w:r>
      <w:r w:rsidRPr="00452E2E">
        <w:fldChar w:fldCharType="begin" w:fldLock="1"/>
      </w:r>
      <w:r w:rsidRPr="00452E2E">
        <w:instrText>ADDIN CSL_CITATION { "citationItems" : [ { "id" : "ITEM-1", "itemData" : { "DOI" : "10.1002/jid", "abstract" : "Nigeria, South Africa and Namibia, all divided societies, have affirmative action programmes aimed at bridging the profound inequalities between different segments of their population. Many others African countries have milder versions, such as parliamentary quotas for women. This study examines the necessity for affirmative action and the effectiveness of the Federal Character Commission (FCC), set up in Nigeria to oversee the process. It examines the historical connections between ethnic inequalities, governance and conflict in Nigeria and the various efforts at reforming the entrenched ethnic imbalances in the Nigerian public sector. It advances both philosophical and instrumentalist arguments in defence of affirmative action and, against this background, examines the effectiveness of the commission. A core argument is that the commission should be evaluated on both its intended and unintended effects on Nigerian public life. If this wider standard is used, then the commission has contributed positively to the management of ethnic inequalities in the Nigerian public sector. Some of the challenges facing the commission are also highlighted.", "author" : [ { "dropping-particle" : "", "family" : "Mustapha", "given" : "Abdul Raufu", "non-dropping-particle" : "", "parse-names" : false, "suffix" : "" } ], "container-title" : "Journal of International Development", "id" : "ITEM-1", "issue" : "43", "issued" : { "date-parts" : [ [ "2009" ] ] }, "page" : "561-576", "title" : "Institutionalising ethnic representation : how effective is affirmative action in Nigeria ?", "type" : "article-journal", "volume" : "576" }, "uris" : [ "http://www.mendeley.com/documents/?uuid=225bc6b9-e852-41cf-a452-00ea8c4f9ace" ] } ], "mendeley" : { "formattedCitation" : "(Mustapha 2009)", "manualFormatting" : "(Mustapha, 2009)", "plainTextFormattedCitation" : "(Mustapha 2009)", "previouslyFormattedCitation" : "(Mustapha 2009)" }, "properties" : { "noteIndex" : 0 }, "schema" : "https://github.com/citation-style-language/schema/raw/master/csl-citation.json" }</w:instrText>
      </w:r>
      <w:r w:rsidRPr="00452E2E">
        <w:fldChar w:fldCharType="separate"/>
      </w:r>
      <w:r w:rsidRPr="00452E2E">
        <w:rPr>
          <w:noProof/>
        </w:rPr>
        <w:t>(Mustapha, 2009)</w:t>
      </w:r>
      <w:r w:rsidRPr="00452E2E">
        <w:fldChar w:fldCharType="end"/>
      </w:r>
      <w:r w:rsidRPr="00452E2E">
        <w:t xml:space="preserve">. </w:t>
      </w:r>
    </w:p>
    <w:p w:rsidR="00D03A8E" w:rsidRPr="00452E2E" w:rsidRDefault="00D03A8E" w:rsidP="00D03A8E">
      <w:pPr>
        <w:spacing w:line="360" w:lineRule="auto"/>
        <w:jc w:val="both"/>
      </w:pPr>
      <w:r w:rsidRPr="00452E2E">
        <w:t xml:space="preserve">Apart from employee category and sector, the technique of recruitment was also influenced by the size of the organization. Findings indicate that small organizations were more likely to recruit employees internally than large organizations. This technique of recruitment involves redeployment of existing staff to fill vacancies in the organization </w:t>
      </w:r>
      <w:r w:rsidRPr="00452E2E">
        <w:fldChar w:fldCharType="begin" w:fldLock="1"/>
      </w:r>
      <w:r w:rsidRPr="00452E2E">
        <w:instrText>ADDIN CSL_CITATION { "citationItems" : [ { "id" : "ITEM-1",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"ITEM-1", "issued" : { "date-parts" : [ [ "2010" ] ] }, "page" : "135-154", "publisher" : "SAGE", "publisher-place" : "London", "title" : "Recruitment and selection", "type" : "chapter" }, "uris" : [ "http://www.mendeley.com/documents/?uuid=e189e2f4-1a71-4115-a1e6-cd4315467cbe" ] } ], "mendeley" : { "formattedCitation" : "(Lievens &amp; Chapman 2010)", "manualFormatting" : "(Lievens &amp; Chapman, 2010)", "plainTextFormattedCitation" : "(Lievens &amp; Chapman 2010)", "previouslyFormattedCitation" : "(Lievens &amp; Chapman 2010)" }, "properties" : { "noteIndex" : 0 }, "schema" : "https://github.com/citation-style-language/schema/raw/master/csl-citation.json" }</w:instrText>
      </w:r>
      <w:r w:rsidRPr="00452E2E">
        <w:fldChar w:fldCharType="separate"/>
      </w:r>
      <w:r w:rsidRPr="00452E2E">
        <w:rPr>
          <w:noProof/>
        </w:rPr>
        <w:t>(Lievens &amp; Chapman, 2010)</w:t>
      </w:r>
      <w:r w:rsidRPr="00452E2E">
        <w:fldChar w:fldCharType="end"/>
      </w:r>
      <w:r w:rsidRPr="00452E2E">
        <w:t xml:space="preserve">. Whilst internal recruitment may enable organizations </w:t>
      </w:r>
      <w:r w:rsidR="005A6EDD" w:rsidRPr="00452E2E">
        <w:t xml:space="preserve">to </w:t>
      </w:r>
      <w:r w:rsidRPr="00452E2E">
        <w:t>save cost</w:t>
      </w:r>
      <w:r w:rsidR="005A6EDD" w:rsidRPr="00452E2E">
        <w:t>s</w:t>
      </w:r>
      <w:r w:rsidRPr="00452E2E">
        <w:t xml:space="preserve"> that would have been incurred to recruit externally, it limits the possibility of organizations to attract quality talent that may exist outside of the organization </w:t>
      </w:r>
      <w:r w:rsidRPr="00452E2E">
        <w:fldChar w:fldCharType="begin" w:fldLock="1"/>
      </w:r>
      <w:r w:rsidRPr="00452E2E">
        <w:instrText>ADDIN CSL_CITATION { "citationItems" : [ { "id" : "ITEM-1",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"151-168", "publisher" : "Routledge", "publisher-place" : "London", "title" : "Recruitment and selection", "type" : "chapter" }, "uris" : [ "http://www.mendeley.com/documents/?uuid=0d5526ae-614d-4e31-8ba6-1068e6f6f064" ] } ], "mendeley" : { "formattedCitation" : "(Searle 2009)", "manualFormatting" : "(Searle, 2009)", "plainTextFormattedCitation" : "(Searle 2009)", "previouslyFormattedCitation" : "(Searle 2009)" }, "properties" : { "noteIndex" : 0 }, "schema" : "https://github.com/citation-style-language/schema/raw/master/csl-citation.json" }</w:instrText>
      </w:r>
      <w:r w:rsidRPr="00452E2E">
        <w:fldChar w:fldCharType="separate"/>
      </w:r>
      <w:r w:rsidRPr="00452E2E">
        <w:rPr>
          <w:noProof/>
        </w:rPr>
        <w:t>(Searle, 2009)</w:t>
      </w:r>
      <w:r w:rsidRPr="00452E2E">
        <w:fldChar w:fldCharType="end"/>
      </w:r>
      <w:r w:rsidRPr="00452E2E">
        <w:t xml:space="preserve">. At the same time, recruiting internally may, in most cases, result </w:t>
      </w:r>
      <w:r w:rsidR="005A6EDD" w:rsidRPr="00452E2E">
        <w:t>in</w:t>
      </w:r>
      <w:r w:rsidRPr="00452E2E">
        <w:t xml:space="preserve"> increased workload for employees which may lead to increased stress levels and fatigue for employees </w:t>
      </w:r>
      <w:r w:rsidRPr="00452E2E">
        <w:fldChar w:fldCharType="begin" w:fldLock="1"/>
      </w:r>
      <w:r w:rsidRPr="00452E2E">
        <w:instrText>ADDIN CSL_CITATION { "citationItems" : [ { "id" : "ITEM-1", "itemData" : { "ISSN" : "10534822", "abstract" : "Over the last forty years, research on employee recruitment has increased dramatically. In this paper, I review research on recruitment topics that have received considerable attention (e.g., recruitment methods, realistic job previews). I also address topics (e.g., targeted recruitment, the site visit) that have received relatively little attention but that have the potential to be quite important. In examining these topics, job applicant variables (e.g., self-insight), that should influence how an employer conducts the recruitment process but that have frequently been neglected, are discussed. Throughout the paper, important areas for future research are suggested. ?? 2008 Elsevier Inc. All rights reserved.", "author" : [ { "dropping-particle" : "", "family" : "Breaugh", "given" : "James A.", "non-dropping-particle" : "", "parse-names" : false, "suffix" : "" } ], "container-title" : "Human Resource Management Review", "id" : "ITEM-1", "issue" : "3", "issued" : { "date-parts" : [ [ "2008" ] ] }, "page" : "103-118", "title" : "Employee recruitment: Current knowledge and important areas for future research", "type" : "article-journal", "volume" : "18" }, "uris" : [ "http://www.mendeley.com/documents/?uuid=bd950740-de4c-40b6-9c22-9e860fbf9a98" ] }, { "id" : "ITEM-2", "itemData" : { "author" : [ { "dropping-particle" : "", "family" : "Ryan", "given" : "Ann Marie", "non-dropping-particle" : "", "parse-names" : false, "suffix" : "" }, { "dropping-particle" : "", "family" : "Derous", "given" : "Eva", "non-dropping-particle" : "", "parse-names" : false, "suffix" : "" } ], "container-title" : "International Journal of Selection and Assessment", "id" : "ITEM-2", "issue" : "1", "issued" : { "date-parts" : [ [ "2016" ] ] }, "page" : "54-62", "title" : "Highlighting tensions in recruitment and selection research and practice", "type" : "article-journal", "volume" : "24" }, "uris" : [ "http://www.mendeley.com/documents/?uuid=ccf84d8b-2e01-4389-91e5-a23c3d943043" ] } ], "mendeley" : { "formattedCitation" : "(Breaugh 2008; Ryan &amp; Derous 2016)", "manualFormatting" : "(Breaugh, 2008; Ryan &amp; Derous, 2016)", "plainTextFormattedCitation" : "(Breaugh 2008; Ryan &amp; Derous 2016)", "previouslyFormattedCitation" : "(Breaugh 2008; Ryan &amp; Derous 2016)" }, "properties" : { "noteIndex" : 0 }, "schema" : "https://github.com/citation-style-language/schema/raw/master/csl-citation.json" }</w:instrText>
      </w:r>
      <w:r w:rsidRPr="00452E2E">
        <w:fldChar w:fldCharType="separate"/>
      </w:r>
      <w:r w:rsidRPr="00452E2E">
        <w:rPr>
          <w:noProof/>
        </w:rPr>
        <w:t>(Breaugh, 2008; Ryan &amp; Derous, 2016)</w:t>
      </w:r>
      <w:r w:rsidRPr="00452E2E">
        <w:fldChar w:fldCharType="end"/>
      </w:r>
      <w:r w:rsidRPr="00452E2E">
        <w:t xml:space="preserve">. Similarly, small organizations were more likely to recruit using word of mouth as a technique of recruitment, albeit mostly for recruiting clerical and manual staff. Again, the use of word of mouth may eliminate potential applicants who are not within the social networks of those responsible for spreading the word about existing vacancies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Whilst the use of recruitment agencies was not common across all employee groups, large private organizations were more likely to use this technique of recruitment; although this was mostly for recruiting management staff. </w:t>
      </w:r>
    </w:p>
    <w:p w:rsidR="00D03A8E" w:rsidRPr="00452E2E" w:rsidRDefault="00D03A8E" w:rsidP="00D03A8E">
      <w:pPr>
        <w:spacing w:line="360" w:lineRule="auto"/>
        <w:jc w:val="both"/>
      </w:pPr>
      <w:r w:rsidRPr="00452E2E">
        <w:t xml:space="preserve">Other techniques of recruitment, notably the use of online recruitment via websites were in use in industries such as banking/financial services, ICT/media, </w:t>
      </w:r>
      <w:r w:rsidRPr="00452E2E">
        <w:lastRenderedPageBreak/>
        <w:t xml:space="preserve">government MDAs and health. The use of this technique was however mostly for management and technical staff. Nevertheless, whilst online recruitment saves time and cost </w:t>
      </w:r>
      <w:r w:rsidRPr="00452E2E">
        <w:fldChar w:fldCharType="begin" w:fldLock="1"/>
      </w:r>
      <w:r w:rsidRPr="00452E2E">
        <w:instrText>ADDIN CSL_CITATION { "citationItems" : [ { "id" : "ITEM-1",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"151-168", "publisher" : "Routledge", "publisher-place" : "London", "title" : "Recruitment and selection", "type" : "chapter" }, "uris" : [ "http://www.mendeley.com/documents/?uuid=0d5526ae-614d-4e31-8ba6-1068e6f6f064" ] }, { "id" : "ITEM-2",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"ITEM-2", "issued" : { "date-parts" : [ [ "2010" ] ] }, "page" : "135-154", "publisher" : "SAGE", "publisher-place" : "London", "title" : "Recruitment and selection", "type" : "chapter" }, "uris" : [ "http://www.mendeley.com/documents/?uuid=e189e2f4-1a71-4115-a1e6-cd4315467cbe" ] } ], "mendeley" : { "formattedCitation" : "(Searle 2009; Lievens &amp; Chapman 2010)", "manualFormatting" : "(Searle, 2009; Lievens &amp; Chapman, 2010)", "plainTextFormattedCitation" : "(Searle 2009; Lievens &amp; Chapman 2010)", "previouslyFormattedCitation" : "(Searle 2009; Lievens &amp; Chapman 2010)" }, "properties" : { "noteIndex" : 0 }, "schema" : "https://github.com/citation-style-language/schema/raw/master/csl-citation.json" }</w:instrText>
      </w:r>
      <w:r w:rsidRPr="00452E2E">
        <w:fldChar w:fldCharType="separate"/>
      </w:r>
      <w:r w:rsidRPr="00452E2E">
        <w:rPr>
          <w:noProof/>
        </w:rPr>
        <w:t>(Searle, 2009; Lievens &amp; Chapman, 2010)</w:t>
      </w:r>
      <w:r w:rsidRPr="00452E2E">
        <w:fldChar w:fldCharType="end"/>
      </w:r>
      <w:r w:rsidRPr="00452E2E">
        <w:t xml:space="preserve">, due to the poor internet infrastructure in Nigeria, many potential applicants may be excluded from applying for existing vacancies. On the whole, the findings on the techniques of recruitment suggest that whilst it is common for organizations in Nigeria to have recruitment practices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"(Okpara &amp; Wynn 2008)", "manualFormatting" : "(Okpara &amp; Wynn, 2008)", "plainTextFormattedCitation" : "(Okpara &amp; Wynn 2008)", "previouslyFormattedCitation" : "(Okpara &amp; Wynn 2008)" }, "properties" : { "noteIndex" : 0 }, "schema" : "https://github.com/citation-style-language/schema/raw/master/csl-citation.json" }</w:instrText>
      </w:r>
      <w:r w:rsidRPr="00452E2E">
        <w:fldChar w:fldCharType="separate"/>
      </w:r>
      <w:r w:rsidRPr="00452E2E">
        <w:rPr>
          <w:noProof/>
        </w:rPr>
        <w:t>(Okpara &amp; Wynn, 2008)</w:t>
      </w:r>
      <w:r w:rsidRPr="00452E2E">
        <w:fldChar w:fldCharType="end"/>
      </w:r>
      <w:r w:rsidRPr="00452E2E">
        <w:t>, the specific technique used may depend on the category of employee</w:t>
      </w:r>
      <w:r w:rsidR="007237FD" w:rsidRPr="00452E2E">
        <w:t>s</w:t>
      </w:r>
      <w:r w:rsidRPr="00452E2E">
        <w:t xml:space="preserve">, industry, sector, and size of organization. This finding corresponds with findings from other African contexts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and also in line with the literature on segmented business system theory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&amp; Frynas 2006; Wood et al. 2011)", "manualFormatting" : "(Wood &amp; Frynas, 2006; Wood et al., 2011)", "plainTextFormattedCitation" : "(Wood &amp; Frynas 2006; Wood et al. 2011)", "previouslyFormattedCitation" : "(Wood &amp; Frynas 2006; Wood et al. 2011)" }, "properties" : { "noteIndex" : 0 }, "schema" : "https://github.com/citation-style-language/schema/raw/master/csl-citation.json" }</w:instrText>
      </w:r>
      <w:r w:rsidRPr="00452E2E">
        <w:fldChar w:fldCharType="separate"/>
      </w:r>
      <w:r w:rsidRPr="00452E2E">
        <w:rPr>
          <w:noProof/>
        </w:rPr>
        <w:t xml:space="preserve">(Wood &amp; Frynas, 2006; Wood </w:t>
      </w:r>
      <w:r w:rsidRPr="00452E2E">
        <w:rPr>
          <w:i/>
          <w:noProof/>
        </w:rPr>
        <w:t>et al</w:t>
      </w:r>
      <w:r w:rsidRPr="00452E2E">
        <w:rPr>
          <w:noProof/>
        </w:rPr>
        <w:t>., 2011)</w:t>
      </w:r>
      <w:r w:rsidRPr="00452E2E">
        <w:fldChar w:fldCharType="end"/>
      </w:r>
      <w:r w:rsidRPr="00452E2E">
        <w:t xml:space="preserve">. </w:t>
      </w:r>
    </w:p>
    <w:p w:rsidR="00D03A8E" w:rsidRPr="00452E2E" w:rsidRDefault="00D03A8E" w:rsidP="00D03A8E">
      <w:pPr>
        <w:spacing w:line="360" w:lineRule="auto"/>
        <w:jc w:val="both"/>
      </w:pPr>
      <w:r w:rsidRPr="00452E2E">
        <w:t>Selection techniques of public and private organizations were also examined for each job category. HR managers provide</w:t>
      </w:r>
      <w:r w:rsidR="00C446D0" w:rsidRPr="00452E2E">
        <w:t>d</w:t>
      </w:r>
      <w:r w:rsidRPr="00452E2E">
        <w:t xml:space="preserve"> information on whether employees for each category were selected without interviews, by filling application forms only, via interviews, via use of psychometric tests or whether there were other selection techniques.  Findings indicate that interviews were the most preferred technique for selecting employees in public and private sector in Nigeria. Nevertheless, the use of interviews and indeed other techniques of selection depended on the employee category and </w:t>
      </w:r>
      <w:r w:rsidR="00BC1007" w:rsidRPr="00452E2E">
        <w:t xml:space="preserve">the </w:t>
      </w:r>
      <w:r w:rsidRPr="00452E2E">
        <w:t xml:space="preserve">nature of </w:t>
      </w:r>
      <w:r w:rsidR="00CC1CD8" w:rsidRPr="00452E2E">
        <w:t xml:space="preserve">the </w:t>
      </w:r>
      <w:r w:rsidRPr="00452E2E">
        <w:t xml:space="preserve">organization. Generally, public sector organizations were more likely to interview applicants across all employee groups than private sector organizations. Nevertheless, as with the case of recruitment earlier noted, the presence of corruption in the public sector may mean that in some cases, such interviews are an exercise to gain legitimacy as candidates that never attended interviews end up being selected to fill vacancies. Findings also suggest that the use of interviews may depend on the employee category as technical and management staff were more likely to be selected via interviews. On the other hand, clerical and manual staff were more likely to be selected by only completing application forms whilst in extreme cases, employees were selected without interviews. </w:t>
      </w:r>
    </w:p>
    <w:p w:rsidR="00D03A8E" w:rsidRPr="00452E2E" w:rsidRDefault="00D03A8E" w:rsidP="00D03A8E">
      <w:pPr>
        <w:spacing w:line="360" w:lineRule="auto"/>
        <w:jc w:val="both"/>
      </w:pPr>
      <w:r w:rsidRPr="00452E2E">
        <w:t xml:space="preserve">The size of the organization was also a major determinant of the type of selection technique used. Small organizations were more likely to select employees without interviews; although this was more likely to be for clerical and manual staff. Whilst </w:t>
      </w:r>
      <w:r w:rsidRPr="00452E2E">
        <w:lastRenderedPageBreak/>
        <w:t xml:space="preserve">interviews present organizations </w:t>
      </w:r>
      <w:r w:rsidR="005A6EDD" w:rsidRPr="00452E2E">
        <w:t xml:space="preserve">with </w:t>
      </w:r>
      <w:r w:rsidRPr="00452E2E">
        <w:t xml:space="preserve">the opportunity to interact with applicants in order to select the most suitably qualified candidates </w:t>
      </w:r>
      <w:r w:rsidRPr="00452E2E">
        <w:fldChar w:fldCharType="begin" w:fldLock="1"/>
      </w:r>
      <w:r w:rsidRPr="00452E2E">
        <w:instrText>ADDIN CSL_CITATION { "citationItems" : [ { "id" : "ITEM-1",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"151-168", "publisher" : "Routledge", "publisher-place" : "London", "title" : "Recruitment and selection", "type" : "chapter" }, "uris" : [ "http://www.mendeley.com/documents/?uuid=0d5526ae-614d-4e31-8ba6-1068e6f6f064" ] }, { "id" : "ITEM-2", "itemData" : { "ISBN" : "9780073530468", "PMID" : "16328286", "abstract" : "Fundamentals of Human Resource Management, by Noe, Hollenbeck, Gerhart and Wright is specifically written to provide a complete introduction to human resource management. While it doesnt cover the depths of human resource management theory, the book is rich with examples and engages students through application. Fundamentals differs from the hardback textbook by the same author team. Instead of a higher level of theory thats geared towards the HRM majors, this book focuses on the uses of human resources for the general business manager. Issues such as strategy are reduced to give a greater focus on how human resources management is used in the everyday work environment. It provides students with the background necessary to manage human resources effectively and to be able to distinguish good from poor human resource management practices and how they impact business. Instructors are provided with a robust ancillary package that includes a comprehensive instructors manual, test bank, PowerPoint presentation and a complete Online Learning Center to make course preparation easy.", "author" : [ { "dropping-particle" : "", "family" : "Lievens", "given" : "Filip", "non-dropping-particle" : "", "parse-names" : false, "suffix" : "" }, { "dropping-particle" : "", "family" : "Chapman", "given" : "Derek", "non-dropping-particle" : "", "parse-names" : false, "suffix" : "" } ], "chapter-number" : "9", "container-title" : "The SAGE handbook of human resource management", "editor" : [ { "dropping-particle" : "", "family" : "Wilkinson", "given" : "Adrian", "non-dropping-particle" : "", "parse-names" : false, "suffix" : "" }, { "dropping-particle" : "", "family" : "Bacon", "given" : "Nicolas", "non-dropping-particle" : "", "parse-names" : false, "suffix" : "" }, { "dropping-particle" : "", "family" : "Redman", "given" : "Tom", "non-dropping-particle" : "", "parse-names" : false, "suffix" : "" }, { "dropping-particle" : "", "family" : "Snell", "given" : "Scott", "non-dropping-particle" : "", "parse-names" : false, "suffix" : "" } ], "id" : "ITEM-2", "issued" : { "date-parts" : [ [ "2010" ] ] }, "page" : "135-154", "publisher" : "SAGE", "publisher-place" : "London", "title" : "Recruitment and selection", "type" : "chapter" }, "uris" : [ "http://www.mendeley.com/documents/?uuid=e189e2f4-1a71-4115-a1e6-cd4315467cbe" ] } ], "mendeley" : { "formattedCitation" : "(Searle 2009; Lievens &amp; Chapman 2010)", "manualFormatting" : "(Searle, 2009; Lievens &amp; Chapman, 2010)", "plainTextFormattedCitation" : "(Searle 2009; Lievens &amp; Chapman 2010)", "previouslyFormattedCitation" : "(Searle 2009; Lievens &amp; Chapman 2010)" }, "properties" : { "noteIndex" : 0 }, "schema" : "https://github.com/citation-style-language/schema/raw/master/csl-citation.json" }</w:instrText>
      </w:r>
      <w:r w:rsidRPr="00452E2E">
        <w:fldChar w:fldCharType="separate"/>
      </w:r>
      <w:r w:rsidRPr="00452E2E">
        <w:rPr>
          <w:noProof/>
        </w:rPr>
        <w:t>(Searle, 2009; Lievens &amp; Chapman, 2010)</w:t>
      </w:r>
      <w:r w:rsidRPr="00452E2E">
        <w:fldChar w:fldCharType="end"/>
      </w:r>
      <w:r w:rsidR="00103FD4" w:rsidRPr="00452E2E">
        <w:t xml:space="preserve">, </w:t>
      </w:r>
      <w:r w:rsidRPr="00452E2E">
        <w:t xml:space="preserve">selecting employees without interviews means that organizations may end up placing round pegs in square holes, with attendant consequences on employee performance. On the other hand, and although less common, large organizations were more likely to supplement interviews with psychometric tests. </w:t>
      </w:r>
    </w:p>
    <w:p w:rsidR="00D03A8E" w:rsidRPr="00452E2E" w:rsidRDefault="00D03A8E" w:rsidP="00D03A8E">
      <w:pPr>
        <w:spacing w:line="360" w:lineRule="auto"/>
        <w:jc w:val="both"/>
      </w:pPr>
      <w:r w:rsidRPr="00452E2E">
        <w:t xml:space="preserve">The use of psychometric tests was however more likely in industries such as banking/financial services, ICT/media and government MDAs. Expectedly, psychometric tests were mostly used for selecting technical staff due to the importance attached to the skills they bring to the organization. Of course, the combination of psychometric tests with interviews result in the selection of best quality applicants to fill vacancies </w:t>
      </w:r>
      <w:r w:rsidRPr="00452E2E">
        <w:fldChar w:fldCharType="begin" w:fldLock="1"/>
      </w:r>
      <w:r w:rsidRPr="00452E2E">
        <w:instrText>ADDIN CSL_CITATION { "citationItems" : [ { "id" : "ITEM-1", "itemData" : { "author" : [ { "dropping-particle" : "", "family" : "Searle", "given" : "R", "non-dropping-particle" : "", "parse-names" : false, "suffix" : "" } ], "container-title" : "Human resource management: A critical approach", "editor" : [ { "dropping-particle" : "", "family" : "Collings", "given" : "David G.", "non-dropping-particle" : "", "parse-names" : false, "suffix" : "" }, { "dropping-particle" : "", "family" : "Wood", "given" : "Geoffrey", "non-dropping-particle" : "", "parse-names" : false, "suffix" : "" } ], "id" : "ITEM-1", "issued" : { "date-parts" : [ [ "2009" ] ] }, "page" : "151-168", "publisher" : "Routledge", "publisher-place" : "London", "title" : "Recruitment and selection", "type" : "chapter" }, "uris" : [ "http://www.mendeley.com/documents/?uuid=0d5526ae-614d-4e31-8ba6-1068e6f6f064" ] } ], "mendeley" : { "formattedCitation" : "(Searle 2009)", "manualFormatting" : "(Searle, 2009)", "plainTextFormattedCitation" : "(Searle 2009)", "previouslyFormattedCitation" : "(Searle 2009)" }, "properties" : { "noteIndex" : 0 }, "schema" : "https://github.com/citation-style-language/schema/raw/master/csl-citation.json" }</w:instrText>
      </w:r>
      <w:r w:rsidRPr="00452E2E">
        <w:fldChar w:fldCharType="separate"/>
      </w:r>
      <w:r w:rsidRPr="00452E2E">
        <w:rPr>
          <w:noProof/>
        </w:rPr>
        <w:t>(Searle, 2009)</w:t>
      </w:r>
      <w:r w:rsidRPr="00452E2E">
        <w:fldChar w:fldCharType="end"/>
      </w:r>
      <w:r w:rsidRPr="00452E2E">
        <w:t xml:space="preserve">. These findings suggest that the technique of selection </w:t>
      </w:r>
      <w:r w:rsidR="00461E58" w:rsidRPr="00452E2E">
        <w:t xml:space="preserve">in Nigerian organizations </w:t>
      </w:r>
      <w:r w:rsidRPr="00452E2E">
        <w:t xml:space="preserve">depends not only on the employee group, the characteristics of the organization such as industry, sector and size determined the extent to which the various techniques of selection were used. In particular, small private organizations were more likely to use informal techniques of selection than public sector organizations. Again, the extent of the use of recruitment techniques in Nigerian organizations corresponds with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Wood's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Wood's (2005)</w:t>
      </w:r>
      <w:r w:rsidRPr="00452E2E">
        <w:fldChar w:fldCharType="end"/>
      </w:r>
      <w:r w:rsidRPr="00452E2E">
        <w:t xml:space="preserve"> Mozambican study and </w:t>
      </w:r>
      <w:r w:rsidR="003D765A" w:rsidRPr="00452E2E">
        <w:t xml:space="preserve">is </w:t>
      </w:r>
      <w:r w:rsidRPr="00452E2E">
        <w:t xml:space="preserve">also in line with the literature on segmented business system theory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&amp; Frynas 2006; Wood et al. 2011)", "manualFormatting" : "(Wood &amp; Frynas, 2006; Wood et al., 2011)", "plainTextFormattedCitation" : "(Wood &amp; Frynas 2006; Wood et al. 2011)", "previouslyFormattedCitation" : "(Wood &amp; Frynas 2006; Wood et al. 2011)" }, "properties" : { "noteIndex" : 0 }, "schema" : "https://github.com/citation-style-language/schema/raw/master/csl-citation.json" }</w:instrText>
      </w:r>
      <w:r w:rsidRPr="00452E2E">
        <w:fldChar w:fldCharType="separate"/>
      </w:r>
      <w:r w:rsidRPr="00452E2E">
        <w:rPr>
          <w:noProof/>
        </w:rPr>
        <w:t xml:space="preserve">(Wood &amp; Frynas, 2006; Wood </w:t>
      </w:r>
      <w:r w:rsidRPr="00452E2E">
        <w:rPr>
          <w:i/>
          <w:noProof/>
        </w:rPr>
        <w:t>et al</w:t>
      </w:r>
      <w:r w:rsidRPr="00452E2E">
        <w:rPr>
          <w:noProof/>
        </w:rPr>
        <w:t>., 2011)</w:t>
      </w:r>
      <w:r w:rsidRPr="00452E2E">
        <w:fldChar w:fldCharType="end"/>
      </w:r>
      <w:r w:rsidRPr="00452E2E">
        <w:t xml:space="preserve">. </w:t>
      </w:r>
    </w:p>
    <w:p w:rsidR="00D03A8E" w:rsidRPr="00452E2E" w:rsidRDefault="00D03A8E" w:rsidP="00D03A8E">
      <w:pPr>
        <w:pStyle w:val="Heading4"/>
      </w:pPr>
      <w:bookmarkStart w:id="218" w:name="_Toc473808199"/>
      <w:r w:rsidRPr="00452E2E">
        <w:t>8.3.2 Training</w:t>
      </w:r>
      <w:bookmarkEnd w:id="218"/>
    </w:p>
    <w:p w:rsidR="00D03A8E" w:rsidRPr="00452E2E" w:rsidRDefault="00D03A8E" w:rsidP="00D03A8E">
      <w:pPr>
        <w:spacing w:line="360" w:lineRule="auto"/>
        <w:jc w:val="both"/>
      </w:pPr>
      <w:r w:rsidRPr="00452E2E">
        <w:t xml:space="preserve">Training is important to employees and organizations since it results </w:t>
      </w:r>
      <w:r w:rsidR="003D765A" w:rsidRPr="00452E2E">
        <w:t>in</w:t>
      </w:r>
      <w:r w:rsidRPr="00452E2E">
        <w:t xml:space="preserve"> improvement in knowledge and skills of employees to enable them perform their jobs effectively </w:t>
      </w:r>
      <w:r w:rsidRPr="00452E2E">
        <w:fldChar w:fldCharType="begin" w:fldLock="1"/>
      </w:r>
      <w:r w:rsidRPr="00452E2E">
        <w:instrText>ADDIN CSL_CITATION { "citationItems" : [ { "id" : "ITEM-1", "itemData" : { "abstract" : "This article provides a review of the training and development literature since the year 2000. We review the literature focusing on the benefits of training and development for individuals and teams, organizations, and society. We adopt a multidisciplinary, multilevel, and global perspective to demonstrate that training and development activities in work organizations can produce important benefits for each of these stakeholders. We also review the literature on needs assessment and pretraining states, training design and delivery, training evaluation, and transfer of training to identify the conditions under which the benefits of training and development are maximized. Finally, we identify research gaps and offer directions for future research.", "author" : [ { "dropping-particle" : "", "family" : "Aguinis", "given" : "Herman", "non-dropping-particle" : "", "parse-names" : false, "suffix" : "" }, { "dropping-particle" : "", "family" : "Kraiger", "given" : "Kurt", "non-dropping-particle" : "", "parse-names" : false, "suffix" : "" } ], "container-title" : "Annual Review of Psychology", "id" : "ITEM-1", "issued" : { "date-parts" : [ [ "2009" ] ] }, "page" : "451-474", "title" : "Benefits of training and development for individuals and teams, organizations, and society", "type" : "article-journal", "volume" : "60" }, "uris" : [ "http://www.mendeley.com/documents/?uuid=88d006ad-00f5-4239-82a5-aa10e3718853" ] } ], "mendeley" : { "formattedCitation" : "(Aguinis &amp; Kraiger 2009)", "manualFormatting" : "(Aguinis &amp; Kraiger, 2009)", "plainTextFormattedCitation" : "(Aguinis &amp; Kraiger 2009)", "previouslyFormattedCitation" : "(Aguinis &amp; Kraiger 2009)" }, "properties" : { "noteIndex" : 0 }, "schema" : "https://github.com/citation-style-language/schema/raw/master/csl-citation.json" }</w:instrText>
      </w:r>
      <w:r w:rsidRPr="00452E2E">
        <w:fldChar w:fldCharType="separate"/>
      </w:r>
      <w:r w:rsidRPr="00452E2E">
        <w:rPr>
          <w:noProof/>
        </w:rPr>
        <w:t>(Aguinis &amp; Kraiger, 2009)</w:t>
      </w:r>
      <w:r w:rsidRPr="00452E2E">
        <w:fldChar w:fldCharType="end"/>
      </w:r>
      <w:r w:rsidRPr="00452E2E">
        <w:t xml:space="preserve">. However, the amount and quality of training employees receive is influenced by the institutional context </w:t>
      </w:r>
      <w:r w:rsidRPr="00452E2E">
        <w:fldChar w:fldCharType="begin" w:fldLock="1"/>
      </w:r>
      <w:r w:rsidRPr="00452E2E">
        <w:instrText>ADDIN CSL_CITATION { "citationItems" : [ { "id" : "ITEM-1", "itemData" : { "author" : [ { "dropping-particle" : "", "family" : "Grugulis", "given" : "I.", "non-dropping-particle" : "", "parse-names" : false, "suffix" : "" } ], "chapter-number" : "5", "container-title" : "Contemporary human resource management: Text and cases", "edition" : "4th ed.", "editor" : [ { "dropping-particle" : "", "family" : "Wilkinson", "given" : "Adrian", "non-dropping-particle" : "", "parse-names" : false, "suffix" : "" }, { "dropping-particle" : "", "family" : "Redman", "given" : "Tom", "non-dropping-particle" : "", "parse-names" : false, "suffix" : "" } ], "id" : "ITEM-1", "issued" : { "date-parts" : [ [ "2013" ] ] }, "page" : "151-175", "publisher" : "Pearson", "publisher-place" : "Harlow", "title" : "Training and development", "type" : "chapter" }, "uris" : [ "http://www.mendeley.com/documents/?uuid=5c08e6dd-f632-4e80-a2e0-e92629316748" ] } ], "mendeley" : { "formattedCitation" : "(Grugulis 2013)", "manualFormatting" : "(Grugulis, 2013)", "plainTextFormattedCitation" : "(Grugulis 2013)", "previouslyFormattedCitation" : "(Grugulis 2013)" }, "properties" : { "noteIndex" : 0 }, "schema" : "https://github.com/citation-style-language/schema/raw/master/csl-citation.json" }</w:instrText>
      </w:r>
      <w:r w:rsidRPr="00452E2E">
        <w:fldChar w:fldCharType="separate"/>
      </w:r>
      <w:r w:rsidRPr="00452E2E">
        <w:rPr>
          <w:noProof/>
        </w:rPr>
        <w:t>(Grugulis, 2013)</w:t>
      </w:r>
      <w:r w:rsidRPr="00452E2E">
        <w:fldChar w:fldCharType="end"/>
      </w:r>
      <w:r w:rsidRPr="00452E2E">
        <w:t xml:space="preserve"> and the type of organization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"plainTextFormattedCitation" : "(Wood et al. 2011)", "previouslyFormattedCitation" : "(Wood et al. 2011)"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2011)</w:t>
      </w:r>
      <w:r w:rsidRPr="00452E2E">
        <w:fldChar w:fldCharType="end"/>
      </w:r>
      <w:r w:rsidRPr="00452E2E">
        <w:t xml:space="preserve">. In this research, HR managers in public and private sector in Nigeria provided information on the type of training used in their organizations. Specifically, managers indicated whether they used informal workplace training, formal workplace training (uncertified), formal workplace training (certified), sponsored courses (technical), sponsored courses (administrative), sponsored courses (managerial) and whether other </w:t>
      </w:r>
      <w:r w:rsidRPr="00452E2E">
        <w:lastRenderedPageBreak/>
        <w:t xml:space="preserve">systems of training were in use. Findings indicate that the most common form of training used across organizations in Nigeria was informal workplace training, in line with findings from other African contexts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"(Webster &amp; Wood 2005; Wood et al. 2011)", "manualFormatting" : "(Webster &amp; Wood, 2005; Wood et al., 2011)", "plainTextFormattedCitation" : "(Webster &amp; Wood 2005; Wood et al. 2011)", "previouslyFormattedCitation" : "(Webster &amp; Wood 2005; Wood et al. 2011)" }, "properties" : { "noteIndex" : 0 }, "schema" : "https://github.com/citation-style-language/schema/raw/master/csl-citation.json" }</w:instrText>
      </w:r>
      <w:r w:rsidRPr="00452E2E">
        <w:fldChar w:fldCharType="separate"/>
      </w:r>
      <w:r w:rsidRPr="00452E2E">
        <w:rPr>
          <w:noProof/>
        </w:rPr>
        <w:t xml:space="preserve">(Webster &amp; Wood, 2005; Wood </w:t>
      </w:r>
      <w:r w:rsidRPr="00452E2E">
        <w:rPr>
          <w:i/>
          <w:noProof/>
        </w:rPr>
        <w:t>et al</w:t>
      </w:r>
      <w:r w:rsidRPr="00452E2E">
        <w:rPr>
          <w:noProof/>
        </w:rPr>
        <w:t>., 2011)</w:t>
      </w:r>
      <w:r w:rsidRPr="00452E2E">
        <w:fldChar w:fldCharType="end"/>
      </w:r>
      <w:r w:rsidRPr="00452E2E">
        <w:t xml:space="preserve">. </w:t>
      </w:r>
    </w:p>
    <w:p w:rsidR="00D03A8E" w:rsidRPr="00452E2E" w:rsidRDefault="00D03A8E" w:rsidP="00D03A8E">
      <w:pPr>
        <w:spacing w:line="360" w:lineRule="auto"/>
        <w:jc w:val="both"/>
      </w:pPr>
      <w:r w:rsidRPr="00452E2E">
        <w:t xml:space="preserve">Although previous studies indicate that training was generally low in Nigeria </w:t>
      </w:r>
      <w:r w:rsidRPr="00452E2E">
        <w:fldChar w:fldCharType="begin" w:fldLock="1"/>
      </w:r>
      <w:r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"mendeley" : { "formattedCitation" : "(Anakwe 2002)", "manualFormatting" : "(Anakwe, 2002)", "plainTextFormattedCitation" : "(Anakwe 2002)", "previouslyFormattedCitation" : "(Anakwe 2002)" }, "properties" : { "noteIndex" : 0 }, "schema" : "https://github.com/citation-style-language/schema/raw/master/csl-citation.json" }</w:instrText>
      </w:r>
      <w:r w:rsidRPr="00452E2E">
        <w:fldChar w:fldCharType="separate"/>
      </w:r>
      <w:r w:rsidRPr="00452E2E">
        <w:rPr>
          <w:noProof/>
        </w:rPr>
        <w:t>(Anakwe, 2002)</w:t>
      </w:r>
      <w:r w:rsidRPr="00452E2E">
        <w:fldChar w:fldCharType="end"/>
      </w:r>
      <w:r w:rsidRPr="00452E2E">
        <w:t xml:space="preserve">, findings from the present study suggest that a reasonable number of organizations in Nigeria used formal workplace based training. This is perhaps as a result of the monetary incentives organizations receive from Industrial Training Fund (ITF) for providing formal workplace training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Nevertheless, the type of formal training provided was mainly uncertified. On the other hand, few organizations provided certified formal training whilst others indicated that external training in the shape of sponsored courses with outside training bodies for different employee categories were used. Only </w:t>
      </w:r>
      <w:r w:rsidR="003B058B" w:rsidRPr="00452E2E">
        <w:t>in minority of cases</w:t>
      </w:r>
      <w:r w:rsidRPr="00452E2E">
        <w:t xml:space="preserve"> did managers indicate they used other systems of training with computer-based training the most preferred type of training under this category. </w:t>
      </w:r>
    </w:p>
    <w:p w:rsidR="00DE3598" w:rsidRPr="00452E2E" w:rsidRDefault="00D03A8E" w:rsidP="00D03A8E">
      <w:pPr>
        <w:spacing w:line="360" w:lineRule="auto"/>
        <w:jc w:val="both"/>
      </w:pPr>
      <w:r w:rsidRPr="00452E2E">
        <w:t xml:space="preserve">However, consistent with the segmented business system theory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"plainTextFormattedCitation" : "(Wood &amp; Frynas 2006)", "previouslyFormattedCitation" : "(Wood &amp; Frynas 2006)" }, "properties" : { "noteIndex" : 0 }, "schema" : "https://github.com/citation-style-language/schema/raw/master/csl-citation.json" }</w:instrText>
      </w:r>
      <w:r w:rsidRPr="00452E2E">
        <w:fldChar w:fldCharType="separate"/>
      </w:r>
      <w:r w:rsidRPr="00452E2E">
        <w:rPr>
          <w:noProof/>
        </w:rPr>
        <w:t>(Wood &amp; Frynas, 2006)</w:t>
      </w:r>
      <w:r w:rsidRPr="00452E2E">
        <w:fldChar w:fldCharType="end"/>
      </w:r>
      <w:r w:rsidRPr="00452E2E">
        <w:t xml:space="preserve">, the type of training used depended on the nature of the organization. In particular, small organizations were more likely to indicate that they used informal workplace based training than large organizations. As opposed to formal training which is systematically designed </w:t>
      </w:r>
      <w:r w:rsidRPr="00452E2E">
        <w:fldChar w:fldCharType="begin" w:fldLock="1"/>
      </w:r>
      <w:r w:rsidRPr="00452E2E">
        <w:instrText>ADDIN CSL_CITATION { "citationItems" : [ { "id" : "ITEM-1", "itemData" : { "DOI" : "10.1016/j.hrmr.2009.03.002", "ISBN" : "1053-4822", "ISSN" : "10534822", "abstract" : "Training is an important function of human resource management. However, prior research about the relation between culture and training mostly focuses on a particular region, uses a few single case studies or examines only one or a few dimensions of culture at a time. We believe a more holistic and systematic approach is warranted. To address this need, we provide a theoretical framework which proposes that cultural factors affect training effectiveness via (1) contents and methods, (2) selection of trainers, and (3) learners' motivation, valence and learning style. In the context of cross-cultural training, we also reason that the congruence between parent and host culture influences training process and effectiveness. Implications for practice and future research are discussed. \u00a9 2009 Elsevier Inc. All rights reserved.", "author" : [ { "dropping-particle" : "", "family" : "Yang", "given" : "Baiyin", "non-dropping-particle" : "", "parse-names" : false, "suffix" : "" }, { "dropping-particle" : "", "family" : "Wang", "given" : "Yingchun", "non-dropping-particle" : "", "parse-names" : false, "suffix" : "" }, { "dropping-particle" : "", "family" : "Drewry", "given" : "Anne Wang", "non-dropping-particle" : "", "parse-names" : false, "suffix" : "" } ], "container-title" : "Human Resource Management Review", "id" : "ITEM-1", "issue" : "4", "issued" : { "date-parts" : [ [ "2009" ] ] }, "page" : "324-333", "publisher" : "Elsevier Inc.", "title" : "Does it matter where to conduct training? Accounting for cultural factors", "type" : "article-journal", "volume" : "19" }, "uris" : [ "http://www.mendeley.com/documents/?uuid=f14d6470-059b-41bc-8509-d4aaf007b2b0" ] } ], "mendeley" : { "formattedCitation" : "(Yang et al. 2009)", "manualFormatting" : "(Yang et al., 2009)", "plainTextFormattedCitation" : "(Yang et al. 2009)", "previouslyFormattedCitation" : "(Yang et al. 2009)" }, "properties" : { "noteIndex" : 0 }, "schema" : "https://github.com/citation-style-language/schema/raw/master/csl-citation.json" }</w:instrText>
      </w:r>
      <w:r w:rsidRPr="00452E2E">
        <w:fldChar w:fldCharType="separate"/>
      </w:r>
      <w:r w:rsidRPr="00452E2E">
        <w:rPr>
          <w:noProof/>
        </w:rPr>
        <w:t xml:space="preserve">(Yang </w:t>
      </w:r>
      <w:r w:rsidRPr="00452E2E">
        <w:rPr>
          <w:i/>
          <w:noProof/>
        </w:rPr>
        <w:t>et al</w:t>
      </w:r>
      <w:r w:rsidRPr="00452E2E">
        <w:rPr>
          <w:noProof/>
        </w:rPr>
        <w:t>., 2009)</w:t>
      </w:r>
      <w:r w:rsidRPr="00452E2E">
        <w:fldChar w:fldCharType="end"/>
      </w:r>
      <w:r w:rsidRPr="00452E2E">
        <w:t>, the reliance on informal workplace training which is highly unstructured and inconsistent may fail to inculcate in employees the desired knowledge and skills needed to perform the job. On the other hand, large organizations were more likely to make use of external training. This may not be unrelated to the cost of sponsoring employees to attend courses with external training bodies which small organizations may try to avoid in order to cope with competition.</w:t>
      </w:r>
    </w:p>
    <w:p w:rsidR="00D03A8E" w:rsidRPr="00452E2E" w:rsidRDefault="00D03A8E" w:rsidP="00D03A8E">
      <w:pPr>
        <w:spacing w:line="360" w:lineRule="auto"/>
        <w:jc w:val="both"/>
      </w:pPr>
      <w:r w:rsidRPr="00452E2E">
        <w:t xml:space="preserve"> In terms of sector, public sector organizations indicated they used certified formal workplace training and external training more than their private sector counterparts whilst private sector organizations made use of uncertified formal workplace training more than organizations in the public sector. Again, this may reflect the cost-cutting measures adopted by private organizations in many </w:t>
      </w:r>
      <w:r w:rsidRPr="00452E2E">
        <w:lastRenderedPageBreak/>
        <w:t>developing countries to cope with com</w:t>
      </w:r>
      <w:r w:rsidR="00A6747B" w:rsidRPr="00452E2E">
        <w:t>petition occasioned by liberaliz</w:t>
      </w:r>
      <w:r w:rsidRPr="00452E2E">
        <w:t xml:space="preserve">ation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"plainTextFormattedCitation" : "(Wood et al. 2011)", "previouslyFormattedCitation" : "(Wood et al. 2011)"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2011)</w:t>
      </w:r>
      <w:r w:rsidRPr="00452E2E">
        <w:fldChar w:fldCharType="end"/>
      </w:r>
      <w:r w:rsidRPr="00452E2E">
        <w:t xml:space="preserve">. As this finding suggests, cost appears to be an important variable that sets apart small versus large and private versus public organizations in Nigeria in their investment in human capital. </w:t>
      </w:r>
    </w:p>
    <w:p w:rsidR="00D03A8E" w:rsidRPr="00452E2E" w:rsidRDefault="00D03A8E" w:rsidP="00D03A8E">
      <w:pPr>
        <w:pStyle w:val="Heading4"/>
      </w:pPr>
      <w:bookmarkStart w:id="219" w:name="_Toc473808200"/>
      <w:r w:rsidRPr="00452E2E">
        <w:t>8.3.3 Employee Benefits</w:t>
      </w:r>
      <w:bookmarkEnd w:id="219"/>
    </w:p>
    <w:p w:rsidR="00D03A8E" w:rsidRPr="00452E2E" w:rsidRDefault="00D03A8E" w:rsidP="00D03A8E">
      <w:pPr>
        <w:spacing w:line="360" w:lineRule="auto"/>
        <w:jc w:val="both"/>
      </w:pPr>
      <w:r w:rsidRPr="00452E2E">
        <w:t xml:space="preserve">To examine the specific techniques of employee benefits in public and private sector, HR managers indicated the presence or otherwise of productivity awards, paid overtime, severance package, breaks during working day, paid vacation, paid sick leave, health insurance and other benefits in their organizations. Findings indicate that the provision of these types of benefits was generally low across organizations whilst the specific type of employee benefits used depended on the nature of the organization. The provision of statutory benefits such as paid overtime, paid vacation, paid sick leave among others was more likely in industries such as MDAs and health whilst in terms of sector, this was more likely in public sector than in the private sector. The low provision of statutory benefits in the private sector is indicative of the likelihood of some private sector organizations to violate labour legislation since most of these benefits are required by law in Nigeria as per the Labour Act of 1998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Pr="00452E2E">
        <w:rPr>
          <w:noProof/>
        </w:rPr>
        <w:t>(Ovadje &amp; Ankomah, 2001)</w:t>
      </w:r>
      <w:r w:rsidRPr="00452E2E">
        <w:fldChar w:fldCharType="end"/>
      </w:r>
      <w:r w:rsidRPr="00452E2E">
        <w:t xml:space="preserve">. As earlier noted, such violations of labour legislation is possible in the context of Nigeria due to corruption and the weak institutional capacity to enforce compliance </w:t>
      </w:r>
      <w:r w:rsidRPr="00452E2E">
        <w:fldChar w:fldCharType="begin" w:fldLock="1"/>
      </w:r>
      <w:r w:rsidRPr="00452E2E">
        <w:instrText>ADDIN CSL_CITATION { "citationItems" : [ { "id" : "ITEM-1",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"ITEM-1", "issue" : "1", "issued" : { "date-parts" : [ [ "2008" ] ] }, "page" : "57-76", "title" : "Human resource management practices in a transition economy: Challenges and prospects", "type" : "article-journal", "volume" : "31" }, "uris" : [ "http://www.mendeley.com/documents/?uuid=95a1a97b-b7f5-40f1-a40b-8040c1a14505" ] } ], "mendeley" : { "formattedCitation" : "(Okpara &amp; Wynn 2008)", "manualFormatting" : "(Okpara &amp; Wynn, 2008)", "plainTextFormattedCitation" : "(Okpara &amp; Wynn 2008)", "previouslyFormattedCitation" : "(Okpara &amp; Wynn 2008)" }, "properties" : { "noteIndex" : 0 }, "schema" : "https://github.com/citation-style-language/schema/raw/master/csl-citation.json" }</w:instrText>
      </w:r>
      <w:r w:rsidRPr="00452E2E">
        <w:fldChar w:fldCharType="separate"/>
      </w:r>
      <w:r w:rsidRPr="00452E2E">
        <w:rPr>
          <w:noProof/>
        </w:rPr>
        <w:t>(Okpara &amp; Wynn, 2008)</w:t>
      </w:r>
      <w:r w:rsidRPr="00452E2E">
        <w:fldChar w:fldCharType="end"/>
      </w:r>
      <w:r w:rsidRPr="00452E2E">
        <w:t xml:space="preserve">. </w:t>
      </w:r>
    </w:p>
    <w:p w:rsidR="00D03A8E" w:rsidRPr="00452E2E" w:rsidRDefault="00D03A8E" w:rsidP="00D03A8E">
      <w:pPr>
        <w:spacing w:line="360" w:lineRule="auto"/>
        <w:jc w:val="both"/>
      </w:pPr>
      <w:r w:rsidRPr="00452E2E">
        <w:t xml:space="preserve">Moreover, the </w:t>
      </w:r>
      <w:r w:rsidR="00F83C35" w:rsidRPr="00452E2E">
        <w:t>tendency</w:t>
      </w:r>
      <w:r w:rsidRPr="00452E2E">
        <w:t xml:space="preserve"> of some private sector organizations to deny employees access to benefits that are due to them reflects some of the cost-cutting measures organizations in many developing countries adopt in order to cope with competition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On the other hand, whilst it is encouraging that most of these benefits were provided in the public sector thereby further confirming the status of the public sector in leading by example in the provision of favourable conditions of employment </w:t>
      </w:r>
      <w:r w:rsidRPr="00452E2E">
        <w:fldChar w:fldCharType="begin" w:fldLock="1"/>
      </w:r>
      <w:r w:rsidRPr="00452E2E">
        <w:instrText>ADDIN CSL_CITATION { "citationItems" : [ { "id" : "ITEM-1", "itemData" : { "author" : [ { "dropping-particle" : "", "family" : "Dibben", "given" : "Pauline", "non-dropping-particle" : "", "parse-names" : false, "suffix" : "" }, { "dropping-particle" : "", "family" : "Wood", "given" : "Geoffrey", "non-dropping-particle" : "", "parse-names" : false, "suffix" : "" } ], "container-title" : "Effective people management in Africa", "editor" : [ { "dropping-particle" : "", "family" : "Newenham-Kahindi", "given" : "Aloysius", "non-dropping-particle" : "", "parse-names" : false, "suffix" : "" }, { "dropping-particle" : "", "family" : "Kamoche", "given" : "Ken", "non-dropping-particle" : "", "parse-names" : false, "suffix" : "" }, { "dropping-particle" : "", "family" : "Chizema", "given" : "Amon", "non-dropping-particle" : "", "parse-names" : false, "suffix" : "" }, { "dropping-particle" : "", "family" : "Mellahi", "given" : "Kamel", "non-dropping-particle" : "", "parse-names" : false, "suffix" : "" } ], "id" : "ITEM-1", "issued" : { "date-parts" : [ [ "2013" ] ] }, "page" : "72-94", "publisher" : "Palgrave Macmillan", "publisher-place" : "Basingstoke", "title" : "Privatization and employment relations in Africa", "type" : "chapter" }, "uris" : [ "http://www.mendeley.com/documents/?uuid=ef3ac935-a000-43ed-beef-50e0b2d443f8" ] } ], "mendeley" : { "formattedCitation" : "(Dibben &amp; Wood 2013)", "manualFormatting" : "(Dibben &amp; Wood, 2013)", "plainTextFormattedCitation" : "(Dibben &amp; Wood 2013)", "previouslyFormattedCitation" : "(Dibben &amp; Wood 2013)" }, "properties" : { "noteIndex" : 0 }, "schema" : "https://github.com/citation-style-language/schema/raw/master/csl-citation.json" }</w:instrText>
      </w:r>
      <w:r w:rsidRPr="00452E2E">
        <w:fldChar w:fldCharType="separate"/>
      </w:r>
      <w:r w:rsidRPr="00452E2E">
        <w:rPr>
          <w:noProof/>
        </w:rPr>
        <w:t>(Dibben &amp; Wood, 2013)</w:t>
      </w:r>
      <w:r w:rsidRPr="00452E2E">
        <w:fldChar w:fldCharType="end"/>
      </w:r>
      <w:r w:rsidRPr="00452E2E">
        <w:t xml:space="preserve">, one would expect that at least all the statutorily-required benefits will be available in all public sector organizations. The reason for the lack of provision of all statutory benefits in all the public sector organizations may be the result of neo-liberal reforms in the </w:t>
      </w:r>
      <w:r w:rsidRPr="00452E2E">
        <w:lastRenderedPageBreak/>
        <w:t xml:space="preserve">public sector that have resulted in budget cuts for many public organizations in Nigeria as a way of promoting ‘efficiency’ in the public sector </w:t>
      </w:r>
      <w:r w:rsidRPr="00452E2E">
        <w:fldChar w:fldCharType="begin" w:fldLock="1"/>
      </w:r>
      <w:r w:rsidRPr="00452E2E">
        <w:instrText>ADDIN CSL_CITATION { "citationItems" : [ { "id" : "ITEM-1", "itemData" : { "author" : [ { "dropping-particle" : "", "family" : "Omar", "given" : "M", "non-dropping-particle" : "", "parse-names" : false, "suffix" : "" } ], "container-title" : "Public sector reforms in Africa: Nigerian perspectives", "editor" : [ { "dropping-particle" : "", "family" : "Adewumi", "given" : "Funmi", "non-dropping-particle" : "", "parse-names" : false, "suffix" : "" }, { "dropping-particle" : "", "family" : "Idowu", "given" : "W", "non-dropping-particle" : "", "parse-names" : false, "suffix" : "" } ], "id" : "ITEM-1", "issued" : { "date-parts" : [ [ "2012" ] ] }, "page" : "29-48", "publisher" : "CODESRIA", "publisher-place" : "Dakar", "title" : "Rethinking public service reforms in Nigeria", "type" : "chapter" }, "uris" : [ "http://www.mendeley.com/documents/?uuid=adfa7bf8-4631-471e-a5a9-66496ce38ac9" ] } ], "mendeley" : { "formattedCitation" : "(Omar 2012)", "manualFormatting" : "(Omar, 2012)", "plainTextFormattedCitation" : "(Omar 2012)", "previouslyFormattedCitation" : "(Omar 2012)" }, "properties" : { "noteIndex" : 0 }, "schema" : "https://github.com/citation-style-language/schema/raw/master/csl-citation.json" }</w:instrText>
      </w:r>
      <w:r w:rsidRPr="00452E2E">
        <w:fldChar w:fldCharType="separate"/>
      </w:r>
      <w:r w:rsidRPr="00452E2E">
        <w:rPr>
          <w:noProof/>
        </w:rPr>
        <w:t>(Omar, 2012)</w:t>
      </w:r>
      <w:r w:rsidRPr="00452E2E">
        <w:fldChar w:fldCharType="end"/>
      </w:r>
      <w:r w:rsidRPr="00452E2E">
        <w:t xml:space="preserve">. </w:t>
      </w:r>
    </w:p>
    <w:p w:rsidR="00D03A8E" w:rsidRPr="00452E2E" w:rsidRDefault="00D03A8E" w:rsidP="00D03A8E">
      <w:pPr>
        <w:spacing w:line="360" w:lineRule="auto"/>
        <w:jc w:val="both"/>
      </w:pPr>
      <w:r w:rsidRPr="00452E2E">
        <w:t xml:space="preserve">Whereas the provision of statutory benefits was low, the provision of ‘other benefits’ was high across industries and sectors. An analysis of other types of benefits provided suggests that formal benefits in this category such as housing and transport allowance, childcare support among others were more likely to be provided in large than small organizations and in public than in private sector organizations. On the contrary, informal benefits such as emergency loans and salary advance, support during celebratory periods, and support in time of ‘need’ such as a family bereavement were largely used but were more likely to be used in private sector organizations. Perhaps, this may be a way of compensating for the lack of provision of statutory benefits in some private organizations. </w:t>
      </w:r>
    </w:p>
    <w:p w:rsidR="00D03A8E" w:rsidRPr="00452E2E" w:rsidRDefault="00D03A8E" w:rsidP="00D03A8E">
      <w:pPr>
        <w:spacing w:line="360" w:lineRule="auto"/>
        <w:jc w:val="both"/>
      </w:pPr>
      <w:r w:rsidRPr="00452E2E">
        <w:t xml:space="preserve">In Nigeria as indeed in other African contexts, it is common for employers to support employees by contributing towards ceremonies involving an employee member such as weddings, or burial ceremonies of family members of workers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"author"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"ITEM-2", "issued" : { "date-parts" : [ [ "2004" ] ] }, "publisher" : "Routledge", "publisher-place" : "London", "title" : "Managing human resources in Africa", "type" : "book" }, "uris" : [ "http://www.mendeley.com/documents/?uuid=37a69d52-443a-40f7-be09-6be2075c9afe" ] } ], "mendeley" : { "formattedCitation" : "(Ovadje &amp; Ankomah 2001; Kamoche et al. 2004)", "manualFormatting" : "(Ovadje &amp; Ankomah, 2001; Kamoche et al., 2004)", "plainTextFormattedCitation" : "(Ovadje &amp; Ankomah 2001; Kamoche et al. 2004)", "previouslyFormattedCitation" : "(Ovadje &amp; Ankomah 2001; Kamoche et al. 2004)" }, "properties" : { "noteIndex" : 0 }, "schema" : "https://github.com/citation-style-language/schema/raw/master/csl-citation.json" }</w:instrText>
      </w:r>
      <w:r w:rsidRPr="00452E2E">
        <w:fldChar w:fldCharType="separate"/>
      </w:r>
      <w:r w:rsidRPr="00452E2E">
        <w:rPr>
          <w:noProof/>
        </w:rPr>
        <w:t xml:space="preserve">(Ovadje &amp; Ankomah, 2001; Kamoche </w:t>
      </w:r>
      <w:r w:rsidRPr="00452E2E">
        <w:rPr>
          <w:i/>
          <w:noProof/>
        </w:rPr>
        <w:t>et al</w:t>
      </w:r>
      <w:r w:rsidRPr="00452E2E">
        <w:rPr>
          <w:noProof/>
        </w:rPr>
        <w:t>., 2004)</w:t>
      </w:r>
      <w:r w:rsidRPr="00452E2E">
        <w:fldChar w:fldCharType="end"/>
      </w:r>
      <w:r w:rsidRPr="00452E2E">
        <w:t xml:space="preserve">. In addition to monetary contributions, managers and employees are obligated to attend such ceremonies as a show of support and solidarity to the employee involved; failure to do so will be viewed as un-African and will demonstrate a lack of concern for the wellbeing of employees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"author" : [ { "dropping-particle" : "", "family" : "Jackson", "given" : "Terence", "non-dropping-particle" : "", "parse-names" : false, "suffix" : "" } ], "id" : "ITEM-2", "issued" : { "date-parts" : [ [ "2004" ] ] }, "publisher" : "Routledge", "publisher-place" : "London", "title" : "Management and change in Africa", "type" : "book" }, "uris" : [ "http://www.mendeley.com/documents/?uuid=2474fae1-b7d2-4361-b636-586344b04137" ] }, { "id" : "ITEM-3", "itemData" : { "author"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"ITEM-3", "issued" : { "date-parts" : [ [ "2004" ] ] }, "publisher" : "Routledge", "publisher-place" : "London", "title" : "Managing human resources in Africa", "type" : "book" }, "uris" : [ "http://www.mendeley.com/documents/?uuid=37a69d52-443a-40f7-be09-6be2075c9afe" ] } ], "mendeley" : { "formattedCitation" : "(Ovadje &amp; Ankomah 2001; Jackson 2004; Kamoche et al. 2004)", "manualFormatting" : "(Ovadje &amp; Ankomah, 2001; Jackson, 2004; Kamoche et al., 2004)", "plainTextFormattedCitation" : "(Ovadje &amp; Ankomah 2001; Jackson 2004; Kamoche et al. 2004)", "previouslyFormattedCitation" : "(Ovadje &amp; Ankomah 2001; Jackson 2004; Kamoche et al. 2004)" }, "properties" : { "noteIndex" : 0 }, "schema" : "https://github.com/citation-style-language/schema/raw/master/csl-citation.json" }</w:instrText>
      </w:r>
      <w:r w:rsidRPr="00452E2E">
        <w:fldChar w:fldCharType="separate"/>
      </w:r>
      <w:r w:rsidRPr="00452E2E">
        <w:rPr>
          <w:noProof/>
        </w:rPr>
        <w:t xml:space="preserve">(Ovadje &amp; Ankomah, 2001; Jackson, 2004; Kamoche </w:t>
      </w:r>
      <w:r w:rsidRPr="00452E2E">
        <w:rPr>
          <w:i/>
          <w:noProof/>
        </w:rPr>
        <w:t>et al</w:t>
      </w:r>
      <w:r w:rsidRPr="00452E2E">
        <w:rPr>
          <w:noProof/>
        </w:rPr>
        <w:t>., 2004)</w:t>
      </w:r>
      <w:r w:rsidRPr="00452E2E">
        <w:fldChar w:fldCharType="end"/>
      </w:r>
      <w:r w:rsidRPr="00452E2E">
        <w:t xml:space="preserve">. Similarly, during emergency situations employers are expected to provide financial assistance usually in the form of emergency loans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"ITEM-2",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"(Ovadje &amp; Ankomah 2001; Webster &amp; Wood 2005)", "manualFormatting" : "(Ovadje &amp; Ankomah, 2001; Webster &amp; Wood, 2005)", "plainTextFormattedCitation" : "(Ovadje &amp; Ankomah 2001; Webster &amp; Wood 2005)", "previouslyFormattedCitation" : "(Ovadje &amp; Ankomah 2001; Webster &amp; Wood 2005)" }, "properties" : { "noteIndex" : 0 }, "schema" : "https://github.com/citation-style-language/schema/raw/master/csl-citation.json" }</w:instrText>
      </w:r>
      <w:r w:rsidRPr="00452E2E">
        <w:fldChar w:fldCharType="separate"/>
      </w:r>
      <w:r w:rsidRPr="00452E2E">
        <w:rPr>
          <w:noProof/>
        </w:rPr>
        <w:t>(Ovadje &amp; Ankomah, 2001; Webster &amp; Wood, 2005)</w:t>
      </w:r>
      <w:r w:rsidRPr="00452E2E">
        <w:fldChar w:fldCharType="end"/>
      </w:r>
      <w:r w:rsidRPr="00452E2E">
        <w:t xml:space="preserve">. These gestures, as little as they seem, are a powerful way of creating a cooperative and familial work environment – values that are cherished in African contexts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"author" : [ { "dropping-particle" : "", "family" : "Jackson", "given" : "Terence", "non-dropping-particle" : "", "parse-names" : false, "suffix" : "" } ], "id" : "ITEM-2", "issued" : { "date-parts" : [ [ "2004" ] ] }, "publisher" : "Routledge", "publisher-place" : "London", "title" : "Management and change in Africa", "type" : "book" }, "uris" : [ "http://www.mendeley.com/documents/?uuid=2474fae1-b7d2-4361-b636-586344b04137" ] } ], "mendeley" : { "formattedCitation" : "(Ovadje &amp; Ankomah 2001; Jackson 2004)", "manualFormatting" : "(Ovadje &amp; Ankomah, 2001; Jackson, 2004)", "plainTextFormattedCitation" : "(Ovadje &amp; Ankomah 2001; Jackson 2004)", "previouslyFormattedCitation" : "(Ovadje &amp; Ankomah 2001; Jackson 2004)" }, "properties" : { "noteIndex" : 0 }, "schema" : "https://github.com/citation-style-language/schema/raw/master/csl-citation.json" }</w:instrText>
      </w:r>
      <w:r w:rsidRPr="00452E2E">
        <w:fldChar w:fldCharType="separate"/>
      </w:r>
      <w:r w:rsidRPr="00452E2E">
        <w:rPr>
          <w:noProof/>
        </w:rPr>
        <w:t>(Ovadje &amp; Ankomah, 2001; Jackson, 2004)</w:t>
      </w:r>
      <w:r w:rsidRPr="00452E2E">
        <w:fldChar w:fldCharType="end"/>
      </w:r>
      <w:r w:rsidRPr="00452E2E">
        <w:t xml:space="preserve">. However, as </w:t>
      </w:r>
      <w:r w:rsidRPr="00452E2E">
        <w:fldChar w:fldCharType="begin" w:fldLock="1"/>
      </w:r>
      <w:r w:rsidRPr="00452E2E">
        <w:instrText>ADDIN CSL_CITATION { "citationItems" : [ { "id" : "ITEM-1",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"495-511", "publisher" : "Edward Elgar", "publisher-place" : "Cheltenham, UK", "title" : "The practice of HRM in Africa in comparative perspective", "type" : "chapter" }, "uris" : [ "http://www.mendeley.com/documents/?uuid=c50d4f41-3d16-4383-bbfc-941b6ffeeb24" ] } ], "mendeley" : { "formattedCitation" : "(Bischoff &amp; Wood 2012)", "manualFormatting" : "Bischoff &amp; Wood (2012)", "plainTextFormattedCitation" : "(Bischoff &amp; Wood 2012)", "previouslyFormattedCitation" : "(Bischoff &amp; Wood 2012)" }, "properties" : { "noteIndex" : 0 }, "schema" : "https://github.com/citation-style-language/schema/raw/master/csl-citation.json" }</w:instrText>
      </w:r>
      <w:r w:rsidRPr="00452E2E">
        <w:fldChar w:fldCharType="separate"/>
      </w:r>
      <w:r w:rsidRPr="00452E2E">
        <w:rPr>
          <w:noProof/>
        </w:rPr>
        <w:t>Bischoff &amp; Wood (2012)</w:t>
      </w:r>
      <w:r w:rsidRPr="00452E2E">
        <w:fldChar w:fldCharType="end"/>
      </w:r>
      <w:r w:rsidRPr="00452E2E">
        <w:t xml:space="preserve"> observe,  the use of informal benefits, and coupled with low wages may encourage continued dependence of employees on their employers and may create room for exploitation of labour. </w:t>
      </w:r>
    </w:p>
    <w:p w:rsidR="00D03A8E" w:rsidRPr="00452E2E" w:rsidRDefault="00D03A8E" w:rsidP="00D03A8E">
      <w:pPr>
        <w:spacing w:line="360" w:lineRule="auto"/>
        <w:jc w:val="both"/>
      </w:pPr>
      <w:r w:rsidRPr="00452E2E">
        <w:t xml:space="preserve">To sum up, the finding on the techniques of employee benefits used in public and private sector indicates that informal benefits were mostly used in organizations across industries and sectors. However, these types of benefits were more likely to be used in private sector than public sector. On the other hand, the use of formal, </w:t>
      </w:r>
      <w:r w:rsidRPr="00452E2E">
        <w:lastRenderedPageBreak/>
        <w:t xml:space="preserve">statutory benefits was generally low but was more likely to be used in industries such as health and MDAs and in large organizations. These were also more likely to be used in public sector than in the private sector as a result of the neglect of labour legislation in some private sector organizations due to the weak institutional capacity to enforce compliance </w:t>
      </w:r>
      <w:r w:rsidR="00BB7E5B" w:rsidRPr="00452E2E">
        <w:t>with</w:t>
      </w:r>
      <w:r w:rsidRPr="00452E2E">
        <w:t xml:space="preserve"> labour legislation. Meanwhile, the nature of diversity in the provision of employee benefits based on industry, sector and size of organization is typical of a segmented business system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&amp; Frynas 2006; Wood et al. 2011)", "manualFormatting" : "(Wood &amp; Frynas, 2006; Wood et al., 2011)", "plainTextFormattedCitation" : "(Wood &amp; Frynas 2006; Wood et al. 2011)", "previouslyFormattedCitation" : "(Wood &amp; Frynas 2006; Wood et al. 2011)" }, "properties" : { "noteIndex" : 0 }, "schema" : "https://github.com/citation-style-language/schema/raw/master/csl-citation.json" }</w:instrText>
      </w:r>
      <w:r w:rsidRPr="00452E2E">
        <w:fldChar w:fldCharType="separate"/>
      </w:r>
      <w:r w:rsidRPr="00452E2E">
        <w:rPr>
          <w:noProof/>
        </w:rPr>
        <w:t xml:space="preserve">(Wood &amp; Frynas, 2006; Wood </w:t>
      </w:r>
      <w:r w:rsidRPr="00452E2E">
        <w:rPr>
          <w:i/>
          <w:noProof/>
        </w:rPr>
        <w:t>et al</w:t>
      </w:r>
      <w:r w:rsidRPr="00452E2E">
        <w:rPr>
          <w:noProof/>
        </w:rPr>
        <w:t>., 2011)</w:t>
      </w:r>
      <w:r w:rsidRPr="00452E2E">
        <w:fldChar w:fldCharType="end"/>
      </w:r>
      <w:r w:rsidRPr="00452E2E">
        <w:t xml:space="preserve">. </w:t>
      </w:r>
    </w:p>
    <w:p w:rsidR="00D03A8E" w:rsidRPr="00452E2E" w:rsidRDefault="00D03A8E" w:rsidP="00D03A8E">
      <w:pPr>
        <w:pStyle w:val="Heading4"/>
      </w:pPr>
      <w:bookmarkStart w:id="220" w:name="_Toc473808201"/>
      <w:r w:rsidRPr="00452E2E">
        <w:t>8.3.4 Employee Participation</w:t>
      </w:r>
      <w:bookmarkEnd w:id="220"/>
    </w:p>
    <w:p w:rsidR="00D03A8E" w:rsidRPr="00452E2E" w:rsidRDefault="00D03A8E" w:rsidP="00D03A8E">
      <w:pPr>
        <w:spacing w:line="360" w:lineRule="auto"/>
        <w:jc w:val="both"/>
      </w:pPr>
      <w:r w:rsidRPr="00452E2E">
        <w:t>The techniques of direct participation used in public and private sector were examined in the present research. Two forms of direct participation namely, information sharing and employee consultation schemes were the focus of the research. To obtain information on the techniques of information sharing, HR managers indicated whether notice boards, team briefing, shop steward, organizational newsletter or other forms of information sharing were used. Findings suggest that the use of formal methods of information sharing such as notice boards, team briefing, shop steward and organizational newsletter was generally low across industries and sectors. However, the extent to which each technique was used depended on the industry, sector and size of organization.</w:t>
      </w:r>
    </w:p>
    <w:p w:rsidR="00D03A8E" w:rsidRPr="00452E2E" w:rsidRDefault="00D03A8E" w:rsidP="00D03A8E">
      <w:pPr>
        <w:spacing w:line="360" w:lineRule="auto"/>
        <w:jc w:val="both"/>
      </w:pPr>
      <w:r w:rsidRPr="00452E2E">
        <w:t xml:space="preserve"> For instance, organizations in the health industry were more likely to make use notice boards as a technique of disseminating information whilst private sector organizations were more likely to make use of notice boards than public sector organizations. In the same vein, private sector organizations were more likely to make use of organizational newsletter. A commonality in the formal techniques of information sharing more likely to be used in the private sector is the top-down and non-interactive nature of these techniques. This may reflect the authoritarianism that characterise many workplaces in African contexts </w:t>
      </w:r>
      <w:r w:rsidRPr="00452E2E">
        <w:fldChar w:fldCharType="begin" w:fldLock="1"/>
      </w:r>
      <w:r w:rsidRPr="00452E2E">
        <w:instrText>ADDIN CSL_CITATION { "citationItems" : [ { "id" : "ITEM-1", "itemData" : { "author"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"ITEM-1", "issued" : { "date-parts" : [ [ "2004" ] ] }, "publisher" : "Routledge", "publisher-place" : "London", "title" : "Managing human resources in Africa", "type" : "book" }, "uris" : [ "http://www.mendeley.com/documents/?uuid=37a69d52-443a-40f7-be09-6be2075c9afe" ] }, { "id" : "ITEM-2", "itemData" : { "ISBN" : "9780199207268", "author" : [ { "dropping-particle" : "", "family" : "Wood", "given" : "Geoffrey",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"publisher" : "Oxford University Press", "publisher-place" : "Oxford", "title" : "Employee participation in developing and emerging countries", "type" : "chapter" }, "uris" : [ "http://www.mendeley.com/documents/?uuid=a0ea0e10-ffe8-4a20-bdb9-731021b10b3b" ] } ], "mendeley" : { "formattedCitation" : "(Kamoche et al. 2004; Wood 2010)", "manualFormatting" : "(Kamoche et al., 2004; Wood, 2010)", "plainTextFormattedCitation" : "(Kamoche et al. 2004; Wood 2010)", "previouslyFormattedCitation" : "(Kamoche et al. 2004; Wood 2010)" }, "properties" : { "noteIndex" : 0 }, "schema" : "https://github.com/citation-style-language/schema/raw/master/csl-citation.json" }</w:instrText>
      </w:r>
      <w:r w:rsidRPr="00452E2E">
        <w:fldChar w:fldCharType="separate"/>
      </w:r>
      <w:r w:rsidRPr="00452E2E">
        <w:rPr>
          <w:noProof/>
        </w:rPr>
        <w:t xml:space="preserve">(Kamoche </w:t>
      </w:r>
      <w:r w:rsidRPr="00452E2E">
        <w:rPr>
          <w:i/>
          <w:noProof/>
        </w:rPr>
        <w:t>et al</w:t>
      </w:r>
      <w:r w:rsidRPr="00452E2E">
        <w:rPr>
          <w:noProof/>
        </w:rPr>
        <w:t>., 2004; Wood, 2010)</w:t>
      </w:r>
      <w:r w:rsidRPr="00452E2E">
        <w:fldChar w:fldCharType="end"/>
      </w:r>
      <w:r w:rsidRPr="00452E2E">
        <w:t>. On the other hand, techniques of information sharing that can also be characterised as top-down</w:t>
      </w:r>
      <w:r w:rsidR="00BB2A10" w:rsidRPr="00452E2E">
        <w:t>,</w:t>
      </w:r>
      <w:r w:rsidRPr="00452E2E">
        <w:t xml:space="preserve"> albeit interactive wherein employees can exchange ideas with managers such as team briefing and shop steward were more likely to be used in the public sector than in private sector organizations. In </w:t>
      </w:r>
      <w:r w:rsidRPr="00452E2E">
        <w:lastRenderedPageBreak/>
        <w:t xml:space="preserve">terms of size, large organizations were more likely to share information with employees than small organizations. </w:t>
      </w:r>
    </w:p>
    <w:p w:rsidR="00D03A8E" w:rsidRPr="00452E2E" w:rsidRDefault="00D03A8E" w:rsidP="00D03A8E">
      <w:pPr>
        <w:spacing w:line="360" w:lineRule="auto"/>
        <w:jc w:val="both"/>
      </w:pPr>
      <w:r w:rsidRPr="00452E2E">
        <w:t xml:space="preserve">However, there was widespread use of ‘other systems’ of information sharing across industries and sectors in Nigeria. These techniques comprised of formal techniques such as the use of staff e-mail which were more likely to be used in large organizations and informal techniques such as meetings and word of mouth. The widespread use of informal techniques of information sharing, particularly meetings, is in tandem with findings from Mozambican context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"(Webster &amp; Wood 2005; Wood et al. 2011)", "manualFormatting" : "(Webster &amp; Wood, 2005; Wood et al., 2011)", "plainTextFormattedCitation" : "(Webster &amp; Wood 2005; Wood et al. 2011)", "previouslyFormattedCitation" : "(Webster &amp; Wood 2005; Wood et al. 2011)" }, "properties" : { "noteIndex" : 0 }, "schema" : "https://github.com/citation-style-language/schema/raw/master/csl-citation.json" }</w:instrText>
      </w:r>
      <w:r w:rsidRPr="00452E2E">
        <w:fldChar w:fldCharType="separate"/>
      </w:r>
      <w:r w:rsidRPr="00452E2E">
        <w:rPr>
          <w:noProof/>
        </w:rPr>
        <w:t xml:space="preserve">(Webster &amp; Wood, 2005; Wood </w:t>
      </w:r>
      <w:r w:rsidRPr="00452E2E">
        <w:rPr>
          <w:i/>
          <w:noProof/>
        </w:rPr>
        <w:t>et al</w:t>
      </w:r>
      <w:r w:rsidRPr="00452E2E">
        <w:rPr>
          <w:noProof/>
        </w:rPr>
        <w:t>., 2011)</w:t>
      </w:r>
      <w:r w:rsidRPr="00452E2E">
        <w:fldChar w:fldCharType="end"/>
      </w:r>
      <w:r w:rsidRPr="00452E2E">
        <w:t xml:space="preserve">. Whilst meetings can provide opportunity for information sharing, employees may be denied access to regular information where such meetings are not frequently held </w:t>
      </w:r>
      <w:r w:rsidRPr="00452E2E">
        <w:fldChar w:fldCharType="begin" w:fldLock="1"/>
      </w:r>
      <w:r w:rsidRPr="00452E2E">
        <w:instrText>ADDIN CSL_CITATION { "citationItems" : [ { "id" : "ITEM-1", "itemData" : { "DOI" : "10.1108/02656710210415703", "ISBN" : "0320130029", "ISSN" : "1871-3173", "PMID" : "42012058", "author" : [ { "dropping-particle" : "", "family" : "Webster", "given" : "Edward", "non-dropping-particle" : "", "parse-names" : false, "suffix" : "" }, { "dropping-particle" : "", "family" : "Wood", "given" : "Geoffrey", "non-dropping-particle" : "", "parse-names" : false, "suffix" : "" } ], "container-title" : "Employee Relations", "id" : "ITEM-1", "issue" : "4", "issued" : { "date-parts" : [ [ "2005" ] ] }, "page" : "369-385", "title" : "Human resource management practice and institutional constraints: The case of Mozambique", "type" : "article-journal", "volume" : "27" }, "uris" : [ "http://www.mendeley.com/documents/?uuid=ed55cad7-4201-408e-9447-f98c9e159fd3" ] } ], "mendeley" : { "formattedCitation" : "(Webster &amp; Wood 2005)", "manualFormatting" : "(Webster &amp; Wood, 2005)", "plainTextFormattedCitation" : "(Webster &amp; Wood 2005)", "previouslyFormattedCitation" : "(Webster &amp; Wood 2005)" }, "properties" : { "noteIndex" : 0 }, "schema" : "https://github.com/citation-style-language/schema/raw/master/csl-citation.json" }</w:instrText>
      </w:r>
      <w:r w:rsidRPr="00452E2E">
        <w:fldChar w:fldCharType="separate"/>
      </w:r>
      <w:r w:rsidRPr="00452E2E">
        <w:rPr>
          <w:noProof/>
        </w:rPr>
        <w:t>(Webster &amp; Wood, 2005)</w:t>
      </w:r>
      <w:r w:rsidRPr="00452E2E">
        <w:fldChar w:fldCharType="end"/>
      </w:r>
      <w:r w:rsidRPr="00452E2E">
        <w:t xml:space="preserve">. In fact, the use of informal techniques of information sharing was more prevalent in the private sector than in the public sector, perhaps to compensate for the minimal use of formal techniques. </w:t>
      </w:r>
    </w:p>
    <w:p w:rsidR="00D03A8E" w:rsidRPr="00452E2E" w:rsidRDefault="00D03A8E" w:rsidP="00D03A8E">
      <w:pPr>
        <w:spacing w:line="360" w:lineRule="auto"/>
        <w:jc w:val="both"/>
      </w:pPr>
      <w:r w:rsidRPr="00452E2E">
        <w:t xml:space="preserve">As for the techniques of employee consultation, managers indicated whether they used employee consultation techniques such as suggestion boxes, workplace surveys, briefings where feedback is solicited and whether other techniques were used. Findings indicate that the use of formal techniques of consultation was low across industries and sectors. However the use of specific techniques varied across industry, sector and size of organization. For example, the use of suggestion boxes was more likely in banking/financial services, MDAs, and education industries than in manufacturing which may reflect the presence of highly-skilled employees in these industries than in manufacturing. In terms of sector, the use of suggestion boxes was more likely in the public sector than in private sector organizations. Similarly, briefing where feedback is solicited was more likely to be encountered in the public sector than in private sector organizations. </w:t>
      </w:r>
    </w:p>
    <w:p w:rsidR="00D03A8E" w:rsidRPr="00452E2E" w:rsidRDefault="00D03A8E" w:rsidP="00D03A8E">
      <w:pPr>
        <w:spacing w:line="360" w:lineRule="auto"/>
        <w:jc w:val="both"/>
      </w:pPr>
      <w:r w:rsidRPr="00452E2E">
        <w:t xml:space="preserve">Nevertheless, just like the case </w:t>
      </w:r>
      <w:r w:rsidR="00D63537" w:rsidRPr="00452E2E">
        <w:t>of</w:t>
      </w:r>
      <w:r w:rsidRPr="00452E2E">
        <w:t xml:space="preserve"> information sharing, ‘other systems’ of employee consultation were more likely used across all the organizations. Techniques used under the umbrella of ‘other systems’ were largely informal in nature with meetings the most preferred method of consultation. In some instances, organizations indicated they operated an ‘open door policy’ that allowed employees to air their views on issues affecting their work. Due to the lack of </w:t>
      </w:r>
      <w:r w:rsidRPr="00452E2E">
        <w:lastRenderedPageBreak/>
        <w:t xml:space="preserve">egalitarianism in many African work contexts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"id" : "ITEM-2", "itemData" : { "author" : [ { "dropping-particle" : "", "family" : "Kamoche", "given" : "Ken", "non-dropping-particle" : "", "parse-names" : false, "suffix" : "" }, { "dropping-particle" : "", "family" : "Debrah", "given" : "Yaw A.", "non-dropping-particle" : "", "parse-names" : false, "suffix" : "" }, { "dropping-particle" : "", "family" : "Horwitz", "given" : "Frank", "non-dropping-particle" : "", "parse-names" : false, "suffix" : "" }, { "dropping-particle" : "", "family" : "Muuka", "given" : "G.N.", "non-dropping-particle" : "", "parse-names" : false, "suffix" : "" } ], "id" : "ITEM-2", "issued" : { "date-parts" : [ [ "2004" ] ] }, "publisher" : "Routledge", "publisher-place" : "London", "title" : "Managing human resources in Africa", "type" : "book" }, "uris" : [ "http://www.mendeley.com/documents/?uuid=37a69d52-443a-40f7-be09-6be2075c9afe" ] } ], "mendeley" : { "formattedCitation" : "(Ovadje &amp; Ankomah 2001; Kamoche et al. 2004)", "manualFormatting" : "(Ovadje &amp; Ankomah, 2001; Kamoche et al., 2004)", "plainTextFormattedCitation" : "(Ovadje &amp; Ankomah 2001; Kamoche et al. 2004)", "previouslyFormattedCitation" : "(Ovadje &amp; Ankomah 2001; Kamoche et al. 2004)" }, "properties" : { "noteIndex" : 0 }, "schema" : "https://github.com/citation-style-language/schema/raw/master/csl-citation.json" }</w:instrText>
      </w:r>
      <w:r w:rsidRPr="00452E2E">
        <w:fldChar w:fldCharType="separate"/>
      </w:r>
      <w:r w:rsidRPr="00452E2E">
        <w:rPr>
          <w:noProof/>
        </w:rPr>
        <w:t xml:space="preserve">(Ovadje &amp; Ankomah, 2001; Kamoche </w:t>
      </w:r>
      <w:r w:rsidRPr="00452E2E">
        <w:rPr>
          <w:i/>
          <w:noProof/>
        </w:rPr>
        <w:t>et al</w:t>
      </w:r>
      <w:r w:rsidRPr="00452E2E">
        <w:rPr>
          <w:noProof/>
        </w:rPr>
        <w:t>., 2004)</w:t>
      </w:r>
      <w:r w:rsidRPr="00452E2E">
        <w:fldChar w:fldCharType="end"/>
      </w:r>
      <w:r w:rsidRPr="00452E2E">
        <w:t xml:space="preserve">, the use of these largely informal methods of consultation may not be effective since subordinates may view contrary opinions as an affront to the authority of superiors. On the other hand, where trust relationships are established between superiors and subordinates, these techniques may be surprisingly effective since they may provide a friendly and relaxed atmosphere for employees to express their views. </w:t>
      </w:r>
    </w:p>
    <w:p w:rsidR="00D03A8E" w:rsidRPr="00452E2E" w:rsidRDefault="00D03A8E" w:rsidP="00D03A8E">
      <w:pPr>
        <w:spacing w:line="360" w:lineRule="auto"/>
        <w:jc w:val="both"/>
      </w:pPr>
      <w:r w:rsidRPr="00452E2E">
        <w:t xml:space="preserve">In sum, the analysis of techniques of employee participation in public and private sector in Nigeria indicates that informal techniques were more likely </w:t>
      </w:r>
      <w:r w:rsidR="00484D7E" w:rsidRPr="00452E2E">
        <w:t xml:space="preserve">to be </w:t>
      </w:r>
      <w:r w:rsidRPr="00452E2E">
        <w:t xml:space="preserve">used than formal techniques. However, the use of informal techniques was more likely to be encountered in small than large organizations and in private than public sector organizations. Moreover, private organizations were more likely to use top-down information sharing techniques as opposed to a more bottom-up approach of consultation used in public sector organizations. Whilst both information sharing and employee consultation are valid mechanisms of employee participation, the difference is that employee consultation provides avenues for employees to express their views about their work </w:t>
      </w:r>
      <w:r w:rsidRPr="00452E2E">
        <w:fldChar w:fldCharType="begin" w:fldLock="1"/>
      </w:r>
      <w:r w:rsidRPr="00452E2E">
        <w:instrText>ADDIN CSL_CITATION { "citationItems" : [ { "id" : "ITEM-1", "itemData" : { "DOI" : "10.1080/09585190701393798", "ISBN" : "0958-5192", "ISSN" : "0958-5192", "abstract" : "Most research on employee involvement (EI) has focused on large or 'mainstream' organizations. By adopting those schemes which 'appear' to work well in larger organizations, smaller firms assume there will be enhanced employee commitment beyond formal contractual requirements. The main question in this paper is whether EI schemes designed by management will suffice under the 2004 Information and Consultation of Employees (ICE) Regulations. The paper focuses on SMEs which tend to favour informal and direct EI, and it remains unclear how these methods will be played out under the new regulatory environment. Evidence from four case studies is presented here and it suggests that the ICE Regulations impose new challenges for smaller firms given their tendency to provide information rather than consult with employees. It also appears organizational factors, workplace relations history and the way processes are implemented at enterprise level may be far more important than size itself.", "author" : [ { "dropping-particle" : "", "family" : "Wilkinson", "given" : "A.", "non-dropping-particle" : "", "parse-names" : false, "suffix" : "" }, { "dropping-particle" : "", "family" : "Dundon", "given" : "T.", "non-dropping-particle" : "", "parse-names" : false, "suffix" : "" }, { "dropping-particle" : "", "family" : "Grugulis", "given" : "I.", "non-dropping-particle" : "", "parse-names" : false, "suffix" : "" } ], "container-title" : "The International Journal of Human Resource Management", "id" : "ITEM-1", "issue" : "7", "issued" : { "date-parts" : [ [ "2007" ] ] }, "page" : "1279-1297", "title" : "Information but not consultation : exploring employee involvement in SMEs.", "type" : "article-journal", "volume" : "18" }, "uris" : [ "http://www.mendeley.com/documents/?uuid=29c109fe-c387-4a68-a8a0-c016ae0d0056" ] }, { "id" : "ITEM-2", "itemData" : { "ISBN" : "9780191584817", "author" : [ { "dropping-particle" : "", "family" : "Wilkinson", "given" : "Adrian", "non-dropping-particle" : "", "parse-names" : false, "suffix" : "" }, { "dropping-particle" : "", "family" : "Dundon", "given" : "Tony",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"ITEM-2", "issued" : { "date-parts" : [ [ "2010" ] ] }, "publisher" : "Oxford University Press", "publisher-place" : "Oxford", "title" : "Direct employee participation", "type" : "chapter" }, "uris" : [ "http://www.mendeley.com/documents/?uuid=13d745d4-7527-476e-9c98-d760aa6c02da" ] }, { "id" : "ITEM-3", "itemData" : { "ISBN" : "9780199207268", "author" : [ { "dropping-particle" : "", "family" : "Wood", "given" : "Geoffrey",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"ITEM-3", "issued" : { "date-parts" : [ [ "2010" ] ] }, "publisher" : "Oxford University Press", "publisher-place" : "Oxford", "title" : "Employee participation in developing and emerging countries", "type" : "chapter" }, "uris" : [ "http://www.mendeley.com/documents/?uuid=a0ea0e10-ffe8-4a20-bdb9-731021b10b3b" ] } ], "mendeley" : { "formattedCitation" : "(Wilkinson et al. 2007; Wilkinson &amp; Dundon 2010; Wood 2010)", "manualFormatting" : "(Wilkinson et al., 2007; Wilkinson &amp; Dundon, 2010; Wood, 2010)", "plainTextFormattedCitation" : "(Wilkinson et al. 2007; Wilkinson &amp; Dundon 2010; Wood 2010)", "previouslyFormattedCitation" : "(Wilkinson et al. 2007; Wilkinson &amp; Dundon 2010; Wood 2010)" }, "properties" : { "noteIndex" : 0 }, "schema" : "https://github.com/citation-style-language/schema/raw/master/csl-citation.json" }</w:instrText>
      </w:r>
      <w:r w:rsidRPr="00452E2E">
        <w:fldChar w:fldCharType="separate"/>
      </w:r>
      <w:r w:rsidRPr="00452E2E">
        <w:rPr>
          <w:noProof/>
        </w:rPr>
        <w:t xml:space="preserve">(Wilkinson </w:t>
      </w:r>
      <w:r w:rsidRPr="00452E2E">
        <w:rPr>
          <w:i/>
          <w:noProof/>
        </w:rPr>
        <w:t>et al</w:t>
      </w:r>
      <w:r w:rsidRPr="00452E2E">
        <w:rPr>
          <w:noProof/>
        </w:rPr>
        <w:t>., 2007; Wilkinson &amp; Dundon, 2010; Wood, 2010)</w:t>
      </w:r>
      <w:r w:rsidRPr="00452E2E">
        <w:fldChar w:fldCharType="end"/>
      </w:r>
      <w:r w:rsidRPr="00452E2E">
        <w:t>.</w:t>
      </w:r>
    </w:p>
    <w:p w:rsidR="00D03A8E" w:rsidRPr="00452E2E" w:rsidRDefault="00D03A8E" w:rsidP="00D03A8E">
      <w:pPr>
        <w:spacing w:line="360" w:lineRule="auto"/>
        <w:jc w:val="both"/>
      </w:pPr>
      <w:r w:rsidRPr="00452E2E">
        <w:t xml:space="preserve"> Interestingly, when juxtaposed with the higher influence of trade unions on HRM in </w:t>
      </w:r>
      <w:r w:rsidR="0094486A" w:rsidRPr="00452E2E">
        <w:t xml:space="preserve">the </w:t>
      </w:r>
      <w:r w:rsidRPr="00452E2E">
        <w:t xml:space="preserve">public sector reported earlier, the higher use of consultation schemes in the public sector suggests that forms of direct participation that seek to promote partnership between employees and the organization are more likely to be encountered in contexts where trade unions exist </w:t>
      </w:r>
      <w:r w:rsidRPr="00452E2E">
        <w:fldChar w:fldCharType="begin" w:fldLock="1"/>
      </w:r>
      <w:r w:rsidRPr="00452E2E">
        <w:instrText>ADDIN CSL_CITATION { "citationItems" : [ { "id" : "ITEM-1",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"ITEM-1",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2014)", "manualFormatting" : "(cf. Brewster et al., 2014)", "plainTextFormattedCitation" : "(Brewster et al. 2014)", "previouslyFormattedCitation" : "(Brewster et al. 2014)" }, "properties" : { "noteIndex" : 0 }, "schema" : "https://github.com/citation-style-language/schema/raw/master/csl-citation.json" }</w:instrText>
      </w:r>
      <w:r w:rsidRPr="00452E2E">
        <w:fldChar w:fldCharType="separate"/>
      </w:r>
      <w:r w:rsidRPr="00452E2E">
        <w:rPr>
          <w:noProof/>
        </w:rPr>
        <w:t xml:space="preserve">(cf. Brewster </w:t>
      </w:r>
      <w:r w:rsidRPr="00452E2E">
        <w:rPr>
          <w:i/>
          <w:noProof/>
        </w:rPr>
        <w:t>et al</w:t>
      </w:r>
      <w:r w:rsidRPr="00452E2E">
        <w:rPr>
          <w:noProof/>
        </w:rPr>
        <w:t>., 2014)</w:t>
      </w:r>
      <w:r w:rsidRPr="00452E2E">
        <w:fldChar w:fldCharType="end"/>
      </w:r>
      <w:r w:rsidRPr="00452E2E">
        <w:t xml:space="preserve">. On the whole, the diversity in the use of employee participation techniques according to industry, sector and size of organization in Nigeria is characteristic of a segmented business system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"id" : "ITEM-2",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"ITEM-2",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"(Wood &amp; Frynas 2006; Wood &amp; Horwitz 2015)", "manualFormatting" : "(Wood &amp; Frynas, 2006; Wood &amp; Horwitz, 2015)", "plainTextFormattedCitation" : "(Wood &amp; Frynas 2006; Wood &amp; Horwitz 2015)", "previouslyFormattedCitation" : "(Wood &amp; Frynas 2006; Wood &amp; Horwitz 2015)" }, "properties" : { "noteIndex" : 0 }, "schema" : "https://github.com/citation-style-language/schema/raw/master/csl-citation.json" }</w:instrText>
      </w:r>
      <w:r w:rsidRPr="00452E2E">
        <w:fldChar w:fldCharType="separate"/>
      </w:r>
      <w:r w:rsidRPr="00452E2E">
        <w:rPr>
          <w:noProof/>
        </w:rPr>
        <w:t>(Wood &amp; Frynas, 2006; Wood &amp; Horwitz, 2015)</w:t>
      </w:r>
      <w:r w:rsidRPr="00452E2E">
        <w:fldChar w:fldCharType="end"/>
      </w:r>
      <w:r w:rsidRPr="00452E2E">
        <w:t>.</w:t>
      </w:r>
    </w:p>
    <w:p w:rsidR="00D03A8E" w:rsidRPr="00452E2E" w:rsidRDefault="00D03A8E" w:rsidP="00170224">
      <w:pPr>
        <w:pStyle w:val="Heading3"/>
      </w:pPr>
      <w:bookmarkStart w:id="221" w:name="_Toc465271217"/>
      <w:bookmarkStart w:id="222" w:name="_Toc473808202"/>
      <w:r w:rsidRPr="00452E2E">
        <w:t>8.4 What is the Effect of HR Practices on Employee Attitudes in Public and Private Sector in Nigeria?</w:t>
      </w:r>
      <w:bookmarkEnd w:id="221"/>
      <w:bookmarkEnd w:id="222"/>
    </w:p>
    <w:p w:rsidR="00D03A8E" w:rsidRPr="00452E2E" w:rsidRDefault="00D03A8E" w:rsidP="00D03A8E">
      <w:pPr>
        <w:spacing w:line="360" w:lineRule="auto"/>
        <w:jc w:val="both"/>
      </w:pPr>
      <w:r w:rsidRPr="00452E2E">
        <w:t xml:space="preserve">The effect of HR practices on employee attitudes was examined in study 2 of this research. The HR practices examined in this part of the research were training, employee benefits and employee participation. This means that recruitment and selection were not included in study 2 since </w:t>
      </w:r>
      <w:r w:rsidR="00AA083C" w:rsidRPr="00452E2E">
        <w:t xml:space="preserve">it was considered that HR managers, </w:t>
      </w:r>
      <w:r w:rsidR="00AA083C" w:rsidRPr="00452E2E">
        <w:lastRenderedPageBreak/>
        <w:t xml:space="preserve">rather than employees were in a better position to provide responses to questions relating to </w:t>
      </w:r>
      <w:r w:rsidRPr="00452E2E">
        <w:t>recruitment and selection practices</w:t>
      </w:r>
      <w:r w:rsidR="00AA083C" w:rsidRPr="00452E2E">
        <w:t xml:space="preserve">. </w:t>
      </w:r>
      <w:r w:rsidRPr="00452E2E">
        <w:t xml:space="preserve"> </w:t>
      </w:r>
      <w:r w:rsidR="005B4273" w:rsidRPr="00452E2E">
        <w:t xml:space="preserve">Given that study 2 was focused on employees’ perceptions of HR practices, recruitment and selection were excluded from this study. </w:t>
      </w:r>
      <w:r w:rsidRPr="00452E2E">
        <w:t xml:space="preserve">Job satisfaction and organizational commitment were the two types of employee attitudes examined in this research. These two types of employee attitudes represent employee attitudes towards their jobs and their employing organization respectively </w:t>
      </w:r>
      <w:r w:rsidRPr="00452E2E">
        <w:fldChar w:fldCharType="begin" w:fldLock="1"/>
      </w:r>
      <w:r w:rsidRPr="00452E2E">
        <w:instrText>ADDIN CSL_CITATION { "citationItems" : [ { "id" : "ITEM-1", "itemData" : { "DOI" : "10.1146/annurev-psych-120710-100511", "ISBN" : "1545-2085", "ISSN" : "0066-4308", "PMID" : "22129457", "abstract" : "Job attitudes research is arguably the most venerable and popular topic in organizational psychology. This article surveys the field as it has been constituted in the past several years. Definitional issues are addressed first, in an attempt to clarify the nature, scope, and structure of job attitudes. The distinction between cognitive and affective bases of job attitudes has been an issue of debate, and recent research using within-persons designs has done much to inform this discussion. Recent research has also begun to reformulate the question of dispositional or situational influences on employee attitudes by addressing how these factors might work together to influence attitudes. Finally, there has also been a continual growth in research investigating how employee attitudes are related to a variety of behaviors at both the individual and aggregated level of analysis. [ABSTRACT FROM AUTHOR]\\nCopyright of Annual Review of Psychology is the property of Annual Reviews Inc.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"Judge", "given" : "Timothy A.", "non-dropping-particle" : "", "parse-names" : false, "suffix" : "" }, { "dropping-particle" : "", "family" : "Kammeyer-Mueller", "given" : "John D.", "non-dropping-particle" : "", "parse-names" : false, "suffix" : "" } ], "container-title" : "Annual Review of Psychology", "id" : "ITEM-1", "issue" : "1", "issued" : { "date-parts" : [ [ "2012" ] ] }, "page" : "341-367", "title" : "Job attitudes", "type" : "article-journal", "volume" : "63" }, "uris" : [ "http://www.mendeley.com/documents/?uuid=4393a31a-6cb4-4686-87eb-11364826f4e6" ] } ], "mendeley" : { "formattedCitation" : "(Judge &amp; Kammeyer-Mueller 2012)", "manualFormatting" : "(Judge &amp; Kammeyer-Mueller, 2012)", "plainTextFormattedCitation" : "(Judge &amp; Kammeyer-Mueller 2012)", "previouslyFormattedCitation" : "(Judge &amp; Kammeyer-Mueller 2012)" }, "properties" : { "noteIndex" : 0 }, "schema" : "https://github.com/citation-style-language/schema/raw/master/csl-citation.json" }</w:instrText>
      </w:r>
      <w:r w:rsidRPr="00452E2E">
        <w:fldChar w:fldCharType="separate"/>
      </w:r>
      <w:r w:rsidRPr="00452E2E">
        <w:rPr>
          <w:noProof/>
        </w:rPr>
        <w:t>(Judge &amp; Kammeyer-Mueller, 2012)</w:t>
      </w:r>
      <w:r w:rsidRPr="00452E2E">
        <w:fldChar w:fldCharType="end"/>
      </w:r>
      <w:r w:rsidRPr="00452E2E">
        <w:t xml:space="preserve">. Organizational commitment was conceptualized as a multi-dimensional construct comprising of affective, normative and continuance commitment </w:t>
      </w:r>
      <w:r w:rsidRPr="00452E2E">
        <w:fldChar w:fldCharType="begin" w:fldLock="1"/>
      </w:r>
      <w:r w:rsidRPr="00452E2E">
        <w:instrText>ADDIN CSL_CITATION { "citationItems" : [ { "id" : "ITEM-1", "itemData" : { "author" : [ { "dropping-particle" : "", "family" : "Meyer", "given" : "J. P.", "non-dropping-particle" : "", "parse-names" : false, "suffix" : "" }, { "dropping-particle" : "", "family" : "Allen", "given" : "N.J.", "non-dropping-particle" : "", "parse-names" : false, "suffix" : "" } ], "container-title" : "Human Resource Management Review", "id" : "ITEM-1", "issue" : "1", "issued" : { "date-parts" : [ [ "1991" ] ] }, "page" : "61-89", "title" : "A three-component model conceptualization of organizational commitment", "type" : "article-journal", "volume" : "1" }, "uris" : [ "http://www.mendeley.com/documents/?uuid=a03ff762-807b-498b-abc6-f0b832302d1f" ] } ], "mendeley" : { "formattedCitation" : "(Meyer &amp; Allen 1991)", "manualFormatting" : "(Meyer &amp; Allen, 1991)", "plainTextFormattedCitation" : "(Meyer &amp; Allen 1991)", "previouslyFormattedCitation" : "(Meyer &amp; Allen 1991)" }, "properties" : { "noteIndex" : 0 }, "schema" : "https://github.com/citation-style-language/schema/raw/master/csl-citation.json" }</w:instrText>
      </w:r>
      <w:r w:rsidRPr="00452E2E">
        <w:fldChar w:fldCharType="separate"/>
      </w:r>
      <w:r w:rsidRPr="00452E2E">
        <w:rPr>
          <w:noProof/>
        </w:rPr>
        <w:t>(Meyer &amp; Allen, 1991)</w:t>
      </w:r>
      <w:r w:rsidRPr="00452E2E">
        <w:fldChar w:fldCharType="end"/>
      </w:r>
      <w:r w:rsidRPr="00452E2E">
        <w:t xml:space="preserve">. Direct relationships between HR practices and employee attitudes were tested as well as the mediation effect of procedural justice and HR attributions and moderated mediation effect of sector. </w:t>
      </w:r>
    </w:p>
    <w:p w:rsidR="00D03A8E" w:rsidRPr="00452E2E" w:rsidRDefault="00D03A8E" w:rsidP="00D03A8E">
      <w:pPr>
        <w:spacing w:line="360" w:lineRule="auto"/>
        <w:jc w:val="both"/>
      </w:pPr>
      <w:r w:rsidRPr="00452E2E">
        <w:t>Findings from the test</w:t>
      </w:r>
      <w:r w:rsidR="00B615D1" w:rsidRPr="00452E2E">
        <w:t>s</w:t>
      </w:r>
      <w:r w:rsidRPr="00452E2E">
        <w:t xml:space="preserve"> of direct relationship</w:t>
      </w:r>
      <w:r w:rsidR="00B615D1" w:rsidRPr="00452E2E">
        <w:t>s</w:t>
      </w:r>
      <w:r w:rsidRPr="00452E2E">
        <w:t xml:space="preserve"> between HR practices and employee attitudes indicate that HR practices had positive effects on job satisfaction, affective commitment and normative commitment. These findings correspond with findings from previous studies </w:t>
      </w:r>
      <w:r w:rsidRPr="00452E2E">
        <w:fldChar w:fldCharType="begin" w:fldLock="1"/>
      </w:r>
      <w:r w:rsidRPr="00452E2E">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"abstract" : "This survey study examines the relationship between employee attitudes related to training and organizational commitment among a sample of nurses in New Zealand and the United States. The magnitude of recent restructuring to New Zealand's public health system allows for an examination of employee attitudes towards training and organizational commitment in comparison to nurses from similar sized hospitals in the United States. Results show that perceived access to training, supervisory support for training, motivation to learn from training and perceived benefits of training were positively related to the affective and normative components of organizational commitment. Several significant differences were found on both training and organizational commitment variables between New Zealand and the United States. The findings are discussed in terms of their theoretical and practical application to human resource development (HRD) outcomes and the management of HRD in health care settings. Reprinted by permission of Routledge, Taylor and Francis Ltd.", "author" : [ { "dropping-particle" : "", "family" : "Bartlett", "given" : "Kenneth R", "non-dropping-particle" : "", "parse-names" : false, "suffix" : "" }, { "dropping-particle" : "", "family" : "Kang", "given" : "Dae-seok", "non-dropping-particle" : "", "parse-names" : false, "suffix" : "" } ], "container-title" : "Human Resource Development International", "id" : "ITEM-2", "issue" : "4", "issued" : { "date-parts" : [ [ "2004" ] ] }, "page" : "423-440", "title" : "Training and organizational commitment among nurses following industry and organizational change in New Zealand and the United States", "type" : "article-journal", "volume" : "7" }, "uris" : [ "http://www.mendeley.com/documents/?uuid=740cb35e-041c-4685-85e7-b432fc1e8068" ] }, { "id" : "ITEM-3", "itemData" : { "DOI" : "10.1108/00483480510612503", "ISBN" : "0048-3486", "ISSN" : "0048-3486", "PMID" : "42012058", "abstract" : "Purpose: To test the relationship between HRM practice and employee work-related attitudes and examine whether different approaches to measurement of HRM gives different results. Design/methodology/approach: HRM practice was measured in three ways: additive measures of numbers of HRM practice, employer reports and employee reports of strength of practices. Employee attitudes were measured using organisational commitment, job satisfaction and organisational fairness scales. Matched data sets tested the relationships. Findings: Statistically significant results were obtained between HRM practice and employee attitudes, but only when employee reports of the strength of HRM practice were used to measure HRM. Research limitations/implications: This study emphasises that care must be taken in HRM research to use suitable data sources, with employees being a valuable, but under-used, source. Practical implications: Effective HRM policies and practices should be measured by their perceived quality, not simply by the number of practices introduced. Originality/value: This study highlights that there are perceptual differences as to the strength of HRM practices and emphasises the importance of allowing employee voice in HRM research. (PsycINFO Database Record (c) 2012 APA, all rights reserved) (journal abstract).", "author" : [ { "dropping-particle" : "", "family" : "Edgar", "given" : "Fiona", "non-dropping-particle" : "", "parse-names" : false, "suffix" : "" }, { "dropping-particle" : "", "family" : "Geare", "given" : "Alan", "non-dropping-particle" : "", "parse-names" : false, "suffix" : "" } ], "container-title" : "Personnel Review", "id" : "ITEM-3", "issue" : "5", "issued" : { "date-parts" : [ [ "2005" ] ] }, "page" : "534-549", "title" : "HRM practice and employee attitudes: Different measures \u2013 different results", "type" : "article-journal", "volume" : "34" }, "uris" : [ "http://www.mendeley.com/documents/?uuid=9d6909f5-8480-4f8c-af13-1d14286dcfa0" ] }, { "id" : "ITEM-4", "itemData" : { "DOI" : "10.1108/01437720810908947", "ISBN" : "0885862031047", "ISSN" : "0143-7720", "abstract" : "Purpose \u2013 The purpose of this paper is to investigate the relationship between human resource management (HRM) practices and workers\u2019 overall job satisfaction and their satisfaction with pay. Design/methodology/approach \u2013 The paper uses British data from two different cross-sectional datasets. It estimates probit models with overall job satisfaction and satisfaction with pay as subjective dependent variables. Findings \u2013 After controlling for personal, job and firm characteristics, it is found that several HRM practices raise workers\u2019 overall job satisfaction and their satisfaction with pay. However, these effects are only significant for non-union members. Satisfaction with pay is higher where performance-related pay and seniority-based reward systems are in place.Apay structure that is perceived to be unequal is associated with a substantial reduction in both non-union members\u2019 overall job satisfaction and their satisfaction with pay. Although HRM practices can raise workers\u2019 job satisfaction, if workplace pay inequality widens as a consequence then non-union members may experience reduced job satisfaction. Research limitations/implications \u2013 The data sets used in the analysis are cross-sectional, presenting a snapshot of impacts of HRM practices on job satisfaction at a particular point in time. Dynamic effects are therefore not captured. Originality/value \u2013 The paper adds to the empirical literature on effects of HRM practices, focussing on impacts on both overall job satisfaction and satisfaction with pay. A novel feature of the paper", "author" : [ { "dropping-particle" : "", "family" : "Petrescu", "given" : "Alina I", "non-dropping-particle" : "", "parse-names" : false, "suffix" : "" }, { "dropping-particle" : "", "family" : "Simmons", "given" : "Rob", "non-dropping-particle" : "", "parse-names" : false, "suffix" : "" } ], "container-title" : "International Journal of Manpower", "id" : "ITEM-4", "issue" : "7", "issued" : { "date-parts" : [ [ "2008" ] ] }, "page" : "651-667", "title" : "Human resource management practices and workers' job satisfaction", "type" : "article-journal", "volume" : "29" }, "uris" : [ "http://www.mendeley.com/documents/?uuid=0ac18e29-ec0e-406d-bdbb-2f6efb19c5ed" ] }, { "id" : "ITEM-5", "itemData" : { "author" : [ { "dropping-particle" : "", "family" : "Conway", "given" : "Edel", "non-dropping-particle" : "", "parse-names" : false, "suffix" : "" }, { "dropping-particle" : "", "family" : "Monks", "given" : "Kathy", "non-dropping-particle" : "", "parse-names" : false, "suffix" : "" } ], "container-title" : "Human resource management Journal", "id" : "ITEM-5", "issue" : "2", "issued" : { "date-parts" : [ [ "2009" ] ] }, "page" : "140-158", "title" : "Unravelling the complexities of high commitment: An employee-level analysis", "type" : "article-journal", "volume" : "19" }, "uris" : [ "http://www.mendeley.com/documents/?uuid=27e6e8b9-9ee2-45ca-90f0-2264a8bc8e92" ] }, { "id" : "ITEM-6",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"ITEM-6", "issue" : "4", "issued" : { "date-parts" : [ [ "2010" ] ] }, "page" : "368-392", "title" : "Participative decision making and organizational commitment", "type" : "article-journal", "volume" : "17" }, "uris" : [ "http://www.mendeley.com/documents/?uuid=0fdfa12a-cb95-4f52-9f14-24feff7c4e3b" ] }, { "id" : "ITEM-7", "itemData" : { "abstract" : "There is a tremendous amount of literature that explores the relationship between employee job satisfaction and intent to stay. Similarly, recent research in te area of human resources has focused on the impact of human resources practices on various organizational outcomes. In this article, the authors explore the relationships between training and development, and employee job satisfaction, loyalty, and intent to stay in four lodging properties in the United States. Results indicate that employees who perceive they have the opportunity to develop new skills are more satisfied with their jobs, more loyal, and more likely to stay with the organization.", "author" : [ { "dropping-particle" : "", "family" : "Costen", "given" : "Wanda M.", "non-dropping-particle" : "", "parse-names" : false, "suffix" : "" }, { "dropping-particle" : "", "family" : "Salazar", "given" : "John", "non-dropping-particle" : "", "parse-names" : false, "suffix" : "" } ], "container-title" : "Journal of Human Resources in Hospitality &amp; Tourism", "id" : "ITEM-7", "issue" : "3", "issued" : { "date-parts" : [ [ "2011" ] ] }, "page" : "273-284", "title" : "The impact of training and development on employee job satisfaction, loyalty, and intent to stay in the lodging industry", "type" : "article-journal", "volume" : "10" }, "uris" : [ "http://www.mendeley.com/documents/?uuid=ed2efca9-3f7c-4fb0-a550-c3ef49a90fa1" ] }, { "id" : "ITEM-8",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"ITEM-8",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"id" : "ITEM-9",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"ITEM-9", "issue" : "5", "issued" : { "date-parts" : [ [ "2015" ] ] }, "page" : "747-757", "title" : "High-performance human resource practices and employee outcomes: The mediating role of public service motivation", "type" : "article-journal", "volume" : "75" }, "uris" : [ "http://www.mendeley.com/documents/?uuid=d929d627-475b-4d7b-9d57-7ed8e89a7d6c" ] }, { "id" : "ITEM-10",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"ITEM-10", "issue" : "2", "issued" : { "date-parts" : [ [ "2016" ] ] }, "page" : "451-466", "title" : "High-performance work systems and job satisfaction: A multilevel model", "type" : "article-journal", "volume" : "31" }, "uris" : [ "http://www.mendeley.com/documents/?uuid=510679f5-e4b3-41b7-a365-8ece414591d1" ] } ], "mendeley" : { "formattedCitation" : "(Appelbaum et al. 2000; Bartlett &amp; Kang 2004; Edgar &amp; Geare 2005; Petrescu &amp; Simmons 2008; Conway &amp; Monks 2009; Elele &amp; Fields 2010; Costen &amp; Salazar 2011; Mendelson et al. 2011; Mostafa &amp; Gould-Williams 2015; Garc\u00eda-Chas et al. 2016)", "manualFormatting" : "(e.g. Appelbaum et al., 2000; Bartlett &amp; Kang, 2004; Edgar &amp; Geare, 2005; Petrescu &amp; Simmons, 2008; Conway &amp; Monks, 2009; Elele &amp; Fields, 2010; Costen &amp; Salazar, 2011; Mendelson et al., 2011; Mostafa &amp; Gould-Williams, 2015; Garc\u00eda-Chas et al., 2016)", "plainTextFormattedCitation" : "(Appelbaum et al. 2000; Bartlett &amp; Kang 2004; Edgar &amp; Geare 2005; Petrescu &amp; Simmons 2008; Conway &amp; Monks 2009; Elele &amp; Fields 2010; Costen &amp; Salazar 2011; Mendelson et al. 2011; Mostafa &amp; Gould-Williams 2015; Garc\u00eda-Chas et al. 2016)", "previouslyFormattedCitation" : "(Appelbaum et al. 2000; Bartlett &amp; Kang 2004; Edgar &amp; Geare 2005; Petrescu &amp; Simmons 2008; Conway &amp; Monks 2009; Elele &amp; Fields 2010; Costen &amp; Salazar 2011; Mendelson et al. 2011; Mostafa &amp; Gould-Williams 2015; Garc\u00eda-Chas et al. 2016)" }, "properties" : { "noteIndex" : 0 }, "schema" : "https://github.com/citation-style-language/schema/raw/master/csl-citation.json" }</w:instrText>
      </w:r>
      <w:r w:rsidRPr="00452E2E">
        <w:fldChar w:fldCharType="separate"/>
      </w:r>
      <w:r w:rsidRPr="00452E2E">
        <w:rPr>
          <w:noProof/>
        </w:rPr>
        <w:t xml:space="preserve">(e.g. Edgar &amp; Geare, 2005; Petrescu &amp; Simmons, 2008; Conway &amp; Monks, 2009; Elele &amp; Fields, 2010; Costen &amp; Salazar, 2011; Mendelson </w:t>
      </w:r>
      <w:r w:rsidRPr="00452E2E">
        <w:rPr>
          <w:i/>
          <w:noProof/>
        </w:rPr>
        <w:t>et al</w:t>
      </w:r>
      <w:r w:rsidRPr="00452E2E">
        <w:rPr>
          <w:noProof/>
        </w:rPr>
        <w:t xml:space="preserve">., 2011; Mostafa &amp; Gould-Williams, 2015; García-Chas </w:t>
      </w:r>
      <w:r w:rsidRPr="00452E2E">
        <w:rPr>
          <w:i/>
          <w:noProof/>
        </w:rPr>
        <w:t>et al</w:t>
      </w:r>
      <w:r w:rsidRPr="00452E2E">
        <w:rPr>
          <w:noProof/>
        </w:rPr>
        <w:t>., 2016)</w:t>
      </w:r>
      <w:r w:rsidRPr="00452E2E">
        <w:fldChar w:fldCharType="end"/>
      </w:r>
      <w:r w:rsidRPr="00452E2E">
        <w:t xml:space="preserve">. Nevertheless, among the three HR practices, only training had a unique significant effect on job satisfaction. This unique contribution of training to job satisfaction may be due to the fact that among the three HR practices, training is directly related to the job since it equips employees with the necessary skills required to perform the job. The feeling of competence arising from improved ability to perform the job in turn results </w:t>
      </w:r>
      <w:r w:rsidR="005034BD" w:rsidRPr="00452E2E">
        <w:t>in</w:t>
      </w:r>
      <w:r w:rsidRPr="00452E2E">
        <w:t xml:space="preserve"> positive job satisfaction </w:t>
      </w:r>
      <w:r w:rsidRPr="00452E2E">
        <w:fldChar w:fldCharType="begin" w:fldLock="1"/>
      </w:r>
      <w:r w:rsidRPr="00452E2E">
        <w:instrText>ADDIN CSL_CITATION { "citationItems" : [ { "id" : "ITEM-1", "itemData" : { "abstract" : "There is a tremendous amount of literature that explores the relationship between employee job satisfaction and intent to stay. Similarly, recent research in te area of human resources has focused on the impact of human resources practices on various organizational outcomes. In this article, the authors explore the relationships between training and development, and employee job satisfaction, loyalty, and intent to stay in four lodging properties in the United States. Results indicate that employees who perceive they have the opportunity to develop new skills are more satisfied with their jobs, more loyal, and more likely to stay with the organization.", "author" : [ { "dropping-particle" : "", "family" : "Costen", "given" : "Wanda M.", "non-dropping-particle" : "", "parse-names" : false, "suffix" : "" }, { "dropping-particle" : "", "family" : "Salazar", "given" : "John", "non-dropping-particle" : "", "parse-names" : false, "suffix" : "" } ], "container-title" : "Journal of Human Resources in Hospitality &amp; Tourism", "id" : "ITEM-1", "issue" : "3", "issued" : { "date-parts" : [ [ "2011" ] ] }, "page" : "273-284", "title" : "The impact of training and development on employee job satisfaction, loyalty, and intent to stay in the lodging industry", "type" : "article-journal", "volume" : "10" }, "uris" : [ "http://www.mendeley.com/documents/?uuid=ed2efca9-3f7c-4fb0-a550-c3ef49a90fa1" ] } ], "mendeley" : { "formattedCitation" : "(Costen &amp; Salazar 2011)", "manualFormatting" : "(Costen &amp; Salazar, 2011)", "plainTextFormattedCitation" : "(Costen &amp; Salazar 2011)", "previouslyFormattedCitation" : "(Costen &amp; Salazar 2011)" }, "properties" : { "noteIndex" : 0 }, "schema" : "https://github.com/citation-style-language/schema/raw/master/csl-citation.json" }</w:instrText>
      </w:r>
      <w:r w:rsidRPr="00452E2E">
        <w:fldChar w:fldCharType="separate"/>
      </w:r>
      <w:r w:rsidRPr="00452E2E">
        <w:rPr>
          <w:noProof/>
        </w:rPr>
        <w:t>(Costen &amp; Salazar, 2011)</w:t>
      </w:r>
      <w:r w:rsidRPr="00452E2E">
        <w:fldChar w:fldCharType="end"/>
      </w:r>
      <w:r w:rsidRPr="00452E2E">
        <w:t xml:space="preserve">. On the other hand, only employee benefits had </w:t>
      </w:r>
      <w:r w:rsidR="00E769B3" w:rsidRPr="00452E2E">
        <w:t xml:space="preserve">a </w:t>
      </w:r>
      <w:r w:rsidRPr="00452E2E">
        <w:t xml:space="preserve">unique </w:t>
      </w:r>
      <w:r w:rsidR="00E02CE1" w:rsidRPr="00452E2E">
        <w:t>significant effect</w:t>
      </w:r>
      <w:r w:rsidRPr="00452E2E">
        <w:t xml:space="preserve"> on affective and normative commitment. This indicates, as earlier noted by </w:t>
      </w:r>
      <w:r w:rsidRPr="00452E2E">
        <w:fldChar w:fldCharType="begin" w:fldLock="1"/>
      </w:r>
      <w:r w:rsidRPr="00452E2E">
        <w:instrText>ADDIN CSL_CITATION { "citationItems" : [ { "id" : "ITEM-1", "itemData" : { "author" : [ { "dropping-particle" : "", "family" : "Ovadje", "given" : "Franca", "non-dropping-particle" : "", "parse-names" : false, "suffix" : "" }, { "dropping-particle" : "", "family" : "Ankomah", "given" : "Augustine", "non-dropping-particle" : "", "parse-names" : false, "suffix" : "" } ], "container-title" : "Human resource management in developing countries", "editor" : [ { "dropping-particle" : "", "family" : "Budhwar", "given" : "Pawan", "non-dropping-particle" : "", "parse-names" : false, "suffix" : "" }, { "dropping-particle" : "", "family" : "Debrah", "given" : "Yaw A.", "non-dropping-particle" : "", "parse-names" : false, "suffix" : "" } ], "id" : "ITEM-1", "issued" : { "date-parts" : [ [ "2001" ] ] }, "page" : "174-190", "publisher" : "Routledge", "publisher-place" : "London", "title" : "Human resource management in Nigeria", "type" : "chapter" }, "uris" : [ "http://www.mendeley.com/documents/?uuid=2d452e59-8623-47c3-8723-4a78b1eb4650" ] } ], "mendeley" : { "formattedCitation" : "(Ovadje &amp; Ankomah 2001)", "manualFormatting" : "(Ovadje &amp; Ankomah, 2001)", "plainTextFormattedCitation" : "(Ovadje &amp; Ankomah 2001)", "previouslyFormattedCitation" : "(Ovadje &amp; Ankomah 2001)" }, "properties" : { "noteIndex" : 0 }, "schema" : "https://github.com/citation-style-language/schema/raw/master/csl-citation.json" }</w:instrText>
      </w:r>
      <w:r w:rsidRPr="00452E2E">
        <w:fldChar w:fldCharType="separate"/>
      </w:r>
      <w:r w:rsidR="00E1722E" w:rsidRPr="00452E2E">
        <w:rPr>
          <w:noProof/>
        </w:rPr>
        <w:t>Ovadje &amp; Ankomah</w:t>
      </w:r>
      <w:r w:rsidRPr="00452E2E">
        <w:rPr>
          <w:noProof/>
        </w:rPr>
        <w:t xml:space="preserve"> </w:t>
      </w:r>
      <w:r w:rsidR="00E1722E" w:rsidRPr="00452E2E">
        <w:rPr>
          <w:noProof/>
        </w:rPr>
        <w:t>(</w:t>
      </w:r>
      <w:r w:rsidRPr="00452E2E">
        <w:rPr>
          <w:noProof/>
        </w:rPr>
        <w:t>2001)</w:t>
      </w:r>
      <w:r w:rsidRPr="00452E2E">
        <w:fldChar w:fldCharType="end"/>
      </w:r>
      <w:r w:rsidRPr="00452E2E">
        <w:t xml:space="preserve">, the importance </w:t>
      </w:r>
      <w:r w:rsidR="00E02CE1" w:rsidRPr="00452E2E">
        <w:t>that</w:t>
      </w:r>
      <w:r w:rsidRPr="00452E2E">
        <w:t xml:space="preserve"> employees in Nigeria attach to employee benefits as a result of poor wages in Nigeria. </w:t>
      </w:r>
    </w:p>
    <w:p w:rsidR="00E10AD8" w:rsidRPr="00452E2E" w:rsidRDefault="00D03A8E" w:rsidP="00D03A8E">
      <w:pPr>
        <w:spacing w:line="360" w:lineRule="auto"/>
        <w:jc w:val="both"/>
      </w:pPr>
      <w:r w:rsidRPr="00452E2E">
        <w:t>Contrary to the expectation that the high level of unemployment in Nigeria will</w:t>
      </w:r>
      <w:r w:rsidR="00CF042F" w:rsidRPr="00452E2E">
        <w:t xml:space="preserve"> encourage</w:t>
      </w:r>
      <w:r w:rsidRPr="00452E2E">
        <w:t xml:space="preserve"> employees </w:t>
      </w:r>
      <w:r w:rsidR="00CF042F" w:rsidRPr="00452E2E">
        <w:t xml:space="preserve">to </w:t>
      </w:r>
      <w:r w:rsidRPr="00452E2E">
        <w:t xml:space="preserve">remain with their organizations due to the favours they receive, thereby resulting </w:t>
      </w:r>
      <w:r w:rsidR="00CF042F" w:rsidRPr="00452E2E">
        <w:t>in</w:t>
      </w:r>
      <w:r w:rsidRPr="00452E2E">
        <w:t xml:space="preserve"> a positive effect of HR practices and continuance commitment, findings from this study indicated a negative effect of HR practices </w:t>
      </w:r>
      <w:r w:rsidRPr="00452E2E">
        <w:lastRenderedPageBreak/>
        <w:t xml:space="preserve">on continuance commitment. This finding is consistent with findings from some previous studies </w:t>
      </w:r>
      <w:r w:rsidRPr="00452E2E">
        <w:fldChar w:fldCharType="begin" w:fldLock="1"/>
      </w:r>
      <w:r w:rsidRPr="00452E2E">
        <w:instrText>ADDIN CSL_CITATION { "citationItems" : [ { "id" : "ITEM-1", "itemData" : { "DOI" : "10.1108/13527601011086586", "ISBN" : "0000000005937", "ISSN" : "1352-7606", "abstract" : "Purpose \u2013 The purpose of this paper is to examine the relationship between participation in decision making (PDM) and the organizational commitment of Nigerian and American employees working in the public sector environment. A focal concern of this study is the extent to which cultural differences or similarities between Nigeria and the USA impact this relationship. Design/methodology/approach \u2013 The study first examined the measurement equivalence across both American and Nigerian sub-samples for scales assessing levels of PDM and organizational commitment. While the item weights for measures of actual and desired PDM were invariant, the weights for items measuring organizational commitment differed between Nigerians and Americans. These weights were subsequently used to calculate affective, normative, and continuance commitment for the Nigerian and American sub-samples and to test three hypotheses derived from the theoretical implications of cultural differences between Nigerians and Americans. Findings \u2013 Taking into account measurement differences, both actual PDM and actual vs desired levels of PDM were related differently to the affective, normative, and continuance commitment of Nigerian employees compared to US employees. For Nigerian employees, both actual levels of participation and actual vs desired participation are related to affective and normative commitment. Neither measure of participation is related to continuance commitment. For Americans, only actual vs desired levels of participation were positively related with affective and normative organizational commitment. Actual levels of participation were negatively related to continuance commitment. Research limitations/implications \u2013 Future work should expand the sampling to compare employees working in Nigerian owned and managed organizations with American employees of organizations in similar industries and of comparable size. Practical implications \u2013 In addition to its theoretical value, this paper also has substantial practical value. Staff commitment is an organizational outcome variable critical to the success of international development agencies and implementing partners. For example, anti-US sentiment has increased in the recent years up in the Islamic northern sections of Nigeria. Employee organizational commitment is critical in such challenging terrains, as employees who are more committed are more likely to help their organization weather such negative conditions. Originality/v\u2026", "author" : [ { "dropping-particle" : "", "family" : "Elele", "given" : "Joyce", "non-dropping-particle" : "", "parse-names" : false, "suffix" : "" }, { "dropping-particle" : "", "family" : "Fields", "given" : "Dail", "non-dropping-particle" : "", "parse-names" : false, "suffix" : "" } ], "container-title" : "Cross Cultural Management: An International Journal", "id" : "ITEM-1", "issue" : "4", "issued" : { "date-parts" : [ [ "2010" ] ] }, "page" : "368-392", "title" : "Participative decision making and organizational commitment", "type" : "article-journal", "volume" : "17" }, "uris" : [ "http://www.mendeley.com/documents/?uuid=0fdfa12a-cb95-4f52-9f14-24feff7c4e3b" ] }, { "id" : "ITEM-2", "itemData" : { "DOI" : "10.1108/EL-01-2014-0022", "ISBN" : "0268690131132", "ISSN" : "1755-4217", "PMID" : "42012058", "author" : [ { "dropping-particle" : "", "family" : "Mendelson", "given" : "M.B.", "non-dropping-particle" : "", "parse-names" : false, "suffix" : "" }, { "dropping-particle" : "", "family" : "Turner", "given" : "Nick", "non-dropping-particle" : "", "parse-names" : false, "suffix" : "" }, { "dropping-particle" : "", "family" : "Barling", "given" : "Julian", "non-dropping-particle" : "", "parse-names" : false, "suffix" : "" } ], "container-title" : "Personnel Review", "id" : "ITEM-2", "issue" : "1", "issued" : { "date-parts" : [ [ "2011" ] ] }, "page" : "45-69", "title" : "Perceptions of the presence and effectiveness of high involvement work systems and their relationship to employee attitudes: A test of competing models", "type" : "article-journal", "volume" : "40" }, "uris" : [ "http://www.mendeley.com/documents/?uuid=dd6c63ae-e483-4202-b70d-bbc5958649f6" ] } ], "mendeley" : { "formattedCitation" : "(Elele &amp; Fields 2010; Mendelson et al. 2011)", "manualFormatting" : "(Elele &amp; Fields, 2010; Mendelson et al., 2011)", "plainTextFormattedCitation" : "(Elele &amp; Fields 2010; Mendelson et al. 2011)", "previouslyFormattedCitation" : "(Elele &amp; Fields 2010; Mendelson et al. 2011)" }, "properties" : { "noteIndex" : 0 }, "schema" : "https://github.com/citation-style-language/schema/raw/master/csl-citation.json" }</w:instrText>
      </w:r>
      <w:r w:rsidRPr="00452E2E">
        <w:fldChar w:fldCharType="separate"/>
      </w:r>
      <w:r w:rsidRPr="00452E2E">
        <w:rPr>
          <w:noProof/>
        </w:rPr>
        <w:t xml:space="preserve">(Elele &amp; Fields, 2010; Mendelson </w:t>
      </w:r>
      <w:r w:rsidRPr="00452E2E">
        <w:rPr>
          <w:i/>
          <w:noProof/>
        </w:rPr>
        <w:t>et al</w:t>
      </w:r>
      <w:r w:rsidRPr="00452E2E">
        <w:rPr>
          <w:noProof/>
        </w:rPr>
        <w:t>., 2011)</w:t>
      </w:r>
      <w:r w:rsidRPr="00452E2E">
        <w:fldChar w:fldCharType="end"/>
      </w:r>
      <w:r w:rsidRPr="00452E2E">
        <w:t xml:space="preserve"> but contrary to findings from others </w:t>
      </w:r>
      <w:r w:rsidRPr="00452E2E">
        <w:fldChar w:fldCharType="begin" w:fldLock="1"/>
      </w:r>
      <w:r w:rsidRPr="00452E2E">
        <w:instrText>ADDIN CSL_CITATION { "citationItems" : [ { "id" : "ITEM-1",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"ITEM-1", "issue" : "1", "issued" : { "date-parts" : [ [ "2005" ] ] }, "page" : "3-29", "title" : "Benefit system effects on employees' benefit knowledge, use and organizational commitment", "type" : "article-journal", "volume" : "20" }, "uris" : [ "http://www.mendeley.com/documents/?uuid=76153374-7214-4e74-b268-ebcd9498b8b1" ] }, { "id" : "ITEM-2", "itemData" : { "DOI" : "10.1037/a0013116", "ISBN" : "00219010", "ISSN" : "0021-9010", "PMID" : "19186911", "abstract" : "In this study, the authors developed a dual-concern (i.e., maintenance\\nand performance) model of human resources (HR) management. The authors\\nidentified commonly examined HR practices that apply to the middle\\nmanager level and classified them into the maintenance- and performance-oriented\\nHR subsystems. The authors found support for the 2-factor model on\\nthe basis of responses from 2,148 managers from 463 firms operating\\nin China. Regression results indicate that the performance-oriented\\nHR subsystems had a positive relationship with firm performance and\\nthat the relationship was mediated by middle managers' affective\\ncommitment to the firm. The maintenance-oriented HR subsystems had\\na positive relationship with middle managers' continuance commitment\\nbut not with their affective commitment and firm performance. This\\nstudy contributes to the understanding of how HR practices relate\\nto firm performance and offers an improved test of the argument that\\nvaluable and firm-specific HR provide a source of competitive advantage.\\n(PsycINFO Database Record (c) 2009 APA, all rights reserved).", "author" : [ { "dropping-particle" : "", "family" : "Gong", "given" : "Yaping", "non-dropping-particle" : "", "parse-names" : false, "suffix" : "" }, { "dropping-particle" : "", "family" : "Law", "given" : "Kenneth S", "non-dropping-particle" : "", "parse-names" : false, "suffix" : "" }, { "dropping-particle" : "", "family" : "Chang", "given" : "Song", "non-dropping-particle" : "", "parse-names" : false, "suffix" : "" }, { "dropping-particle" : "", "family" : "Xin", "given" : "Katherine R", "non-dropping-particle" : "", "parse-names" : false, "suffix" : "" } ], "container-title" : "The Journal of Applied Psychology", "id" : "ITEM-2", "issue" : "1", "issued" : { "date-parts" : [ [ "2009" ] ] }, "page" : "263-275", "title" : "Human resources management and firm performance: The differential role of managerial affective and continuance commitment.", "type" : "article-journal", "volume" : "94" }, "uris" : [ "http://www.mendeley.com/documents/?uuid=05095b74-4ba9-4e42-811c-c3797e2933af" ] }, { "id" : "ITEM-3", "itemData" : { "DOI" : "10.1080/09585192.2013.767059", "ISBN" : "0958-5192", "ISSN" : "0958-5192", "abstract" : "This paper attempts to document how employees' perceptions of organizations' human resource management (HRM) practices influence their work behavior and outcomes, including the level of turnover intentions and job quality improvement, in a Japanese organizational and management context. In particular, an examination was made to clarify the mediating role of person\u2013environment (P\u2013E) fit and multiple aspects of work commitment to reach possible explanations of the relationships between perceived HRM practices and employees' behavioral outcomes, following recent work that studied the above linkages. The results of structural equation modeling using a sample of 1052 healthcare service employees in Japan provided basic support for the idea that the effects of HRM practices and employees' behavioral outcomes are neither direct nor unconditional. Moreover, employees' evaluations of their fit and commitment to their organizations were found to be the important mediators of the relationships between perceived HRM ...", "author" : [ { "dropping-particle" : "", "family" : "Takeuchi", "given" : "Norihiko", "non-dropping-particle" : "", "parse-names" : false, "suffix" : "" }, { "dropping-particle" : "", "family" : "Takeuchi", "given" : "Tomokazu", "non-dropping-particle" : "", "parse-names" : false, "suffix" : "" } ], "container-title" : "The International Journal of Human Resource Management", "id" : "ITEM-3", "issue" : "11", "issued" : { "date-parts" : [ [ "2013" ] ] }, "page" : "2089-2106", "title" : "Committed to the organization or the job? Effects of perceived HRM practices on employees' behavioral outcomes in the Japanese healthcare industry", "type" : "article-journal", "volume" : "24" }, "uris" : [ "http://www.mendeley.com/documents/?uuid=3aec6b93-f8e0-4756-b4b0-7f216e354047" ] } ], "mendeley" : { "formattedCitation" : "(Sinclair et al. 2005; Gong et al. 2009; Takeuchi &amp; Takeuchi 2013)", "manualFormatting" : "(Sinclair et al., 2005; Gong et al., 2009; Takeuchi &amp; Takeuchi, 2013)", "plainTextFormattedCitation" : "(Sinclair et al. 2005; Gong et al. 2009; Takeuchi &amp; Takeuchi 2013)", "previouslyFormattedCitation" : "(Sinclair et al. 2005; Gong et al. 2009; Takeuchi &amp; Takeuchi 2013)" }, "properties" : { "noteIndex" : 0 }, "schema" : "https://github.com/citation-style-language/schema/raw/master/csl-citation.json" }</w:instrText>
      </w:r>
      <w:r w:rsidRPr="00452E2E">
        <w:fldChar w:fldCharType="separate"/>
      </w:r>
      <w:r w:rsidRPr="00452E2E">
        <w:rPr>
          <w:noProof/>
        </w:rPr>
        <w:t xml:space="preserve">(Sinclair </w:t>
      </w:r>
      <w:r w:rsidRPr="00452E2E">
        <w:rPr>
          <w:i/>
          <w:noProof/>
        </w:rPr>
        <w:t>et al</w:t>
      </w:r>
      <w:r w:rsidRPr="00452E2E">
        <w:rPr>
          <w:noProof/>
        </w:rPr>
        <w:t xml:space="preserve">., 2005; Gong </w:t>
      </w:r>
      <w:r w:rsidRPr="00452E2E">
        <w:rPr>
          <w:i/>
          <w:noProof/>
        </w:rPr>
        <w:t>et al</w:t>
      </w:r>
      <w:r w:rsidRPr="00452E2E">
        <w:rPr>
          <w:noProof/>
        </w:rPr>
        <w:t>., 2009; Takeuchi &amp; Takeuchi, 2013)</w:t>
      </w:r>
      <w:r w:rsidRPr="00452E2E">
        <w:fldChar w:fldCharType="end"/>
      </w:r>
      <w:r w:rsidRPr="00452E2E">
        <w:t xml:space="preserve">. This means that the relationship between HR practices and continuance commitment is mixed and may depend on the national context. </w:t>
      </w:r>
    </w:p>
    <w:p w:rsidR="00D03A8E" w:rsidRPr="00452E2E" w:rsidRDefault="00D03A8E" w:rsidP="00D03A8E">
      <w:pPr>
        <w:spacing w:line="360" w:lineRule="auto"/>
        <w:jc w:val="both"/>
      </w:pPr>
      <w:r w:rsidRPr="00452E2E">
        <w:t xml:space="preserve">Among the three HR practices however, training and employee benefits each had a unique negative effect on continuance commitment which indicates that the decision of public and private sector employees in Nigeria to remain with their organizations is not due to the favours they receive in the form of training or employee benefits. </w:t>
      </w:r>
      <w:r w:rsidR="001742EB" w:rsidRPr="00452E2E">
        <w:t xml:space="preserve">Moreover, whilst it might be expected that pay could influence the </w:t>
      </w:r>
      <w:r w:rsidR="00E259B8" w:rsidRPr="00452E2E">
        <w:t>decision of</w:t>
      </w:r>
      <w:r w:rsidR="001742EB" w:rsidRPr="00452E2E">
        <w:t xml:space="preserve"> public and private sector employees in Nigeria</w:t>
      </w:r>
      <w:r w:rsidR="00E259B8" w:rsidRPr="00452E2E">
        <w:t xml:space="preserve"> to remain with their organizations</w:t>
      </w:r>
      <w:r w:rsidR="001742EB" w:rsidRPr="00452E2E">
        <w:t>, a careful analysis of the control variables entered in the first model indicates a non-significant effect of pay on continuance commitment</w:t>
      </w:r>
      <w:r w:rsidR="007C57CA" w:rsidRPr="00452E2E">
        <w:t xml:space="preserve"> (see table 7.5 in chapter 7)</w:t>
      </w:r>
      <w:r w:rsidR="001742EB" w:rsidRPr="00452E2E">
        <w:t xml:space="preserve">. </w:t>
      </w:r>
      <w:r w:rsidRPr="00452E2E">
        <w:t xml:space="preserve">This indicates that within the context of public and private sector in Nigeria, social exchange relationships exist between employees and their organizations rather than economic exchange relationships </w:t>
      </w:r>
      <w:r w:rsidRPr="00452E2E">
        <w:fldChar w:fldCharType="begin" w:fldLock="1"/>
      </w:r>
      <w:r w:rsidRPr="00452E2E">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"id" : "ITEM-2", "itemData" : { "DOI" : "10.1037//0021-9010.87.4.698", "ISBN" : "0021-9010", "ISSN" : "0021-9010", "PMID" : "12130443", "author" : [ { "dropping-particle" : "", "family" : "Rhoades", "given" : "Linda", "non-dropping-particle" : "", "parse-names" : false, "suffix" : "" }, { "dropping-particle" : "", "family" : "Eisenberger", "given" : "Robert", "non-dropping-particle" : "", "parse-names" : false, "suffix" : "" } ], "container-title" : "Journal of Applied Psychology", "id" : "ITEM-2", "issue" : "4", "issued" : { "date-parts" : [ [ "2002" ] ] }, "page" : "698-714", "title" : "Perceived organizational support: A review of the literature", "type" : "article-journal", "volume" : "87" }, "uris" : [ "http://www.mendeley.com/documents/?uuid=05fa9f60-bc12-4704-b3af-d9801fb50251" ] } ], "mendeley" : { "formattedCitation" : "(Blau 1964; Rhoades &amp; Eisenberger 2002)", "manualFormatting" : "(Blau, 1964; Rhoades &amp; Eisenberger, 2002)", "plainTextFormattedCitation" : "(Blau 1964; Rhoades &amp; Eisenberger 2002)", "previouslyFormattedCitation" : "(Blau 1964; Rhoades &amp; Eisenberger 2002)" }, "properties" : { "noteIndex" : 0 }, "schema" : "https://github.com/citation-style-language/schema/raw/master/csl-citation.json" }</w:instrText>
      </w:r>
      <w:r w:rsidRPr="00452E2E">
        <w:fldChar w:fldCharType="separate"/>
      </w:r>
      <w:r w:rsidRPr="00452E2E">
        <w:rPr>
          <w:noProof/>
        </w:rPr>
        <w:t>(Blau, 1964; Rhoades &amp; Eisenberger, 2002)</w:t>
      </w:r>
      <w:r w:rsidRPr="00452E2E">
        <w:fldChar w:fldCharType="end"/>
      </w:r>
      <w:r w:rsidRPr="00452E2E">
        <w:t xml:space="preserve">. </w:t>
      </w:r>
    </w:p>
    <w:p w:rsidR="00D03A8E" w:rsidRPr="00452E2E" w:rsidRDefault="00D03A8E" w:rsidP="00D03A8E">
      <w:pPr>
        <w:spacing w:line="360" w:lineRule="auto"/>
        <w:jc w:val="both"/>
        <w:rPr>
          <w:szCs w:val="24"/>
        </w:rPr>
      </w:pPr>
      <w:r w:rsidRPr="00452E2E">
        <w:t xml:space="preserve">On the whole, findings on the direct effect of HR practices and employee attitudes indicate that a significant relationship exists between HR practices and employee attitudes. Nevertheless, after accounting for control variables, the net effect of HR practices on employee attitudes was generally low and may be as a result of other variables – including other HR practices – that affect employee attitudes that were not examined in the present study. Moreover, in all cases, not all the HR practices contributed individually to employee attitudes thereby signifying, as observed by </w:t>
      </w:r>
      <w:r w:rsidRPr="00452E2E">
        <w:fldChar w:fldCharType="begin" w:fldLock="1"/>
      </w:r>
      <w:r w:rsidRPr="00452E2E">
        <w:instrText>ADDIN CSL_CITATION { "citationItems" : [ { "id" : "ITEM-1", "itemData" : { "abstract" : "Information technology has been cited as a critical driver of HR's transition from a focuson administrative tasks to a focus on serving as a strategic business partner. This strategic role not only adds a valuable dimension to the HR function, but also changes the competencies that define the success of HR professionals. Interviews were conducted with HR representatives from 19 firms to examine the linkage between electronic human resources (e-HR) and the reshaping of professional competence in HRM. Based on the findings, we draw implications for the development of HR competencies and identify learning strategies that HR professionals can utilize to fulfill their changing roles and responsibilities.", "author" : [ { "dropping-particle" : "", "family" : "Darwish", "given" : "T.K.", "non-dropping-particle" : "", "parse-names" : false, "suffix" : "" }, { "dropping-particle" : "", "family" : "Singh", "given" : "S", "non-dropping-particle" : "", "parse-names" : false, "suffix" : "" }, { "dropping-particle" : "", "family" : "Wood", "given" : "Geoffrey", "non-dropping-particle" : "", "parse-names" : false, "suffix" : "" } ], "container-title" : "Human Resource Management", "id" : "ITEM-1", "issue" : "2", "issued" : { "date-parts" : [ [ "2016" ] ] }, "page" : "261-281", "title" : "The impact of human resource practices on actual and perceived organizational performance in a middle eastern emerging market", "type" : "article-journal", "volume" : "55" }, "uris" : [ "http://www.mendeley.com/documents/?uuid=25a5c2dd-0f08-4c8c-9131-fca73b3f9e26" ] } ], "mendeley" : { "formattedCitation" : "(Darwish et al. 2016)", "manualFormatting" : "Darwish et al. (2016)", "plainTextFormattedCitation" : "(Darwish et al. 2016)", "previouslyFormattedCitation" : "(Darwish et al. 2016)" }, "properties" : { "noteIndex" : 0 }, "schema" : "https://github.com/citation-style-language/schema/raw/master/csl-citation.json" }</w:instrText>
      </w:r>
      <w:r w:rsidRPr="00452E2E">
        <w:fldChar w:fldCharType="separate"/>
      </w:r>
      <w:r w:rsidRPr="00452E2E">
        <w:rPr>
          <w:noProof/>
        </w:rPr>
        <w:t xml:space="preserve">Darwish </w:t>
      </w:r>
      <w:r w:rsidRPr="00452E2E">
        <w:rPr>
          <w:i/>
          <w:noProof/>
        </w:rPr>
        <w:t>et al</w:t>
      </w:r>
      <w:r w:rsidRPr="00452E2E">
        <w:rPr>
          <w:noProof/>
        </w:rPr>
        <w:t>. (2016)</w:t>
      </w:r>
      <w:r w:rsidRPr="00452E2E">
        <w:fldChar w:fldCharType="end"/>
      </w:r>
      <w:r w:rsidRPr="00452E2E">
        <w:t xml:space="preserve"> in their Jordanian study that </w:t>
      </w:r>
      <w:r w:rsidRPr="00452E2E">
        <w:rPr>
          <w:szCs w:val="24"/>
        </w:rPr>
        <w:t xml:space="preserve">the optimum configuration of sets of HR practices may depend on the national context, industry and sector. The discussion of the findings on indirect effects and the moderation effect of sector </w:t>
      </w:r>
      <w:r w:rsidR="00AF7262" w:rsidRPr="00452E2E">
        <w:rPr>
          <w:szCs w:val="24"/>
        </w:rPr>
        <w:t>will</w:t>
      </w:r>
      <w:r w:rsidRPr="00452E2E">
        <w:rPr>
          <w:szCs w:val="24"/>
        </w:rPr>
        <w:t xml:space="preserve"> be the focus of subsequent sections. </w:t>
      </w:r>
    </w:p>
    <w:p w:rsidR="00D03A8E" w:rsidRPr="00452E2E" w:rsidRDefault="00D03A8E" w:rsidP="00D03A8E">
      <w:pPr>
        <w:pStyle w:val="Heading4"/>
      </w:pPr>
      <w:bookmarkStart w:id="223" w:name="_Toc473808203"/>
      <w:r w:rsidRPr="00452E2E">
        <w:t>8.4.1 The Mediating Role of Procedural Justice and the Moderation Effect of Sector</w:t>
      </w:r>
      <w:bookmarkEnd w:id="223"/>
    </w:p>
    <w:p w:rsidR="00D03A8E" w:rsidRPr="00452E2E" w:rsidRDefault="00D03A8E" w:rsidP="00D03A8E">
      <w:pPr>
        <w:spacing w:line="360" w:lineRule="auto"/>
        <w:jc w:val="both"/>
        <w:rPr>
          <w:szCs w:val="24"/>
        </w:rPr>
      </w:pPr>
      <w:r w:rsidRPr="00452E2E">
        <w:rPr>
          <w:szCs w:val="24"/>
        </w:rPr>
        <w:t xml:space="preserve">The indirect effect of HR practices on employee attitudes through procedural justice was examined whilst the moderation effect of sector on this relationship </w:t>
      </w:r>
      <w:r w:rsidRPr="00452E2E">
        <w:rPr>
          <w:szCs w:val="24"/>
        </w:rPr>
        <w:lastRenderedPageBreak/>
        <w:t xml:space="preserve">was further examined. As a first step, the relationship between the mediating variable on each of the employee attitudes was examined. Findings indicate that contrary to results from previous studies </w:t>
      </w:r>
      <w:r w:rsidRPr="00452E2E">
        <w:rPr>
          <w:szCs w:val="24"/>
        </w:rPr>
        <w:fldChar w:fldCharType="begin" w:fldLock="1"/>
      </w:r>
      <w:r w:rsidRPr="00452E2E">
        <w:rPr>
          <w:szCs w:val="24"/>
        </w:rPr>
        <w:instrText>ADDIN CSL_CITATION { "citationItems" : [ { "id" : "ITEM-1",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"ITEM-1",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"ITEM-2",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"ITEM-2",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"ITEM-3",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"ITEM-3",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"(Wu &amp; Chaturvedi 2009; Ko &amp; Hur 2014; Heffernan &amp; Dundon 2016)", "manualFormatting" : "(Wu &amp; Chaturvedi, 2009; Ko &amp; Hur, 2014; Heffernan &amp; Dundon, 2016)", "plainTextFormattedCitation" : "(Wu &amp; Chaturvedi 2009; Ko &amp; Hur 2014; Heffernan &amp; Dundon 2016)", "previouslyFormattedCitation" : "(Wu &amp; Chaturvedi 2009; Ko &amp; Hur 2014; Heffernan &amp; Dundon 2016)" }, "properties" : { "noteIndex" : 0 }, "schema" : "https://github.com/citation-style-language/schema/raw/master/csl-citation.json" }</w:instrText>
      </w:r>
      <w:r w:rsidRPr="00452E2E">
        <w:rPr>
          <w:szCs w:val="24"/>
        </w:rPr>
        <w:fldChar w:fldCharType="separate"/>
      </w:r>
      <w:r w:rsidRPr="00452E2E">
        <w:rPr>
          <w:noProof/>
          <w:szCs w:val="24"/>
        </w:rPr>
        <w:t>(Wu &amp; Chaturvedi, 2009; Ko &amp; Hur, 2014; Heffernan &amp; Dundon, 2016)</w:t>
      </w:r>
      <w:r w:rsidRPr="00452E2E">
        <w:rPr>
          <w:szCs w:val="24"/>
        </w:rPr>
        <w:fldChar w:fldCharType="end"/>
      </w:r>
      <w:r w:rsidRPr="00452E2E">
        <w:rPr>
          <w:szCs w:val="24"/>
        </w:rPr>
        <w:t xml:space="preserve"> there was no significant relationship between procedural justice and job satisfaction. This means that within the context of public and private sector in Nigeria, the idea that employee perceptions of fairness of processes in the organization will result </w:t>
      </w:r>
      <w:r w:rsidR="00765516" w:rsidRPr="00452E2E">
        <w:rPr>
          <w:szCs w:val="24"/>
        </w:rPr>
        <w:t>in</w:t>
      </w:r>
      <w:r w:rsidRPr="00452E2E">
        <w:rPr>
          <w:szCs w:val="24"/>
        </w:rPr>
        <w:t xml:space="preserve"> improved job satisfaction </w:t>
      </w:r>
      <w:r w:rsidRPr="00452E2E">
        <w:rPr>
          <w:szCs w:val="24"/>
        </w:rPr>
        <w:fldChar w:fldCharType="begin" w:fldLock="1"/>
      </w:r>
      <w:r w:rsidRPr="00452E2E">
        <w:rPr>
          <w:szCs w:val="24"/>
        </w:rPr>
        <w:instrText>ADDIN CSL_CITATION { "citationItems" : [ { "id" : "ITEM-1",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"ITEM-1",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"mendeley" : { "formattedCitation" : "(Ko &amp; Hur 2014)", "manualFormatting" : "(Ko &amp; Hur, 2014)", "plainTextFormattedCitation" : "(Ko &amp; Hur 2014)", "previouslyFormattedCitation" : "(Ko &amp; Hur 2014)" }, "properties" : { "noteIndex" : 0 }, "schema" : "https://github.com/citation-style-language/schema/raw/master/csl-citation.json" }</w:instrText>
      </w:r>
      <w:r w:rsidRPr="00452E2E">
        <w:rPr>
          <w:szCs w:val="24"/>
        </w:rPr>
        <w:fldChar w:fldCharType="separate"/>
      </w:r>
      <w:r w:rsidRPr="00452E2E">
        <w:rPr>
          <w:noProof/>
          <w:szCs w:val="24"/>
        </w:rPr>
        <w:t>(Ko &amp; Hur, 2014)</w:t>
      </w:r>
      <w:r w:rsidRPr="00452E2E">
        <w:rPr>
          <w:szCs w:val="24"/>
        </w:rPr>
        <w:fldChar w:fldCharType="end"/>
      </w:r>
      <w:r w:rsidRPr="00452E2E">
        <w:rPr>
          <w:szCs w:val="24"/>
        </w:rPr>
        <w:t xml:space="preserve"> was not supported. However, consistent with previous studies, there was a positive significant effect of procedural justice on affective commitment </w:t>
      </w:r>
      <w:r w:rsidRPr="00452E2E">
        <w:rPr>
          <w:szCs w:val="24"/>
        </w:rPr>
        <w:fldChar w:fldCharType="begin" w:fldLock="1"/>
      </w:r>
      <w:r w:rsidRPr="00452E2E">
        <w:rPr>
          <w:szCs w:val="24"/>
        </w:rPr>
        <w:instrText>ADDIN CSL_CITATION { "citationItems" : [ { "id" : "ITEM-1", "itemData" : { "DOI" : "10.1007/BF01419445", "ISBN" : "08927545", "ISSN" : "08927545", "PMID" : "9312281849", "abstract" : "This article presents information related to the relative contribution of perceptions of procedural justice in the prediction of organizational citizenship behavior (OCB). The search for the relationship between job attitudes and job performance has a long history. Lengthy reviews have reported numerous attempts to show definitively that job attitudes are related to or even cause job performance, yet most efforts, have resulted in only a weak relationship, far below that suggested by conventional wisdom. Organizational commitment describes the relative strength of an individual's identification with and involvement in a particular organization and has been suggested as an antecedent to OCB because it reflects an employee's willingness to aid the organization even if direct reward is not contingent upon that aid. Employees who demonstrate conscientiousness toward their work, try to prevent problems with other employees, inform others before taking important actions, and refrain from excessively complaining about work. They do so because the organization has treated them in a fair manner. Fairness invokes moral or quasimoral obligations that go beyond affective response.", "author" : [ { "dropping-particle" : "", "family" : "Moorman", "given" : "Robert H.", "non-dropping-particle" : "", "parse-names" : false, "suffix" : "" }, { "dropping-particle" : "", "family" : "Niehoff", "given" : "Brian P.", "non-dropping-particle" : "", "parse-names" : false, "suffix" : "" }, { "dropping-particle" : "", "family" : "Organ", "given" : "Dennis W.", "non-dropping-particle" : "", "parse-names" : false, "suffix" : "" } ], "container-title" : "Employee Responsibilities and Rights Journal", "id" : "ITEM-1", "issue" : "3", "issued" : { "date-parts" : [ [ "1993" ] ] }, "page" : "209-225", "title" : "Treating employees fairly and organizational citizenship behavior: Sorting the effects of job satisfaction, organizational commitment, and procedural justice", "type" : "article-journal", "volume" : "6" }, "uris" : [ "http://www.mendeley.com/documents/?uuid=ef833adf-0d87-4f0f-a296-8a5b4df85481" ] }, { "id" : "ITEM-2",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"ITEM-2", "issue" : "4", "issued" : { "date-parts" : [ [ "2000" ] ] }, "page" : "319-331", "title" : "HRM practices and organizational commitment: Test of a mediation model", "type" : "article-journal", "volume" : "17" }, "uris" : [ "http://www.mendeley.com/documents/?uuid=13e21476-e84f-4966-8457-f612c8f3bd5b" ] }, { "id" : "ITEM-3",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"ITEM-3",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"ITEM-4",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"ITEM-4", "issue" : "1", "issued" : { "date-parts" : [ [ "2011" ] ] }, "page" : "5-23", "title" : "High commitment performance management: the roles of justice and trust", "type" : "article-journal", "volume" : "40" }, "uris" : [ "http://www.mendeley.com/documents/?uuid=1d416136-441a-4178-a5d0-8f497239e9e4" ] }, { "id" : "ITEM-5",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"ITEM-5",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"(Moorman et al. 1993; Meyer &amp; Smith 2000; Wu &amp; Chaturvedi 2009; Farndale et al. 2011; Heffernan &amp; Dundon 2016)", "manualFormatting" : "(Moorman et al., 1993; Meyer &amp; Smith, 2000; Wu &amp; Chaturvedi, 2009; Farndale et al., 2011a; Heffernan &amp; Dundon, 2016)", "plainTextFormattedCitation" : "(Moorman et al. 1993; Meyer &amp; Smith 2000; Wu &amp; Chaturvedi 2009; Farndale et al. 2011; Heffernan &amp; Dundon 2016)", "previouslyFormattedCitation" : "(Moorman et al. 1993; Meyer &amp; Smith 2000; Wu &amp; Chaturvedi 2009; Farndale et al. 2011;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(Moorman </w:t>
      </w:r>
      <w:r w:rsidRPr="00452E2E">
        <w:rPr>
          <w:i/>
          <w:noProof/>
          <w:szCs w:val="24"/>
        </w:rPr>
        <w:t>et al</w:t>
      </w:r>
      <w:r w:rsidRPr="00452E2E">
        <w:rPr>
          <w:noProof/>
          <w:szCs w:val="24"/>
        </w:rPr>
        <w:t xml:space="preserve">., 1993; Meyer &amp; Smith, 2000; Wu &amp; Chaturvedi, 2009; Farndale </w:t>
      </w:r>
      <w:r w:rsidRPr="00452E2E">
        <w:rPr>
          <w:i/>
          <w:noProof/>
          <w:szCs w:val="24"/>
        </w:rPr>
        <w:t>et al</w:t>
      </w:r>
      <w:r w:rsidRPr="00452E2E">
        <w:rPr>
          <w:noProof/>
          <w:szCs w:val="24"/>
        </w:rPr>
        <w:t>., 2011</w:t>
      </w:r>
      <w:r w:rsidRPr="00452E2E">
        <w:rPr>
          <w:i/>
          <w:noProof/>
          <w:szCs w:val="24"/>
        </w:rPr>
        <w:t>a</w:t>
      </w:r>
      <w:r w:rsidRPr="00452E2E">
        <w:rPr>
          <w:noProof/>
          <w:szCs w:val="24"/>
        </w:rPr>
        <w:t>; Heffernan &amp; Dundon, 2016)</w:t>
      </w:r>
      <w:r w:rsidRPr="00452E2E">
        <w:rPr>
          <w:szCs w:val="24"/>
        </w:rPr>
        <w:fldChar w:fldCharType="end"/>
      </w:r>
      <w:r w:rsidRPr="00452E2E">
        <w:rPr>
          <w:szCs w:val="24"/>
        </w:rPr>
        <w:t xml:space="preserve"> and normative commitment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&amp; Smith, 2000)", "plainTextFormattedCitation" : "(Meyer &amp; Smith 2000)", "previouslyFormattedCitation" : "(Meyer &amp; Smith 2000)" }, "properties" : { "noteIndex" : 0 }, "schema" : "https://github.com/citation-style-language/schema/raw/master/csl-citation.json" }</w:instrText>
      </w:r>
      <w:r w:rsidRPr="00452E2E">
        <w:rPr>
          <w:szCs w:val="24"/>
        </w:rPr>
        <w:fldChar w:fldCharType="separate"/>
      </w:r>
      <w:r w:rsidRPr="00452E2E">
        <w:rPr>
          <w:noProof/>
          <w:szCs w:val="24"/>
        </w:rPr>
        <w:t>(Meyer &amp; Smith, 2000)</w:t>
      </w:r>
      <w:r w:rsidRPr="00452E2E">
        <w:rPr>
          <w:szCs w:val="24"/>
        </w:rPr>
        <w:fldChar w:fldCharType="end"/>
      </w:r>
      <w:r w:rsidRPr="00452E2E">
        <w:rPr>
          <w:szCs w:val="24"/>
        </w:rPr>
        <w:t xml:space="preserve">. </w:t>
      </w:r>
      <w:r w:rsidR="00765516" w:rsidRPr="00452E2E">
        <w:rPr>
          <w:szCs w:val="24"/>
        </w:rPr>
        <w:t>This means that the level of emotional attachment of public and private sector employees to their organizations is influenced by their fairness perceptions.</w:t>
      </w:r>
    </w:p>
    <w:p w:rsidR="00D03A8E" w:rsidRPr="00452E2E" w:rsidRDefault="00D03A8E" w:rsidP="00D03A8E">
      <w:pPr>
        <w:spacing w:line="360" w:lineRule="auto"/>
        <w:jc w:val="both"/>
        <w:rPr>
          <w:szCs w:val="24"/>
        </w:rPr>
      </w:pPr>
      <w:r w:rsidRPr="00452E2E">
        <w:rPr>
          <w:szCs w:val="24"/>
        </w:rPr>
        <w:t xml:space="preserve">The effect of procedural justice on normative commitment was however higher than the effect on affective commitment which means that in the context of public and private sector in Nigeria, employee perceptions of fairness of processes is more related to their feeling of obligation to remain with their organization than their emotional attachment to the organization. Meanwhile, the effect of procedural justice on continuance commitment was negative and consistent with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&amp; Smith's (2000)", "plainTextFormattedCitation" : "(Meyer &amp; Smith 2000)", "previouslyFormattedCitation" : "(Meyer &amp; Smith 2000)" }, "properties" : { "noteIndex" : 0 }, "schema" : "https://github.com/citation-style-language/schema/raw/master/csl-citation.json" }</w:instrText>
      </w:r>
      <w:r w:rsidRPr="00452E2E">
        <w:rPr>
          <w:szCs w:val="24"/>
        </w:rPr>
        <w:fldChar w:fldCharType="separate"/>
      </w:r>
      <w:r w:rsidRPr="00452E2E">
        <w:rPr>
          <w:noProof/>
          <w:szCs w:val="24"/>
        </w:rPr>
        <w:t>Meyer &amp; Smith's (2000)</w:t>
      </w:r>
      <w:r w:rsidRPr="00452E2E">
        <w:rPr>
          <w:szCs w:val="24"/>
        </w:rPr>
        <w:fldChar w:fldCharType="end"/>
      </w:r>
      <w:r w:rsidRPr="00452E2E">
        <w:rPr>
          <w:szCs w:val="24"/>
        </w:rPr>
        <w:t xml:space="preserve"> </w:t>
      </w:r>
      <w:r w:rsidRPr="00452E2E">
        <w:rPr>
          <w:noProof/>
          <w:szCs w:val="24"/>
        </w:rPr>
        <w:t>Canadian</w:t>
      </w:r>
      <w:r w:rsidRPr="00452E2E">
        <w:rPr>
          <w:szCs w:val="24"/>
        </w:rPr>
        <w:t xml:space="preserve"> study which further indicates the existence of social exchange relationship between employees and their organization rather than an economic exchange relationship </w:t>
      </w:r>
      <w:r w:rsidRPr="00452E2E">
        <w:rPr>
          <w:szCs w:val="24"/>
        </w:rPr>
        <w:fldChar w:fldCharType="begin" w:fldLock="1"/>
      </w:r>
      <w:r w:rsidRPr="00452E2E">
        <w:rPr>
          <w:szCs w:val="24"/>
        </w:rPr>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"id" : "ITEM-2", "itemData" : { "DOI" : "10.1037//0021-9010.87.4.698", "ISBN" : "0021-9010", "ISSN" : "0021-9010", "PMID" : "12130443", "author" : [ { "dropping-particle" : "", "family" : "Rhoades", "given" : "Linda", "non-dropping-particle" : "", "parse-names" : false, "suffix" : "" }, { "dropping-particle" : "", "family" : "Eisenberger", "given" : "Robert", "non-dropping-particle" : "", "parse-names" : false, "suffix" : "" } ], "container-title" : "Journal of Applied Psychology", "id" : "ITEM-2", "issue" : "4", "issued" : { "date-parts" : [ [ "2002" ] ] }, "page" : "698-714", "title" : "Perceived organizational support: A review of the literature", "type" : "article-journal", "volume" : "87" }, "uris" : [ "http://www.mendeley.com/documents/?uuid=05fa9f60-bc12-4704-b3af-d9801fb50251" ] } ], "mendeley" : { "formattedCitation" : "(Blau 1964; Rhoades &amp; Eisenberger 2002)", "manualFormatting" : "(Blau, 1964; Rhoades &amp; Eisenberger, 2002)", "plainTextFormattedCitation" : "(Blau 1964; Rhoades &amp; Eisenberger 2002)", "previouslyFormattedCitation" : "(Blau 1964; Rhoades &amp; Eisenberger 2002)" }, "properties" : { "noteIndex" : 0 }, "schema" : "https://github.com/citation-style-language/schema/raw/master/csl-citation.json" }</w:instrText>
      </w:r>
      <w:r w:rsidRPr="00452E2E">
        <w:rPr>
          <w:szCs w:val="24"/>
        </w:rPr>
        <w:fldChar w:fldCharType="separate"/>
      </w:r>
      <w:r w:rsidRPr="00452E2E">
        <w:rPr>
          <w:noProof/>
          <w:szCs w:val="24"/>
        </w:rPr>
        <w:t>(Blau, 1964; Rhoades &amp; Eisenberger, 2002)</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Results of the mediation effect of procedural justice on the relationship between HR practices and job satisfaction was not significant. This finding was inconsistent with results from previous studies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"ITEM-2",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"ITEM-3",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"ITEM-3", "issue" : "1", "issued" : { "date-parts" : [ [ "2011" ] ] }, "page" : "5-23", "title" : "High commitment performance management: the roles of justice and trust", "type" : "article-journal", "volume" : "40" }, "uris" : [ "http://www.mendeley.com/documents/?uuid=1d416136-441a-4178-a5d0-8f497239e9e4" ] }, { "id" : "ITEM-4",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"ITEM-4",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"(Meyer &amp; Smith 2000; Wu &amp; Chaturvedi 2009; Farndale et al. 2011; Heffernan &amp; Dundon 2016)", "manualFormatting" : "(Meyer &amp; Smith, 2000; Wu &amp; Chaturvedi, 2009; Farndale et al., 2011a; Heffernan &amp; Dundon, 2016)", "plainTextFormattedCitation" : "(Meyer &amp; Smith 2000; Wu &amp; Chaturvedi 2009; Farndale et al. 2011; Heffernan &amp; Dundon 2016)", "previouslyFormattedCitation" : "(Meyer &amp; Smith 2000; Wu &amp; Chaturvedi 2009; Farndale et al. 2011;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(Meyer &amp; Smith, 2000; Wu &amp; Chaturvedi, 2009; Farndale </w:t>
      </w:r>
      <w:r w:rsidRPr="00452E2E">
        <w:rPr>
          <w:i/>
          <w:noProof/>
          <w:szCs w:val="24"/>
        </w:rPr>
        <w:t>et al</w:t>
      </w:r>
      <w:r w:rsidRPr="00452E2E">
        <w:rPr>
          <w:noProof/>
          <w:szCs w:val="24"/>
        </w:rPr>
        <w:t>., 2011</w:t>
      </w:r>
      <w:r w:rsidRPr="00452E2E">
        <w:rPr>
          <w:i/>
          <w:noProof/>
          <w:szCs w:val="24"/>
        </w:rPr>
        <w:t>a</w:t>
      </w:r>
      <w:r w:rsidRPr="00452E2E">
        <w:rPr>
          <w:noProof/>
          <w:szCs w:val="24"/>
        </w:rPr>
        <w:t>; Heffernan &amp; Dundon, 2016)</w:t>
      </w:r>
      <w:r w:rsidRPr="00452E2E">
        <w:rPr>
          <w:szCs w:val="24"/>
        </w:rPr>
        <w:fldChar w:fldCharType="end"/>
      </w:r>
      <w:r w:rsidRPr="00452E2E">
        <w:rPr>
          <w:szCs w:val="24"/>
        </w:rPr>
        <w:t xml:space="preserve">, thereby suggesting that in the context of public and private sector in Nigeria, HR practices do not result </w:t>
      </w:r>
      <w:r w:rsidR="00392963" w:rsidRPr="00452E2E">
        <w:rPr>
          <w:szCs w:val="24"/>
        </w:rPr>
        <w:t>in</w:t>
      </w:r>
      <w:r w:rsidRPr="00452E2E">
        <w:rPr>
          <w:szCs w:val="24"/>
        </w:rPr>
        <w:t xml:space="preserve"> improved job satisfaction through employee perceptions of fairness. The effects of training and employee benefits on affective commitment, normative commitment and continuance commitment were however mediated by procedural justice. This </w:t>
      </w:r>
      <w:r w:rsidRPr="00452E2E">
        <w:rPr>
          <w:szCs w:val="24"/>
        </w:rPr>
        <w:lastRenderedPageBreak/>
        <w:t xml:space="preserve">finding is consistent with findings from previous studies establishing the mediation effect of procedural justice on the relationship between HR practices and affective commitment on one hand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"id" : "ITEM-2",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"ITEM-2",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"ITEM-3",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"ITEM-3", "issue" : "1", "issued" : { "date-parts" : [ [ "2011" ] ] }, "page" : "5-23", "title" : "High commitment performance management: the roles of justice and trust", "type" : "article-journal", "volume" : "40" }, "uris" : [ "http://www.mendeley.com/documents/?uuid=1d416136-441a-4178-a5d0-8f497239e9e4" ] }, { "id" : "ITEM-4",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"ITEM-4",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"(Meyer &amp; Smith 2000; Wu &amp; Chaturvedi 2009; Farndale et al. 2011; Heffernan &amp; Dundon 2016)", "manualFormatting" : "(Meyer &amp; Smith, 2000; Wu &amp; Chaturvedi, 2009; Farndale et al., 2011; Heffernan &amp; Dundon, 2016)", "plainTextFormattedCitation" : "(Meyer &amp; Smith 2000; Wu &amp; Chaturvedi 2009; Farndale et al. 2011; Heffernan &amp; Dundon 2016)", "previouslyFormattedCitation" : "(Meyer &amp; Smith 2000; Wu &amp; Chaturvedi 2009; Farndale et al. 2011; Heffernan &amp; Dundon 2016)" }, "properties" : { "noteIndex" : 0 }, "schema" : "https://github.com/citation-style-language/schema/raw/master/csl-citation.json" }</w:instrText>
      </w:r>
      <w:r w:rsidRPr="00452E2E">
        <w:rPr>
          <w:szCs w:val="24"/>
        </w:rPr>
        <w:fldChar w:fldCharType="separate"/>
      </w:r>
      <w:r w:rsidRPr="00452E2E">
        <w:rPr>
          <w:noProof/>
          <w:szCs w:val="24"/>
        </w:rPr>
        <w:t xml:space="preserve">(Meyer &amp; Smith, 2000; Wu &amp; Chaturvedi, 2009; Farndale </w:t>
      </w:r>
      <w:r w:rsidRPr="00452E2E">
        <w:rPr>
          <w:i/>
          <w:noProof/>
          <w:szCs w:val="24"/>
        </w:rPr>
        <w:t>et al</w:t>
      </w:r>
      <w:r w:rsidRPr="00452E2E">
        <w:rPr>
          <w:noProof/>
          <w:szCs w:val="24"/>
        </w:rPr>
        <w:t>., 2011; Heffernan &amp; Dundon, 2016)</w:t>
      </w:r>
      <w:r w:rsidRPr="00452E2E">
        <w:rPr>
          <w:szCs w:val="24"/>
        </w:rPr>
        <w:fldChar w:fldCharType="end"/>
      </w:r>
      <w:r w:rsidRPr="00452E2E">
        <w:rPr>
          <w:szCs w:val="24"/>
        </w:rPr>
        <w:t xml:space="preserve">, and normative commitment on the other </w:t>
      </w:r>
      <w:r w:rsidRPr="00452E2E">
        <w:rPr>
          <w:szCs w:val="24"/>
        </w:rPr>
        <w:fldChar w:fldCharType="begin" w:fldLock="1"/>
      </w:r>
      <w:r w:rsidRPr="00452E2E">
        <w:rPr>
          <w:szCs w:val="24"/>
        </w:rPr>
        <w:instrText>ADDIN CSL_CITATION { "citationItems" : [ { "id" : "ITEM-1", "itemData" : { "DOI" : "Article", "ISBN" : "1936-4490", "ISSN" : "0825-0383", "abstract" : "This study was conducted to examine the mechanisms involved in observed relations between human resource management (HRM) practices and employee commitment. Employees (N = 281) from several organizations completed a survey that included measures of (a) the quality of HRM practices pertaining to performance appraisal, benefits, training, and career development used in their organizations, (b) procedural justice and organizational support, and (c) affective, continuance, and normative commitment to the organization. Structural equation modeling analyses revealed that relations between employees' evaluations of HRM practices and their affective and normative commitment were largely mediated by perceptions of organizational support and procedural justice. These findings support previous claims that, although HRM practices can be valuable tools in the establishment and maintenance of employee commitment their effects are neither direct nor unconditional.", "author" : [ { "dropping-particle" : "", "family" : "Meyer", "given" : "J. P.", "non-dropping-particle" : "", "parse-names" : false, "suffix" : "" }, { "dropping-particle" : "", "family" : "Smith", "given" : "C. A.", "non-dropping-particle" : "", "parse-names" : false, "suffix" : "" } ], "container-title" : "Canadian Journal of Administrative Sciences", "id" : "ITEM-1", "issue" : "4", "issued" : { "date-parts" : [ [ "2000" ] ] }, "page" : "319-331", "title" : "HRM practices and organizational commitment: Test of a mediation model", "type" : "article-journal", "volume" : "17" }, "uris" : [ "http://www.mendeley.com/documents/?uuid=13e21476-e84f-4966-8457-f612c8f3bd5b" ] } ], "mendeley" : { "formattedCitation" : "(Meyer &amp; Smith 2000)", "manualFormatting" : "(Meyer &amp; Smith, 2000)", "plainTextFormattedCitation" : "(Meyer &amp; Smith 2000)", "previouslyFormattedCitation" : "(Meyer &amp; Smith 2000)" }, "properties" : { "noteIndex" : 0 }, "schema" : "https://github.com/citation-style-language/schema/raw/master/csl-citation.json" }</w:instrText>
      </w:r>
      <w:r w:rsidRPr="00452E2E">
        <w:rPr>
          <w:szCs w:val="24"/>
        </w:rPr>
        <w:fldChar w:fldCharType="separate"/>
      </w:r>
      <w:r w:rsidRPr="00452E2E">
        <w:rPr>
          <w:noProof/>
          <w:szCs w:val="24"/>
        </w:rPr>
        <w:t>(Meyer &amp; Smith, 2000)</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Consistent with social exchange </w:t>
      </w:r>
      <w:r w:rsidRPr="00452E2E">
        <w:rPr>
          <w:szCs w:val="24"/>
        </w:rPr>
        <w:fldChar w:fldCharType="begin" w:fldLock="1"/>
      </w:r>
      <w:r w:rsidRPr="00452E2E">
        <w:rPr>
          <w:szCs w:val="24"/>
        </w:rPr>
        <w:instrText>ADDIN CSL_CITATION { "citationItems" : [ { "id" : "ITEM-1", "itemData" : { "author" : [ { "dropping-particle" : "", "family" : "Blau", "given" : "P", "non-dropping-particle" : "", "parse-names" : false, "suffix" : "" } ], "id" : "ITEM-1", "issued" : { "date-parts" : [ [ "1964" ] ] }, "publisher" : "John Wiley", "publisher-place" : "New York", "title" : "Exchange and power in social life", "type" : "book" }, "uris" : [ "http://www.mendeley.com/documents/?uuid=57b21b41-b530-4c9e-8fee-fdf4011112d4" ] }, { "id" : "ITEM-2", "itemData" : { "DOI" : "10.1037//0021-9010.87.4.698", "ISBN" : "0021-9010", "ISSN" : "0021-9010", "PMID" : "12130443", "author" : [ { "dropping-particle" : "", "family" : "Rhoades", "given" : "Linda", "non-dropping-particle" : "", "parse-names" : false, "suffix" : "" }, { "dropping-particle" : "", "family" : "Eisenberger", "given" : "Robert", "non-dropping-particle" : "", "parse-names" : false, "suffix" : "" } ], "container-title" : "Journal of Applied Psychology", "id" : "ITEM-2", "issue" : "4", "issued" : { "date-parts" : [ [ "2002" ] ] }, "page" : "698-714", "title" : "Perceived organizational support: A review of the literature", "type" : "article-journal", "volume" : "87" }, "uris" : [ "http://www.mendeley.com/documents/?uuid=05fa9f60-bc12-4704-b3af-d9801fb50251" ] } ], "mendeley" : { "formattedCitation" : "(Blau 1964; Rhoades &amp; Eisenberger 2002)", "manualFormatting" : "(Blau, 1964; Rhoades &amp; Eisenberger, 2002)", "plainTextFormattedCitation" : "(Blau 1964; Rhoades &amp; Eisenberger 2002)", "previouslyFormattedCitation" : "(Blau 1964; Rhoades &amp; Eisenberger 2002)" }, "properties" : { "noteIndex" : 0 }, "schema" : "https://github.com/citation-style-language/schema/raw/master/csl-citation.json" }</w:instrText>
      </w:r>
      <w:r w:rsidRPr="00452E2E">
        <w:rPr>
          <w:szCs w:val="24"/>
        </w:rPr>
        <w:fldChar w:fldCharType="separate"/>
      </w:r>
      <w:r w:rsidRPr="00452E2E">
        <w:rPr>
          <w:noProof/>
          <w:szCs w:val="24"/>
        </w:rPr>
        <w:t>(Blau, 1964; Rhoades &amp; Eisenberger, 2002)</w:t>
      </w:r>
      <w:r w:rsidRPr="00452E2E">
        <w:rPr>
          <w:szCs w:val="24"/>
        </w:rPr>
        <w:fldChar w:fldCharType="end"/>
      </w:r>
      <w:r w:rsidRPr="00452E2E">
        <w:rPr>
          <w:szCs w:val="24"/>
        </w:rPr>
        <w:t>, the mediation effect of procedural justice on the relationship between training as well as employee benefits and continuance commitment was significant but negative. Meanwhile, the effect of employee participation on the three components of organizational commitment was however not mediated by procedural justice. This means that in both public and private sector in Nigeria, the perception of fairness was important in the relationship between training as well as employee benefits and organizational commitment components. This was however not the case with employee participation</w:t>
      </w:r>
      <w:r w:rsidR="00DD7795" w:rsidRPr="00452E2E">
        <w:rPr>
          <w:szCs w:val="24"/>
        </w:rPr>
        <w:t>,</w:t>
      </w:r>
      <w:r w:rsidRPr="00452E2E">
        <w:rPr>
          <w:szCs w:val="24"/>
        </w:rPr>
        <w:t xml:space="preserve"> perhaps as a result of differences in fairness perceptions on this relationship in public and private sector. </w:t>
      </w:r>
    </w:p>
    <w:p w:rsidR="00D03A8E" w:rsidRPr="00452E2E" w:rsidRDefault="00D03A8E" w:rsidP="00D03A8E">
      <w:pPr>
        <w:spacing w:line="360" w:lineRule="auto"/>
        <w:jc w:val="both"/>
        <w:rPr>
          <w:szCs w:val="24"/>
        </w:rPr>
      </w:pPr>
      <w:r w:rsidRPr="00452E2E">
        <w:rPr>
          <w:szCs w:val="24"/>
        </w:rPr>
        <w:t xml:space="preserve">Further, results of the moderation effect of sector on the relationship between HR practices and employee attitudes through procedural justice indicate that the mediation effect of procedural justice on the relationship between HR practices and job satisfaction, normative commitment and continuance commitment was not influenced by sector. This means that there was no significant differences between public and private sector employees in terms of the effects of HR practices on each of job satisfaction, normative commitment and continuance commitment through procedural justice. It was however the mediation effect of procedural justice on the relationship between HR practices and affective commitment that was moderated by sector, with the effect higher in the public sector for all the three HR practices. </w:t>
      </w:r>
      <w:r w:rsidR="00F86AB0" w:rsidRPr="00452E2E">
        <w:rPr>
          <w:szCs w:val="24"/>
        </w:rPr>
        <w:t>E</w:t>
      </w:r>
      <w:r w:rsidRPr="00452E2E">
        <w:rPr>
          <w:szCs w:val="24"/>
        </w:rPr>
        <w:t xml:space="preserve">mployee perceptions of procedural justice was higher in the public sector which in turn resulted </w:t>
      </w:r>
      <w:r w:rsidR="004B63D0" w:rsidRPr="00452E2E">
        <w:rPr>
          <w:szCs w:val="24"/>
        </w:rPr>
        <w:t>in</w:t>
      </w:r>
      <w:r w:rsidRPr="00452E2E">
        <w:rPr>
          <w:szCs w:val="24"/>
        </w:rPr>
        <w:t xml:space="preserve"> a higher mediation effect of procedural justice on the relationship between all the three HR practices and affective commitment. </w:t>
      </w:r>
    </w:p>
    <w:p w:rsidR="00D03A8E" w:rsidRPr="00452E2E" w:rsidRDefault="00D03A8E" w:rsidP="00D03A8E">
      <w:pPr>
        <w:spacing w:line="360" w:lineRule="auto"/>
        <w:jc w:val="both"/>
        <w:rPr>
          <w:szCs w:val="24"/>
        </w:rPr>
      </w:pPr>
      <w:r w:rsidRPr="00452E2E">
        <w:rPr>
          <w:szCs w:val="24"/>
        </w:rPr>
        <w:t xml:space="preserve">This finding is unsurprising since as findings from study 1 indicate, public sector managers were more likely to consult employees on workplace decisions whilst the relative strength of trade unions in the public sector as also evidenced in study 1 means that employees have the opportunity to influence decisions at the higher </w:t>
      </w:r>
      <w:r w:rsidRPr="00452E2E">
        <w:rPr>
          <w:szCs w:val="24"/>
        </w:rPr>
        <w:lastRenderedPageBreak/>
        <w:t xml:space="preserve">level in the public sector. </w:t>
      </w:r>
      <w:r w:rsidRPr="00452E2E">
        <w:t xml:space="preserve">Of course, when employees have the opportunity to influence decisions, they are more likely to accept the outcome of the decision thereby increasing their procedural justice perceptions </w:t>
      </w:r>
      <w:r w:rsidRPr="00452E2E">
        <w:fldChar w:fldCharType="begin" w:fldLock="1"/>
      </w:r>
      <w:r w:rsidRPr="00452E2E">
        <w:instrText>ADDIN CSL_CITATION { "citationItems" : [ { "id" : "ITEM-1", "itemData" : { "DOI" : "10.1108/00483481111095492", "ISBN" : "0520130073", "ISSN" : "0048-3486", "abstract" : "Purpose \u2013 The purpose of this paper is to explore the relationship between employees' perceptions of a particular subsystem of HRM practices (performance management) and their commitment to the organisation. In addition, the study seeks to examine the mechanisms by which these perceptions translate into employee attitudes and behaviours. Design/methodology/approach \u2013 A total of 524 questionnaire responses were collected from four organisations in the UK. Findings \u2013 The findings show that the link between employee experiences of high commitment performance management (HCPM) practices and their level of commitment is strongly mediated by related perceptions of organisational justice. In addition, the level of employee trust in the organisation is a significant moderator. Research limitations/implications \u2013 This is a cross-sectional study based on self-report data, which limits the reliability of the findings. The findings may also be specific to a particular context. However, the results by company support their generalisability. Practical implications \u2013 The findings lead one to believe that it is essential to observe the actual experiences of HCPM practices and outcomes at employee level, and to consider the broader organisational context, if one is to understand their effects on performance. Originality/value \u2013 When exploring the impact of high commitment work practices on firm performance, little attention has been paid to the employee perspective: employees ultimately are the recipients of an organisation's HRM practices, and as such their perceptions of these practices affect their attitudes and behaviour in th", "author" : [ { "dropping-particle" : "", "family" : "Farndale", "given" : "Elaine", "non-dropping-particle" : "", "parse-names" : false, "suffix" : "" }, { "dropping-particle" : "", "family" : "Hope-Hailey", "given" : "Veronica", "non-dropping-particle" : "", "parse-names" : false, "suffix" : "" }, { "dropping-particle" : "", "family" : "Kelliher", "given" : "Clare", "non-dropping-particle" : "", "parse-names" : false, "suffix" : "" } ], "container-title" : "Personnel Review", "id" : "ITEM-1", "issue" : "1", "issued" : { "date-parts" : [ [ "2011" ] ] }, "page" : "5-23", "title" : "High commitment performance management: the roles of justice and trust", "type" : "article-journal", "volume" : "40" }, "uris" : [ "http://www.mendeley.com/documents/?uuid=1d416136-441a-4178-a5d0-8f497239e9e4" ] } ], "mendeley" : { "formattedCitation" : "(Farndale et al. 2011)", "manualFormatting" : "(Farndale et al., 2011a)", "plainTextFormattedCitation" : "(Farndale et al. 2011)", "previouslyFormattedCitation" : "(Farndale et al. 2011)" }, "properties" : { "noteIndex" : 0 }, "schema" : "https://github.com/citation-style-language/schema/raw/master/csl-citation.json" }</w:instrText>
      </w:r>
      <w:r w:rsidRPr="00452E2E">
        <w:fldChar w:fldCharType="separate"/>
      </w:r>
      <w:r w:rsidRPr="00452E2E">
        <w:rPr>
          <w:noProof/>
        </w:rPr>
        <w:t xml:space="preserve">(Farndale </w:t>
      </w:r>
      <w:r w:rsidRPr="00452E2E">
        <w:rPr>
          <w:i/>
          <w:noProof/>
        </w:rPr>
        <w:t>et al</w:t>
      </w:r>
      <w:r w:rsidRPr="00452E2E">
        <w:rPr>
          <w:noProof/>
        </w:rPr>
        <w:t>., 2011</w:t>
      </w:r>
      <w:r w:rsidRPr="00452E2E">
        <w:rPr>
          <w:i/>
          <w:noProof/>
        </w:rPr>
        <w:t>a</w:t>
      </w:r>
      <w:r w:rsidRPr="00452E2E">
        <w:rPr>
          <w:noProof/>
        </w:rPr>
        <w:t>)</w:t>
      </w:r>
      <w:r w:rsidRPr="00452E2E">
        <w:fldChar w:fldCharType="end"/>
      </w:r>
      <w:r w:rsidRPr="00452E2E">
        <w:t xml:space="preserve">. This suggests that whilst HR practices contribute to affective commitment through procedural justice, this relationship is stronger in contexts where there are avenues for employee consultation and collective participation. </w:t>
      </w:r>
      <w:r w:rsidR="003F0A50" w:rsidRPr="00452E2E">
        <w:t>The evidence from the public and private sector in Nigeria suggests</w:t>
      </w:r>
      <w:r w:rsidR="00F87D4F" w:rsidRPr="00452E2E">
        <w:t xml:space="preserve"> that employee perceptions of </w:t>
      </w:r>
      <w:r w:rsidR="003F0A50" w:rsidRPr="00452E2E">
        <w:t>procedural justice</w:t>
      </w:r>
      <w:r w:rsidR="00F87D4F" w:rsidRPr="00452E2E">
        <w:t xml:space="preserve"> is more likely in institutional contexts where </w:t>
      </w:r>
      <w:r w:rsidR="003F0A50" w:rsidRPr="00452E2E">
        <w:t>collective participation is encouraged (Paauwe &amp; Boselie, 2007) and where employers adhere to labour laws.</w:t>
      </w:r>
    </w:p>
    <w:p w:rsidR="00D03A8E" w:rsidRPr="00452E2E" w:rsidRDefault="00D03A8E" w:rsidP="00D03A8E">
      <w:pPr>
        <w:spacing w:line="360" w:lineRule="auto"/>
        <w:jc w:val="both"/>
      </w:pPr>
      <w:r w:rsidRPr="00452E2E">
        <w:t xml:space="preserve">Although the mediation effect of procedural justice on the relationship between each of the three HR practices (training, employee benefits and employee participation) on affective commitment was significantly moderated by sector, a noteworthy finding is the case of employee participation. Across the whole sample, the mediation effect of procedural justice on the relationship between employee participation and affective commitment was not significant. However, with the introduction of sector in the model, the relationship became significant and stronger in the public sector. There are two implications of this finding that need to be highlighted: First, the significant mediation effect of procedural justice in the public sector was cancelled out by the non-significant mediation effect of procedural justice on this relationship in the private sector, thereby resulting </w:t>
      </w:r>
      <w:r w:rsidR="00174A02" w:rsidRPr="00452E2E">
        <w:t>in</w:t>
      </w:r>
      <w:r w:rsidRPr="00452E2E">
        <w:t xml:space="preserve"> an overall non-significant mediation effect. Second, and perhaps most importantly, the higher mediation effect of procedural justice on the relationship between employee participation and affective in the public sector suggests that employees are more likely to have positive perceptions of direct employee participation and fairness of processes where there are avenues for them to engage in collective participation in the shape of trade unions </w:t>
      </w:r>
      <w:r w:rsidRPr="00452E2E">
        <w:fldChar w:fldCharType="begin" w:fldLock="1"/>
      </w:r>
      <w:r w:rsidRPr="00452E2E">
        <w:instrText>ADDIN CSL_CITATION { "citationItems" : [ { "id" : "ITEM-1", "itemData" : { "abstract" : "This paper brings a comparative aspect to the analysis of direct involvement as the foundation for partnership. It considers how various forms of direct involvement can represent components of a broader partnership paradigm of people management, or a limited shallow partnership concession to facilitate the diffusion of top-down human resource management policies. Through the use of survey evidence, we explore the settings in which involvement is more likely to be encountered. Contrary to predictions in much of the literature as to their universal applicability, we found that they tended to be concentrated in specific locales, organisational types and sectors, as part and parcel of wider cooperative production paradigms; in practical terms, if involvement is a prerequisite for meaningful partnership, then the latter is more likely to be encountered in more coordinated varieties of capitalism. This does not suggest, however, that \u2018shallow\u2019 or instrumentalist partnerships do not occur, or that in infertile ground genuine partnerships are not possible. On one hand, national variations encountered were broadly on the lines of the literature on comparative capitalism. On the other hand, there was much diversity within national settings; we identify the contexts in which such engagement is more or less likely and consider the implications.", "author" : [ { "dropping-particle" : "", "family" : "Brewster", "given" : "Chris", "non-dropping-particle" : "", "parse-names" : false, "suffix" : "" }, { "dropping-particle" : "", "family" : "Brookes", "given" : "Michael", "non-dropping-particle" : "", "parse-names" : false, "suffix" : "" }, { "dropping-particle" : "", "family" : "Johnson", "given" : "Phil", "non-dropping-particle" : "", "parse-names" : false, "suffix" : "" }, { "dropping-particle" : "", "family" : "Wood", "given" : "Geoffrey", "non-dropping-particle" : "", "parse-names" : false, "suffix" : "" } ], "container-title" : "The International Journal of Human Resource Management", "id" : "ITEM-1", "issue" : "6", "issued" : { "date-parts" : [ [ "2014" ] ] }, "page" : "795-809", "title" : "Direct involvement, partnership and setting: A study in bounded diversity", "type" : "article-journal", "volume" : "25" }, "uris" : [ "http://www.mendeley.com/documents/?uuid=e20c0258-4a3f-4b03-bcbb-2f7953a311a9" ] } ], "mendeley" : { "formattedCitation" : "(Brewster et al. 2014)", "manualFormatting" : "(Brewster et al., 2014)", "plainTextFormattedCitation" : "(Brewster et al. 2014)", "previouslyFormattedCitation" : "(Brewster et al. 2014)" }, "properties" : { "noteIndex" : 0 }, "schema" : "https://github.com/citation-style-language/schema/raw/master/csl-citation.json" }</w:instrText>
      </w:r>
      <w:r w:rsidRPr="00452E2E">
        <w:fldChar w:fldCharType="separate"/>
      </w:r>
      <w:r w:rsidRPr="00452E2E">
        <w:rPr>
          <w:noProof/>
        </w:rPr>
        <w:t xml:space="preserve">(Brewster </w:t>
      </w:r>
      <w:r w:rsidRPr="00452E2E">
        <w:rPr>
          <w:i/>
          <w:noProof/>
        </w:rPr>
        <w:t>et al</w:t>
      </w:r>
      <w:r w:rsidRPr="00452E2E">
        <w:rPr>
          <w:noProof/>
        </w:rPr>
        <w:t>., 2014)</w:t>
      </w:r>
      <w:r w:rsidRPr="00452E2E">
        <w:fldChar w:fldCharType="end"/>
      </w:r>
      <w:r w:rsidRPr="00452E2E">
        <w:t>.</w:t>
      </w:r>
    </w:p>
    <w:p w:rsidR="00D03A8E" w:rsidRPr="00452E2E" w:rsidRDefault="00D03A8E" w:rsidP="00D03A8E">
      <w:pPr>
        <w:pStyle w:val="Heading4"/>
      </w:pPr>
      <w:bookmarkStart w:id="224" w:name="_Toc473808204"/>
      <w:r w:rsidRPr="00452E2E">
        <w:t>8.4.2 The mediating Role of HR Attributions and the Moderation Effect of Sector</w:t>
      </w:r>
      <w:bookmarkEnd w:id="224"/>
    </w:p>
    <w:p w:rsidR="00D03A8E" w:rsidRPr="00452E2E" w:rsidRDefault="00D03A8E" w:rsidP="00D03A8E">
      <w:pPr>
        <w:spacing w:line="360" w:lineRule="auto"/>
        <w:jc w:val="both"/>
        <w:rPr>
          <w:szCs w:val="24"/>
        </w:rPr>
      </w:pPr>
      <w:r w:rsidRPr="00452E2E">
        <w:rPr>
          <w:szCs w:val="24"/>
        </w:rPr>
        <w:t>The indirect effect</w:t>
      </w:r>
      <w:r w:rsidR="00D00F32" w:rsidRPr="00452E2E">
        <w:rPr>
          <w:szCs w:val="24"/>
        </w:rPr>
        <w:t>s</w:t>
      </w:r>
      <w:r w:rsidRPr="00452E2E">
        <w:rPr>
          <w:szCs w:val="24"/>
        </w:rPr>
        <w:t xml:space="preserve"> of HR practices on employee attitudes through HR attributions was examined whilst the moderation effect of sector on this relationship was further examined. This relationship was tested for each of the three forms of HR attributions:</w:t>
      </w:r>
      <w:r w:rsidRPr="00452E2E">
        <w:t xml:space="preserve"> </w:t>
      </w:r>
      <w:r w:rsidRPr="00452E2E">
        <w:rPr>
          <w:szCs w:val="24"/>
        </w:rPr>
        <w:t xml:space="preserve">commitment-focused HR attribution, control-focused HR attribution </w:t>
      </w:r>
      <w:r w:rsidRPr="00452E2E">
        <w:rPr>
          <w:szCs w:val="24"/>
        </w:rPr>
        <w:lastRenderedPageBreak/>
        <w:t xml:space="preserve">and union compliance HR attribution. Findings indicate that the effect of commitment-focused HR attribution on job satisfaction was significant. This indicates that the level of job satisfaction of both public and private sector employees in Nigeria will increase when they perceive that the HR practices implemented in their organizations were due to management’s desire to improve service delivery and employee wellbeing </w:t>
      </w:r>
      <w:r w:rsidRPr="00452E2E">
        <w:rPr>
          <w:szCs w:val="24"/>
        </w:rPr>
        <w:fldChar w:fldCharType="begin" w:fldLock="1"/>
      </w:r>
      <w:r w:rsidRPr="00452E2E">
        <w:rPr>
          <w:szCs w:val="24"/>
        </w:rPr>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Pr="00452E2E">
        <w:rPr>
          <w:szCs w:val="24"/>
        </w:rPr>
        <w:fldChar w:fldCharType="separate"/>
      </w:r>
      <w:r w:rsidRPr="00452E2E">
        <w:rPr>
          <w:noProof/>
          <w:szCs w:val="24"/>
        </w:rPr>
        <w:t xml:space="preserve">(Nishii </w:t>
      </w:r>
      <w:r w:rsidRPr="00452E2E">
        <w:rPr>
          <w:i/>
          <w:noProof/>
          <w:szCs w:val="24"/>
        </w:rPr>
        <w:t>et al</w:t>
      </w:r>
      <w:r w:rsidRPr="00452E2E">
        <w:rPr>
          <w:noProof/>
          <w:szCs w:val="24"/>
        </w:rPr>
        <w:t>., 2008)</w:t>
      </w:r>
      <w:r w:rsidRPr="00452E2E">
        <w:rPr>
          <w:szCs w:val="24"/>
        </w:rPr>
        <w:fldChar w:fldCharType="end"/>
      </w:r>
      <w:r w:rsidRPr="00452E2E">
        <w:rPr>
          <w:szCs w:val="24"/>
        </w:rPr>
        <w:t xml:space="preserve">. However, contrary to findings from previous studies </w:t>
      </w:r>
      <w:r w:rsidRPr="00452E2E">
        <w:rPr>
          <w:szCs w:val="24"/>
        </w:rPr>
        <w:fldChar w:fldCharType="begin" w:fldLock="1"/>
      </w:r>
      <w:r w:rsidRPr="00452E2E">
        <w:rPr>
          <w:szCs w:val="24"/>
        </w:rPr>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"id" : "ITEM-2", "itemData" : { "DOI" : "10.1108/00483481211263773", "ISBN" : "0967073051059", "ISSN" : "0048-3486", "abstract" : "Purpose - Outsourced information technology (IT) workers establish two\\ndifferent employment relationships: one with the outsourcing company\\nthat hires them and another with the client organization where they work\\ndaily. The attitudes that an employee has towards both organisations may\\nbe influenced by the interpretations or attributions that employees make\\nabout the reasons behind the human resource (HR) management practices\\nimplemented by the outsourcing company. This paper aims to propose that\\ncommitment-focused HR attributions are positively and control-focused HR\\nattributions are negatively related to the affective commitment to the\\nclient organization, through the affective commitment to the outsourcing\\ncompany.\\nDesign/methodology/approach - These hypotheses were tested with a sample\\nof 158 highly skilled outsourced employees from the IT sector. Data were\\nanalyzed with structural equation modeling (SEM).\\nFindings - The paper's hypotheses were supported. It can conclude that,\\nif an employee interprets the HR practices as part of a\\ncommitment-focused strategy of the outsourcing company, it has clear\\nattitudinal benefits. The study found that the relationship between HR\\nattributions and the commitment to the client organization is mediated\\nby the commitment to the outsourcing company.\\nPractical implications - These findings hint at the critical role of\\noutsourcing companies in managing the careers of these highly marketable\\nemployees.\\nOriginality/value - This paper is the first to apply the concept of FIR\\nattributions to contingent employment literature in general and to\\noutsourced IT workers in particular.", "author" : [ { "dropping-particle" : "", "family" : "Fontinha", "given" : "Rita", "non-dropping-particle" : "", "parse-names" : false, "suffix" : "" }, { "dropping-particle" : "", "family" : "Chambel", "given" : "Maria Jos\u00e9", "non-dropping-particle" : "", "parse-names" : false, "suffix" : "" }, { "dropping-particle" : "", "family" : "Cuyper", "given" : "Nele", "non-dropping-particle" : "De", "parse-names" : false, "suffix" : "" } ], "container-title" : "Personnel Review", "id" : "ITEM-2", "issue" : "6", "issued" : { "date-parts" : [ [ "2012" ] ] }, "page" : "832-848", "title" : "HR attributions and the dual commitment of outsourced IT workers", "type" : "article-journal", "volume" : "41" }, "uris" : [ "http://www.mendeley.com/documents/?uuid=67ff7303-a6b6-4f91-a508-6180e24dc1ea" ] }, { "id" : "ITEM-3", "itemData" : { "DOI" : "10.1111/1748-8583.12062", "ISSN" : "17488583", "abstract" : "Although research has shown that the use of high-performance work systems (HPWS) is associated withemployee outcomes, our knowledge of the meanings employees attach to HPWS systems and how theseshape employee outcomes is still limited. This study examines the signalling impact of enacted HPWSon HR well-being and HR performance attributions, and how these influence happiness- andhealth-related outcomes. Using multilevel data (1,065 employees nested within 150 work units) obtainedfrom multiple sources (line managers and employees), our results show that coverage of HPWS waspositively associated with the two HR attributions. In addition, HR well-being attributions wereassociated with higher levels of commitment and lower levels of job strain. HR performance attributionswere associated with higher levels of job strain. The findings of this study highlight the importance oftaking into account how employees attach meaning to enacted HPWS in order to predict employeeoutcomes", "author" : [ { "dropping-particle" : "", "family" : "Voorde", "given" : "Karina", "non-dropping-particle" : "Van De", "parse-names" : false, "suffix" : "" }, { "dropping-particle" : "", "family" : "Beijer", "given" : "Susanne", "non-dropping-particle" : "", "parse-names" : false, "suffix" : "" } ], "container-title" : "Human Resource Management Journal", "id" : "ITEM-3", "issue" : "1", "issued" : { "date-parts" : [ [ "2015" ] ] }, "page" : "62-78", "title" : "The role of employee HR attributions in the relationship between high-performance work systems and employee outcomes", "type" : "article-journal", "volume" : "25" }, "uris" : [ "http://www.mendeley.com/documents/?uuid=e2f399b0-0251-453a-a087-aab0e363793b" ] } ], "mendeley" : { "formattedCitation" : "(Nishii et al. 2008; Fontinha et al. 2012; Van De Voorde &amp; Beijer 2015)", "manualFormatting" : "(Nishii et al., 2008; Fontinha et al., 2012; Van De Voorde &amp; Beijer, 2015)", "plainTextFormattedCitation" : "(Nishii et al. 2008; Fontinha et al. 2012; Van De Voorde &amp; Beijer 2015)", "previouslyFormattedCitation" : "(Nishii et al. 2008; Fontinha et al. 2012; Van De Voorde &amp; Beijer 2015)" }, "properties" : { "noteIndex" : 0 }, "schema" : "https://github.com/citation-style-language/schema/raw/master/csl-citation.json" }</w:instrText>
      </w:r>
      <w:r w:rsidRPr="00452E2E">
        <w:rPr>
          <w:szCs w:val="24"/>
        </w:rPr>
        <w:fldChar w:fldCharType="separate"/>
      </w:r>
      <w:r w:rsidRPr="00452E2E">
        <w:rPr>
          <w:noProof/>
          <w:szCs w:val="24"/>
        </w:rPr>
        <w:t xml:space="preserve">(Nishii </w:t>
      </w:r>
      <w:r w:rsidRPr="00452E2E">
        <w:rPr>
          <w:i/>
          <w:noProof/>
          <w:szCs w:val="24"/>
        </w:rPr>
        <w:t>et al</w:t>
      </w:r>
      <w:r w:rsidRPr="00452E2E">
        <w:rPr>
          <w:noProof/>
          <w:szCs w:val="24"/>
        </w:rPr>
        <w:t xml:space="preserve">., 2008; Fontinha </w:t>
      </w:r>
      <w:r w:rsidRPr="00452E2E">
        <w:rPr>
          <w:i/>
          <w:noProof/>
          <w:szCs w:val="24"/>
        </w:rPr>
        <w:t>et al</w:t>
      </w:r>
      <w:r w:rsidRPr="00452E2E">
        <w:rPr>
          <w:noProof/>
          <w:szCs w:val="24"/>
        </w:rPr>
        <w:t>., 2012; Van De Voorde &amp; Beijer, 2015)</w:t>
      </w:r>
      <w:r w:rsidRPr="00452E2E">
        <w:rPr>
          <w:szCs w:val="24"/>
        </w:rPr>
        <w:fldChar w:fldCharType="end"/>
      </w:r>
      <w:r w:rsidRPr="00452E2E">
        <w:rPr>
          <w:szCs w:val="24"/>
        </w:rPr>
        <w:t xml:space="preserve">, the effect of commitment-focused HR attribution on affective commitment was not significant and so was this relationship on normative and continuance commitment. This suggests that based on the context of the research, whilst commitment-focused HR attribution can result to positive attitudes towards the job, it is not a significant factor in employees’ decision to remain with the organization. </w:t>
      </w:r>
    </w:p>
    <w:p w:rsidR="00E77552" w:rsidRPr="00452E2E" w:rsidRDefault="00D03A8E" w:rsidP="00D03A8E">
      <w:pPr>
        <w:spacing w:line="360" w:lineRule="auto"/>
        <w:jc w:val="both"/>
        <w:rPr>
          <w:szCs w:val="24"/>
        </w:rPr>
      </w:pPr>
      <w:r w:rsidRPr="00452E2E">
        <w:rPr>
          <w:szCs w:val="24"/>
        </w:rPr>
        <w:t xml:space="preserve">The mediation effect of commitment-focused HR attribution on the relationship between HR practices and employee attitudes was examined. Results indicate that whilst the relationship between employee participation on job satisfaction was mediated by commitment-focused HR attribution, the effects of training as well as employee benefits on job satisfaction was not mediated by commitment-focused HR attribution. In fact, results presented in table 7.14 (chapter 7) indicate that commitment-focused HR attribution had 75.4% effect on the relationship between employee participation and job satisfaction. This means that the relationship between employee participation and job satisfaction will improve when employees perceive that the HR practices they encounter were due to the desire of management to improve service delivery and employee wellbeing; however, this was not the case with training and employee benefits. </w:t>
      </w:r>
    </w:p>
    <w:p w:rsidR="00D03A8E" w:rsidRPr="00452E2E" w:rsidRDefault="00D03A8E" w:rsidP="00D03A8E">
      <w:pPr>
        <w:spacing w:line="360" w:lineRule="auto"/>
        <w:jc w:val="both"/>
        <w:rPr>
          <w:szCs w:val="24"/>
        </w:rPr>
      </w:pPr>
      <w:r w:rsidRPr="00452E2E">
        <w:rPr>
          <w:szCs w:val="24"/>
        </w:rPr>
        <w:t xml:space="preserve">So what could be responsible for this? A plausible explanation for this would be that on one hand, when employees encounter HR practices such as training or employee benefits, they </w:t>
      </w:r>
      <w:r w:rsidR="00BC27F4" w:rsidRPr="00452E2E">
        <w:rPr>
          <w:szCs w:val="24"/>
        </w:rPr>
        <w:t>receive</w:t>
      </w:r>
      <w:r w:rsidRPr="00452E2E">
        <w:rPr>
          <w:szCs w:val="24"/>
        </w:rPr>
        <w:t xml:space="preserve"> favour</w:t>
      </w:r>
      <w:r w:rsidR="00BC27F4" w:rsidRPr="00452E2E">
        <w:rPr>
          <w:szCs w:val="24"/>
        </w:rPr>
        <w:t>s</w:t>
      </w:r>
      <w:r w:rsidRPr="00452E2E">
        <w:rPr>
          <w:szCs w:val="24"/>
        </w:rPr>
        <w:t xml:space="preserve"> from the organization. On the other hand, and in the case of employee participation – direct participation as conceptualized in this study – employees rather give back to the organization by contributing their knowledge and skills to decisions affecting their work. Whilst this form of participation, based on theories of job design </w:t>
      </w:r>
      <w:r w:rsidRPr="00452E2E">
        <w:rPr>
          <w:szCs w:val="24"/>
        </w:rPr>
        <w:fldChar w:fldCharType="begin" w:fldLock="1"/>
      </w:r>
      <w:r w:rsidRPr="00452E2E">
        <w:rPr>
          <w:szCs w:val="24"/>
        </w:rPr>
        <w:instrText>ADDIN CSL_CITATION { "citationItems" : [ { "id" : "ITEM-1", "itemData" : { "author" : [ { "dropping-particle" : "", "family" : "Hackman", "given" : "J.R", "non-dropping-particle" : "", "parse-names" : false, "suffix" : "" }, { "dropping-particle" : "", "family" : "Oldham", "given" : "G.R", "non-dropping-particle" : "", "parse-names" : false, "suffix" : "" } ], "container-title" : "Organizational Behavior and Human Performance", "id" : "ITEM-1", "issued" : { "date-parts" : [ [ "1976" ] ] }, "page" : "250-279", "title" : "Motivation through the design of work: Test of a theory", "type" : "article-journal", "volume" : "16" }, "uris" : [ "http://www.mendeley.com/documents/?uuid=25d7e8f5-4b88-44c2-8bd0-7508e92120ab" ] } ], "mendeley" : { "formattedCitation" : "(Hackman &amp; Oldham 1976)", "manualFormatting" : "(Hackman &amp; Oldham, 1976)", "plainTextFormattedCitation" : "(Hackman &amp; Oldham 1976)", "previouslyFormattedCitation" : "(Hackman &amp; Oldham 1976)" }, "properties" : { "noteIndex" : 0 }, "schema" : "https://github.com/citation-style-language/schema/raw/master/csl-citation.json" }</w:instrText>
      </w:r>
      <w:r w:rsidRPr="00452E2E">
        <w:rPr>
          <w:szCs w:val="24"/>
        </w:rPr>
        <w:fldChar w:fldCharType="separate"/>
      </w:r>
      <w:r w:rsidRPr="00452E2E">
        <w:rPr>
          <w:noProof/>
          <w:szCs w:val="24"/>
        </w:rPr>
        <w:t>(Hackman &amp; Oldham, 1976)</w:t>
      </w:r>
      <w:r w:rsidRPr="00452E2E">
        <w:rPr>
          <w:szCs w:val="24"/>
        </w:rPr>
        <w:fldChar w:fldCharType="end"/>
      </w:r>
      <w:r w:rsidRPr="00452E2E">
        <w:rPr>
          <w:szCs w:val="24"/>
        </w:rPr>
        <w:t xml:space="preserve">, can </w:t>
      </w:r>
      <w:r w:rsidRPr="00452E2E">
        <w:rPr>
          <w:szCs w:val="24"/>
        </w:rPr>
        <w:lastRenderedPageBreak/>
        <w:t xml:space="preserve">make work more meaningful to employees thereby resulting </w:t>
      </w:r>
      <w:r w:rsidR="00267EEB" w:rsidRPr="00452E2E">
        <w:rPr>
          <w:szCs w:val="24"/>
        </w:rPr>
        <w:t>in</w:t>
      </w:r>
      <w:r w:rsidRPr="00452E2E">
        <w:rPr>
          <w:szCs w:val="24"/>
        </w:rPr>
        <w:t xml:space="preserve"> job satisfaction </w:t>
      </w:r>
      <w:r w:rsidRPr="00452E2E">
        <w:rPr>
          <w:szCs w:val="24"/>
        </w:rPr>
        <w:fldChar w:fldCharType="begin" w:fldLock="1"/>
      </w:r>
      <w:r w:rsidRPr="00452E2E">
        <w:rPr>
          <w:szCs w:val="24"/>
        </w:rPr>
        <w:instrText>ADDIN CSL_CITATION { "citationItems" : [ { "id" : "ITEM-1", "itemData" : { "DOI" : "10.1177/0734371X03259860", "ISSN" : "0734371X", "abstract" : "A structural equationmodel was proposed to analyze the impact of employee participation and job characteristics on job satisfaction. The current study found that participative decision making has a significant positive effect on performance feedback, task significance, and career development support. Performance feedback was positively related to job specificity and career development support. Task significance and career development support were, in turn, positively related to job satisfaction. These findings suggest that participation has an important, albeit indirect, effect on employee job satisfaction through its influence on job characteristics. The implications of these findings for public management are discussed.", "author" : [ { "dropping-particle" : "", "family" : "Wright", "given" : "Bradley E.", "non-dropping-particle" : "", "parse-names" : false, "suffix" : "" }, { "dropping-particle" : "", "family" : "Kim", "given" : "Soonhee", "non-dropping-particle" : "", "parse-names" : false, "suffix" : "" } ], "container-title" : "Review of Public Personnel Administration", "id" : "ITEM-1", "issue" : "1", "issued" : { "date-parts" : [ [ "2004" ] ] }, "page" : "18-40", "title" : "Participation\u2019s influence on job satisfaction: The importance of job characteristics", "type" : "article-journal", "volume" : "24" }, "uris" : [ "http://www.mendeley.com/documents/?uuid=f9388bfd-2ff6-4d74-b346-2e3a599951d0" ] } ], "mendeley" : { "formattedCitation" : "(Wright &amp; Kim 2004)", "manualFormatting" : "(Wright &amp; Kim, 2004)", "plainTextFormattedCitation" : "(Wright &amp; Kim 2004)", "previouslyFormattedCitation" : "(Wright &amp; Kim 2004)" }, "properties" : { "noteIndex" : 0 }, "schema" : "https://github.com/citation-style-language/schema/raw/master/csl-citation.json" }</w:instrText>
      </w:r>
      <w:r w:rsidRPr="00452E2E">
        <w:rPr>
          <w:szCs w:val="24"/>
        </w:rPr>
        <w:fldChar w:fldCharType="separate"/>
      </w:r>
      <w:r w:rsidRPr="00452E2E">
        <w:rPr>
          <w:noProof/>
          <w:szCs w:val="24"/>
        </w:rPr>
        <w:t>(Wright &amp; Kim, 2004)</w:t>
      </w:r>
      <w:r w:rsidRPr="00452E2E">
        <w:rPr>
          <w:szCs w:val="24"/>
        </w:rPr>
        <w:fldChar w:fldCharType="end"/>
      </w:r>
      <w:r w:rsidRPr="00452E2E">
        <w:rPr>
          <w:szCs w:val="24"/>
        </w:rPr>
        <w:t xml:space="preserve">, there is evidence that it can also result </w:t>
      </w:r>
      <w:r w:rsidR="007B1AAD" w:rsidRPr="00452E2E">
        <w:rPr>
          <w:szCs w:val="24"/>
        </w:rPr>
        <w:t>in</w:t>
      </w:r>
      <w:r w:rsidRPr="00452E2E">
        <w:rPr>
          <w:szCs w:val="24"/>
        </w:rPr>
        <w:t xml:space="preserve"> work intensification and heightened stress levels </w:t>
      </w:r>
      <w:r w:rsidRPr="00452E2E">
        <w:rPr>
          <w:szCs w:val="24"/>
        </w:rPr>
        <w:fldChar w:fldCharType="begin" w:fldLock="1"/>
      </w:r>
      <w:r w:rsidRPr="00452E2E">
        <w:rPr>
          <w:szCs w:val="24"/>
        </w:rPr>
        <w:instrText>ADDIN CSL_CITATION { "citationItems" : [ { "id" : "ITEM-1", "itemData" : { "ISBN" : "9780191584817", "author" : [ { "dropping-particle" : "", "family" : "Wilkinson", "given" : "Adrian", "non-dropping-particle" : "", "parse-names" : false, "suffix" : "" }, { "dropping-particle" : "", "family" : "Dundon", "given" : "Tony", "non-dropping-particle" : "", "parse-names" : false, "suffix" : "" } ], "container-title" : "The Oxford handbook of participation in organizations", "editor" : [ { "dropping-particle" : "", "family" : "Gollan", "given" : "Paul J.", "non-dropping-particle" : "", "parse-names" : false, "suffix" : "" }, { "dropping-particle" : "", "family" : "Lewin", "given" : "David", "non-dropping-particle" : "", "parse-names" : false, "suffix" : "" }, { "dropping-particle" : "", "family" : "Marchington", "given" : "Mick", "non-dropping-particle" : "", "parse-names" : false, "suffix" : "" }, { "dropping-particle" : "", "family" : "Wilkinson", "given" : "Adrian", "non-dropping-particle" : "", "parse-names" : false, "suffix" : "" } ], "id" : "ITEM-1", "issued" : { "date-parts" : [ [ "2010" ] ] }, "publisher" : "Oxford University Press", "publisher-place" : "Oxford", "title" : "Direct employee participation", "type" : "chapter" }, "uris" : [ "http://www.mendeley.com/documents/?uuid=13d745d4-7527-476e-9c98-d760aa6c02da" ] }, { "id" : "ITEM-2", "itemData" : { "abstract" : "Using a national population survey, this article examines how high-involvement work processes affect employee well-being. The analysis shows that greater experiences of autonomy and participation in decision-making have positive or neutral effects. Higher involvement is a key factor predicting higher job satisfaction and better work\u2013life balance while it has no relationship to stress or fatigue. In contrast, higher levels of work intensity increase fatigue and stress and undermine work\u2013life balance. If the quality of working life is a key objective in a reform based on greater employee involvement, close attention needs to be paid to the balance between processes that release human potential and those that increase the intensity of work. Keywords", "author" : [ { "dropping-particle" : "", "family" : "Boxall", "given" : "Peter", "non-dropping-particle" : "", "parse-names" : false, "suffix" : "" }, { "dropping-particle" : "", "family" : "Macky", "given" : "Keith", "non-dropping-particle" : "", "parse-names" : false, "suffix" : "" } ], "container-title" : "Work, Employment &amp; Society", "id" : "ITEM-2", "issue" : "6", "issued" : { "date-parts" : [ [ "2014" ] ] }, "page" : "963-984", "title" : "High-involvement work process, work intensification and employee well-being", "type" : "article-journal", "volume" : "28" }, "uris" : [ "http://www.mendeley.com/documents/?uuid=676e6816-0c74-4d96-b5f0-7e364ff2d3fc" ] } ], "mendeley" : { "formattedCitation" : "(Wilkinson &amp; Dundon 2010; Boxall &amp; Macky 2014)", "manualFormatting" : "(Boxall &amp; Macky, 2014)", "plainTextFormattedCitation" : "(Wilkinson &amp; Dundon 2010; Boxall &amp; Macky 2014)", "previouslyFormattedCitation" : "(Wilkinson &amp; Dundon 2010; Boxall &amp; Macky 2014)" }, "properties" : { "noteIndex" : 0 }, "schema" : "https://github.com/citation-style-language/schema/raw/master/csl-citation.json" }</w:instrText>
      </w:r>
      <w:r w:rsidRPr="00452E2E">
        <w:rPr>
          <w:szCs w:val="24"/>
        </w:rPr>
        <w:fldChar w:fldCharType="separate"/>
      </w:r>
      <w:r w:rsidRPr="00452E2E">
        <w:rPr>
          <w:noProof/>
          <w:szCs w:val="24"/>
        </w:rPr>
        <w:t>(Boxall &amp; Macky, 2014)</w:t>
      </w:r>
      <w:r w:rsidRPr="00452E2E">
        <w:rPr>
          <w:szCs w:val="24"/>
        </w:rPr>
        <w:fldChar w:fldCharType="end"/>
      </w:r>
      <w:r w:rsidRPr="00452E2E">
        <w:rPr>
          <w:szCs w:val="24"/>
        </w:rPr>
        <w:t>. Therefore, when employees have course to believe that their participation in workplace decisions is borne out of the desire of management to improve service delivery and employee well</w:t>
      </w:r>
      <w:r w:rsidR="00CF12F9" w:rsidRPr="00452E2E">
        <w:rPr>
          <w:szCs w:val="24"/>
        </w:rPr>
        <w:t>-</w:t>
      </w:r>
      <w:r w:rsidRPr="00452E2E">
        <w:rPr>
          <w:szCs w:val="24"/>
        </w:rPr>
        <w:t xml:space="preserve">being rather than out of a </w:t>
      </w:r>
      <w:r w:rsidR="00F06B5F" w:rsidRPr="00452E2E">
        <w:rPr>
          <w:szCs w:val="24"/>
        </w:rPr>
        <w:t>motivation</w:t>
      </w:r>
      <w:r w:rsidRPr="00452E2E">
        <w:rPr>
          <w:szCs w:val="24"/>
        </w:rPr>
        <w:t xml:space="preserve"> to reduce cost and exploit employees, this may result </w:t>
      </w:r>
      <w:r w:rsidR="007B1AAD" w:rsidRPr="00452E2E">
        <w:rPr>
          <w:szCs w:val="24"/>
        </w:rPr>
        <w:t>in</w:t>
      </w:r>
      <w:r w:rsidRPr="00452E2E">
        <w:rPr>
          <w:szCs w:val="24"/>
        </w:rPr>
        <w:t xml:space="preserve"> positive job satisfaction </w:t>
      </w:r>
      <w:r w:rsidRPr="00452E2E">
        <w:rPr>
          <w:szCs w:val="24"/>
        </w:rPr>
        <w:fldChar w:fldCharType="begin" w:fldLock="1"/>
      </w:r>
      <w:r w:rsidRPr="00452E2E">
        <w:rPr>
          <w:szCs w:val="24"/>
        </w:rPr>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Pr="00452E2E">
        <w:rPr>
          <w:szCs w:val="24"/>
        </w:rPr>
        <w:fldChar w:fldCharType="separate"/>
      </w:r>
      <w:r w:rsidRPr="00452E2E">
        <w:rPr>
          <w:noProof/>
          <w:szCs w:val="24"/>
        </w:rPr>
        <w:t xml:space="preserve">(Nishii </w:t>
      </w:r>
      <w:r w:rsidRPr="00452E2E">
        <w:rPr>
          <w:i/>
          <w:noProof/>
          <w:szCs w:val="24"/>
        </w:rPr>
        <w:t>et al</w:t>
      </w:r>
      <w:r w:rsidRPr="00452E2E">
        <w:rPr>
          <w:noProof/>
          <w:szCs w:val="24"/>
        </w:rPr>
        <w:t>., 2008)</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Meanwhile, the effect of HR practices on affective, normative and continuance commitment was not mediated by commitment-focused HR attribution. This </w:t>
      </w:r>
      <w:r w:rsidR="009E1561" w:rsidRPr="00452E2E">
        <w:rPr>
          <w:szCs w:val="24"/>
        </w:rPr>
        <w:t>suggests</w:t>
      </w:r>
      <w:r w:rsidRPr="00452E2E">
        <w:rPr>
          <w:szCs w:val="24"/>
        </w:rPr>
        <w:t xml:space="preserve"> that </w:t>
      </w:r>
      <w:r w:rsidR="006426BD" w:rsidRPr="00452E2E">
        <w:rPr>
          <w:szCs w:val="24"/>
        </w:rPr>
        <w:t>the perception of</w:t>
      </w:r>
      <w:r w:rsidR="00C626CB" w:rsidRPr="00452E2E">
        <w:rPr>
          <w:szCs w:val="24"/>
        </w:rPr>
        <w:t xml:space="preserve"> </w:t>
      </w:r>
      <w:r w:rsidRPr="00452E2E">
        <w:rPr>
          <w:szCs w:val="24"/>
        </w:rPr>
        <w:t xml:space="preserve">commitment-focused HR attribution was not </w:t>
      </w:r>
      <w:r w:rsidR="00EB1E06" w:rsidRPr="00452E2E">
        <w:rPr>
          <w:szCs w:val="24"/>
        </w:rPr>
        <w:t>i</w:t>
      </w:r>
      <w:r w:rsidR="00C626CB" w:rsidRPr="00452E2E">
        <w:rPr>
          <w:szCs w:val="24"/>
        </w:rPr>
        <w:t>mportant to the extent of</w:t>
      </w:r>
      <w:r w:rsidR="00EB1E06" w:rsidRPr="00452E2E">
        <w:rPr>
          <w:szCs w:val="24"/>
        </w:rPr>
        <w:t xml:space="preserve"> </w:t>
      </w:r>
      <w:r w:rsidR="00C626CB" w:rsidRPr="00452E2E">
        <w:rPr>
          <w:szCs w:val="24"/>
        </w:rPr>
        <w:t>influencing</w:t>
      </w:r>
      <w:r w:rsidR="00EB1E06" w:rsidRPr="00452E2E">
        <w:rPr>
          <w:szCs w:val="24"/>
        </w:rPr>
        <w:t xml:space="preserve"> the relationship between HR practices and</w:t>
      </w:r>
      <w:r w:rsidRPr="00452E2E">
        <w:rPr>
          <w:szCs w:val="24"/>
        </w:rPr>
        <w:t xml:space="preserve"> organizational commitment within the context of </w:t>
      </w:r>
      <w:r w:rsidR="00C626CB" w:rsidRPr="00452E2E">
        <w:rPr>
          <w:szCs w:val="24"/>
        </w:rPr>
        <w:t xml:space="preserve">the public and private sector in </w:t>
      </w:r>
      <w:r w:rsidRPr="00452E2E">
        <w:rPr>
          <w:szCs w:val="24"/>
        </w:rPr>
        <w:t xml:space="preserve">Nigeria. Further, results of the moderation effect of sector on the relationship between HR practices and employee attitudes through commitment-focused HR attribution was not significant. This means that the mediation effect of commitment-focused HR attributions on the relationship between HR practices and each of job satisfaction, affective, normative and continuance commitment was not contingent on sector. </w:t>
      </w:r>
    </w:p>
    <w:p w:rsidR="00D82C7C" w:rsidRPr="00452E2E" w:rsidRDefault="00D03A8E" w:rsidP="00D03A8E">
      <w:pPr>
        <w:spacing w:line="360" w:lineRule="auto"/>
        <w:jc w:val="both"/>
        <w:rPr>
          <w:szCs w:val="24"/>
        </w:rPr>
      </w:pPr>
      <w:r w:rsidRPr="00452E2E">
        <w:rPr>
          <w:szCs w:val="24"/>
        </w:rPr>
        <w:t xml:space="preserve">Findings on the effect of control-focused HR attribution on job satisfaction, affective commitment and continuance commitment were not significant. This means that contrary to results from previous studies </w:t>
      </w:r>
      <w:r w:rsidRPr="00452E2E">
        <w:rPr>
          <w:szCs w:val="24"/>
        </w:rPr>
        <w:fldChar w:fldCharType="begin" w:fldLock="1"/>
      </w:r>
      <w:r w:rsidRPr="00452E2E">
        <w:rPr>
          <w:szCs w:val="24"/>
        </w:rPr>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Pr="00452E2E">
        <w:rPr>
          <w:szCs w:val="24"/>
        </w:rPr>
        <w:fldChar w:fldCharType="separate"/>
      </w:r>
      <w:r w:rsidRPr="00452E2E">
        <w:rPr>
          <w:noProof/>
          <w:szCs w:val="24"/>
        </w:rPr>
        <w:t xml:space="preserve">(Nishii </w:t>
      </w:r>
      <w:r w:rsidRPr="00452E2E">
        <w:rPr>
          <w:i/>
          <w:noProof/>
          <w:szCs w:val="24"/>
        </w:rPr>
        <w:t>et al</w:t>
      </w:r>
      <w:r w:rsidRPr="00452E2E">
        <w:rPr>
          <w:noProof/>
          <w:szCs w:val="24"/>
        </w:rPr>
        <w:t>., 2008)</w:t>
      </w:r>
      <w:r w:rsidRPr="00452E2E">
        <w:rPr>
          <w:szCs w:val="24"/>
        </w:rPr>
        <w:fldChar w:fldCharType="end"/>
      </w:r>
      <w:r w:rsidRPr="00452E2E">
        <w:rPr>
          <w:szCs w:val="24"/>
        </w:rPr>
        <w:t xml:space="preserve">, within the context of Nigeria, employee perceptions that HR practices were implemented as a means of cost reduction and employee exploitation is not significantly related to job satisfaction and affective commitment; and so is it not significantly related to continuance commitment. However, counter-intuitively, the effect of control-focused HR attribution on normative commitment was positive and significant. This means that in the context of Nigeria, employee perceptions that HR practices were implemented as a means of cost reduction and employee exploitation was positively associated with their felt obligations to remain with their organizations. This may be due to the fact that in </w:t>
      </w:r>
      <w:r w:rsidR="005574E3" w:rsidRPr="00452E2E">
        <w:rPr>
          <w:szCs w:val="24"/>
        </w:rPr>
        <w:t>some</w:t>
      </w:r>
      <w:r w:rsidRPr="00452E2E">
        <w:rPr>
          <w:szCs w:val="24"/>
        </w:rPr>
        <w:t xml:space="preserve"> organizations in Nigeria, some HR practices such as training and employee benefits may be tied to the tenure of employees with the organization.  </w:t>
      </w:r>
      <w:r w:rsidR="00D82C7C" w:rsidRPr="00452E2E">
        <w:rPr>
          <w:szCs w:val="24"/>
        </w:rPr>
        <w:t xml:space="preserve"> </w:t>
      </w:r>
      <w:r w:rsidR="005574E3" w:rsidRPr="00452E2E">
        <w:rPr>
          <w:szCs w:val="24"/>
        </w:rPr>
        <w:t xml:space="preserve"> </w:t>
      </w:r>
    </w:p>
    <w:p w:rsidR="00D03A8E" w:rsidRPr="00452E2E" w:rsidRDefault="0038614F" w:rsidP="00D03A8E">
      <w:pPr>
        <w:spacing w:line="360" w:lineRule="auto"/>
        <w:jc w:val="both"/>
        <w:rPr>
          <w:szCs w:val="24"/>
        </w:rPr>
      </w:pPr>
      <w:r w:rsidRPr="00452E2E">
        <w:rPr>
          <w:szCs w:val="24"/>
        </w:rPr>
        <w:lastRenderedPageBreak/>
        <w:t xml:space="preserve">In Nigeria, </w:t>
      </w:r>
      <w:r w:rsidR="00D03A8E" w:rsidRPr="00452E2E">
        <w:rPr>
          <w:szCs w:val="24"/>
        </w:rPr>
        <w:t xml:space="preserve">there </w:t>
      </w:r>
      <w:r w:rsidR="005574E3" w:rsidRPr="00452E2E">
        <w:rPr>
          <w:szCs w:val="24"/>
        </w:rPr>
        <w:t>may be</w:t>
      </w:r>
      <w:r w:rsidR="00D03A8E" w:rsidRPr="00452E2E">
        <w:rPr>
          <w:szCs w:val="24"/>
        </w:rPr>
        <w:t xml:space="preserve"> instances where employees are required to commit their services to their organizations for a specified number of years as a result of the organization’s investment in their training. Similarly, employees may be under obligation to remain with their organizations in order for the organization to recoup their investment in providing certain employee benefits such as soft loans that are deductible from the wages of employees. In essence, whilst employees may recognise that such practices are aimed at cost reduction and are exploitative in nature, they nevertheless feel compelled or obligated to remain with their organization, thereby leading to a positive association between control-focused HR attribution and normative commitment. This is perhaps the result of the exploitation of labour in many African workplaces due to the continued dependence of employees on their employers earlier highlighted </w:t>
      </w:r>
      <w:r w:rsidR="00D03A8E" w:rsidRPr="00452E2E">
        <w:rPr>
          <w:szCs w:val="24"/>
        </w:rPr>
        <w:fldChar w:fldCharType="begin" w:fldLock="1"/>
      </w:r>
      <w:r w:rsidR="00D03A8E" w:rsidRPr="00452E2E">
        <w:rPr>
          <w:szCs w:val="24"/>
        </w:rPr>
        <w:instrText>ADDIN CSL_CITATION { "citationItems" : [ { "id" : "ITEM-1", "itemData" : { "author" : [ { "dropping-particle" : "", "family" : "Bischoff", "given" : "Christine", "non-dropping-particle" : "", "parse-names" : false, "suffix" : "" }, { "dropping-particle" : "", "family" : "Wood", "given" : "Geoffrey", "non-dropping-particle" : "", "parse-names" : false, "suffix" : "" } ], "container-title" : "Handbook of research on comparative human resource management", "editor" : [ { "dropping-particle" : "", "family" : "Brewster", "given" : "Chris", "non-dropping-particle" : "", "parse-names" : false, "suffix" : "" }, { "dropping-particle" : "", "family" : "Mayrhofer", "given" : "Wolfgang", "non-dropping-particle" : "", "parse-names" : false, "suffix" : "" } ], "id" : "ITEM-1", "issued" : { "date-parts" : [ [ "2012" ] ] }, "page" : "495-511", "publisher" : "Edward Elgar", "publisher-place" : "Cheltenham, UK", "title" : "The practice of HRM in Africa in comparative perspective", "type" : "chapter" }, "uris" : [ "http://www.mendeley.com/documents/?uuid=c50d4f41-3d16-4383-bbfc-941b6ffeeb24" ] } ], "mendeley" : { "formattedCitation" : "(Bischoff &amp; Wood 2012)", "manualFormatting" : "(Bischoff &amp; Wood, 2012)", "plainTextFormattedCitation" : "(Bischoff &amp; Wood 2012)", "previouslyFormattedCitation" : "(Bischoff &amp; Wood 2012)" }, "properties" : { "noteIndex" : 0 }, "schema" : "https://github.com/citation-style-language/schema/raw/master/csl-citation.json" }</w:instrText>
      </w:r>
      <w:r w:rsidR="00D03A8E" w:rsidRPr="00452E2E">
        <w:rPr>
          <w:szCs w:val="24"/>
        </w:rPr>
        <w:fldChar w:fldCharType="separate"/>
      </w:r>
      <w:r w:rsidR="00D03A8E" w:rsidRPr="00452E2E">
        <w:rPr>
          <w:noProof/>
          <w:szCs w:val="24"/>
        </w:rPr>
        <w:t>(Bischoff &amp; Wood, 2012)</w:t>
      </w:r>
      <w:r w:rsidR="00D03A8E" w:rsidRPr="00452E2E">
        <w:rPr>
          <w:szCs w:val="24"/>
        </w:rPr>
        <w:fldChar w:fldCharType="end"/>
      </w:r>
      <w:r w:rsidR="00D03A8E" w:rsidRPr="00452E2E">
        <w:rPr>
          <w:szCs w:val="24"/>
        </w:rPr>
        <w:t xml:space="preserve">. </w:t>
      </w:r>
      <w:r w:rsidRPr="00452E2E">
        <w:rPr>
          <w:szCs w:val="24"/>
        </w:rPr>
        <w:t xml:space="preserve">Nevertheless, the interaction effect of tenure and HR practices on normative commitment could be examined in future research </w:t>
      </w:r>
      <w:r w:rsidR="00F47FE1" w:rsidRPr="00452E2E">
        <w:rPr>
          <w:szCs w:val="24"/>
        </w:rPr>
        <w:t xml:space="preserve">to establish whether the relationship between </w:t>
      </w:r>
      <w:r w:rsidRPr="00452E2E">
        <w:rPr>
          <w:szCs w:val="24"/>
        </w:rPr>
        <w:t xml:space="preserve">HR practices and normative commitment is influenced by tenure. </w:t>
      </w:r>
    </w:p>
    <w:p w:rsidR="00D03A8E" w:rsidRPr="00452E2E" w:rsidRDefault="00D03A8E" w:rsidP="00D03A8E">
      <w:pPr>
        <w:spacing w:line="360" w:lineRule="auto"/>
        <w:jc w:val="both"/>
        <w:rPr>
          <w:szCs w:val="24"/>
        </w:rPr>
      </w:pPr>
      <w:r w:rsidRPr="00452E2E">
        <w:rPr>
          <w:szCs w:val="24"/>
        </w:rPr>
        <w:t xml:space="preserve">On the mediation effect of control-focused HR attribution on the relationship between HR practices and employees, findings indicate that for each of the HR practices and employee attitudes, the mediation effect was not significant. This indicates that the effect of HR practices on employee attitudes is not affected through the influence of </w:t>
      </w:r>
      <w:r w:rsidR="004C56F8" w:rsidRPr="00452E2E">
        <w:rPr>
          <w:szCs w:val="24"/>
        </w:rPr>
        <w:t xml:space="preserve">control-focused HR attribution. </w:t>
      </w:r>
      <w:r w:rsidRPr="00452E2E">
        <w:rPr>
          <w:szCs w:val="24"/>
        </w:rPr>
        <w:t xml:space="preserve">Similarly, this relationship was non-significant when sector was added to the model as a moderator. Nevertheless, the null hypotheses that the mediation effect of control-focused HR attribution on the relationship between HR practices and each of the employee attitudes will be the same in both public and private sector was supported. Although not statistically significant, this indicates that both public and </w:t>
      </w:r>
      <w:r w:rsidR="000C3D1C" w:rsidRPr="00452E2E">
        <w:rPr>
          <w:szCs w:val="24"/>
        </w:rPr>
        <w:t xml:space="preserve">private sector </w:t>
      </w:r>
      <w:r w:rsidRPr="00452E2E">
        <w:rPr>
          <w:szCs w:val="24"/>
        </w:rPr>
        <w:t xml:space="preserve">employees in Nigeria had perceptions of some elements of cost reduction and employee exploitation embedded in the HR practices they experienced. This finding reflects the position taken by critical HRM researchers who argue that in reality, the distinction between commitment and control models of HRM is still a matter of rhetorics </w:t>
      </w:r>
      <w:r w:rsidRPr="00452E2E">
        <w:rPr>
          <w:szCs w:val="24"/>
        </w:rPr>
        <w:fldChar w:fldCharType="begin" w:fldLock="1"/>
      </w:r>
      <w:r w:rsidRPr="00452E2E">
        <w:rPr>
          <w:szCs w:val="24"/>
        </w:rPr>
        <w:instrText>ADDIN CSL_CITATION { "citationItems" : [ { "id" : "ITEM-1", "itemData" : { "author" : [ { "dropping-particle" : "", "family" : "Legge", "given" : "Karen", "non-dropping-particle" : "", "parse-names" : false, "suffix" : "" } ], "edition" : "Anniversar", "id" : "ITEM-1", "issued" : { "date-parts" : [ [ "2005" ] ] }, "publisher" : "Palgrave macmillan", "publisher-place" : "Basingstoke", "title" : "Human resource management: rhetorics and realities", "type" : "book" }, "uris" : [ "http://www.mendeley.com/documents/?uuid=d6259ab7-de87-4dd8-a03b-d68c91a8d8f8" ] }, { "id" : "ITEM-2", "itemData" : { "author"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"container-title" : "The Oxford handbook of employment relations", "editor" : [ { "dropping-particle" : "", "family" : "Wilkinson", "given" : "Adrian", "non-dropping-particle" : "", "parse-names" : false, "suffix" : "" }, { "dropping-particle" : "", "family" : "Wood", "given" : "Geoffrey", "non-dropping-particle" : "", "parse-names" : false, "suffix" : "" }, { "dropping-particle" : "", "family" : "Deeg", "given" : "Richard", "non-dropping-particle" : "", "parse-names" : false, "suffix" : "" } ], "id" : "ITEM-2", "issued" : { "date-parts" : [ [ "2014" ] ] }, "page" : "1-20", "publisher" : "Oxford University Press", "publisher-place" : "New York", "title" : "Comparative employment systems", "type" : "chapter" }, "uris" : [ "http://www.mendeley.com/documents/?uuid=ad3f875f-66d8-49a6-9fdf-d1f22f2b5b51" ] } ], "mendeley" : { "formattedCitation" : "(Legge 2005; Wilkinson et al. 2014)", "manualFormatting" : "(Legge, 2005; Wilkinson et al., 2014)", "plainTextFormattedCitation" : "(Legge 2005; Wilkinson et al. 2014)", "previouslyFormattedCitation" : "(Legge 2005; Wilkinson et al. 2014)" }, "properties" : { "noteIndex" : 0 }, "schema" : "https://github.com/citation-style-language/schema/raw/master/csl-citation.json" }</w:instrText>
      </w:r>
      <w:r w:rsidRPr="00452E2E">
        <w:rPr>
          <w:szCs w:val="24"/>
        </w:rPr>
        <w:fldChar w:fldCharType="separate"/>
      </w:r>
      <w:r w:rsidRPr="00452E2E">
        <w:rPr>
          <w:noProof/>
          <w:szCs w:val="24"/>
        </w:rPr>
        <w:t xml:space="preserve">(Legge, 2005; Wilkinson </w:t>
      </w:r>
      <w:r w:rsidRPr="00452E2E">
        <w:rPr>
          <w:i/>
          <w:noProof/>
          <w:szCs w:val="24"/>
        </w:rPr>
        <w:t>et al</w:t>
      </w:r>
      <w:r w:rsidRPr="00452E2E">
        <w:rPr>
          <w:noProof/>
          <w:szCs w:val="24"/>
        </w:rPr>
        <w:t>., 2014)</w:t>
      </w:r>
      <w:r w:rsidRPr="00452E2E">
        <w:rPr>
          <w:szCs w:val="24"/>
        </w:rPr>
        <w:fldChar w:fldCharType="end"/>
      </w:r>
      <w:r w:rsidRPr="00452E2E">
        <w:rPr>
          <w:szCs w:val="24"/>
        </w:rPr>
        <w:t xml:space="preserve">. </w:t>
      </w:r>
      <w:r w:rsidR="0022522D" w:rsidRPr="00452E2E">
        <w:rPr>
          <w:szCs w:val="24"/>
        </w:rPr>
        <w:t xml:space="preserve">This indicates that </w:t>
      </w:r>
      <w:r w:rsidR="00F30EAB" w:rsidRPr="00452E2E">
        <w:rPr>
          <w:szCs w:val="24"/>
        </w:rPr>
        <w:t xml:space="preserve">on the surface, </w:t>
      </w:r>
      <w:r w:rsidR="0022522D" w:rsidRPr="00452E2E">
        <w:rPr>
          <w:szCs w:val="24"/>
        </w:rPr>
        <w:t xml:space="preserve">whilst organizations may appear to implement HR </w:t>
      </w:r>
      <w:r w:rsidR="0022522D" w:rsidRPr="00452E2E">
        <w:rPr>
          <w:szCs w:val="24"/>
        </w:rPr>
        <w:lastRenderedPageBreak/>
        <w:t xml:space="preserve">practices </w:t>
      </w:r>
      <w:r w:rsidR="00C74B53" w:rsidRPr="00452E2E">
        <w:rPr>
          <w:szCs w:val="24"/>
        </w:rPr>
        <w:t xml:space="preserve">that demonstrate their concern for the well-being of employees, </w:t>
      </w:r>
      <w:r w:rsidR="00F30EAB" w:rsidRPr="00452E2E">
        <w:rPr>
          <w:szCs w:val="24"/>
        </w:rPr>
        <w:t>the overriding goal of such practices may be to enhance the efficiency of the organization.</w:t>
      </w:r>
    </w:p>
    <w:p w:rsidR="00D03A8E" w:rsidRPr="00452E2E" w:rsidRDefault="00D03A8E" w:rsidP="00D03A8E">
      <w:pPr>
        <w:spacing w:line="360" w:lineRule="auto"/>
        <w:jc w:val="both"/>
        <w:rPr>
          <w:szCs w:val="24"/>
        </w:rPr>
      </w:pPr>
      <w:r w:rsidRPr="00452E2E">
        <w:rPr>
          <w:szCs w:val="24"/>
        </w:rPr>
        <w:t>The relationship between union compliance HR attribution and each of the employee attitudes was not significant. Similarly, contrary to the hypothesized relationships in chapter 6, union compliance HR attribution did not mediate the relationship between HR practices and each of the employee attitudes. Whilst it might be expected that this relationship was not significant due to the weak level or in some cases absence of trade unionism in the private sector (as evidenced in findings from study 1)</w:t>
      </w:r>
      <w:r w:rsidR="00FA5FE1" w:rsidRPr="00452E2E">
        <w:rPr>
          <w:szCs w:val="24"/>
        </w:rPr>
        <w:t>,</w:t>
      </w:r>
      <w:r w:rsidRPr="00452E2E">
        <w:rPr>
          <w:szCs w:val="24"/>
        </w:rPr>
        <w:t xml:space="preserve"> which may cancel out the significant effect of union compliance HR attribution in the public sector, the introduction of sector in moderated mediation model still did not produce significant results. This means that the mediation effect of union compliance HR attribution on the relationship between HR practices and employee attitudes is not contingent on sector. Whilst it is difficult to explain this finding, it might be that though trade unions are present in the public sector and employees recognize that some HRM decisions may be taken to comply with union agreements, public sector employees were not satisfied with the level of compliance with union agreements which may weaken their level of union compliance HR attribution and the concomitant effect on employee attitudes. Nevertheless, this is an issue that could be unravelled through in-depth qualitative research, given that the construct of HR attribution</w:t>
      </w:r>
      <w:r w:rsidR="00653EFA" w:rsidRPr="00452E2E">
        <w:rPr>
          <w:szCs w:val="24"/>
        </w:rPr>
        <w:t>s</w:t>
      </w:r>
      <w:r w:rsidRPr="00452E2E">
        <w:rPr>
          <w:szCs w:val="24"/>
        </w:rPr>
        <w:t xml:space="preserve"> is complex and may be subject to the cultural interpretations of actors.  </w:t>
      </w:r>
    </w:p>
    <w:p w:rsidR="00D03A8E" w:rsidRPr="00452E2E" w:rsidRDefault="00D03A8E" w:rsidP="00170224">
      <w:pPr>
        <w:pStyle w:val="Heading3"/>
      </w:pPr>
      <w:bookmarkStart w:id="225" w:name="_Toc465271218"/>
      <w:bookmarkStart w:id="226" w:name="_Toc473808205"/>
      <w:r w:rsidRPr="00452E2E">
        <w:t>8.5 The Effect of Sector on Employee Attitudes</w:t>
      </w:r>
      <w:bookmarkEnd w:id="225"/>
      <w:bookmarkEnd w:id="226"/>
    </w:p>
    <w:p w:rsidR="00CA670B" w:rsidRPr="00452E2E" w:rsidRDefault="00D03A8E" w:rsidP="00D03A8E">
      <w:pPr>
        <w:spacing w:line="360" w:lineRule="auto"/>
        <w:jc w:val="both"/>
        <w:rPr>
          <w:szCs w:val="24"/>
        </w:rPr>
      </w:pPr>
      <w:r w:rsidRPr="00452E2E">
        <w:rPr>
          <w:szCs w:val="24"/>
        </w:rPr>
        <w:t xml:space="preserve">Although it was not one of the objectives of this research to examine the effect of sector on employee attitudes, findings from the research indicate the effect of sector on employee attitudes </w:t>
      </w:r>
      <w:r w:rsidR="00CE088F" w:rsidRPr="00452E2E">
        <w:rPr>
          <w:szCs w:val="24"/>
        </w:rPr>
        <w:t>which</w:t>
      </w:r>
      <w:r w:rsidRPr="00452E2E">
        <w:rPr>
          <w:szCs w:val="24"/>
        </w:rPr>
        <w:t xml:space="preserve"> cannot be ignored. Researchers have compared the levels of job satisfaction among public and private sector employees with contradictory findings. Whilst some studies have found higher levels of job satisfaction among employees or managers in the private sector compared to their counterparts in the public sector </w:t>
      </w:r>
      <w:r w:rsidRPr="00452E2E">
        <w:rPr>
          <w:szCs w:val="24"/>
        </w:rPr>
        <w:fldChar w:fldCharType="begin" w:fldLock="1"/>
      </w:r>
      <w:r w:rsidRPr="00452E2E">
        <w:rPr>
          <w:szCs w:val="24"/>
        </w:rPr>
        <w:instrText>ADDIN CSL_CITATION { "citationItems" : [ { "id" : "ITEM-1", "itemData" : { "author" : [ { "dropping-particle" : "", "family" : "Rainey", "given" : "Hal G.", "non-dropping-particle" : "", "parse-names" : false, "suffix" : "" } ], "container-title" : "Public Administration Review", "id" : "ITEM-1", "issue" : "5", "issued" : { "date-parts" : [ [ "1979" ] ] }, "page" : "440-448", "title" : "Perceptions of incentives in business and government: Implications for civil service reform", "type" : "article-journal", "volume" : "39" }, "uris" : [ "http://www.mendeley.com/documents/?uuid=f004fcbe-1334-4301-86e8-9e0588a9fb8f" ] }, { "id" : "ITEM-2", "itemData" : { "author" : [ { "dropping-particle" : "", "family" : "Solomon", "given" : "Esther E", "non-dropping-particle" : "", "parse-names" : false, "suffix" : "" } ], "container-title" : "Journal of Applied Psychology", "id" : "ITEM-2", "issue" : "2", "issued" : { "date-parts" : [ [ "1986" ] ] }, "page" : "247-259", "title" : "Private and public sector managers : An empirical investigation of job characteristics and organizational climate", "type" : "article-journal", "volume" : "71" }, "uris" : [ "http://www.mendeley.com/documents/?uuid=d60de144-fa33-48ed-ba08-cb247cb9f902" ] }, { "id" : "ITEM-3", "itemData" : { "author" : [ { "dropping-particle" : "", "family" : "Aryee", "given" : "S.", "non-dropping-particle" : "", "parse-names" : false, "suffix" : "" } ], "container-title" : "Group &amp; Organization Management", "id" : "ITEM-3", "issue" : "1", "issued" : { "date-parts" : [ [ "1992" ] ] }, "page" : "72-85", "title" : "Public and private sector professionals: A comparative study of their perceived work experience", "type" : "article-journal", "volume" : "17" }, "uris" : [ "http://www.mendeley.com/documents/?uuid=7a3ba7dd-90f8-4549-ae43-7d222ab05026" ] }, { "id" : "ITEM-4", "itemData" : { "ISBN" : "00910260", "PMID" : "9401276001", "abstract" : "Investigates the differences in the motivation of private versus public sector managers. Categories of intrinsic and extrinsic rewards; Motivating potential of pay; Comparison in security orientation; Discussion of the other motivating potentials.", "author" : [ { "dropping-particle" : "", "family" : "Khojasteh", "given" : "Mak", "non-dropping-particle" : "", "parse-names" : false, "suffix" : "" } ], "container-title" : "Public Personnel Management", "id" : "ITEM-4", "issue" : "Fall", "issued" : { "date-parts" : [ [ "1993" ] ] }, "page" : "391-401", "title" : "Motivating the Private vs. Public Sector Managers", "type" : "article-journal", "volume" : "22" }, "uris" : [ "http://www.mendeley.com/documents/?uuid=cb46fde1-6d9f-4f80-b0cf-16341cc94aa3" ] } ], "mendeley" : { "formattedCitation" : "(Rainey 1979; Solomon 1986; Aryee 1992; Khojasteh 1993)", "manualFormatting" : "(Rainey, 1979; Solomon, 1986; Aryee, 1992; Khojasteh, 1993)", "plainTextFormattedCitation" : "(Rainey 1979; Solomon 1986; Aryee 1992; Khojasteh 1993)", "previouslyFormattedCitation" : "(Rainey 1979; Solomon 1986; Aryee 1992; Khojasteh 1993)" }, "properties" : { "noteIndex" : 0 }, "schema" : "https://github.com/citation-style-language/schema/raw/master/csl-citation.json" }</w:instrText>
      </w:r>
      <w:r w:rsidRPr="00452E2E">
        <w:rPr>
          <w:szCs w:val="24"/>
        </w:rPr>
        <w:fldChar w:fldCharType="separate"/>
      </w:r>
      <w:r w:rsidRPr="00452E2E">
        <w:rPr>
          <w:noProof/>
          <w:szCs w:val="24"/>
        </w:rPr>
        <w:t>(Rainey, 1</w:t>
      </w:r>
      <w:r w:rsidR="00E6412D" w:rsidRPr="00452E2E">
        <w:rPr>
          <w:noProof/>
          <w:szCs w:val="24"/>
        </w:rPr>
        <w:t>979; Solomon, 1986; Aryee, 1992</w:t>
      </w:r>
      <w:r w:rsidRPr="00452E2E">
        <w:rPr>
          <w:noProof/>
          <w:szCs w:val="24"/>
        </w:rPr>
        <w:t>)</w:t>
      </w:r>
      <w:r w:rsidRPr="00452E2E">
        <w:rPr>
          <w:szCs w:val="24"/>
        </w:rPr>
        <w:fldChar w:fldCharType="end"/>
      </w:r>
      <w:r w:rsidRPr="00452E2E">
        <w:rPr>
          <w:szCs w:val="24"/>
        </w:rPr>
        <w:t xml:space="preserve">, others have reported that public sector employees or managers were more </w:t>
      </w:r>
      <w:r w:rsidRPr="00452E2E">
        <w:rPr>
          <w:szCs w:val="24"/>
        </w:rPr>
        <w:lastRenderedPageBreak/>
        <w:t xml:space="preserve">satisfied with their jobs </w:t>
      </w:r>
      <w:r w:rsidRPr="00452E2E">
        <w:rPr>
          <w:szCs w:val="24"/>
        </w:rPr>
        <w:fldChar w:fldCharType="begin" w:fldLock="1"/>
      </w:r>
      <w:r w:rsidRPr="00452E2E">
        <w:rPr>
          <w:szCs w:val="24"/>
        </w:rPr>
        <w:instrText>ADDIN CSL_CITATION { "citationItems" : [ { "id" : "ITEM-1", "itemData" : { "author" : [ { "dropping-particle" : "", "family" : "Mirvis", "given" : "P. H", "non-dropping-particle" : "", "parse-names" : false, "suffix" : "" }, { "dropping-particle" : "", "family" : "Hackett", "given" : "E. J", "non-dropping-particle" : "", "parse-names" : false, "suffix" : "" } ], "container-title" : "Monthly Labor Review", "id" : "ITEM-1", "issued" : { "date-parts" : [ [ "1983" ] ] }, "page" : "3-12", "title" : "Work and work force characteristics in the nonprofit sector", "type" : "article" }, "uris" : [ "http://www.mendeley.com/documents/?uuid=53be8a9d-b578-436a-96d5-6066d09498af" ] }, { "id" : "ITEM-2", "itemData" : { "DOI" : "10.1177/0734371X9001000302", "ISBN" : "0734-371X", "ISSN" : "0734-371X", "author" : [ { "dropping-particle" : "", "family" : "Steel", "given" : "B. S.", "non-dropping-particle" : "", "parse-names" : false, "suffix" : "" }, { "dropping-particle" : "", "family" : "Warner", "given" : "R. L.", "non-dropping-particle" : "", "parse-names" : false, "suffix" : "" } ], "container-title" : "Review of Public Personnel Administration", "id" : "ITEM-2", "issue" : "4", "issued" : { "date-parts" : [ [ "1990" ] ] }, "page" : "4-22", "title" : "Job satisfaction among early labor force participants: Unexpected outcomes in public and private sector comparisons", "type" : "article-journal", "volume" : "10" }, "uris" : [ "http://www.mendeley.com/documents/?uuid=eccb4ac9-ac1e-46ce-9fc3-216e8d97348b" ] }, { "id" : "ITEM-3", "itemData" : { "DOI" : "10.1177/017084068800900203", "ISBN" : "0170-8406", "ISSN" : "0170-8406", "abstract" : "The focus of this paper is on the organizational significance of shop-floor humour and in particular its relationship to gender identity and working-class resistance. A brief review of the literature on organizational humour is followed by a more detailed examination of the illuminating analysis by Willis of school/shop-floor counter-culture. Although his research provides a strong basis for the case study presented below, it is criticized for a tendency to romanticize working-class culture, humour and informal opposition.\\nIn contrast, by means of an empirical analysis of joking forms in the components division of a lorry producing factory, the paper then explores not only the collective elements, but also the internal divisions and contradictions that characterize shop-floor relations. By critically questioning the workers' manifest search to secure a highly masculine sense of identity, the paper is able to highlight a 'darker side' of shop-floor culture, which underpins and ultimately undermines the creative humour and collectivity found in the factory.", "author" : [ { "dropping-particle" : "", "family" : "Maidini", "given" : "E.A.", "non-dropping-particle" : "", "parse-names" : false, "suffix" : "" } ], "container-title" : "Public Personnel Management", "id" : "ITEM-3", "issue" : "4", "issued" : { "date-parts" : [ [ "1991" ] ] }, "page" : "441-448", "title" : "Comparative study of Herzberg's two-factor theory of job satisfaction among public and private sectors", "type" : "article-journal", "volume" : "20" }, "uris" : [ "http://www.mendeley.com/documents/?uuid=f24c0183-deb0-4586-8c77-eeec4bf5243b" ] }, { "id" : "ITEM-4", "itemData" : { "author" : [ { "dropping-particle" : "", "family" : "DeSantis", "given" : "V.S.", "non-dropping-particle" : "", "parse-names" : false, "suffix" : "" }, { "dropping-particle" : "", "family" : "Durst", "given" : "S.L.", "non-dropping-particle" : "", "parse-names" : false, "suffix" : "" } ], "container-title" : "American Review of Public Administration", "id" : "ITEM-4", "issue" : "3", "issued" : { "date-parts" : [ [ "1996" ] ] }, "page" : "327-343", "title" : "Comparing job satisfaction among public and private sector employees", "type" : "article-journal", "volume" : "26" }, "uris" : [ "http://www.mendeley.com/documents/?uuid=b93d1187-f810-48cf-8159-c7a2f2ebe100" ] }, { "id" : "ITEM-5", "itemData" : { "abstract" : "This paper analyses subjective job satisfaction (JS) responses by employees in the public and private sectors of the Greek labour market. Panel data covering the period 1995-2001 and a random effects ordered probit model are used for estimation purposes. The results of the econometric estimation show that a substantial JS differential exists between the two sectors, in every JS domain and always in favour of public employment. A typical ordered decomposition analysis indicates that about one-third of the difference in expected JS can be explained by differences in employee characteristics and two-thirds by unobserved sector-specific inbuilt features. The comparison of wage reductions, which a representative employee will be prepared to endure in order to avoid employment in the private sector, reveals that the regularity of working schedules is appreciated more than any other facet of JS. The obtained results enhance the existing apparatus for evaluating government policies in the labour market.", "author" : [ { "dropping-particle" : "", "family" : "Demoussis", "given" : "Michael", "non-dropping-particle" : "", "parse-names" : false, "suffix" : "" }, { "dropping-particle" : "", "family" : "Giannakopoulos", "given" : "Nicholas", "non-dropping-particle" : "", "parse-names" : false, "suffix" : "" } ], "container-title" : "Labour", "id" : "ITEM-5", "issue" : "2", "issued" : { "date-parts" : [ [ "2007" ] ] }, "page" : "333-359", "title" : "Exploring job satisfaction in private and public employment: Empirical evidence from Greece", "type" : "article-journal", "volume" : "21" }, "uris" : [ "http://www.mendeley.com/documents/?uuid=ae06bc68-fccd-4554-9d24-46797f14087c" ] } ], "mendeley" : { "formattedCitation" : "(Mirvis &amp; Hackett 1983; Steel &amp; Warner 1990; Maidini 1991; DeSantis &amp; Durst 1996; Demoussis &amp; Giannakopoulos 2007)", "manualFormatting" : "(Mirvis &amp; Hackett, 1983; Steel &amp; Warner, 1990; Maidini, 1991; DeSantis &amp; Durst, 1996; Demoussis &amp; Giannakopoulos, 2007)", "plainTextFormattedCitation" : "(Mirvis &amp; Hackett 1983; Steel &amp; Warner 1990; Maidini 1991; DeSantis &amp; Durst 1996; Demoussis &amp; Giannakopoulos 2007)", "previouslyFormattedCitation" : "(Mirvis &amp; Hackett 1983; Steel &amp; Warner 1990; Maidini 1991; DeSantis &amp; Durst 1996; Demoussis &amp; Giannakopoulos 2007)" }, "properties" : { "noteIndex" : 0 }, "schema" : "https://github.com/citation-style-language/schema/raw/master/csl-citation.json" }</w:instrText>
      </w:r>
      <w:r w:rsidRPr="00452E2E">
        <w:rPr>
          <w:szCs w:val="24"/>
        </w:rPr>
        <w:fldChar w:fldCharType="separate"/>
      </w:r>
      <w:r w:rsidRPr="00452E2E">
        <w:rPr>
          <w:noProof/>
          <w:szCs w:val="24"/>
        </w:rPr>
        <w:t>(Mirvis &amp; Hackett, 1983; Steel &amp; Warner, 1990; DeSantis &amp; Durst, 1996; Demoussis &amp; Giannakopoulos, 2007)</w:t>
      </w:r>
      <w:r w:rsidRPr="00452E2E">
        <w:rPr>
          <w:szCs w:val="24"/>
        </w:rPr>
        <w:fldChar w:fldCharType="end"/>
      </w:r>
      <w:r w:rsidRPr="00452E2E">
        <w:rPr>
          <w:szCs w:val="24"/>
        </w:rPr>
        <w:t xml:space="preserve">. </w:t>
      </w:r>
    </w:p>
    <w:p w:rsidR="00D03A8E" w:rsidRPr="00452E2E" w:rsidRDefault="00D03A8E" w:rsidP="00D03A8E">
      <w:pPr>
        <w:spacing w:line="360" w:lineRule="auto"/>
        <w:jc w:val="both"/>
        <w:rPr>
          <w:szCs w:val="24"/>
        </w:rPr>
      </w:pPr>
      <w:r w:rsidRPr="00452E2E">
        <w:rPr>
          <w:szCs w:val="24"/>
        </w:rPr>
        <w:t xml:space="preserve">There are also studies that have reported differences in job satisfaction among public and private sector </w:t>
      </w:r>
      <w:r w:rsidR="00003623" w:rsidRPr="00452E2E">
        <w:rPr>
          <w:szCs w:val="24"/>
        </w:rPr>
        <w:t xml:space="preserve">employees </w:t>
      </w:r>
      <w:r w:rsidRPr="00452E2E">
        <w:rPr>
          <w:szCs w:val="24"/>
        </w:rPr>
        <w:t xml:space="preserve">in different facets </w:t>
      </w:r>
      <w:r w:rsidRPr="00452E2E">
        <w:rPr>
          <w:szCs w:val="24"/>
        </w:rPr>
        <w:fldChar w:fldCharType="begin" w:fldLock="1"/>
      </w:r>
      <w:r w:rsidRPr="00452E2E">
        <w:rPr>
          <w:szCs w:val="24"/>
        </w:rPr>
        <w:instrText>ADDIN CSL_CITATION { "citationItems" : [ { "id" : "ITEM-1", "itemData" : { "author" : [ { "dropping-particle" : "", "family" : "Rainey", "given" : "Hal G.", "non-dropping-particle" : "", "parse-names" : false, "suffix" : "" } ], "container-title" : "Administration &amp; Society", "id" : "ITEM-1", "issue" : "2", "issued" : { "date-parts" : [ [ "1983" ] ] }, "page" : "207-242", "title" : "Public agencies and private firms: Incentive structures, goals and individual roles", "type" : "article-journal", "volume" : "15" }, "uris" : [ "http://www.mendeley.com/documents/?uuid=536f523e-6aa4-4b40-a3ac-566fc20f698c" ] }, { "id" : "ITEM-2", "itemData" : { "author" : [ { "dropping-particle" : "", "family" : "Blunt", "given" : "B.E", "non-dropping-particle" : "", "parse-names" : false, "suffix" : "" }, { "dropping-particle" : "", "family" : "Spring", "given" : "K.A.", "non-dropping-particle" : "", "parse-names" : false, "suffix" : "" } ], "container-title" : "Public Personnel Management", "id" : "ITEM-2", "issue" : "4", "issued" : { "date-parts" : [ [ "1991" ] ] }, "page" : "449-455", "title" : "MPA graduates and the dilemma of job satisfaction: Does crossing the sector line make a difference", "type" : "article-journal", "volume" : "20" }, "uris" : [ "http://www.mendeley.com/documents/?uuid=cd71833d-a999-4ad6-bb86-2ab594fa1112" ] }, { "id" : "ITEM-3", "itemData" : { "DOI" : "10.1177/1470595807075180", "ISBN" : "1470-5958 U6 - ctx_ver=Z39.88-2004&amp;ctx_enc=info%3Aofi%2Fenc%3AUTF-8&amp;rfr_id=info:sid/summon.serialssolutions.com&amp;rft_val_fmt=info:ofi/fmt:kev:mtx:journal&amp;rft.genre=article&amp;rft.atitle=Organizational+Commitment+Profiles+and+Job+Satisfaction+among+Greek+Private+and+Public+Sector+Employees&amp;rft.jtitle=International+Journal+of+Cross+Cultural+Management&amp;rft.au=van+Dick%2C+Rolf&amp;rft.au=Davis%2C+Ann+J&amp;rft.au=Markovits%2C+Yannis&amp;rft.date=2007-04-01&amp;rft.pub=Sage+Publications&amp;rft.issn=1470-5958&amp;rft.volume=7&amp;r", "ISSN" : "1470-5958", "abstract" : "Recent research into organizational commitment has advocated a profiles-based approach. However, with the exception of Wasti, published findings are confined to North American samples. This article examines the relationships between organizational commitment profiles and job satisfaction in Greece. Greek organizations have rarely been the subject of detailed examination, so the study provides baseline information regarding levels of organizational commitment and job satisfaction in Greece. Both private sector ( N = 1119) and public sector ( N = 476) employees in Greece were surveyed, as this sectoral distinction is regularly associated with different patterns of job-related attitudes. The contrasts between Greek and Anglo-American values present a new challenge to the profiles approach. The results confirm the utility of the profiles approach to the study of organizational commitment. Affective organizational commitment was found to be most influential with respect to levels of intrinsic and extrinsic job satisfaction. This concurs with other studies of the behavioural outcomes of commitment.", "author" : [ { "dropping-particle" : "", "family" : "Markovits", "given" : "Y", "non-dropping-particle" : "", "parse-names" : false, "suffix" : "" }, { "dropping-particle" : "", "family" : "Davis", "given" : "A", "non-dropping-particle" : "", "parse-names" : false, "suffix" : "" }, { "dropping-particle" : "", "family" : "Dick", "given" : "R", "non-dropping-particle" : "van", "parse-names" : false, "suffix" : "" } ], "container-title" : "International Journal of Cross Cultural Management", "id" : "ITEM-3", "issue" : "1", "issued" : { "date-parts" : [ [ "2007" ] ] }, "page" : "77-99", "title" : "Organizational commitment profiles and job satisfaction among Greek private and public sector employees", "type" : "article-journal", "volume" : "7" }, "uris" : [ "http://www.mendeley.com/documents/?uuid=ed5ed2b0-55bf-4dab-978b-7f7e2c95aca6" ] }, { "id" : "ITEM-4", "itemData" : { "DOI" : "10.1177/009102601204100310", "ISSN" : "00910260", "abstract" : "This study compares the job satisfaction and turnover intentions of private- and public-sector employees in Taiwan. Questionnaires were used to collect data from employees of various private enterprises and public organizations. The results show that the job satisfaction and turnover intentions of public employees are different from those of private employees'. First, public employees in Taiwan have lower extrinsic job satisfaction and lower turnover intentions compared to their counterparts in the private sector. Second, the negative relationship between extrinsic job satisfaction and turnover intention is weaker in public than in private employees. To enhance employee motivation, public-sector managers in Taiwan should improve their employees' extrinsic job satisfaction and help unsatisfied employees transfer to jobs they find more satisfying. In addition, they may wish to examine if turnover rate at their organizations is too low to support healthy workforce mobility.", "author" : [ { "dropping-particle" : "", "family" : "Wang", "given" : "Yau-De", "non-dropping-particle" : "", "parse-names" : false, "suffix" : "" }, { "dropping-particle" : "", "family" : "Yang", "given" : "Chang", "non-dropping-particle" : "", "parse-names" : false, "suffix" : "" }, { "dropping-particle" : "", "family" : "Wang", "given" : "Kuei-Ying", "non-dropping-particle" : "", "parse-names" : false, "suffix" : "" } ], "container-title" : "Public Personnel Management", "id" : "ITEM-4", "issue" : "3", "issued" : { "date-parts" : [ [ "2012" ] ] }, "page" : "557-573", "title" : "Comparing public and private employees' job satisfaction and turnover", "type" : "article-journal", "volume" : "41" }, "uris" : [ "http://www.mendeley.com/documents/?uuid=eecc4603-9511-4c0b-b5d2-6efbeb44bde1" ] }, { "id" : "ITEM-5", "itemData" : { "DOI" : "10.1080/09585192.2014.939987", "ISBN" : "0958-5192", "ISSN" : "0958-5192", "abstract" : "Leadership, job satisfaction, organizational commitment and trust have become important processes for healthcare management in recent years. One of the contemporary human resource management functions in the organizations involves engaging in leadership development, improving organizational trust and organizational commitment and increasing job satisfaction. Considering the rapidly changing healthcare technology and higher levels of occupational complexity, healthcare organizations are increasingly in need of engaging in leadership development in any given area of expertise to address ever-changing nature of the industry and the delivery of quality of care while remaining cost-effective and competitive. This paper investigates the perceptions of both public servants and private sector employees (outsourcing) on transformational leadership, organizational commitment, organizational trust and job satisfaction in Turkish healthcare industry. Additionally, the paper analyzes the predictability of organizational commitment based on employee \u2013 both public servants (physicians, nurses, administrative personnel and other healthcare professionals) and private sector employees (outsourcing) (auxiliary services such as administrative assistants, security personnel, kitchen, laundry and housekeeping employees) \u2013 perceptions of transformational leadership, job satisfaction and organizational trust. Using a survey instrument with items adopted from the transformational leadership inventory (TLI) [Podsakoff, P. M., MacKenzie, S. B., Moorman, R. H., &amp; Fetter, R. (1990). Transformational leader behaviors and their effects on followers' trust in leader, satisfaction, and organizational citizenship behaviors. Leadership Quarterly, 1, 107\u2013142], the organizational commitment questionnaire [Meyer, J. P., &amp; Allen, N. J. (1997). Commitment in the workplace: Theory, research, and application. Thousand Oaks, CA: Sage], the organizational trust inventory (OTI) [Cummings, L. L., &amp; Bromiley, P. (1996). The occupational trust inventory (OTI): Development and validation. In R. Kramer &amp; T. Tyler (Eds.), Trust in organizations: Frontiers of Theory and Research (pp. 302\u2013330). Thousand Oaks, CA: Sage] and job satisfaction survey (JSS) [Spector, P. E. (1985). Measurement of human service staff satisfaction: Development of the job satisfaction survey. American Journal of Community Psychology, 13, 693\u2013731], this quantitative study was conducted among 2108 healthcare employees (public servan\u2026", "author" : [ { "dropping-particle" : "", "family" : "Top", "given" : "Mehmet", "non-dropping-particle" : "", "parse-names" : false, "suffix" : "" }, { "dropping-particle" : "", "family" : "Akdere", "given" : "Mesut", "non-dropping-particle" : "", "parse-names" : false, "suffix" : "" }, { "dropping-particle" : "", "family" : "Tarcan", "given" : "Menderes", "non-dropping-particle" : "", "parse-names" : false, "suffix" : "" } ], "container-title" : "The International Journal of Human Resource Management", "id" : "ITEM-5", "issue" : "9", "issued" : { "date-parts" : [ [ "2015" ] ] }, "page" : "1259-1282", "title" : "Examining transformational leadership, job satisfaction, organizational commitment and organizational trust in Turkish hospitals: Public servants versus private sector employees", "type" : "article-journal", "volume" : "26" }, "uris" : [ "http://www.mendeley.com/documents/?uuid=6218c5a4-9bf3-4ca3-ae75-30db169d5099" ] } ], "mendeley" : { "formattedCitation" : "(Rainey 1983; Blunt &amp; Spring 1991; Markovits et al. 2007; Wang et al. 2012; Top et al. 2015)", "manualFormatting" : "(Rainey, 1983; Blunt &amp; Spring, 1991; Markovits et al., 2007; Wang et al., 2012; Top et al., 2015)", "plainTextFormattedCitation" : "(Rainey 1983; Blunt &amp; Spring 1991; Markovits et al. 2007; Wang et al. 2012; Top et al. 2015)", "previouslyFormattedCitation" : "(Rainey 1983; Blunt &amp; Spring 1991; Markovits et al. 2007; Wang et al. 2012; Top et al. 2015)" }, "properties" : { "noteIndex" : 0 }, "schema" : "https://github.com/citation-style-language/schema/raw/master/csl-citation.json" }</w:instrText>
      </w:r>
      <w:r w:rsidRPr="00452E2E">
        <w:rPr>
          <w:szCs w:val="24"/>
        </w:rPr>
        <w:fldChar w:fldCharType="separate"/>
      </w:r>
      <w:r w:rsidRPr="00452E2E">
        <w:rPr>
          <w:noProof/>
          <w:szCs w:val="24"/>
        </w:rPr>
        <w:t xml:space="preserve">(Rainey, 1983; Blunt &amp; Spring, 1991; Markovits </w:t>
      </w:r>
      <w:r w:rsidRPr="00452E2E">
        <w:rPr>
          <w:i/>
          <w:noProof/>
          <w:szCs w:val="24"/>
        </w:rPr>
        <w:t>et al</w:t>
      </w:r>
      <w:r w:rsidRPr="00452E2E">
        <w:rPr>
          <w:noProof/>
          <w:szCs w:val="24"/>
        </w:rPr>
        <w:t xml:space="preserve">., 2007; Wang </w:t>
      </w:r>
      <w:r w:rsidRPr="00452E2E">
        <w:rPr>
          <w:i/>
          <w:noProof/>
          <w:szCs w:val="24"/>
        </w:rPr>
        <w:t>et al</w:t>
      </w:r>
      <w:r w:rsidRPr="00452E2E">
        <w:rPr>
          <w:noProof/>
          <w:szCs w:val="24"/>
        </w:rPr>
        <w:t xml:space="preserve">., 2012; Top </w:t>
      </w:r>
      <w:r w:rsidRPr="00452E2E">
        <w:rPr>
          <w:i/>
          <w:noProof/>
          <w:szCs w:val="24"/>
        </w:rPr>
        <w:t>et al</w:t>
      </w:r>
      <w:r w:rsidRPr="00452E2E">
        <w:rPr>
          <w:noProof/>
          <w:szCs w:val="24"/>
        </w:rPr>
        <w:t>., 2015)</w:t>
      </w:r>
      <w:r w:rsidRPr="00452E2E">
        <w:rPr>
          <w:szCs w:val="24"/>
        </w:rPr>
        <w:fldChar w:fldCharType="end"/>
      </w:r>
      <w:r w:rsidRPr="00452E2E">
        <w:rPr>
          <w:szCs w:val="24"/>
        </w:rPr>
        <w:t xml:space="preserve">. Yet, other studies have found no difference in job satisfaction levels between public and private sector employees </w:t>
      </w:r>
      <w:r w:rsidRPr="00452E2E">
        <w:rPr>
          <w:szCs w:val="24"/>
        </w:rPr>
        <w:fldChar w:fldCharType="begin" w:fldLock="1"/>
      </w:r>
      <w:r w:rsidRPr="00452E2E">
        <w:rPr>
          <w:szCs w:val="24"/>
        </w:rPr>
        <w:instrText>ADDIN CSL_CITATION { "citationItems" : [ { "id" : "ITEM-1", "itemData" : { "author" : [ { "dropping-particle" : "", "family" : "Schneider", "given" : "Debora S", "non-dropping-particle" : "", "parse-names" : false, "suffix" : "" }, { "dropping-particle" : "", "family" : "Vaught", "given" : "B C", "non-dropping-particle" : "", "parse-names" : false, "suffix" : "" } ], "container-title" : "Public Administration Quarterly", "id" : "ITEM-1", "issue" : "1", "issued" : { "date-parts" : [ [ "1993" ] ] }, "page" : "68-83", "title" : "A comparison of job satisfaction between public and private sector managers", "type" : "article-journal", "volume" : "17" }, "uris" : [ "http://www.mendeley.com/documents/?uuid=3c0d6ddd-1aba-4b1b-b0b2-5a81f17e6953" ] }, { "id" : "ITEM-2", "itemData" : { "author" : [ { "dropping-particle" : "", "family" : "Cho", "given" : "K-H", "non-dropping-particle" : "", "parse-names" : false, "suffix" : "" }, { "dropping-particle" : "", "family" : "Lee", "given" : "S-H", "non-dropping-particle" : "", "parse-names" : false, "suffix" : "" } ], "container-title" : "International Journal of Organizational Analysis", "id" : "ITEM-2", "issue" : "1", "issued" : { "date-parts" : [ [ "2001" ] ] }, "page" : "84-102", "title" : "Another look at public-private distinction and organizational commitment: A cultural explanation", "type" : "article-journal", "volume" : "9" }, "uris" : [ "http://www.mendeley.com/documents/?uuid=d1ba1335-f824-4f37-8a92-f6ec43c68636" ] } ], "mendeley" : { "formattedCitation" : "(Schneider &amp; Vaught 1993; Cho &amp; Lee 2001)", "manualFormatting" : "(Schneider &amp; Vaught, 1993; Cho &amp; Lee, 2001)", "plainTextFormattedCitation" : "(Schneider &amp; Vaught 1993; Cho &amp; Lee 2001)", "previouslyFormattedCitation" : "(Schneider &amp; Vaught 1993; Cho &amp; Lee 2001)" }, "properties" : { "noteIndex" : 0 }, "schema" : "https://github.com/citation-style-language/schema/raw/master/csl-citation.json" }</w:instrText>
      </w:r>
      <w:r w:rsidRPr="00452E2E">
        <w:rPr>
          <w:szCs w:val="24"/>
        </w:rPr>
        <w:fldChar w:fldCharType="separate"/>
      </w:r>
      <w:r w:rsidRPr="00452E2E">
        <w:rPr>
          <w:noProof/>
          <w:szCs w:val="24"/>
        </w:rPr>
        <w:t>(Schneider &amp; Vaught, 1993; Cho &amp; Lee, 2001)</w:t>
      </w:r>
      <w:r w:rsidRPr="00452E2E">
        <w:rPr>
          <w:szCs w:val="24"/>
        </w:rPr>
        <w:fldChar w:fldCharType="end"/>
      </w:r>
      <w:r w:rsidRPr="00452E2E">
        <w:rPr>
          <w:szCs w:val="24"/>
        </w:rPr>
        <w:t xml:space="preserve">. Findings from the present study indicate that public sector employees in Nigeria were more satisfied with their jobs than their private sector counterparts. This finding therefore adds to the body of research on sectoral differences in job satisfaction reported above. </w:t>
      </w:r>
    </w:p>
    <w:p w:rsidR="006C33F6" w:rsidRPr="00452E2E" w:rsidRDefault="00D03A8E" w:rsidP="00D03A8E">
      <w:pPr>
        <w:spacing w:line="360" w:lineRule="auto"/>
        <w:jc w:val="both"/>
        <w:rPr>
          <w:szCs w:val="24"/>
        </w:rPr>
      </w:pPr>
      <w:r w:rsidRPr="00452E2E">
        <w:rPr>
          <w:szCs w:val="24"/>
        </w:rPr>
        <w:t xml:space="preserve">Similarly, studies conducted on the differences in organizational commitment levels between public and private sector employees have revealed mixed findings. Whilst </w:t>
      </w:r>
      <w:r w:rsidR="00FC59DF" w:rsidRPr="00452E2E">
        <w:rPr>
          <w:szCs w:val="24"/>
        </w:rPr>
        <w:t>the</w:t>
      </w:r>
      <w:r w:rsidR="009D232D" w:rsidRPr="00452E2E">
        <w:rPr>
          <w:szCs w:val="24"/>
        </w:rPr>
        <w:t xml:space="preserve"> </w:t>
      </w:r>
      <w:r w:rsidRPr="00452E2E">
        <w:rPr>
          <w:szCs w:val="24"/>
        </w:rPr>
        <w:t xml:space="preserve">majority of studies have reported higher levels of organizational commitment among private sector employees </w:t>
      </w:r>
      <w:r w:rsidRPr="00452E2E">
        <w:rPr>
          <w:szCs w:val="24"/>
        </w:rPr>
        <w:fldChar w:fldCharType="begin" w:fldLock="1"/>
      </w:r>
      <w:r w:rsidRPr="00452E2E">
        <w:rPr>
          <w:szCs w:val="24"/>
        </w:rPr>
        <w:instrText>ADDIN CSL_CITATION { "citationItems" : [ { "id" : "ITEM-1", "itemData" : { "abstract" : "Recent studies, including two by the author, have uncovered a troublesome pattern for public administration: business executives consistently report more favorable attitudes toward their organizations than government managers. In an argument combining maxims of social psychology with analysis of key realities in business and government organizations, the author attempts to account for these differences and suggests ways of improving attitudes among public managers.", "author" : [ { "dropping-particle" : "", "family" : "Buchanan", "given" : "Bruce", "non-dropping-particle" : "", "parse-names" : false, "suffix" : "" } ], "container-title" : "Public Administration Review", "id" : "ITEM-1", "issue" : "4", "issued" : { "date-parts" : [ [ "1974" ] ] }, "page" : "339-347", "title" : "Government managers, business executives, and organizational commitment", "type" : "article-journal", "volume" : "34" }, "uris" : [ "http://www.mendeley.com/documents/?uuid=e06eddec-fc77-44dc-921c-b8a8085a33a4" ] }, { "id" : "ITEM-2", "itemData" : { "author" : [ { "dropping-particle" : "", "family" : "Bourantas", "given" : "Dimitris", "non-dropping-particle" : "", "parse-names" : false, "suffix" : "" }, { "dropping-particle" : "", "family" : "Papalexandris", "given" : "Nancy", "non-dropping-particle" : "", "parse-names" : false, "suffix" : "" } ], "container-title" : "Journal of Managerial Psychology", "id" : "ITEM-2", "issue" : "1", "issued" : { "date-parts" : [ [ "1992" ] ] }, "page" : "3-10", "title" : "Variables affecting organizational commitment: Private-versus public-owned organizations in Greece", "type" : "article-journal", "volume" : "7" }, "uris" : [ "http://www.mendeley.com/documents/?uuid=75b9b472-7fbb-4b21-ab27-8726a1bde87a" ] }, { "id" : "ITEM-3", "itemData" : { "author" : [ { "dropping-particle" : "", "family" : "Flynn", "given" : "David M", "non-dropping-particle" : "", "parse-names" : false, "suffix" : "" }, { "dropping-particle" : "", "family" : "Tannenbaum", "given" : "Scott I", "non-dropping-particle" : "", "parse-names" : false, "suffix" : "" } ], "container-title" : "Journal of Business and Psychology", "id" : "ITEM-3", "issue" : "1", "issued" : { "date-parts" : [ [ "1993" ] ] }, "page" : "103-116", "title" : "Correlates of organizational commitment: Differences in the public and private sector", "type" : "article-journal", "volume" : "8" }, "uris" : [ "http://www.mendeley.com/documents/?uuid=757aa06f-0870-4b0d-bd3b-a73392a0ae47" ] }, { "id" : "ITEM-4", "itemData" : { "author" : [ { "dropping-particle" : "", "family" : "Zeffane", "given" : "R", "non-dropping-particle" : "", "parse-names" : false, "suffix" : "" } ], "container-title" : "Human Relations", "id" : "ITEM-4", "issue" : "8", "issued" : { "date-parts" : [ [ "1994" ] ] }, "page" : "977-1010", "title" : "Patterns of organizational commitment and perceived management style: A comparison of public and private sector employees", "type" : "article-journal", "volume" : "47" }, "uris" : [ "http://www.mendeley.com/documents/?uuid=13202f40-35af-4080-974a-689e78fe833b" ] }, { "id" : "ITEM-5", "itemData" : { "DOI" : "10.2307/3381267", "ISBN" : "1530-9576", "ISSN" : "15309576", "abstract" : "This study revisits the issues of motivation factors and organizational commitment in the new public management (NPM) context. This study posits an exploratory model of organizational commitment as a joint product of intrinsic and extrinsic motivation factors, organizational culture, sector, managerial level, and individual characteristics. The model is tested by using data collected from public and private organizations in the Syracuse and Albany, New York, areas. Statistical results support proposed hypotheses with respect to sectoral difference, managerial level, and organizational culture. The statistics also suggest that intrinsic motivation factors are more significantly associated with organizational commitment than extrinsic motivation factors in the public sector. Compared to the private sector, managerial level in the public sector is less pronounced as a determinant of organizational commitment. Based on the statistical results, some managerial implications for NPM are also discussed.", "author" : [ { "dropping-particle" : "", "family" : "Moon", "given" : "M. Jae", "non-dropping-particle" : "", "parse-names" : false, "suffix" : "" } ], "container-title" : "Public Performance &amp; Management Review", "id" : "ITEM-5", "issue" : "2", "issued" : { "date-parts" : [ [ "2000" ] ] }, "page" : "177-194", "title" : "Organizational commitment revisited in new public management: Motivation, organizational culture, sector, and managerial level", "type" : "article-journal", "volume" : "24" }, "uris" : [ "http://www.mendeley.com/documents/?uuid=dd38ed64-9895-442c-bbae-bf4475b20478" ] }, { "id" : "ITEM-6", "itemData" : { "author" : [ { "dropping-particle" : "", "family" : "Goulet", "given" : "L.R.", "non-dropping-particle" : "", "parse-names" : false, "suffix" : "" }, { "dropping-particle" : "", "family" : "Frank", "given" : "M.L.", "non-dropping-particle" : "", "parse-names" : false, "suffix" : "" } ], "container-title" : "Public Personnel Management", "id" : "ITEM-6", "issue" : "2", "issued" : { "date-parts" : [ [ "2002" ] ] }, "page" : "201-210", "title" : "Organizational commitment across three sectors: Public, non-profit, and for-profit", "type" : "article-journal", "volume" : "31" }, "uris" : [ "http://www.mendeley.com/documents/?uuid=5c49818a-17fe-4f0a-b989-6871491e3d1f" ] }, { "id" : "ITEM-7", "itemData" : { "DOI" : "10.1111/j.1540-6210.2006.00620.x", "ISBN" : "00333352", "ISSN" : "00333352", "PMID" : "197176258", "abstract" : "This study investigated differences in general values, work values and organizational commitment among 549 private sector, public sector, and parapublic sector knowledge workers. No differences in general values were observed across sectors, although five significant work value differences were revealed: parapublic employees value work that contributes to society more than public servants, who value it more than private sector employees; parapublic employees value opportunities for advancement less than both public and private sector employees; public servants value intellectually stimulating and challenging work more than parapublic employees; and private sector employees value prestigious work more than public servants. Private sector employees displayed greater organizational commitment than the employees in the other two sectors. Overall, the findings suggest only limited value differences among employees of the various sectors. The finding of some work value differences between employees in the public and parapublic sectors suggests that these two groups merit separate consideration in comparative studies such as this one. ABSTRACT FROM AUTHOR]; Copyright of Public Administration Review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"Lyons", "given" : "Sean T.", "non-dropping-particle" : "", "parse-names" : false, "suffix" : "" }, { "dropping-particle" : "", "family" : "Duxbury", "given" : "Linda E.", "non-dropping-particle" : "", "parse-names" : false, "suffix" : "" }, { "dropping-particle" : "", "family" : "Higgins", "given" : "Christopher A.", "non-dropping-particle" : "", "parse-names" : false, "suffix" : "" } ], "container-title" : "Public Administration Review", "id" : "ITEM-7", "issue" : "4", "issued" : { "date-parts" : [ [ "2006" ] ] }, "page" : "605-618", "title" : "A comparison of the values and commitment of private sector, public sector, and parapublic sector employees", "type" : "article-journal", "volume" : "66" }, "uris" : [ "http://www.mendeley.com/documents/?uuid=525042b3-04a1-4fc8-b960-ac777c00b87e" ] } ], "mendeley" : { "formattedCitation" : "(Buchanan 1974; Bourantas &amp; Papalexandris 1992; Flynn &amp; Tannenbaum 1993; Zeffane 1994; Moon 2000; Goulet &amp; Frank 2002; Lyons et al. 2006)", "manualFormatting" : "(Buchanan, 1974; Bourantas &amp; Papalexandris, 1992; Flynn &amp; Tannenbaum, 1993; Zeffane, 1994; Moon, 2000; Goulet &amp; Frank, 2002; Lyons et al., 2006)", "plainTextFormattedCitation" : "(Buchanan 1974; Bourantas &amp; Papalexandris 1992; Flynn &amp; Tannenbaum 1993; Zeffane 1994; Moon 2000; Goulet &amp; Frank 2002; Lyons et al. 2006)", "previouslyFormattedCitation" : "(Buchanan 1974; Bourantas &amp; Papalexandris 1992; Flynn &amp; Tannenbaum 1993; Zeffane 1994; Moon 2000; Goulet &amp; Frank 2002; Lyons et al. 2006)" }, "properties" : { "noteIndex" : 0 }, "schema" : "https://github.com/citation-style-language/schema/raw/master/csl-citation.json" }</w:instrText>
      </w:r>
      <w:r w:rsidRPr="00452E2E">
        <w:rPr>
          <w:szCs w:val="24"/>
        </w:rPr>
        <w:fldChar w:fldCharType="separate"/>
      </w:r>
      <w:r w:rsidR="00FE6388" w:rsidRPr="00452E2E">
        <w:rPr>
          <w:noProof/>
          <w:szCs w:val="24"/>
        </w:rPr>
        <w:t xml:space="preserve">(Buchanan, 1974; </w:t>
      </w:r>
      <w:r w:rsidRPr="00452E2E">
        <w:rPr>
          <w:noProof/>
          <w:szCs w:val="24"/>
        </w:rPr>
        <w:t xml:space="preserve">Goulet &amp; Frank, 2002; Lyons </w:t>
      </w:r>
      <w:r w:rsidRPr="00452E2E">
        <w:rPr>
          <w:i/>
          <w:noProof/>
          <w:szCs w:val="24"/>
        </w:rPr>
        <w:t>et al</w:t>
      </w:r>
      <w:r w:rsidRPr="00452E2E">
        <w:rPr>
          <w:noProof/>
          <w:szCs w:val="24"/>
        </w:rPr>
        <w:t>., 2006)</w:t>
      </w:r>
      <w:r w:rsidRPr="00452E2E">
        <w:rPr>
          <w:szCs w:val="24"/>
        </w:rPr>
        <w:fldChar w:fldCharType="end"/>
      </w:r>
      <w:r w:rsidRPr="00452E2E">
        <w:rPr>
          <w:szCs w:val="24"/>
        </w:rPr>
        <w:t xml:space="preserve">, other studies have found that it was only some forms of commitment that </w:t>
      </w:r>
      <w:r w:rsidR="00AE6E97" w:rsidRPr="00452E2E">
        <w:rPr>
          <w:szCs w:val="24"/>
        </w:rPr>
        <w:t>were different</w:t>
      </w:r>
      <w:r w:rsidRPr="00452E2E">
        <w:rPr>
          <w:szCs w:val="24"/>
        </w:rPr>
        <w:t xml:space="preserve"> among public and private sector employees </w:t>
      </w:r>
      <w:r w:rsidRPr="00452E2E">
        <w:rPr>
          <w:szCs w:val="24"/>
        </w:rPr>
        <w:fldChar w:fldCharType="begin" w:fldLock="1"/>
      </w:r>
      <w:r w:rsidRPr="00452E2E">
        <w:rPr>
          <w:szCs w:val="24"/>
        </w:rPr>
        <w:instrText>ADDIN CSL_CITATION { "citationItems" : [ { "id" : "ITEM-1", "itemData" : { "author" : [ { "dropping-particle" : "", "family" : "Balfour", "given" : "Danny L", "non-dropping-particle" : "", "parse-names" : false, "suffix" : "" }, { "dropping-particle" : "", "family" : "Wechsler", "given" : "Barton", "non-dropping-particle" : "", "parse-names" : false, "suffix" : "" } ], "container-title" : "Review of Public Personnel Administration", "id" : "ITEM-1", "issue" : "3", "issued" : { "date-parts" : [ [ "1990" ] ] }, "page" : "23-40", "title" : "Organizational commitment: A reconceptualization and empirical test of public-private differences", "type" : "article-journal", "volume" : "10" }, "uris" : [ "http://www.mendeley.com/documents/?uuid=d920e8be-db37-4f38-9a7a-ef1e28c198ad" ] }, { "id" : "ITEM-2", "itemData" : { "author" : [ { "dropping-particle" : "", "family" : "Cho", "given" : "K-H", "non-dropping-particle" : "", "parse-names" : false, "suffix" : "" }, { "dropping-particle" : "", "family" : "Lee", "given" : "S-H", "non-dropping-particle" : "", "parse-names" : false, "suffix" : "" } ], "container-title" : "International Journal of Organizational Analysis", "id" : "ITEM-2", "issue" : "1", "issued" : { "date-parts" : [ [ "2001" ] ] }, "page" : "84-102", "title" : "Another look at public-private distinction and organizational commitment: A cultural explanation", "type" : "article-journal", "volume" : "9" }, "uris" : [ "http://www.mendeley.com/documents/?uuid=d1ba1335-f824-4f37-8a92-f6ec43c68636" ] } ], "mendeley" : { "formattedCitation" : "(Balfour &amp; Wechsler 1990; Cho &amp; Lee 2001)", "manualFormatting" : "(Balfour &amp; Wechsler, 1990; Cho &amp; Lee, 2001)", "plainTextFormattedCitation" : "(Balfour &amp; Wechsler 1990; Cho &amp; Lee 2001)", "previouslyFormattedCitation" : "(Balfour &amp; Wechsler 1990; Cho &amp; Lee 2001)" }, "properties" : { "noteIndex" : 0 }, "schema" : "https://github.com/citation-style-language/schema/raw/master/csl-citation.json" }</w:instrText>
      </w:r>
      <w:r w:rsidRPr="00452E2E">
        <w:rPr>
          <w:szCs w:val="24"/>
        </w:rPr>
        <w:fldChar w:fldCharType="separate"/>
      </w:r>
      <w:r w:rsidRPr="00452E2E">
        <w:rPr>
          <w:noProof/>
          <w:szCs w:val="24"/>
        </w:rPr>
        <w:t>(Cho &amp; Lee, 2001)</w:t>
      </w:r>
      <w:r w:rsidRPr="00452E2E">
        <w:rPr>
          <w:szCs w:val="24"/>
        </w:rPr>
        <w:fldChar w:fldCharType="end"/>
      </w:r>
      <w:r w:rsidRPr="00452E2E">
        <w:rPr>
          <w:szCs w:val="24"/>
        </w:rPr>
        <w:t xml:space="preserve">. On the other hand, whilst </w:t>
      </w:r>
      <w:r w:rsidRPr="00452E2E">
        <w:rPr>
          <w:szCs w:val="24"/>
        </w:rPr>
        <w:fldChar w:fldCharType="begin" w:fldLock="1"/>
      </w:r>
      <w:r w:rsidRPr="00452E2E">
        <w:rPr>
          <w:szCs w:val="24"/>
        </w:rPr>
        <w:instrText>ADDIN CSL_CITATION { "citationItems" : [ { "id" : "ITEM-1", "itemData" : { "DOI" : "10.1177/1470595807075180", "ISBN" : "1470-5958 U6 - ctx_ver=Z39.88-2004&amp;ctx_enc=info%3Aofi%2Fenc%3AUTF-8&amp;rfr_id=info:sid/summon.serialssolutions.com&amp;rft_val_fmt=info:ofi/fmt:kev:mtx:journal&amp;rft.genre=article&amp;rft.atitle=Organizational+Commitment+Profiles+and+Job+Satisfaction+among+Greek+Private+and+Public+Sector+Employees&amp;rft.jtitle=International+Journal+of+Cross+Cultural+Management&amp;rft.au=van+Dick%2C+Rolf&amp;rft.au=Davis%2C+Ann+J&amp;rft.au=Markovits%2C+Yannis&amp;rft.date=2007-04-01&amp;rft.pub=Sage+Publications&amp;rft.issn=1470-5958&amp;rft.volume=7&amp;r", "ISSN" : "1470-5958", "abstract" : "Recent research into organizational commitment has advocated a profiles-based approach. However, with the exception of Wasti, published findings are confined to North American samples. This article examines the relationships between organizational commitment profiles and job satisfaction in Greece. Greek organizations have rarely been the subject of detailed examination, so the study provides baseline information regarding levels of organizational commitment and job satisfaction in Greece. Both private sector ( N = 1119) and public sector ( N = 476) employees in Greece were surveyed, as this sectoral distinction is regularly associated with different patterns of job-related attitudes. The contrasts between Greek and Anglo-American values present a new challenge to the profiles approach. The results confirm the utility of the profiles approach to the study of organizational commitment. Affective organizational commitment was found to be most influential with respect to levels of intrinsic and extrinsic job satisfaction. This concurs with other studies of the behavioural outcomes of commitment.", "author" : [ { "dropping-particle" : "", "family" : "Markovits", "given" : "Y", "non-dropping-particle" : "", "parse-names" : false, "suffix" : "" }, { "dropping-particle" : "", "family" : "Davis", "given" : "A", "non-dropping-particle" : "", "parse-names" : false, "suffix" : "" }, { "dropping-particle" : "", "family" : "Dick", "given" : "R", "non-dropping-particle" : "van", "parse-names" : false, "suffix" : "" } ], "container-title" : "International Journal of Cross Cultural Management", "id" : "ITEM-1", "issue" : "1", "issued" : { "date-parts" : [ [ "2007" ] ] }, "page" : "77-99", "title" : "Organizational commitment profiles and job satisfaction among Greek private and public sector employees", "type" : "article-journal", "volume" : "7" }, "uris" : [ "http://www.mendeley.com/documents/?uuid=ed5ed2b0-55bf-4dab-978b-7f7e2c95aca6" ] } ], "mendeley" : { "formattedCitation" : "(Markovits et al. 2007)", "manualFormatting" : "Markovits et al. (2007)", "plainTextFormattedCitation" : "(Markovits et al. 2007)", "previouslyFormattedCitation" : "(Markovits et al. 2007)" }, "properties" : { "noteIndex" : 0 }, "schema" : "https://github.com/citation-style-language/schema/raw/master/csl-citation.json" }</w:instrText>
      </w:r>
      <w:r w:rsidRPr="00452E2E">
        <w:rPr>
          <w:szCs w:val="24"/>
        </w:rPr>
        <w:fldChar w:fldCharType="separate"/>
      </w:r>
      <w:r w:rsidRPr="00452E2E">
        <w:rPr>
          <w:noProof/>
          <w:szCs w:val="24"/>
        </w:rPr>
        <w:t xml:space="preserve">Markovits </w:t>
      </w:r>
      <w:r w:rsidRPr="00452E2E">
        <w:rPr>
          <w:i/>
          <w:noProof/>
          <w:szCs w:val="24"/>
        </w:rPr>
        <w:t>et al</w:t>
      </w:r>
      <w:r w:rsidRPr="00452E2E">
        <w:rPr>
          <w:noProof/>
          <w:szCs w:val="24"/>
        </w:rPr>
        <w:t>. (2007)</w:t>
      </w:r>
      <w:r w:rsidRPr="00452E2E">
        <w:rPr>
          <w:szCs w:val="24"/>
        </w:rPr>
        <w:fldChar w:fldCharType="end"/>
      </w:r>
      <w:r w:rsidRPr="00452E2E">
        <w:rPr>
          <w:szCs w:val="24"/>
        </w:rPr>
        <w:t xml:space="preserve"> found higher organizational commitment levels among Greek public sector employees compared to their private sector counterparts, </w:t>
      </w:r>
      <w:r w:rsidRPr="00452E2E">
        <w:rPr>
          <w:szCs w:val="24"/>
        </w:rPr>
        <w:fldChar w:fldCharType="begin" w:fldLock="1"/>
      </w:r>
      <w:r w:rsidRPr="00452E2E">
        <w:rPr>
          <w:szCs w:val="24"/>
        </w:rPr>
        <w:instrText>ADDIN CSL_CITATION { "citationItems" : [ { "id" : "ITEM-1", "itemData" : { "DOI" : "10.1080/09585192.2014.939987", "ISBN" : "0958-5192", "ISSN" : "0958-5192", "abstract" : "Leadership, job satisfaction, organizational commitment and trust have become important processes for healthcare management in recent years. One of the contemporary human resource management functions in the organizations involves engaging in leadership development, improving organizational trust and organizational commitment and increasing job satisfaction. Considering the rapidly changing healthcare technology and higher levels of occupational complexity, healthcare organizations are increasingly in need of engaging in leadership development in any given area of expertise to address ever-changing nature of the industry and the delivery of quality of care while remaining cost-effective and competitive. This paper investigates the perceptions of both public servants and private sector employees (outsourcing) on transformational leadership, organizational commitment, organizational trust and job satisfaction in Turkish healthcare industry. Additionally, the paper analyzes the predictability of organizational commitment based on employee \u2013 both public servants (physicians, nurses, administrative personnel and other healthcare professionals) and private sector employees (outsourcing) (auxiliary services such as administrative assistants, security personnel, kitchen, laundry and housekeeping employees) \u2013 perceptions of transformational leadership, job satisfaction and organizational trust. Using a survey instrument with items adopted from the transformational leadership inventory (TLI) [Podsakoff, P. M., MacKenzie, S. B., Moorman, R. H., &amp; Fetter, R. (1990). Transformational leader behaviors and their effects on followers' trust in leader, satisfaction, and organizational citizenship behaviors. Leadership Quarterly, 1, 107\u2013142], the organizational commitment questionnaire [Meyer, J. P., &amp; Allen, N. J. (1997). Commitment in the workplace: Theory, research, and application. Thousand Oaks, CA: Sage], the organizational trust inventory (OTI) [Cummings, L. L., &amp; Bromiley, P. (1996). The occupational trust inventory (OTI): Development and validation. In R. Kramer &amp; T. Tyler (Eds.), Trust in organizations: Frontiers of Theory and Research (pp. 302\u2013330). Thousand Oaks, CA: Sage] and job satisfaction survey (JSS) [Spector, P. E. (1985). Measurement of human service staff satisfaction: Development of the job satisfaction survey. American Journal of Community Psychology, 13, 693\u2013731], this quantitative study was conducted among 2108 healthcare employees (public servan\u2026", "author" : [ { "dropping-particle" : "", "family" : "Top", "given" : "Mehmet", "non-dropping-particle" : "", "parse-names" : false, "suffix" : "" }, { "dropping-particle" : "", "family" : "Akdere", "given" : "Mesut", "non-dropping-particle" : "", "parse-names" : false, "suffix" : "" }, { "dropping-particle" : "", "family" : "Tarcan", "given" : "Menderes", "non-dropping-particle" : "", "parse-names" : false, "suffix" : "" } ], "container-title" : "The International Journal of Human Resource Management", "id" : "ITEM-1", "issue" : "9", "issued" : { "date-parts" : [ [ "2015" ] ] }, "page" : "1259-1282", "title" : "Examining transformational leadership, job satisfaction, organizational commitment and organizational trust in Turkish hospitals: Public servants versus private sector employees", "type" : "article-journal", "volume" : "26" }, "uris" : [ "http://www.mendeley.com/documents/?uuid=6218c5a4-9bf3-4ca3-ae75-30db169d5099" ] } ], "mendeley" : { "formattedCitation" : "(Top et al. 2015)", "manualFormatting" : "Top et al. (2015)", "plainTextFormattedCitation" : "(Top et al. 2015)", "previouslyFormattedCitation" : "(Top et al. 2015)" }, "properties" : { "noteIndex" : 0 }, "schema" : "https://github.com/citation-style-language/schema/raw/master/csl-citation.json" }</w:instrText>
      </w:r>
      <w:r w:rsidRPr="00452E2E">
        <w:rPr>
          <w:szCs w:val="24"/>
        </w:rPr>
        <w:fldChar w:fldCharType="separate"/>
      </w:r>
      <w:r w:rsidRPr="00452E2E">
        <w:rPr>
          <w:noProof/>
          <w:szCs w:val="24"/>
        </w:rPr>
        <w:t xml:space="preserve">Top </w:t>
      </w:r>
      <w:r w:rsidRPr="00452E2E">
        <w:rPr>
          <w:i/>
          <w:noProof/>
          <w:szCs w:val="24"/>
        </w:rPr>
        <w:t>et al</w:t>
      </w:r>
      <w:r w:rsidRPr="00452E2E">
        <w:rPr>
          <w:noProof/>
          <w:szCs w:val="24"/>
        </w:rPr>
        <w:t>. (2015)</w:t>
      </w:r>
      <w:r w:rsidRPr="00452E2E">
        <w:rPr>
          <w:szCs w:val="24"/>
        </w:rPr>
        <w:fldChar w:fldCharType="end"/>
      </w:r>
      <w:r w:rsidRPr="00452E2E">
        <w:rPr>
          <w:szCs w:val="24"/>
        </w:rPr>
        <w:t xml:space="preserve"> found no difference in organizational commitment of public and private sector employees in Turkey.</w:t>
      </w:r>
    </w:p>
    <w:p w:rsidR="00D03A8E" w:rsidRPr="00452E2E" w:rsidRDefault="00D03A8E" w:rsidP="00D03A8E">
      <w:pPr>
        <w:spacing w:line="360" w:lineRule="auto"/>
        <w:jc w:val="both"/>
        <w:rPr>
          <w:szCs w:val="24"/>
        </w:rPr>
      </w:pPr>
      <w:r w:rsidRPr="00452E2E">
        <w:rPr>
          <w:szCs w:val="24"/>
        </w:rPr>
        <w:t xml:space="preserve"> In the current study, findings indicate that whilst the level of affective commitment was higher in public sector, normative commitment and continuance commitment levels were higher among private sector employees than their public sector counterparts. Thus, in the context of Nigeria, the difference in the level of organizational commitment between public and private sector employees depends on the nature of organizational commitment. This underscores the need for researchers to treat organizational commitment as a multi-dimensional construct </w:t>
      </w:r>
      <w:r w:rsidRPr="00452E2E">
        <w:rPr>
          <w:szCs w:val="24"/>
        </w:rPr>
        <w:fldChar w:fldCharType="begin" w:fldLock="1"/>
      </w:r>
      <w:r w:rsidRPr="00452E2E">
        <w:rPr>
          <w:szCs w:val="24"/>
        </w:rPr>
        <w:instrText>ADDIN CSL_CITATION { "citationItems" : [ { "id" : "ITEM-1", "itemData" : { "DOI" : "10.1080/09585190902770794", "ISBN" : "0958-5192 %[ May 01, 2009", "ISSN" : "0958-5192", "abstract" : "In this study, we examined how employee perceptions of development-oriented, stability-oriented, and reward-oriented human resource management (HRM) practices affected the likelihood of affective and continuance commitment profile membership. Our focus on profiles of combined commitment components is a departure from a literature dominated by studies of the separate forms of employee commitment. Drawing from self-determination theory (Deci and Ryan 2000) we described the nature of the psychological states believed to underlie the specific profiles under investigation, then tested a series of theoretical predictions concerning the link between HRM practices and the likelihood of profile membership. Predictor and criterion data for this study were collected from 317 respondents working in a variety of Canadian-based organizations. Our findings suggest ways that organizations can use HRM practices strategically to help shape the nature of overall employee commitment.", "author" : [ { "dropping-particle" : "", "family" : "Gellatly", "given" : "Ian R.", "non-dropping-particle" : "", "parse-names" : false, "suffix" : "" }, { "dropping-particle" : "", "family" : "Hunter", "given" : "Karen H.", "non-dropping-particle" : "", "parse-names" : false, "suffix" : "" }, { "dropping-particle" : "", "family" : "Currie", "given" : "Luanne G.", "non-dropping-particle" : "", "parse-names" : false, "suffix" : "" }, { "dropping-particle" : "", "family" : "Irving", "given" : "P. Gregory", "non-dropping-particle" : "", "parse-names" : false, "suffix" : "" } ], "container-title" : "The International Journal of Human Resource Management", "id" : "ITEM-1", "issue" : "4", "issued" : { "date-parts" : [ [ "2009" ] ] }, "page" : "869-884", "title" : "HRM practices and organizational commitment profiles", "type" : "article-journal", "volume" : "20" }, "uris" : [ "http://www.mendeley.com/documents/?uuid=6f90efd6-b015-404c-8caa-0729f3c8edea" ] }, { "id" : "ITEM-2", "itemData" : { "DOI" : "10.1016/j.jvb.2011.07.002", "ISBN" : "00018791", "ISSN" : "00018791", "abstract" : "It is well established that employee commitment can take different forms (e.g., affective, normative, and continuance), yet it is only recently that theory has been advanced to explain how these different forms combine to influence behavior (Meyer &amp; Herscovitch, 2001). We tested this theory with data from employees in three human services organizations (N = 403). Using latent profile analyses, we identified six distinct profile groups and found that they differed on measures of need satisfaction, regulation, affect, engagement, organizational citizenship behavior, and well-being. The observed differences are consistent with the notion that a commitment profile provides a context that determines how the individual components are experienced (Gellatly, Meyer, &amp; Luchak, 2006). We discuss the theoretical and practical implications of this context effect. ?? 2011 Elsevier Inc.", "author" : [ { "dropping-particle" : "", "family" : "Meyer", "given" : "John P.", "non-dropping-particle" : "", "parse-names" : false, "suffix" : "" }, { "dropping-particle" : "", "family" : "Stanley", "given" : "Laura J.", "non-dropping-particle" : "", "parse-names" : false, "suffix" : "" }, { "dropping-particle" : "", "family" : "Parfyonova", "given" : "Natalya M.", "non-dropping-particle" : "", "parse-names" : false, "suffix" : "" } ], "container-title" : "Journal of Vocational Behavior", "id" : "ITEM-2", "issue" : "1", "issued" : { "date-parts" : [ [ "2012" ] ] }, "page" : "1-16", "publisher" : "Elsevier Inc.", "title" : "Employee commitment in context: The nature and implication of commitment profiles", "type" : "article-journal", "volume" : "80" }, "uris" : [ "http://www.mendeley.com/documents/?uuid=43e24581-9019-4c54-8245-e1285f8390d8" ] } ], "mendeley" : { "formattedCitation" : "(Gellatly et al. 2009; Meyer et al. 2012)", "manualFormatting" : "(Gellatly et al., 2009; Meyer et al., 2012b)", "plainTextFormattedCitation" : "(Gellatly et al. 2009; Meyer et al. 2012)", "previouslyFormattedCitation" : "(Gellatly et al. 2009; Meyer et al. 2012)" }, "properties" : { "noteIndex" : 0 }, "schema" : "https://github.com/citation-style-language/schema/raw/master/csl-citation.json" }</w:instrText>
      </w:r>
      <w:r w:rsidRPr="00452E2E">
        <w:rPr>
          <w:szCs w:val="24"/>
        </w:rPr>
        <w:fldChar w:fldCharType="separate"/>
      </w:r>
      <w:r w:rsidRPr="00452E2E">
        <w:rPr>
          <w:noProof/>
          <w:szCs w:val="24"/>
        </w:rPr>
        <w:t xml:space="preserve">(Gellatly </w:t>
      </w:r>
      <w:r w:rsidRPr="00452E2E">
        <w:rPr>
          <w:i/>
          <w:noProof/>
          <w:szCs w:val="24"/>
        </w:rPr>
        <w:t>et al</w:t>
      </w:r>
      <w:r w:rsidRPr="00452E2E">
        <w:rPr>
          <w:noProof/>
          <w:szCs w:val="24"/>
        </w:rPr>
        <w:t xml:space="preserve">., 2009; Meyer </w:t>
      </w:r>
      <w:r w:rsidRPr="00452E2E">
        <w:rPr>
          <w:i/>
          <w:noProof/>
          <w:szCs w:val="24"/>
        </w:rPr>
        <w:t>et al</w:t>
      </w:r>
      <w:r w:rsidRPr="00452E2E">
        <w:rPr>
          <w:noProof/>
          <w:szCs w:val="24"/>
        </w:rPr>
        <w:t>., 2012</w:t>
      </w:r>
      <w:r w:rsidRPr="00452E2E">
        <w:rPr>
          <w:i/>
          <w:noProof/>
          <w:szCs w:val="24"/>
        </w:rPr>
        <w:t>b</w:t>
      </w:r>
      <w:r w:rsidRPr="00452E2E">
        <w:rPr>
          <w:noProof/>
          <w:szCs w:val="24"/>
        </w:rPr>
        <w:t>)</w:t>
      </w:r>
      <w:r w:rsidRPr="00452E2E">
        <w:rPr>
          <w:szCs w:val="24"/>
        </w:rPr>
        <w:fldChar w:fldCharType="end"/>
      </w:r>
      <w:r w:rsidRPr="00452E2E">
        <w:rPr>
          <w:szCs w:val="24"/>
        </w:rPr>
        <w:t xml:space="preserve">. </w:t>
      </w:r>
    </w:p>
    <w:p w:rsidR="00D03A8E" w:rsidRPr="00452E2E" w:rsidRDefault="00D03A8E" w:rsidP="00170224">
      <w:pPr>
        <w:pStyle w:val="Heading3"/>
      </w:pPr>
      <w:bookmarkStart w:id="227" w:name="_Toc465271219"/>
      <w:bookmarkStart w:id="228" w:name="_Toc473808206"/>
      <w:r w:rsidRPr="00452E2E">
        <w:lastRenderedPageBreak/>
        <w:t xml:space="preserve">8.6 </w:t>
      </w:r>
      <w:bookmarkEnd w:id="227"/>
      <w:r w:rsidR="004841B7" w:rsidRPr="00452E2E">
        <w:t>Summary</w:t>
      </w:r>
      <w:bookmarkEnd w:id="228"/>
    </w:p>
    <w:p w:rsidR="00BB0A73" w:rsidRPr="00452E2E" w:rsidRDefault="004841B7" w:rsidP="004841B7">
      <w:pPr>
        <w:spacing w:line="360" w:lineRule="auto"/>
        <w:jc w:val="both"/>
        <w:rPr>
          <w:szCs w:val="24"/>
        </w:rPr>
        <w:sectPr w:rsidR="00BB0A73" w:rsidRPr="00452E2E" w:rsidSect="00B57950">
          <w:pgSz w:w="11906" w:h="16838"/>
          <w:pgMar w:top="1440" w:right="1440" w:bottom="1440" w:left="2127" w:header="708" w:footer="708" w:gutter="0"/>
          <w:cols w:space="708"/>
          <w:docGrid w:linePitch="360"/>
        </w:sectPr>
      </w:pPr>
      <w:r w:rsidRPr="00452E2E">
        <w:rPr>
          <w:szCs w:val="24"/>
        </w:rPr>
        <w:t xml:space="preserve">The findings obtained from the present research were discussed in this chapter in line with the research questions addressed in the research. The conclusions drawn from these findings </w:t>
      </w:r>
      <w:r w:rsidR="00DD5D48" w:rsidRPr="00452E2E">
        <w:rPr>
          <w:szCs w:val="24"/>
        </w:rPr>
        <w:t>will</w:t>
      </w:r>
      <w:r w:rsidRPr="00452E2E">
        <w:rPr>
          <w:szCs w:val="24"/>
        </w:rPr>
        <w:t xml:space="preserve"> form</w:t>
      </w:r>
      <w:r w:rsidR="00BB0A73" w:rsidRPr="00452E2E">
        <w:rPr>
          <w:szCs w:val="24"/>
        </w:rPr>
        <w:t xml:space="preserve"> the basis of the next chapter.</w:t>
      </w:r>
    </w:p>
    <w:p w:rsidR="008640C2" w:rsidRPr="00452E2E" w:rsidRDefault="008640C2" w:rsidP="008640C2">
      <w:bookmarkStart w:id="229" w:name="_Toc473808207"/>
    </w:p>
    <w:p w:rsidR="001072F7" w:rsidRPr="00452E2E" w:rsidRDefault="001072F7" w:rsidP="001072F7">
      <w:pPr>
        <w:pStyle w:val="Heading1"/>
        <w:numPr>
          <w:ilvl w:val="0"/>
          <w:numId w:val="0"/>
        </w:numPr>
      </w:pPr>
      <w:r w:rsidRPr="00452E2E">
        <w:t>CHAPTER NINE</w:t>
      </w:r>
      <w:bookmarkEnd w:id="229"/>
    </w:p>
    <w:p w:rsidR="000269DC" w:rsidRPr="00452E2E" w:rsidRDefault="001072F7" w:rsidP="000200A3">
      <w:pPr>
        <w:pStyle w:val="Heading2"/>
        <w:spacing w:after="240"/>
      </w:pPr>
      <w:bookmarkStart w:id="230" w:name="_Toc473808208"/>
      <w:r w:rsidRPr="00452E2E">
        <w:t>CONCLUSIONS</w:t>
      </w:r>
      <w:bookmarkEnd w:id="230"/>
    </w:p>
    <w:p w:rsidR="000269DC" w:rsidRPr="00452E2E" w:rsidRDefault="000269DC" w:rsidP="00170224">
      <w:pPr>
        <w:pStyle w:val="Heading3"/>
      </w:pPr>
      <w:bookmarkStart w:id="231" w:name="_Toc473808209"/>
      <w:r w:rsidRPr="00452E2E">
        <w:t>9.1 Introduction</w:t>
      </w:r>
      <w:bookmarkEnd w:id="231"/>
    </w:p>
    <w:p w:rsidR="001072F7" w:rsidRPr="00452E2E" w:rsidRDefault="000269DC" w:rsidP="000200A3">
      <w:pPr>
        <w:spacing w:line="360" w:lineRule="auto"/>
        <w:jc w:val="both"/>
      </w:pPr>
      <w:r w:rsidRPr="00452E2E">
        <w:t>Following the discussion of research findings in the previous chapter, the aim of this chapter is to state the conclusions drawn from the research findings. The chapter begins with conclusions after which the research contributions are presented. Next is the presentation of practical implications</w:t>
      </w:r>
      <w:r w:rsidR="00A83681" w:rsidRPr="00452E2E">
        <w:t xml:space="preserve"> of the research findings which is followed by a discussion of the limitations of this research and suggestions for future research.</w:t>
      </w:r>
      <w:r w:rsidRPr="00452E2E">
        <w:t xml:space="preserve"> </w:t>
      </w:r>
      <w:r w:rsidR="00A83681" w:rsidRPr="00452E2E">
        <w:t>T</w:t>
      </w:r>
      <w:r w:rsidRPr="00452E2E">
        <w:t xml:space="preserve">he chapter and indeed the thesis ends with a </w:t>
      </w:r>
      <w:r w:rsidR="00A83681" w:rsidRPr="00452E2E">
        <w:t>presentation of my final reflections</w:t>
      </w:r>
      <w:r w:rsidRPr="00452E2E">
        <w:t>.</w:t>
      </w:r>
    </w:p>
    <w:p w:rsidR="004841B7" w:rsidRPr="00452E2E" w:rsidRDefault="002B504E" w:rsidP="00170224">
      <w:pPr>
        <w:pStyle w:val="Heading3"/>
      </w:pPr>
      <w:bookmarkStart w:id="232" w:name="_Toc473808210"/>
      <w:r w:rsidRPr="00452E2E">
        <w:t>9.2 Conclusions</w:t>
      </w:r>
      <w:bookmarkEnd w:id="232"/>
    </w:p>
    <w:p w:rsidR="00D03A8E" w:rsidRPr="00452E2E" w:rsidRDefault="00D03A8E" w:rsidP="00D03A8E">
      <w:pPr>
        <w:spacing w:line="360" w:lineRule="auto"/>
        <w:jc w:val="both"/>
      </w:pPr>
      <w:r w:rsidRPr="00452E2E">
        <w:t xml:space="preserve">The aim of this research was to examine the nature of HRM in public and private sector in Nigeria </w:t>
      </w:r>
      <w:r w:rsidR="00054966" w:rsidRPr="00452E2E">
        <w:t>as well as</w:t>
      </w:r>
      <w:r w:rsidRPr="00452E2E">
        <w:t xml:space="preserve"> the effect</w:t>
      </w:r>
      <w:r w:rsidR="000A7FA5" w:rsidRPr="00452E2E">
        <w:t>s</w:t>
      </w:r>
      <w:r w:rsidRPr="00452E2E">
        <w:t xml:space="preserve"> of HR practices on employee attitudes from an institutional perspective. The specific research questions addressed in the research were: how do institutions influence HRM in </w:t>
      </w:r>
      <w:r w:rsidR="00054966" w:rsidRPr="00452E2E">
        <w:t xml:space="preserve">the </w:t>
      </w:r>
      <w:r w:rsidRPr="00452E2E">
        <w:t xml:space="preserve">public and private sector in Nigeria? What are the specific techniques of HRM used in </w:t>
      </w:r>
      <w:r w:rsidR="00054966" w:rsidRPr="00452E2E">
        <w:t xml:space="preserve">the </w:t>
      </w:r>
      <w:r w:rsidRPr="00452E2E">
        <w:t xml:space="preserve">public and private sector in Nigeria? What </w:t>
      </w:r>
      <w:r w:rsidR="00054966" w:rsidRPr="00452E2E">
        <w:t>are</w:t>
      </w:r>
      <w:r w:rsidRPr="00452E2E">
        <w:t xml:space="preserve"> the effect</w:t>
      </w:r>
      <w:r w:rsidR="00054966" w:rsidRPr="00452E2E">
        <w:t>s</w:t>
      </w:r>
      <w:r w:rsidRPr="00452E2E">
        <w:t xml:space="preserve"> of HR practices on employee attitudes in </w:t>
      </w:r>
      <w:r w:rsidR="00410F34" w:rsidRPr="00452E2E">
        <w:t xml:space="preserve">the </w:t>
      </w:r>
      <w:r w:rsidRPr="00452E2E">
        <w:t xml:space="preserve">public and private sector in Nigeria? </w:t>
      </w:r>
    </w:p>
    <w:p w:rsidR="00D03A8E" w:rsidRPr="00452E2E" w:rsidRDefault="00D03A8E" w:rsidP="00D03A8E">
      <w:pPr>
        <w:spacing w:line="360" w:lineRule="auto"/>
        <w:jc w:val="both"/>
      </w:pPr>
      <w:r w:rsidRPr="00452E2E">
        <w:t xml:space="preserve">Based on the findings from </w:t>
      </w:r>
      <w:r w:rsidR="00410F34" w:rsidRPr="00452E2E">
        <w:t xml:space="preserve">the </w:t>
      </w:r>
      <w:r w:rsidRPr="00452E2E">
        <w:t xml:space="preserve">research, it is concluded that mimetic institutional mechanisms such as the influence of management consultants and imitation of practices from other organizations influenced HRM in public and private sector in the same direction. Similarly, normative institutional mechanisms in the shape of professional socialization also influenced HRM in both sectors in the same direction. However, the influence of these institutional forces was not enough to create homogeneity in the influence of institutions on HRM in public and private sector in Nigeria. This was due to the unequal influence of the more potent coercive institutional forces such as labour laws, trade unions, regulatory bodies, </w:t>
      </w:r>
      <w:r w:rsidR="00410F34" w:rsidRPr="00452E2E">
        <w:t xml:space="preserve">host community </w:t>
      </w:r>
      <w:r w:rsidRPr="00452E2E">
        <w:t xml:space="preserve">and </w:t>
      </w:r>
      <w:r w:rsidR="00410F34" w:rsidRPr="00452E2E">
        <w:t>influence of elites</w:t>
      </w:r>
      <w:r w:rsidRPr="00452E2E">
        <w:t xml:space="preserve"> across industries and sectors in Nigeria. In particular, the influence of these coercive mechanisms was stronger in public sector than in private sector as well as in large than </w:t>
      </w:r>
      <w:r w:rsidR="000F388F" w:rsidRPr="00452E2E">
        <w:t xml:space="preserve">in </w:t>
      </w:r>
      <w:r w:rsidRPr="00452E2E">
        <w:t xml:space="preserve">small organizations. </w:t>
      </w:r>
    </w:p>
    <w:p w:rsidR="00D03A8E" w:rsidRPr="00452E2E" w:rsidRDefault="00D03A8E" w:rsidP="00D03A8E">
      <w:pPr>
        <w:spacing w:line="360" w:lineRule="auto"/>
        <w:jc w:val="both"/>
      </w:pPr>
      <w:r w:rsidRPr="00452E2E">
        <w:lastRenderedPageBreak/>
        <w:t xml:space="preserve">In terms of industry, the influence of coercive institutional mechanisms was stronger in industries with professionalized employee groups such as the health industry. The diversity in the influence of institutions was due largely to a number of contextual factors which include the poor enforcement of labour legislation, the presence of corruption and the tendency of private sector organizations in particular to adopt neo-liberal approaches of HRM characterised by negative attitudes towards trade unionism. Equally influential on HRM in </w:t>
      </w:r>
      <w:r w:rsidR="00410F34" w:rsidRPr="00452E2E">
        <w:t xml:space="preserve">the </w:t>
      </w:r>
      <w:r w:rsidRPr="00452E2E">
        <w:t xml:space="preserve">public and private sector in Nigeria was the economic condition of the country arising from poor infrastructure and high level of poverty which force organizations to intervene by enacting policies to enable employees cope with economic hardships. Thus, whilst the sociological new institutionalism is in part, relevant to the understanding </w:t>
      </w:r>
      <w:r w:rsidR="0022593A" w:rsidRPr="00452E2E">
        <w:t xml:space="preserve">of </w:t>
      </w:r>
      <w:r w:rsidRPr="00452E2E">
        <w:t xml:space="preserve">HRM in Nigeria, the nature of the influence of institutions on HRM in Nigeria is more in line with the literature on segmented business system which accentuates differences in the influence of institutions on the basis of industries, sectors and size of the organization. </w:t>
      </w:r>
      <w:r w:rsidR="00B9729B" w:rsidRPr="00452E2E">
        <w:t xml:space="preserve">This </w:t>
      </w:r>
      <w:r w:rsidR="00D33283" w:rsidRPr="00452E2E">
        <w:t>indicates</w:t>
      </w:r>
      <w:r w:rsidR="00B9729B" w:rsidRPr="00452E2E">
        <w:t xml:space="preserve"> the relevance of comparative institutional theories to the understanding of institutions in Nigeria since comparative institutional theories </w:t>
      </w:r>
      <w:r w:rsidR="00F016AA" w:rsidRPr="00452E2E">
        <w:t>take cognisance of</w:t>
      </w:r>
      <w:r w:rsidR="00B9729B" w:rsidRPr="00452E2E">
        <w:t xml:space="preserve"> </w:t>
      </w:r>
      <w:r w:rsidR="00F016AA" w:rsidRPr="00452E2E">
        <w:t xml:space="preserve">the role of </w:t>
      </w:r>
      <w:r w:rsidR="00B9729B" w:rsidRPr="00452E2E">
        <w:t xml:space="preserve">national </w:t>
      </w:r>
      <w:r w:rsidR="00F016AA" w:rsidRPr="00452E2E">
        <w:t xml:space="preserve">contextual </w:t>
      </w:r>
      <w:r w:rsidR="00B9729B" w:rsidRPr="00452E2E">
        <w:t>differenc</w:t>
      </w:r>
      <w:r w:rsidR="00F016AA" w:rsidRPr="00452E2E">
        <w:t>es o</w:t>
      </w:r>
      <w:r w:rsidR="00B9729B" w:rsidRPr="00452E2E">
        <w:t xml:space="preserve">n </w:t>
      </w:r>
      <w:r w:rsidR="00F016AA" w:rsidRPr="00452E2E">
        <w:t>institutional configurations</w:t>
      </w:r>
      <w:r w:rsidR="00B9729B" w:rsidRPr="00452E2E">
        <w:t xml:space="preserve"> </w:t>
      </w:r>
      <w:r w:rsidR="00F016AA" w:rsidRPr="00452E2E">
        <w:t>within</w:t>
      </w:r>
      <w:r w:rsidR="00B9729B" w:rsidRPr="00452E2E">
        <w:t xml:space="preserve"> nations (Wood </w:t>
      </w:r>
      <w:r w:rsidR="00B9729B" w:rsidRPr="00452E2E">
        <w:rPr>
          <w:i/>
        </w:rPr>
        <w:t>et al.</w:t>
      </w:r>
      <w:r w:rsidR="00B9729B" w:rsidRPr="00452E2E">
        <w:t>, 2012).</w:t>
      </w:r>
    </w:p>
    <w:p w:rsidR="00D03A8E" w:rsidRPr="00452E2E" w:rsidRDefault="00D03A8E" w:rsidP="00D03A8E">
      <w:pPr>
        <w:spacing w:line="360" w:lineRule="auto"/>
        <w:jc w:val="both"/>
      </w:pPr>
      <w:r w:rsidRPr="00452E2E">
        <w:t xml:space="preserve">Arising from the unequal influence of coercive institutional mechanisms across organizations in Nigeria, there was diversity in the </w:t>
      </w:r>
      <w:r w:rsidR="00EE5486" w:rsidRPr="00452E2E">
        <w:t>practices</w:t>
      </w:r>
      <w:r w:rsidRPr="00452E2E">
        <w:t xml:space="preserve"> of HRM adopted across organizations. On the surface, whilst it may appear that generic practices such as recruitment and selection, training, employee benefits and employee participation were present across organizations in Nigeria, beneath these practices were a diversity of techniques ranging from informal to formal techniques in each domain of HRM. For most of the part, it was informal techniques that were dominant across organizations.  </w:t>
      </w:r>
    </w:p>
    <w:p w:rsidR="00D03A8E" w:rsidRPr="00452E2E" w:rsidRDefault="00D03A8E" w:rsidP="00D03A8E">
      <w:pPr>
        <w:spacing w:line="360" w:lineRule="auto"/>
        <w:jc w:val="both"/>
      </w:pPr>
      <w:r w:rsidRPr="00452E2E">
        <w:t>Although formal recruitment and selection techniques such as advertisement and selection interviews respectively were significantly in use, the use of these formal techniques was mostly for recruiting and selecting management and technical staff as opposed to clerical and manual staff. Training was largely informal-workplace based, with some element</w:t>
      </w:r>
      <w:r w:rsidR="00EA1BA7" w:rsidRPr="00452E2E">
        <w:t>s</w:t>
      </w:r>
      <w:r w:rsidRPr="00452E2E">
        <w:t xml:space="preserve"> of formal workplace based training also in use; </w:t>
      </w:r>
      <w:r w:rsidRPr="00452E2E">
        <w:lastRenderedPageBreak/>
        <w:t>although it was the uncertified variety of formal training that was mostly in use whilst minority of organizations also made use of external training in the shape of sponsoring courses with outside training bodies for different employee categories. Employee benefits were also largely informal with these informal techniques ranging from granting soft loans and salary advance to employees to providing support in time of family emergency whilst statutorily required benefits such paid vacation, paid sick leave, severance package among others we</w:t>
      </w:r>
      <w:r w:rsidR="00D42373" w:rsidRPr="00452E2E">
        <w:t>re largely not provided. Moreover</w:t>
      </w:r>
      <w:r w:rsidRPr="00452E2E">
        <w:t xml:space="preserve">, the use of formal employee participation techniques ranging from information sharing to employee consultation techniques was low across organizations but was </w:t>
      </w:r>
      <w:r w:rsidR="004F485F" w:rsidRPr="00452E2E">
        <w:t>supplemented</w:t>
      </w:r>
      <w:r w:rsidRPr="00452E2E">
        <w:t xml:space="preserve"> with informal techniques; mostly staff meetings. </w:t>
      </w:r>
    </w:p>
    <w:p w:rsidR="00D03A8E" w:rsidRPr="00452E2E" w:rsidRDefault="00D03A8E" w:rsidP="00D03A8E">
      <w:pPr>
        <w:spacing w:line="360" w:lineRule="auto"/>
        <w:jc w:val="both"/>
      </w:pPr>
      <w:r w:rsidRPr="00452E2E">
        <w:t xml:space="preserve">Nevertheless, whilst this may appear to paint a gloomy picture of HRM </w:t>
      </w:r>
      <w:r w:rsidR="00FB64D1" w:rsidRPr="00452E2E">
        <w:t>practices</w:t>
      </w:r>
      <w:r w:rsidRPr="00452E2E">
        <w:t xml:space="preserve"> across organizations in Nigeria generally, the use of informal versus formal techniques of HRM varied according to industry, sector and size of the organization. In particular, public sector organizations were more likely to lead the way in providing quality and formal techniques across all the domains of HRM than their private sector counterparts; this was also more likely in large organizations than small organizations; and to some extent, in industries such as health that are characterised by professionalised employee groups. Thus, compared to the public sector, private sector organizations were more likely to adopt HRM </w:t>
      </w:r>
      <w:r w:rsidR="00DF1917" w:rsidRPr="00452E2E">
        <w:t xml:space="preserve">practices </w:t>
      </w:r>
      <w:r w:rsidRPr="00452E2E">
        <w:t xml:space="preserve">characterised by informality, cost-cutting, low employee </w:t>
      </w:r>
      <w:r w:rsidR="001346E0" w:rsidRPr="00452E2E">
        <w:t>voice</w:t>
      </w:r>
      <w:r w:rsidRPr="00452E2E">
        <w:t xml:space="preserve"> and neglect of labour legislation – features that are typical of a segmented business system. This research therefore concludes that the difference in HRM between public and private sector and indeed across organizations in Nigeria is not in the generic </w:t>
      </w:r>
      <w:r w:rsidR="007155C6" w:rsidRPr="00452E2E">
        <w:t>labels</w:t>
      </w:r>
      <w:r w:rsidRPr="00452E2E">
        <w:t xml:space="preserve"> attached to HR practices, rather, the difference lies in the specific techniques organizations use in delivering these practices. </w:t>
      </w:r>
    </w:p>
    <w:p w:rsidR="00D03A8E" w:rsidRPr="00452E2E" w:rsidRDefault="00D03A8E" w:rsidP="00D03A8E">
      <w:pPr>
        <w:spacing w:line="360" w:lineRule="auto"/>
        <w:jc w:val="both"/>
      </w:pPr>
      <w:r w:rsidRPr="00452E2E">
        <w:t xml:space="preserve">Also, findings from the research indicate that HR practices (training, employee benefits and employee participation) have significant association with employee attitudes in public and private sector in Nigeria. Whereas this relationship was positive for job satisfaction, affective and normative commitment, it was negative for continuance commitment; thereby indicating the existence of social exchange relationship between public and private sector employees and their organizations. </w:t>
      </w:r>
      <w:r w:rsidRPr="00452E2E">
        <w:lastRenderedPageBreak/>
        <w:t xml:space="preserve">The findings also indicate that </w:t>
      </w:r>
      <w:r w:rsidR="00D42373" w:rsidRPr="00452E2E">
        <w:t>among the three HR practices examined in this research</w:t>
      </w:r>
      <w:r w:rsidRPr="00452E2E">
        <w:t xml:space="preserve">, </w:t>
      </w:r>
      <w:r w:rsidR="00D42373" w:rsidRPr="00452E2E">
        <w:t xml:space="preserve">only </w:t>
      </w:r>
      <w:r w:rsidRPr="00452E2E">
        <w:t xml:space="preserve">training and employee benefits had indirect effect on organizational commitment components (affective, normative and continuance) through procedural justice. </w:t>
      </w:r>
    </w:p>
    <w:p w:rsidR="00D03A8E" w:rsidRPr="00452E2E" w:rsidRDefault="00D03A8E" w:rsidP="00D03A8E">
      <w:pPr>
        <w:spacing w:line="360" w:lineRule="auto"/>
        <w:jc w:val="both"/>
      </w:pPr>
      <w:r w:rsidRPr="00452E2E">
        <w:t xml:space="preserve">There was however no indirect effect of HR practices on job satisfaction via procedural justice. Also, procedural justice had significant effects on organizational commitment components but not with job satisfaction. This means that for public and private sector employees in Nigeria, the perception of fairness is associated </w:t>
      </w:r>
      <w:r w:rsidR="0037393C" w:rsidRPr="00452E2E">
        <w:t xml:space="preserve">with </w:t>
      </w:r>
      <w:r w:rsidRPr="00452E2E">
        <w:t>their decision to remain with their</w:t>
      </w:r>
      <w:r w:rsidR="00E85031" w:rsidRPr="00452E2E">
        <w:t xml:space="preserve"> organization but not with the</w:t>
      </w:r>
      <w:r w:rsidR="00B626D7" w:rsidRPr="00452E2E">
        <w:t>ir</w:t>
      </w:r>
      <w:r w:rsidRPr="00452E2E">
        <w:t xml:space="preserve"> satisfaction with their jobs. Further, the indirect effect of all the three HR practices on affective commitment via procedural justice was moderated by sector, with the effect higher in the public sector. This suggests that public sector employees have more favourable perception of fairness of the practices they encounter than private sector employees. This is perhaps due to the likelihood of public sector employees to influence workplace decisions via employee consultation and collective participation schemes more than their private sector counterparts. </w:t>
      </w:r>
    </w:p>
    <w:p w:rsidR="00D03A8E" w:rsidRPr="00452E2E" w:rsidRDefault="00D03A8E" w:rsidP="00D03A8E">
      <w:pPr>
        <w:spacing w:line="360" w:lineRule="auto"/>
        <w:jc w:val="both"/>
      </w:pPr>
      <w:r w:rsidRPr="00452E2E">
        <w:t>In terms of the effect</w:t>
      </w:r>
      <w:r w:rsidR="00BC62D1" w:rsidRPr="00452E2E">
        <w:t>s</w:t>
      </w:r>
      <w:r w:rsidRPr="00452E2E">
        <w:t xml:space="preserve"> of HR attributions (commitment-focused, control-focused and union compliance) on each of the employee attitudes, only commitment-focused HR attribution had </w:t>
      </w:r>
      <w:r w:rsidR="00BC62D1" w:rsidRPr="00452E2E">
        <w:t xml:space="preserve">a </w:t>
      </w:r>
      <w:r w:rsidRPr="00452E2E">
        <w:t xml:space="preserve">significant effect on job satisfaction whilst control-focused HR attribution had </w:t>
      </w:r>
      <w:r w:rsidR="00AD77C8" w:rsidRPr="00452E2E">
        <w:t xml:space="preserve">a </w:t>
      </w:r>
      <w:r w:rsidRPr="00452E2E">
        <w:t xml:space="preserve">significant positive effect on normative commitment. The positive effect of control-focused HR attribution on normative commitment indicate that although public and private sector employees may perceive that HR practices were aimed at cost reduction and employee exploitation, this would rather increase their perceived obligation to remain with their organization. This may underscore the indebtedness of employees to their organizations as a result of the continued dependence of employees on their organizations. In addition, among the forms of HR attributions, the three HR practices and the types of employee attitudes, only employee participation had </w:t>
      </w:r>
      <w:r w:rsidR="00064F9D" w:rsidRPr="00452E2E">
        <w:t xml:space="preserve">an </w:t>
      </w:r>
      <w:r w:rsidRPr="00452E2E">
        <w:t xml:space="preserve">indirect effect on job satisfaction </w:t>
      </w:r>
      <w:r w:rsidR="00453036" w:rsidRPr="00452E2E">
        <w:t>through</w:t>
      </w:r>
      <w:r w:rsidRPr="00452E2E">
        <w:t xml:space="preserve"> commitment-focused HR attribution. This means that employee participation will influence the job satisfaction level of public and </w:t>
      </w:r>
      <w:r w:rsidRPr="00452E2E">
        <w:lastRenderedPageBreak/>
        <w:t>private sector employees in Nigeria to the extent that they perceive the desire of management to improve service delivery and employee well</w:t>
      </w:r>
      <w:r w:rsidR="00033FF7" w:rsidRPr="00452E2E">
        <w:t>-</w:t>
      </w:r>
      <w:r w:rsidRPr="00452E2E">
        <w:t xml:space="preserve">being. </w:t>
      </w:r>
    </w:p>
    <w:p w:rsidR="00D03A8E" w:rsidRPr="00452E2E" w:rsidRDefault="00D03A8E" w:rsidP="00D03A8E">
      <w:pPr>
        <w:spacing w:line="360" w:lineRule="auto"/>
        <w:jc w:val="both"/>
      </w:pPr>
      <w:r w:rsidRPr="00452E2E">
        <w:t xml:space="preserve">There was no mediation effect of the other </w:t>
      </w:r>
      <w:r w:rsidR="0094209D" w:rsidRPr="00452E2E">
        <w:t xml:space="preserve">HR </w:t>
      </w:r>
      <w:r w:rsidRPr="00452E2E">
        <w:t xml:space="preserve">attributions on the relationship between the other HR practices and each of the employee attitudes whilst there was no moderation effect of sector on the indirect effects of HR practices on employee attitudes via any of the three forms of HR attribution. Nevertheless, the fact that there was no sectoral differences in the indirect effects of HR practices on employee attitudes via control-focused HR attribution underscores the fact that employees in both sectors were likely to encounter some elements of HR practices aimed at labour cost reduction due to the influence neo-liberal policies on HRM in Nigeria. </w:t>
      </w:r>
    </w:p>
    <w:p w:rsidR="00D03A8E" w:rsidRPr="00452E2E" w:rsidRDefault="00EA28AC" w:rsidP="00170224">
      <w:pPr>
        <w:pStyle w:val="Heading3"/>
      </w:pPr>
      <w:bookmarkStart w:id="233" w:name="_Toc465271220"/>
      <w:bookmarkStart w:id="234" w:name="_Toc473808211"/>
      <w:r w:rsidRPr="00452E2E">
        <w:t>9.3</w:t>
      </w:r>
      <w:r w:rsidR="00D03A8E" w:rsidRPr="00452E2E">
        <w:t xml:space="preserve"> Research Contributions</w:t>
      </w:r>
      <w:bookmarkEnd w:id="233"/>
      <w:bookmarkEnd w:id="234"/>
    </w:p>
    <w:p w:rsidR="00D03A8E" w:rsidRPr="00452E2E" w:rsidRDefault="00D03A8E" w:rsidP="00D03A8E">
      <w:pPr>
        <w:spacing w:line="360" w:lineRule="auto"/>
        <w:jc w:val="both"/>
      </w:pPr>
      <w:r w:rsidRPr="00452E2E">
        <w:t xml:space="preserve">This research explored the influence of institutions on </w:t>
      </w:r>
      <w:r w:rsidR="00D42373" w:rsidRPr="00452E2E">
        <w:t xml:space="preserve">the </w:t>
      </w:r>
      <w:r w:rsidRPr="00452E2E">
        <w:t xml:space="preserve">HRM in public and private sector in Nigeria. The study also examined the specific techniques of HRM used in </w:t>
      </w:r>
      <w:r w:rsidR="00D42373" w:rsidRPr="00452E2E">
        <w:t xml:space="preserve">the </w:t>
      </w:r>
      <w:r w:rsidRPr="00452E2E">
        <w:t xml:space="preserve">public and private sector in Nigeria whilst the effect of HR practices on employee attitudes was also examined. In addition to examining the direct effect of HR practices on employee attitudes, the mediation effect of procedural justice and HR attributions were examined as well as the moderation effect of sector on these relationships. There are important research contributions drawn from the research that need highlighting. </w:t>
      </w:r>
    </w:p>
    <w:p w:rsidR="00D03A8E" w:rsidRPr="00452E2E" w:rsidRDefault="00D03A8E" w:rsidP="00D03A8E">
      <w:pPr>
        <w:spacing w:line="360" w:lineRule="auto"/>
        <w:jc w:val="both"/>
      </w:pPr>
      <w:r w:rsidRPr="00452E2E">
        <w:t xml:space="preserve">First, the use of </w:t>
      </w:r>
      <w:r w:rsidR="00D42373" w:rsidRPr="00452E2E">
        <w:t xml:space="preserve">an </w:t>
      </w:r>
      <w:r w:rsidRPr="00452E2E">
        <w:t xml:space="preserve">institutional framework in examining HRM in Nigeria is in itself a useful contribution to the literature of African HRM since most studies on HRM in Africa are conducted using cultural frameworks. Indeed, many researchers on African HRM have called for the use of institutional frameworks in order to provide a better understanding of HRM in diverse cultural contexts of African countries </w:t>
      </w:r>
      <w:r w:rsidRPr="00452E2E">
        <w:fldChar w:fldCharType="begin" w:fldLock="1"/>
      </w:r>
      <w:r w:rsidRPr="00452E2E">
        <w:instrText>ADDIN CSL_CITATION { "citationItems" : [ { "id" : "ITEM-1", "itemData" : { "author" : [ { "dropping-particle" : "", "family" : "Adeleye", "given" : "I.", "non-dropping-particle" : "", "parse-names" : false, "suffix" : "" } ], "container-title" : "African Journal of Business Management", "id" : "ITEM-1", "issue" : "6", "issued" : { "date-parts" : [ [ "2011" ] ] }, "page" : "2028\u20132039", "title" : "Theorising human resource management in Africa: Beyond cultural relativism", "type" : "article-journal", "volume" : "5" }, "uris" : [ "http://www.mendeley.com/documents/?uuid=b6058017-794b-4523-80e3-eae4db7ca9ff" ] }, { "id" : "ITEM-2",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"ITEM-2", "issue" : "1", "issued" : { "date-parts" : [ [ "2011" ] ] }, "page" : "31-41", "publisher" : "Elsevier Inc.", "title" : "HRM in Mozambique: Homogenization, path dependence or segmented business system?", "type" : "article-journal", "volume" : "46" }, "uris" : [ "http://www.mendeley.com/documents/?uuid=715488db-b5b1-4ac9-8b33-8be3c1beb0c1" ] }, { "id" : "ITEM-3", "itemData" : { "DOI" : "10.1080/09585192.2015.1071546", "ISSN" : "0958-5192", "author" : [ { "dropping-particle" : "", "family" : "Cooke", "given" : "Fang Lee", "non-dropping-particle" : "", "parse-names" : false, "suffix" : "" }, { "dropping-particle" : "", "family" : "Wood", "given" : "Geoffrey", "non-dropping-particle" : "", "parse-names" : false, "suffix" : "" }, { "dropping-particle" : "", "family" : "Horwitz", "given" : "Frank", "non-dropping-particle" : "", "parse-names" : false, "suffix" : "" } ], "container-title" : "The International Journal of Human Resource Management", "id" : "ITEM-3", "issue" : "21", "issued" : { "date-parts" : [ [ "2015" ] ] }, "page" : "2653-2675", "title" : "Multinational firms from emerging economies in Africa: Implications for research and practice in human resource management", "type" : "article-journal", "volume" : "26" }, "uris" : [ "http://www.mendeley.com/documents/?uuid=00b6a1e1-3d15-4bc3-9254-07ad89eb3867" ] }, { "id" : "ITEM-4", "itemData" : { "author" : [ { "dropping-particle</w:instrText>
      </w:r>
      <w:r w:rsidRPr="00452E2E">
        <w:rPr>
          <w:lang w:val="nl-NL"/>
        </w:rPr>
        <w:instrText>" : "", "family" : "Kamoche", "given" : "Ken", "non-dropping-particle" : "", "parse-names" : false, "suffix" : "" }, { "dropping-particle" : "", "family" : "Siebers", "given" : "Lisa QIxun", "non-dropping-particle" : "", "parse-names" : false, "suffix" : "" }, { "dropping-particle" : "", "family" : "Mamman", "given" : "Aminu", "non-dropping-particle" : "", "parse-names" : false, "suffix" : "" }, { "dropping-particle" : "", "family" : "Newenham-Kahindi", "given" : "Aloysius", "non-dropping-particle" : "", "parse-names" : false, "suffix" : "" } ], "container-title" : "Personnel Review", "id" : "ITEM-4", "issue" : "3", "issued" : { "date-parts" : [ [ "2015" ] ] }, "page" : "330-345", "title" : "The dynamics of managing people in the diverse cultural and institutional context of Africa", "type" : "article-journal", "volume" : "44" }, "uris" : [ "http://www.mendeley.com/documents/?uuid=69ad02a9-4a01-42ad-ac07-0a1853df3747" ] } ], "mendeley" : { "formattedCitation" : "(Adeleye 2011; Wood et al. 2011; Cooke et al. 2015; Kamoche et al. 2015)", "manualFormatting" : "(Adeleye, 2011; Wood et al., 2011; Cooke et al., 2015; Kamoche et al., 2015)", "plainTextFormattedCitation" : "(Adeleye 2011; Wood et al. 2011; Cooke et al. 2015; Kamoche et al. 2015)", "previouslyFormattedCitation" : "(Adeleye 2011; Wood et al. 2011; Cooke et al. 2015; Kamoche et al. 2015)" }, "properties" : { "noteIndex" : 0 }, "schema" : "https://github.com/citation-style-language/schema/raw/master/csl-citation.json" }</w:instrText>
      </w:r>
      <w:r w:rsidRPr="00452E2E">
        <w:fldChar w:fldCharType="separate"/>
      </w:r>
      <w:r w:rsidRPr="00452E2E">
        <w:rPr>
          <w:noProof/>
          <w:lang w:val="nl-NL"/>
        </w:rPr>
        <w:t xml:space="preserve">(Adeleye, 2011; Wood </w:t>
      </w:r>
      <w:r w:rsidRPr="00452E2E">
        <w:rPr>
          <w:i/>
          <w:noProof/>
          <w:lang w:val="nl-NL"/>
        </w:rPr>
        <w:t>et al</w:t>
      </w:r>
      <w:r w:rsidRPr="00452E2E">
        <w:rPr>
          <w:noProof/>
          <w:lang w:val="nl-NL"/>
        </w:rPr>
        <w:t xml:space="preserve">., 2011; Cooke </w:t>
      </w:r>
      <w:r w:rsidRPr="00452E2E">
        <w:rPr>
          <w:i/>
          <w:noProof/>
          <w:lang w:val="nl-NL"/>
        </w:rPr>
        <w:t>et al</w:t>
      </w:r>
      <w:r w:rsidRPr="00452E2E">
        <w:rPr>
          <w:noProof/>
          <w:lang w:val="nl-NL"/>
        </w:rPr>
        <w:t xml:space="preserve">., 2015; Kamoche </w:t>
      </w:r>
      <w:r w:rsidRPr="00452E2E">
        <w:rPr>
          <w:i/>
          <w:noProof/>
          <w:lang w:val="nl-NL"/>
        </w:rPr>
        <w:t>et al</w:t>
      </w:r>
      <w:r w:rsidRPr="00452E2E">
        <w:rPr>
          <w:noProof/>
          <w:lang w:val="nl-NL"/>
        </w:rPr>
        <w:t>., 2015)</w:t>
      </w:r>
      <w:r w:rsidRPr="00452E2E">
        <w:fldChar w:fldCharType="end"/>
      </w:r>
      <w:r w:rsidRPr="00452E2E">
        <w:rPr>
          <w:lang w:val="nl-NL"/>
        </w:rPr>
        <w:t xml:space="preserve">. </w:t>
      </w:r>
      <w:r w:rsidRPr="00452E2E">
        <w:t xml:space="preserve">This research is therefore a response to such calls, </w:t>
      </w:r>
      <w:r w:rsidR="00520191" w:rsidRPr="00452E2E">
        <w:t>since</w:t>
      </w:r>
      <w:r w:rsidRPr="00452E2E">
        <w:t xml:space="preserve"> the research has established a link between the institutional environment and the nature of HRM techniques adopted by organizations.</w:t>
      </w:r>
    </w:p>
    <w:p w:rsidR="00D03A8E" w:rsidRPr="00452E2E" w:rsidRDefault="00D03A8E" w:rsidP="00D03A8E">
      <w:pPr>
        <w:spacing w:line="360" w:lineRule="auto"/>
        <w:jc w:val="both"/>
      </w:pPr>
      <w:r w:rsidRPr="00452E2E">
        <w:t xml:space="preserve">Second, the research has contributed to the literature on comparative capitalism generally which has focused largely on developed countries to the neglect of developing countries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"plainTextFormattedCitation" : "(Wood et al. 2011)", "previouslyFormattedCitation" : "(Wood et al. 2011)"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2011)</w:t>
      </w:r>
      <w:r w:rsidRPr="00452E2E">
        <w:fldChar w:fldCharType="end"/>
      </w:r>
      <w:r w:rsidRPr="00452E2E">
        <w:t xml:space="preserve">. Specifically, the research adds to the </w:t>
      </w:r>
      <w:r w:rsidRPr="00452E2E">
        <w:lastRenderedPageBreak/>
        <w:t xml:space="preserve">literature on institutional diversity </w:t>
      </w:r>
      <w:r w:rsidRPr="00452E2E">
        <w:fldChar w:fldCharType="begin" w:fldLock="1"/>
      </w:r>
      <w:r w:rsidRPr="00452E2E">
        <w:instrText>ADDIN CSL_CITATION { "citationItems" : [ { "id" : "ITEM-1", "itemData" : { "abstract" : "At the heart of debates around internal diversity within specific national contexts lie the questions of social action and the relative impact of institutional concentrations at spatial, industrial and specific hierarchical levels. Internal diversity represents the product of specific historical legacies and the uneven nature of change, the effects of transnational players and regulation, the operation of complementarity, and of regional and sectoral dynamics. This article introduces a range of perspectives on conceptualizing internal diversity within national manifestations of capitalism, and provides a framework for the subsequent articles that constitute this special issue.", "author" : [ { "dropping-particle" : "", "family" : "Lane", "given" : "Christel", "non-dropping-particle" : "", "parse-names" : false, "suffix" : "" }, { "dropping-particle" : "", "family" : "Wood", "given" : "Geoffrey", "non-dropping-particle" : "", "parse-names" : false, "suffix" : "" } ], "container-title" : "Economy and Society", "id" : "ITEM-1", "issue" : "4", "issued" : { "date-parts" : [ [ "2009" ] ] }, "page" : "531-551", "title" : "Capitalist diversity and diversity within capitalism", "type" : "article-journal", "volume" : "38" }, "uris" : [ "http://www.mendeley.com/documents/?uuid=7b3af461-5ee4-40a7-bcce-00cc0eaef4dd" ] } ], "mendeley" : { "formattedCitation" : "(Lane &amp; Wood 2009)", "manualFormatting" : "(Lane &amp; Wood, 2009)", "plainTextFormattedCitation" : "(Lane &amp; Wood 2009)", "previouslyFormattedCitation" : "(Lane &amp; Wood 2009)" }, "properties" : { "noteIndex" : 0 }, "schema" : "https://github.com/citation-style-language/schema/raw/master/csl-citation.json" }</w:instrText>
      </w:r>
      <w:r w:rsidRPr="00452E2E">
        <w:fldChar w:fldCharType="separate"/>
      </w:r>
      <w:r w:rsidRPr="00452E2E">
        <w:rPr>
          <w:noProof/>
        </w:rPr>
        <w:t>(Lane &amp; Wood, 2009)</w:t>
      </w:r>
      <w:r w:rsidRPr="00452E2E">
        <w:fldChar w:fldCharType="end"/>
      </w:r>
      <w:r w:rsidRPr="00452E2E">
        <w:t xml:space="preserve"> by showing that within a particular national context, organizational practices may be influenced differently by institutions</w:t>
      </w:r>
      <w:r w:rsidR="0041068C" w:rsidRPr="00452E2E">
        <w:t>,</w:t>
      </w:r>
      <w:r w:rsidRPr="00452E2E">
        <w:t xml:space="preserve"> thereby resulting to a diversity in organizational practices based on industry, sector or size of the organization. </w:t>
      </w:r>
    </w:p>
    <w:p w:rsidR="00D03A8E" w:rsidRPr="00452E2E" w:rsidRDefault="00D03A8E" w:rsidP="00D03A8E">
      <w:pPr>
        <w:spacing w:line="360" w:lineRule="auto"/>
        <w:jc w:val="both"/>
      </w:pPr>
      <w:r w:rsidRPr="00452E2E">
        <w:t xml:space="preserve">Relatedly, and perhaps most importantly, this research has provided support for the utility of the segmented business system theory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"Frynas", "given" : "G.", "non-dropping-particle" : "", "parse-names" : false, "suffix" : "" } ], "container-title" : "Socio-economic Review", "id" : "ITEM-1", "issue" : "2", "issued" : { "date-parts" : [ [ "2006" ] ] }, "page" : "239-277", "title" : "The institutional basis of economic failure: anatomy of the segmented business system", "type" : "article-journal", "volume" : "4" }, "uris" : [ "http://www.mendeley.com/documents/?uuid=d0e28496-4e52-47a5-9bed-4cf2ea987aba" ] } ], "mendeley" : { "formattedCitation" : "(Wood &amp; Frynas 2006)", "manualFormatting" : "(Wood &amp; Frynas, 2006)", "plainTextFormattedCitation" : "(Wood &amp; Frynas 2006)", "previouslyFormattedCitation" : "(Wood &amp; Frynas 2006)" }, "properties" : { "noteIndex" : 0 }, "schema" : "https://github.com/citation-style-language/schema/raw/master/csl-citation.json" }</w:instrText>
      </w:r>
      <w:r w:rsidRPr="00452E2E">
        <w:fldChar w:fldCharType="separate"/>
      </w:r>
      <w:r w:rsidRPr="00452E2E">
        <w:rPr>
          <w:noProof/>
        </w:rPr>
        <w:t>(Wood &amp; Frynas, 2006)</w:t>
      </w:r>
      <w:r w:rsidRPr="00452E2E">
        <w:fldChar w:fldCharType="end"/>
      </w:r>
      <w:r w:rsidRPr="00452E2E">
        <w:t xml:space="preserve"> as an institutional framework for understanding the nature of HRM in Nigeria. In line with the literature on segmented business system theory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"id" : "ITEM-2", "itemData" : { "author" : [ { "dropping-particle" : "", "family" : "Wood", "given" : "Geoffrey", "non-dropping-particle" : "", "parse-names" : false, "suffix" : "" }, { "dropping-particle" : "", "family" : "Horwitz", "given" : "Frank", "non-dropping-particle" : "", "parse-names" : false, "suffix" : "" } ], "chapter-number" : "2", "container-title" : "Handbook of Human Resource Management in Emerging Markets", "editor" : [ { "dropping-particle" : "", "family" : "Horwitz", "given" : "Frank", "non-dropping-particle" : "", "parse-names" : false, "suffix" : "" }, { "dropping-particle" : "", "family" : "Budhwar", "given" : "Pawan", "non-dropping-particle" : "", "parse-names" : false, "suffix" : "" } ], "id" : "ITEM-2", "issued" : { "date-parts" : [ [ "2015" ] ] }, "page" : "19-41", "publisher" : "Edward Elgar", "publisher-place" : "Cheltenham, UK", "title" : "Theories and institutional approaches to HRM and employment relations in selected emerging markets", "type" : "chapter" }, "uris" : [ "http://www.mendeley.com/documents/?uuid=91d84f00-5049-4ec2-97e4-2e1fc6d7d495" ] } ], "mendeley" : { "formattedCitation" : "(Wood et al. 2011; Wood &amp; Horwitz 2015)", "manualFormatting" : "(Wood et al., 2011; Wood &amp; Horwitz, 2015)", "plainTextFormattedCitation" : "(Wood et al. 2011; Wood &amp; Horwitz 2015)", "previouslyFormattedCitation" : "(Wood et al. 2011; Wood &amp; Horwitz 2015)"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2011; Wood &amp; Horwitz, 2015)</w:t>
      </w:r>
      <w:r w:rsidRPr="00452E2E">
        <w:fldChar w:fldCharType="end"/>
      </w:r>
      <w:r w:rsidRPr="00452E2E">
        <w:t xml:space="preserve">, this research found unequal influence of institutions on HRM across organizations in Nigeria thereby resulting in a diversity </w:t>
      </w:r>
      <w:r w:rsidR="00F020F3" w:rsidRPr="00452E2E">
        <w:t>of</w:t>
      </w:r>
      <w:r w:rsidRPr="00452E2E">
        <w:t xml:space="preserve"> HRM practices based on industry, sector and size of the organization. Moreover, whilst support has been provided for the segmented business system theory based on previous research in Mozambique </w:t>
      </w:r>
      <w:r w:rsidRPr="00452E2E">
        <w:fldChar w:fldCharType="begin" w:fldLock="1"/>
      </w:r>
      <w:r w:rsidRPr="00452E2E">
        <w:instrText>ADDIN CSL_CITATION { "citationItems" : [ { "id" : "ITEM-1", "itemData" : { "DOI" : "10.1016/j.jwb.2010.05.015", "ISSN" : "10909516", "abstract" : "A central debate in Human Resource Management (HRM) in emerging economies is whether nations follow distinct paradigms, or if there has been homogenization towards low value-added policies or 'best practice' HR systems. The literature on comparative capitalism indicates the existence of continuities and path dependence, but often neglects emerging markets. This article seeks to address this gap through exploring the nature of HRM in Mozambique and its relationship to business systems theory. Survey results indicate diversity between companies, suggesting a segmented business system, and the article concludes by discussing the implications of these findings for government policy and management practice. ?? 2010 Elsevier Inc. All rights reserved.", "author" : [ { "dropping-particle" : "", "family" : "Wood", "given" : "Geoffrey", "non-dropping-particle" : "", "parse-names" : false, "suffix" : "" }, { "dropping-particle" : "", "family" : "Dibben", "given" : "Pauline", "non-dropping-particle" : "", "parse-names" : false, "suffix" : "" }, { "dropping-particle" : "", "family" : "Stride", "given" : "Chris", "non-dropping-particle" : "", "parse-names" : false, "suffix" : "" }, { "dropping-particle" : "", "family" : "Webster", "given" : "Edward", "non-dropping-particle" : "", "parse-names" : false, "suffix" : "" } ], "container-title" : "Journal of World Business", "id" : "ITEM-1", "issue" : "1", "issued" : { "date-parts" : [ [ "2011" ] ] }, "page" : "31-41", "publisher" : "Elsevier Inc.", "title" : "HRM in Mozambique: Homogenization, path dependence or segmented business system?", "type" : "article-journal", "volume" : "46" }, "uris" : [ "http://www.mendeley.com/documents/?uuid=715488db-b5b1-4ac9-8b33-8be3c1beb0c1" ] } ], "mendeley" : { "formattedCitation" : "(Wood et al. 2011)", "manualFormatting" : "(Wood et al., 2011)", "plainTextFormattedCitation" : "(Wood et al. 2011)", "previouslyFormattedCitation" : "(Wood et al. 2011)"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2011)</w:t>
      </w:r>
      <w:r w:rsidRPr="00452E2E">
        <w:fldChar w:fldCharType="end"/>
      </w:r>
      <w:r w:rsidRPr="00452E2E">
        <w:t xml:space="preserve">, the present study is unique not only because it has provided support for the theory in another country in Africa (Nigeria), it is the first to do so by comparing the nature of HRM in public and private sector. </w:t>
      </w:r>
    </w:p>
    <w:p w:rsidR="00D03A8E" w:rsidRPr="00452E2E" w:rsidRDefault="00D03A8E" w:rsidP="00D03A8E">
      <w:pPr>
        <w:spacing w:line="360" w:lineRule="auto"/>
        <w:jc w:val="both"/>
      </w:pPr>
      <w:r w:rsidRPr="00452E2E">
        <w:t xml:space="preserve">Another contribution of this research relates to the identification of diverse HRM techniques across organizations in Nigeria. The present research goes beyond identifying the presence or otherwise of the generic domains of HR practices such as recruitment and selection, training, employee benefits and employee participation as done by previous researchers on HRM in Nigeria </w:t>
      </w:r>
      <w:r w:rsidRPr="00452E2E">
        <w:fldChar w:fldCharType="begin" w:fldLock="1"/>
      </w:r>
      <w:r w:rsidRPr="00452E2E">
        <w:instrText>ADDIN CSL_CITATION { "citationItems" : [ { "id" : "ITEM-1", "itemData" : { "abstract" : "This paper generated current knowledge on aspects of human resource management practices in Nigeria from a sample of 185 human resource management professionals employed in over ninety-six corporations located in three major cities in Nigeria. Furthermore, the convergence/divergence/cross-vergence perspective was utilized to provide theoretical insights on the human resource management practices. The findings support a cross-vergence perspective as evidenced by the blend of human resource management practices reflecting both generalized or standardized practices and localized practices. Implications and direction for further studies are discussed.", "author" : [ { "dropping-particle" : "", "family" : "Anakwe", "given" : "Uzoamaka P.", "non-dropping-particle" : "", "parse-names" : false, "suffix" : "" } ], "container-title" : "The International Journal of Human Resource Management", "id" : "ITEM-1", "issue" : "7", "issued" : { "date-parts" : [ [ "2002" ] ] }, "page" : "1042-1059", "title" : "Human resource management practices in Nigeria: Challenges and insights", "type" : "article-journal", "volume" : "13" }, "uris" : [ "http://www.mendeley.com/documents/?uuid=05a9e25e-4e60-410a-af56-a98b14b9eb28" ] }, { "id" : "ITEM-2", "itemData" : { "DOI" : "10.1108/01409170810845958", "ISBN" : "0143772961", "ISSN" : "0140-9174", "author" : [ { "dropping-particle" : "", "family" : "Okpara", "given" : "John O.", "non-dropping-particle" : "", "parse-names" : false, "suffix" : "" }, { "dropping-particle" : "", "family" : "Wynn", "given" : "Pamela", "non-dropping-particle" : "", "parse-names" : false, "suffix" : "" } ], "container-title" : "Management Research News", "id" : "ITEM-2", "issue" : "1", "issued" : { "date-parts" : [ [ "2008" ] ] }, "page" : "57-76", "title" : "Human resource management practices in a transition economy: Challenges and prospects", "type" : "article-journal", "volume" : "31" }, "uris" : [ "http://www.mendeley.com/documents/?uuid=43a2fbd4-6640-46db-bd96-9c0c4ca42d50" ] } ], "mendeley" : { "formattedCitation" : "(Anakwe 2002; Okpara &amp; Wynn 2008)", "manualFormatting" : "(Anakwe, 2002; Okpara &amp; Wynn, 2008)", "plainTextFormattedCitation" : "(Anakwe 2002; Okpara &amp; Wynn 2008)", "previouslyFormattedCitation" : "(Anakwe 2002; Okpara &amp; Wynn 2008)" }, "properties" : { "noteIndex" : 0 }, "schema" : "https://github.com/citation-style-language/schema/raw/master/csl-citation.json" }</w:instrText>
      </w:r>
      <w:r w:rsidRPr="00452E2E">
        <w:fldChar w:fldCharType="separate"/>
      </w:r>
      <w:r w:rsidRPr="00452E2E">
        <w:rPr>
          <w:noProof/>
        </w:rPr>
        <w:t>(Anakwe, 2002; Okpara &amp; Wynn, 2008)</w:t>
      </w:r>
      <w:r w:rsidRPr="00452E2E">
        <w:fldChar w:fldCharType="end"/>
      </w:r>
      <w:r w:rsidRPr="00452E2E">
        <w:t xml:space="preserve"> to identifying the </w:t>
      </w:r>
      <w:r w:rsidRPr="00452E2E">
        <w:rPr>
          <w:i/>
        </w:rPr>
        <w:t xml:space="preserve">specific </w:t>
      </w:r>
      <w:r w:rsidRPr="00452E2E">
        <w:t xml:space="preserve">techniques used in the various domains of HRM based on industry, sector and size of organization. By so doing, the research adds to the literature on HRM in Nigeria since the findings indicate that it is not just the presence of generic HR practices that count, it is the techniques used in implementing these HR practices that makes a difference. </w:t>
      </w:r>
    </w:p>
    <w:p w:rsidR="00D03A8E" w:rsidRPr="00452E2E" w:rsidRDefault="00D03A8E" w:rsidP="00D03A8E">
      <w:pPr>
        <w:spacing w:line="360" w:lineRule="auto"/>
        <w:jc w:val="both"/>
      </w:pPr>
      <w:r w:rsidRPr="00452E2E">
        <w:t xml:space="preserve">Beyond Nigeria, the finding on the diversity in HRM techniques across organizations in Nigeria also adds to the convergence-divergence debate by establishing that whilst it may appear on the surface that organizations in Nigeria adopt similar HR practices, a deeper analysis of these practices indicates that the techniques used in implementing these practices may differ. This corresponds with the distinction made by Mayrhofer and colleagues between directional </w:t>
      </w:r>
      <w:r w:rsidRPr="00452E2E">
        <w:lastRenderedPageBreak/>
        <w:t xml:space="preserve">similarity and final convergence of HRM in their study of HRM in European countries </w:t>
      </w:r>
      <w:r w:rsidRPr="00452E2E">
        <w:fldChar w:fldCharType="begin" w:fldLock="1"/>
      </w:r>
      <w:r w:rsidRPr="00452E2E">
        <w:instrText>ADDIN CSL_CITATION { "citationItems" : [ { "id" : "ITEM-1", "itemData" : { "DOI" : "10.1016/j.hrmr.2010.09.011", "ISBN" : "1053-4822", "ISSN" : "10534822", "abstract" : "In this paper we explore the notion of convergence in managerial practice as a result of globalization. Focused on convergence at the national level, we offer a more nuanced exposition of convergence than has been evident in previous literature and draw upon a study that empirically analyzes the development of HRM in larger private sector firms in 13 European countries between 1992 and 2004 to examine any evidence of human resource management practices becoming more alike. We find considerable evidence of directional similarity - practices increasing or decreasing in the same way across the countries - but no evidence of final convergence - countries becoming more alike in the way they manage people. The findings have important implications for theories of convergence, theories of HRM, and for practitioners in multinational corporations. ?? 2010 Elsevier Inc.", "author" : [ { "dropping-particle" : "", "family" : "Mayrhofer", "given" : "Wolfgang", "non-dropping-particle" : "", "parse-names" : false, "suffix" : "" }, { "dropping-particle" : "", "family" : "Brewster", "given" : "Chris", "non-dropping-particle" : "", "parse-names" : false, "suffix" : "" }, { "dropping-particle" : "", "family" : "Morley", "given" : "Michael J.", "non-dropping-particle" : "", "parse-names" : false, "suffix" : "" }, { "dropping-particle" : "", "family" : "Ledolter", "given" : "Johannes", "non-dropping-particle" : "", "parse-names" : false, "suffix" : "" } ], "container-title" : "Human Resource Management Review", "id" : "ITEM-1", "issue" : "1", "issued" : { "date-parts" : [ [ "2011" ] ] }, "page" : "50-67", "publisher" : "Elsevier Inc.", "title" : "Hearing a different drummer? Convergence of human resource management in Europe - A longitudinal analysis", "type" : "article-journal", "volume" : "21" }, "uris" : [ "http://www.mendeley.com/documents/?uuid=fe989bd4-3b92-484f-8e26-379179d76108" ] } ], "mendeley" : { "formattedCitation" : "(Mayrhofer et al. 2011)", "manualFormatting" : "(Mayrhofer et al., 2011)", "plainTextFormattedCitation" : "(Mayrhofer et al. 2011)", "previouslyFormattedCitation" : "(Mayrhofer et al. 2011)" }, "properties" : { "noteIndex" : 0 }, "schema" : "https://github.com/citation-style-language/schema/raw/master/csl-citation.json" }</w:instrText>
      </w:r>
      <w:r w:rsidRPr="00452E2E">
        <w:fldChar w:fldCharType="separate"/>
      </w:r>
      <w:r w:rsidRPr="00452E2E">
        <w:rPr>
          <w:noProof/>
        </w:rPr>
        <w:t xml:space="preserve">(Mayrhofer </w:t>
      </w:r>
      <w:r w:rsidRPr="00452E2E">
        <w:rPr>
          <w:i/>
          <w:noProof/>
        </w:rPr>
        <w:t>et al</w:t>
      </w:r>
      <w:r w:rsidRPr="00452E2E">
        <w:rPr>
          <w:noProof/>
        </w:rPr>
        <w:t>., 2011)</w:t>
      </w:r>
      <w:r w:rsidRPr="00452E2E">
        <w:fldChar w:fldCharType="end"/>
      </w:r>
      <w:r w:rsidRPr="00452E2E">
        <w:t xml:space="preserve">. According to </w:t>
      </w:r>
      <w:r w:rsidRPr="00452E2E">
        <w:fldChar w:fldCharType="begin" w:fldLock="1"/>
      </w:r>
      <w:r w:rsidRPr="00452E2E">
        <w:instrText>ADDIN CSL_CITATION { "citationItems" : [ { "id" : "ITEM-1", "itemData" : { "DOI" : "10.1016/j.hrmr.2010.09.011", "ISBN" : "1053-4822", "ISSN" : "10534822", "abstract" : "In this paper we explore the notion of convergence in managerial practice as a result of globalization. Focused on convergence at the national level, we offer a more nuanced exposition of convergence than has been evident in previous literature and draw upon a study that empirically analyzes the development of HRM in larger private sector firms in 13 European countries between 1992 and 2004 to examine any evidence of human resource management practices becoming more alike. We find considerable evidence of directional similarity - practices increasing or decreasing in the same way across the countries - but no evidence of final convergence - countries becoming more alike in the way they manage people. The findings have important implications for theories of convergence, theories of HRM, and for practitioners in multinational corporations. ?? 2010 Elsevier Inc.", "author" : [ { "dropping-particle" : "", "family" : "Mayrhofer", "given" : "Wolfgang", "non-dropping-particle" : "", "parse-names" : false, "suffix" : "" }, { "dropping-particle" : "", "family" : "Brewster", "given" : "Chris", "non-dropping-particle" : "", "parse-names" : false, "suffix" : "" }, { "dropping-particle" : "", "family" : "Morley", "given" : "Michael J.", "non-dropping-particle" : "", "parse-names" : false, "suffix" : "" }, { "dropping-particle" : "", "family" : "Ledolter", "given" : "Johannes", "non-dropping-particle" : "", "parse-names" : false, "suffix" : "" } ], "container-title" : "Human Resource Management Review", "id" : "ITEM-1", "issue" : "1", "issued" : { "date-parts" : [ [ "2011" ] ] }, "page" : "50-67", "publisher" : "Elsevier Inc.", "title" : "Hearing a different drummer? Convergence of human resource management in Europe - A longitudinal analysis", "type" : "article-journal", "volume" : "21" }, "uris" : [ "http://www.mendeley.com/documents/?uuid=fe989bd4-3b92-484f-8e26-379179d76108" ] } ], "mendeley" : { "formattedCitation" : "(Mayrhofer et al. 2011)", "manualFormatting" : "Mayrhofer et al. (2011)", "plainTextFormattedCitation" : "(Mayrhofer et al. 2011)", "previouslyFormattedCitation" : "(Mayrhofer et al. 2011)" }, "properties" : { "noteIndex" : 0 }, "schema" : "https://github.com/citation-style-language/schema/raw/master/csl-citation.json" }</w:instrText>
      </w:r>
      <w:r w:rsidRPr="00452E2E">
        <w:fldChar w:fldCharType="separate"/>
      </w:r>
      <w:r w:rsidRPr="00452E2E">
        <w:rPr>
          <w:noProof/>
        </w:rPr>
        <w:t xml:space="preserve">Mayrhofer </w:t>
      </w:r>
      <w:r w:rsidRPr="00452E2E">
        <w:rPr>
          <w:i/>
          <w:noProof/>
        </w:rPr>
        <w:t>et al</w:t>
      </w:r>
      <w:r w:rsidRPr="00452E2E">
        <w:rPr>
          <w:noProof/>
        </w:rPr>
        <w:t>. (2011)</w:t>
      </w:r>
      <w:r w:rsidRPr="00452E2E">
        <w:fldChar w:fldCharType="end"/>
      </w:r>
      <w:r w:rsidRPr="00452E2E">
        <w:t>, directional similarity in HRM occurs when organizations tend to use the same generic practices such as recruitment and selection, training, employee benefits or employee participation</w:t>
      </w:r>
      <w:r w:rsidR="000E38B5" w:rsidRPr="00452E2E">
        <w:t>, as the case may be</w:t>
      </w:r>
      <w:r w:rsidRPr="00452E2E">
        <w:t xml:space="preserve">. On the other hand, final convergence in HRM occurs when the specific techniques adopted in the various domains of HRM are similar across organizations. Thus, the presence of generic practices such recruitment and selection or training across organizations in Nigeria may indicate directional similarity in HRM whilst the diversity in the specific techniques in each of these domains of HRM across organizations indicates that there is no final convergence in HRM across organizations in Nigeria </w:t>
      </w:r>
      <w:r w:rsidRPr="00452E2E">
        <w:fldChar w:fldCharType="begin" w:fldLock="1"/>
      </w:r>
      <w:r w:rsidRPr="00452E2E">
        <w:instrText>ADDIN CSL_CITATION { "citationItems" : [ { "id" : "ITEM-1", "itemData" : { "DOI" : "10.1016/j.hrmr.2010.09.011", "ISBN" : "1053-4822", "ISSN" : "10534822", "abstract" : "In this paper we explore the notion of convergence in managerial practice as a result of globalization. Focused on convergence at the national level, we offer a more nuanced exposition of convergence than has been evident in previous literature and draw upon a study that empirically analyzes the development of HRM in larger private sector firms in 13 European countries between 1992 and 2004 to examine any evidence of human resource management practices becoming more alike. We find considerable evidence of directional similarity - practices increasing or decreasing in the same way across the countries - but no evidence of final convergence - countries becoming more alike in the way they manage people. The findings have important implications for theories of convergence, theories of HRM, and for practitioners in multinational corporations. ?? 2010 Elsevier Inc.", "author" : [ { "dropping-particle" : "", "family" : "Mayrhofer", "given" : "Wolfgang", "non-dropping-particle" : "", "parse-names" : false, "suffix" : "" }, { "dropping-particle" : "", "family" : "Brewster", "given" : "Chris", "non-dropping-particle" : "", "parse-names" : false, "suffix" : "" }, { "dropping-particle" : "", "family" : "Morley", "given" : "Michael J.", "non-dropping-particle" : "", "parse-names" : false, "suffix" : "" }, { "dropping-particle" : "", "family" : "Ledolter", "given" : "Johannes", "non-dropping-particle" : "", "parse-names" : false, "suffix" : "" } ], "container-title" : "Human Resource Management Review", "id" : "ITEM-1", "issue" : "1", "issued" : { "date-parts" : [ [ "2011" ] ] }, "page" : "50-67", "publisher" : "Elsevier Inc.", "title" : "Hearing a different drummer? Convergence of human resource management in Europe - A longitudinal analysis", "type" : "article-journal", "volume" : "21" }, "uris" : [ "http://www.mendeley.com/documents/?uuid=fe989bd4-3b92-484f-8e26-379179d76108" ] } ], "mendeley" : { "formattedCitation" : "(Mayrhofer et al. 2011)", "manualFormatting" : "(cf. Mayrhofer et al., 2011)", "plainTextFormattedCitation" : "(Mayrhofer et al. 2011)", "previouslyFormattedCitation" : "(Mayrhofer et al. 2011)" }, "properties" : { "noteIndex" : 0 }, "schema" : "https://github.com/citation-style-language/schema/raw/master/csl-citation.json" }</w:instrText>
      </w:r>
      <w:r w:rsidRPr="00452E2E">
        <w:fldChar w:fldCharType="separate"/>
      </w:r>
      <w:r w:rsidRPr="00452E2E">
        <w:rPr>
          <w:noProof/>
        </w:rPr>
        <w:t xml:space="preserve">(cf. Mayrhofer </w:t>
      </w:r>
      <w:r w:rsidRPr="00452E2E">
        <w:rPr>
          <w:i/>
          <w:noProof/>
        </w:rPr>
        <w:t>et al</w:t>
      </w:r>
      <w:r w:rsidRPr="00452E2E">
        <w:rPr>
          <w:noProof/>
        </w:rPr>
        <w:t>., 2011)</w:t>
      </w:r>
      <w:r w:rsidRPr="00452E2E">
        <w:fldChar w:fldCharType="end"/>
      </w:r>
      <w:r w:rsidRPr="00452E2E">
        <w:t>.</w:t>
      </w:r>
    </w:p>
    <w:p w:rsidR="00C74778" w:rsidRPr="00452E2E" w:rsidRDefault="00D03A8E" w:rsidP="00D03A8E">
      <w:pPr>
        <w:spacing w:line="360" w:lineRule="auto"/>
        <w:jc w:val="both"/>
      </w:pPr>
      <w:r w:rsidRPr="00452E2E">
        <w:t>Moreover, this study adds to the literature on HR practices-</w:t>
      </w:r>
      <w:r w:rsidR="00FE1167" w:rsidRPr="00452E2E">
        <w:t xml:space="preserve">employee </w:t>
      </w:r>
      <w:r w:rsidRPr="00452E2E">
        <w:t>attitudes relationship by establishing a link between HR practices and employee attitudes. Not only is this significant from an African context since most previous studies on this relationship have been conducted in North America</w:t>
      </w:r>
      <w:r w:rsidR="00BC0BD9" w:rsidRPr="00452E2E">
        <w:t xml:space="preserve"> (e.g. Appelbaum </w:t>
      </w:r>
      <w:r w:rsidR="00BC0BD9" w:rsidRPr="00452E2E">
        <w:rPr>
          <w:i/>
        </w:rPr>
        <w:t>et al</w:t>
      </w:r>
      <w:r w:rsidR="00BC0BD9" w:rsidRPr="00452E2E">
        <w:t xml:space="preserve">., 2000; Sinclair </w:t>
      </w:r>
      <w:r w:rsidR="00BC0BD9" w:rsidRPr="00452E2E">
        <w:rPr>
          <w:i/>
        </w:rPr>
        <w:t>et al</w:t>
      </w:r>
      <w:r w:rsidR="00BC0BD9" w:rsidRPr="00452E2E">
        <w:t xml:space="preserve">., 2005; Mohr &amp; Zoghi, 2008; Artz, 2010; Yap </w:t>
      </w:r>
      <w:r w:rsidR="00BC0BD9" w:rsidRPr="00452E2E">
        <w:rPr>
          <w:i/>
        </w:rPr>
        <w:t>et al</w:t>
      </w:r>
      <w:r w:rsidR="00BC0BD9" w:rsidRPr="00452E2E">
        <w:t xml:space="preserve">., 2010; Fabi </w:t>
      </w:r>
      <w:r w:rsidR="00BC0BD9" w:rsidRPr="00452E2E">
        <w:rPr>
          <w:i/>
        </w:rPr>
        <w:t>et al</w:t>
      </w:r>
      <w:r w:rsidR="00BC0BD9" w:rsidRPr="00452E2E">
        <w:t>., 2015)</w:t>
      </w:r>
      <w:r w:rsidRPr="00452E2E">
        <w:t xml:space="preserve">, Europe </w:t>
      </w:r>
      <w:r w:rsidR="00C7417E" w:rsidRPr="00452E2E">
        <w:t xml:space="preserve">(e.g. Gould-Williams, 2004; Conway &amp; Monks, 2009; Herrbach </w:t>
      </w:r>
      <w:r w:rsidR="00C7417E" w:rsidRPr="00452E2E">
        <w:rPr>
          <w:i/>
        </w:rPr>
        <w:t>et al</w:t>
      </w:r>
      <w:r w:rsidR="00C7417E" w:rsidRPr="00452E2E">
        <w:t xml:space="preserve">., 2009; Boselie, 2010; Chambel &amp; Castanheira, 2012; Ohana </w:t>
      </w:r>
      <w:r w:rsidR="00C7417E" w:rsidRPr="00452E2E">
        <w:rPr>
          <w:i/>
        </w:rPr>
        <w:t>et al</w:t>
      </w:r>
      <w:r w:rsidR="00C7417E" w:rsidRPr="00452E2E">
        <w:t xml:space="preserve">., 2012; Heffernan &amp; Dundon, 2016) </w:t>
      </w:r>
      <w:r w:rsidRPr="00452E2E">
        <w:t>and Asia</w:t>
      </w:r>
      <w:r w:rsidR="00792E5F" w:rsidRPr="00452E2E">
        <w:t xml:space="preserve"> (e.g. Qiao </w:t>
      </w:r>
      <w:r w:rsidR="00792E5F" w:rsidRPr="00452E2E">
        <w:rPr>
          <w:i/>
        </w:rPr>
        <w:t>et al</w:t>
      </w:r>
      <w:r w:rsidR="00792E5F" w:rsidRPr="00452E2E">
        <w:t>., 2009; Wu &amp; Chaturvedi, 2009; Guchait &amp; Cho, 2010; Singh &amp; Mohanty, 2011; Choi &amp; Lee, 2013; Choi &amp; Yoon, 2015, Zhu et al., 2015; Ismail, 2016)</w:t>
      </w:r>
      <w:r w:rsidRPr="00452E2E">
        <w:t xml:space="preserve">, the present study utilized data from public and private sector. </w:t>
      </w:r>
    </w:p>
    <w:p w:rsidR="00D03A8E" w:rsidRPr="00452E2E" w:rsidRDefault="00D03A8E" w:rsidP="00D03A8E">
      <w:pPr>
        <w:spacing w:line="360" w:lineRule="auto"/>
        <w:jc w:val="both"/>
      </w:pPr>
      <w:r w:rsidRPr="00452E2E">
        <w:t xml:space="preserve">Most studies examining this relationship have been conducted </w:t>
      </w:r>
      <w:r w:rsidR="000F1FA5" w:rsidRPr="00452E2E">
        <w:t xml:space="preserve">in private sector organizations </w:t>
      </w:r>
      <w:r w:rsidR="000F1FA5" w:rsidRPr="00452E2E">
        <w:rPr>
          <w:szCs w:val="24"/>
        </w:rPr>
        <w:fldChar w:fldCharType="begin" w:fldLock="1"/>
      </w:r>
      <w:r w:rsidR="000F1FA5" w:rsidRPr="00452E2E">
        <w:rPr>
          <w:szCs w:val="24"/>
        </w:rPr>
        <w:instrText>ADDIN CSL_CITATION { "citationItems" : [ { "id" : "ITEM-1", "itemData" : { "author" : [ { "dropping-particle" : "", "family" : "Appelbaum", "given" : "Eileen", "non-dropping-particle" : "", "parse-names" : false, "suffix" : "" }, { "dropping-particle" : "", "family" : "Bailey", "given" : "Thomas", "non-dropping-particle" : "", "parse-names" : false, "suffix" : "" }, { "dropping-particle" : "", "family" : "Berg", "given" : "Peter", "non-dropping-particle" : "", "parse-names" : false, "suffix" : "" }, { "dropping-particle" : "", "family" : "Kalleberg", "given" : "Arne L", "non-dropping-particle" : "", "parse-names" : false, "suffix" : "" } ], "id" : "ITEM-1", "issued" : { "date-parts" : [ [ "2000" ] ] }, "publisher" : "ILR Press", "publisher-place" : "Ithaca, NY", "title" : "Manufacturing advantage: Why high-performance work systems pay off", "type" : "book" }, "uris" : [ "http://www.mendeley.com/documents/?uuid=73e2eb7a-4e1e-48af-9ce3-115fbb6df65f" ] }, { "id" : "ITEM-2", "itemData" : { "author" : [ { "dropping-particle" : "", "family" : "Sinclair", "given" : "Robert R", "non-dropping-particle" : "", "parse-names" : false, "suffix" : "" }, { "dropping-particle" : "", "family" : "Leo", "given" : "Michael C", "non-dropping-particle" : "", "parse-names" : false, "suffix" : "" }, { "dropping-particle" : "", "family" : "Wright", "given" : "Chris", "non-dropping-particle" : "", "parse-names" : false, "suffix" : "" } ], "container-title" : "Journal of Business and Psychology", "id" : "ITEM-2", "issue" : "1", "issued" : { "date-parts" : [ [ "2005" ] ] }, "page" : "3-29", "title" : "Benefit system effects on employees' benefit knowledge, use and organizational commitment", "type" : "article-journal", "volume" : "20" }, "uris" : [ "http://www.mendeley.com/documents/?uuid=76153374-7214-4e74-b268-ebcd9498b8b1" ] }, { "id" : "ITEM-3", "itemData" : { "DOI" : "10.1080/09585190903239682", "ISBN" : "09585192", "ISSN" : "0958-5192", "PMID" : "45141585", "abstract" : "The present study is an attempt to overcome methodological deficiencies in strategic human resource management research that is restricted to organizational-level analysis regarding the absence or presence of a certain HR practice, the use of single-respondent data, and the views of HR managers or decision makers. We adopted a multiple-respondent strategy as the foundation for studying employee-centered high-performance work systems (HPWS). Because HPWS have gained popularity among multinational, private, and state-owned enterprises in China, we investigated Chinese employees' experiences with HPWS and tested the impact of HPWS on their organizational commitment. Several demographic variables were also explored in order to develop an employee-centered perspective. Survey results based upon 1,176 responses in 6 manufacturing firms in 2 Chinese cities revealed that organizational commitment correlates with a higher perception of existence of HPWS. The demographic characteristics of age, marital status, and education, but not gender, correlated significantly with organizational commitment. However, gender and marital status were found to moderate the relationship between perceptions of the existence of HPWS and organizational commitment, in that male and unmarried Chinese employees were significantly more affected by the existence of HR practices than female and married employees. Managerial and research implications of these findings are discussed", "author" : [ { "dropping-particle" : "", "family" : "Qiao", "given" : "Kun", "non-dropping-particle" : "", "parse-names" : false, "suffix" : "" }, { "dropping-particle" : "", "family" : "Khilji", "given" : "Shaista", "non-dropping-particle" : "", "parse-names" : false, "suffix" : "" }, { "dropping-particle" : "", "family" : "Wang", "given" : "Xiaoyun", "non-dropping-particle" : "", "parse-names" : false, "suffix" : "" } ], "container-title" : "The International Journal of Human Resource Management", "id" : "ITEM-3", "issue" : "11", "issued" : { "date-parts" : [ [ "2009" ] ] }, "page" : "2311-2330", "title" : "High-performance work systems, organizational commitment, and the role of demographic features in the People's Republic of China", "type" : "article-journal", "volume" : "20" }, "uris" : [ "http://www.mendeley.com/documents/?uuid=e412679b-0ec9-42be-a12f-3cd275140169" ] }, { "id" : "ITEM-4", "itemData" : { "DOI" : "10.1177/0149206308331097", "ISBN" : "6567755571", "ISSN" : "0149-2063", "PMID" : "45637089", "abstract" : "This study examines the role of procedural justice and power distance in the relationship between high-performance work systems (HPWSs) and employee attitudes (affective commit- ment and job satisfaction). The study tests the mediating role of procedural justice on the rela- tionships between HPWS and employee attitudes and the moderating role of power distance in this relationship. The results, based on a sample of 1,383 employees across 23 firms from three countries, indicate that HPWS is strongly related to employee attitudes. The results also indicate that procedural justice mediates the influence of HPWS on employee attitudes.", "author" : [ { "dropping-particle" : "", "family" : "Wu", "given" : "P.-C.", "non-dropping-particle" : "", "parse-names" : false, "suffix" : "" }, { "dropping-particle" : "", "family" : "Chaturvedi", "given" : "S.", "non-dropping-particle" : "", "parse-names" : false, "suffix" : "" } ], "container-title" : "Journal of Management", "id" : "ITEM-4", "issue" : "5", "issued" : { "date-parts" : [ [ "2009" ] ] }, "page" : "1228-1247", "title" : "The role of procedural justice and power distance in the relationship between high performance work systems and employee attitudes: A multilevel perspective", "type" : "article-journal", "volume" : "35" }, "uris" : [ "http://www.mendeley.com/documents/?uuid=a7502208-230c-419f-9509-dee9ac910342" ] }, { "id" : "ITEM-5", "itemData" : { "DOI" : "10.1080/09585192.2011.561956", "ISBN" : "0958-5192", "ISSN" : "0958-5192", "abstract" : "Several studies in strategic human resource management have described a relationship between people-management practices and organizational performance. However, the mediating processes that explain such a relationship remain unexplored. This study examines how both the actual people-management system (assessed by managers) and the perceived system (assessed by employees) influence employees' commitment, and how this in turn contributes to employee and organizational outcomes. Multilevel analyses of a sample of 732 employees from 26 Spanish small and medium-sized enterprises (SMEs) supported a model in which employees' commitment mediates between the actual system and unit-level absenteeism, which in turn has an effect on productivity. Results also showed the importance of the perceived system in attempting to understand the true effect of the actual system on employees' commitment to the organization.", "author" : [ { "dropping-particle" : "", "family" : "Elorza", "given" : "Unai", "non-dropping-particle" : "", "parse-names" : false, "suffix" : "" }, { "dropping-particle" : "", "family" : "Aritzeta", "given" : "Aitor", "non-dropping-particle" : "", "parse-names" : false, "suffix" : "" }, { "dropping-particle" : "", "family" : "Ayestar\u00e1n", "given" : "Sabino", "non-dropping-particle" : "", "parse-names" : false, "suffix" : "" } ], "container-title" : "The International Journal of Human Resource Management", "id" : "ITEM-5", "issue" : "7", "issued" : { "date-parts" : [ [ "2011" ] ] }, "page" : "1401-1422", "title" : "Exploring the black box in Spanish firms: The effect of the actual and perceived system on employees' commitment and organizational performance", "type" : "article-journal", "volume" : "22" }, "uris" : [ "http://www.mendeley.com/documents/?uuid=bf73da9f-61a2-41ee-b696-ff335fb8c4e4" ] }, { "id" : "ITEM-6", "itemData" : { "abstract" : "Purpose \u2013 The purpose of this paper is to examine the internal process by which high performance work systems (HPWSs) affect firm performance. It attempts to show the mediating effect of employee job satisfaction in the human resource (HR)-performance link and also to show the moderating effect of employees' perception on the effectiveness of HPWSs. Design/methodology/approach \u2013 Using a nationally representative data set from Korea (firm-level samples: 245 firms, employee-level samples: 6,709), this study analyses the mediating effect of job satisfaction in the relationship between HPWSs and firm performance with ordinary least squares (OLS) analysis and examines the moderating effect of employee perceptions with OLS and hierarchical linear modeling (HLM). Findings \u2013 Results show that: there are positive associations between HPWSs and firm performance and between HPWSs and job satisfaction; job satisfaction has a mediating effect in the HR-Performance link; and employees' perceptions )", "author" : [ { "dropping-particle" : "", "family" : "Choi", "given" : "Jang-Ho", "non-dropping-particle" : "", "parse-names" : false, "suffix" : "" }, { "dropping-particle" : "", "family" : "Lee", "given" : "Khan-Pyo", "non-dropping-particle" : "", "parse-names" : false, "suffix" : "" } ], "container-title" : "Personnel Review", "id" : "ITEM-6", "issue" : "5", "issued" : { "date-parts" : [ [ "2013" ] ] }, "page" : "573-594", "title" : "Effects of employees' perceptions on the relationship between HR practices and firm performance for Korean firms", "type" : "article-journal", "volume" : "42" }, "uris" : [ "http://www.mendeley.com/documents/?uuid=ffb61f90-b58e-4457-9560-eaad5c903c53" ] }, { "id" : "ITEM-7", "itemData" : { "DOI" : "10.1177/0149206310365901", "ISBN" : "0149-2063", "ISSN" : "0149-2063", "PMID" : "92682033", "abstract" : "Comenmtarios Unai: muy buena investigaci\u00f3n, muy similar a mi segundo articulo. Utiliza una t\u00e9cnica mutlinivel 2-1-1 y comprueba c\u00f3mo la percepci\u00f3n del sistema influye en el compromiso y los comportamientos. Es bueno para: (i) demostrar la relaci\u00f3n entre actitudes y comportamientos, (ii) ver la importancia de la percepci\u00f3n del sistema, (iii) ver c\u00f3mo factores contextuales (compromiso colectivo) influye en el comportamiento del invididuo (adem\u00e1s de su compromiso individual).", "author" : [ { "dropping-particle" : "", "family" : "Kehoe", "given" : "R. R.", "non-dropping-particle" : "", "parse-names" : false, "suffix" : "" }, { "dropping-particle" : "", "family" : "Wright", "given" : "P. M.", "non-dropping-particle" : "", "parse-names" : false, "suffix" : "" } ], "container-title" : "Journal of Management", "id" : "ITEM-7", "issue" : "2", "issued" : { "date-parts" : [ [ "2013" ] ] }, "page" : "366-391", "title" : "The impact of high performance human resource practices on employees' attitudes and behaviors", "type" : "article-journal", "volume" : "39" }, "uris" : [ "http://www.mendeley.com/documents/?uuid=87fa9e55-e4a1-416e-9e06-eb7fd4bd89a6" ] }, { "id" : "ITEM-8", "itemData" : { "DOI" : "10.1017/jmo.2014.50", "ISSN" : "1833-3672", "author" : [ { "dropping-particle" : "", "family" : "Shamsudin", "given" : "Faridahwati Mohd", "non-dropping-particle" : "", "parse-names" : false, "suffix" : "" }, { "dropping-particle" : "", "family" : "Ramalu", "given" : "Subramaniam Sri", "non-dropping-particle" : "", "parse-names" : false, "suffix" : "" } ], "container-title" : "Journal of Management &amp; Organization", "id" : "ITEM-8", "issue" : "5", "issued" : { "date-parts" : [ [ "2014" ] ] }, "page" : "691-709", "title" : "The influence of HR practices and job satisfaction on interpersonal deviance in the workplace", "type" : "article-journal", "volume" : "20" }, "uris" : [ "http://www.mendeley.com/documents/?uuid=7c1f42f7-1669-4642-8cb6-babbe5136e21" ] }, { "id" : "ITEM-9", "itemData" : { "author" : [ { "dropping-particle" : "", "family" : "Garc\u00eda-Chas", "given" : "R", "non-dropping-particle" : "", "parse-names" : false, "suffix" : "" }, { "dropping-particle" : "", "family" : "Neira-Fontela", "given" : "E", "non-dropping-particle" : "", "parse-names" : false, "suffix" : "" }, { "dropping-particle" : "", "family" : "Varela-Neira", "given" : "C.", "non-dropping-particle" : "", "parse-names" : false, "suffix" : "" } ], "container-title" : "Journal of Managerial Psychology", "id" : "ITEM-9", "issue" : "2", "issued" : { "date-parts" : [ [ "2016" ] ] }, "page" : "451-466", "title" : "High-performance work systems and job satisfaction: A multilevel model", "type" : "article-journal", "volume" : "31" }, "uris" : [ "http://www.mendeley.com/documents/?uuid=510679f5-e4b3-41b7-a365-8ece414591d1" ] }, { "id" : "ITEM-10", "itemData" : { "DOI" : "10.1111/1748-8583.12095", "ISSN" : "09545395", "author" : [ { "dropping-particle" : "", "family" : "Heffernan", "given" : "Margaret", "non-dropping-particle" : "", "parse-names" : false, "suffix" : "" }, { "dropping-particle" : "", "family" : "Dundon", "given" : "Tony", "non-dropping-particle" : "", "parse-names" : false, "suffix" : "" } ], "container-title" : "Human Resource Management Journal", "id" : "ITEM-10", "issue" : "2", "issued" : { "date-parts" : [ [ "2016" ] ] }, "page" : "211-231", "title" : "Cross-level effects of high-performance work systems (HPWS) and employee well-being: the mediating effect of organisational justice", "type" : "article-journal", "volume" : "26" }, "uris" : [ "http://www.mendeley.com/documents/?uuid=ae9e99a6-4bcc-4430-86da-d583ae25eaa9" ] } ], "mendeley" : { "formattedCitation" : "(Appelbaum et al. 2000; Sinclair et al. 2005; Qiao et al. 2009; Wu &amp; Chaturvedi 2009; Elorza et al. 2011; Choi &amp; Lee 2013; Kehoe &amp; Wright 2013; Shamsudin &amp; Ramalu 2014; Garc\u00eda-Chas et al. 2016; Heffernan &amp; Dundon 2016)", "manualFormatting" : "(e.g. Appelbaum et al., 2000; Sinclair et al., 2005; Qiao et al., 2009; Wu &amp; Chaturvedi, 2009; Elorza et al., 2011; Choi &amp; Lee, 2013; Kehoe &amp; Wright, 2013; Shamsudin &amp; Ramalu, 2014; Garc\u00eda-Chas et al., 2016; Heffernan &amp; Dundon, 2016)", "plainTextFormattedCitation" : "(Appelbaum et al. 2000; Sinclair et al. 2005; Qiao et al. 2009; Wu &amp; Chaturvedi 2009; Elorza et al. 2011; Choi &amp; Lee 2013; Kehoe &amp; Wright 2013; Shamsudin &amp; Ramalu 2014; Garc\u00eda-Chas et al. 2016; Heffernan &amp; Dundon 2016)", "previouslyFormattedCitation" : "(Appelbaum et al. 2000; Sinclair et al. 2005; Qiao et al. 2009; Wu &amp; Chaturvedi 2009; Elorza et al. 2011; Choi &amp; Lee 2013; Kehoe &amp; Wright 2013; Shamsudin &amp; Ramalu 2014; Garc\u00eda-Chas et al. 2016; Heffernan &amp; Dundon 2016)" }, "properties" : { "noteIndex" : 0 }, "schema" : "https://github.com/citation-style-language/schema/raw/master/csl-citation.json" }</w:instrText>
      </w:r>
      <w:r w:rsidR="000F1FA5" w:rsidRPr="00452E2E">
        <w:rPr>
          <w:szCs w:val="24"/>
        </w:rPr>
        <w:fldChar w:fldCharType="separate"/>
      </w:r>
      <w:r w:rsidR="000F1FA5" w:rsidRPr="00452E2E">
        <w:rPr>
          <w:noProof/>
          <w:szCs w:val="24"/>
        </w:rPr>
        <w:t xml:space="preserve">(e.g. Appelbaum </w:t>
      </w:r>
      <w:r w:rsidR="000F1FA5" w:rsidRPr="00452E2E">
        <w:rPr>
          <w:i/>
          <w:noProof/>
          <w:szCs w:val="24"/>
        </w:rPr>
        <w:t>et al</w:t>
      </w:r>
      <w:r w:rsidR="000F1FA5" w:rsidRPr="00452E2E">
        <w:rPr>
          <w:noProof/>
          <w:szCs w:val="24"/>
        </w:rPr>
        <w:t xml:space="preserve">., 2000; Sinclair </w:t>
      </w:r>
      <w:r w:rsidR="000F1FA5" w:rsidRPr="00452E2E">
        <w:rPr>
          <w:i/>
          <w:noProof/>
          <w:szCs w:val="24"/>
        </w:rPr>
        <w:t>et al</w:t>
      </w:r>
      <w:r w:rsidR="000F1FA5" w:rsidRPr="00452E2E">
        <w:rPr>
          <w:noProof/>
          <w:szCs w:val="24"/>
        </w:rPr>
        <w:t xml:space="preserve">., 2005; Qiao </w:t>
      </w:r>
      <w:r w:rsidR="000F1FA5" w:rsidRPr="00452E2E">
        <w:rPr>
          <w:i/>
          <w:noProof/>
          <w:szCs w:val="24"/>
        </w:rPr>
        <w:t>et al</w:t>
      </w:r>
      <w:r w:rsidR="000F1FA5" w:rsidRPr="00452E2E">
        <w:rPr>
          <w:noProof/>
          <w:szCs w:val="24"/>
        </w:rPr>
        <w:t xml:space="preserve">., 2009; Wu &amp; Chaturvedi, 2009; Elorza </w:t>
      </w:r>
      <w:r w:rsidR="000F1FA5" w:rsidRPr="00452E2E">
        <w:rPr>
          <w:i/>
          <w:noProof/>
          <w:szCs w:val="24"/>
        </w:rPr>
        <w:t>et al</w:t>
      </w:r>
      <w:r w:rsidR="000F1FA5" w:rsidRPr="00452E2E">
        <w:rPr>
          <w:noProof/>
          <w:szCs w:val="24"/>
        </w:rPr>
        <w:t xml:space="preserve">., 2011; Choi &amp; Lee, 2013; Kehoe &amp; Wright, 2013; Shamsudin &amp; Ramalu, 2014; García-Chas </w:t>
      </w:r>
      <w:r w:rsidR="000F1FA5" w:rsidRPr="00452E2E">
        <w:rPr>
          <w:i/>
          <w:noProof/>
          <w:szCs w:val="24"/>
        </w:rPr>
        <w:t>et al</w:t>
      </w:r>
      <w:r w:rsidR="000F1FA5" w:rsidRPr="00452E2E">
        <w:rPr>
          <w:noProof/>
          <w:szCs w:val="24"/>
        </w:rPr>
        <w:t>., 2016; Heffernan &amp; Dundon, 2016)</w:t>
      </w:r>
      <w:r w:rsidR="000F1FA5" w:rsidRPr="00452E2E">
        <w:rPr>
          <w:szCs w:val="24"/>
        </w:rPr>
        <w:fldChar w:fldCharType="end"/>
      </w:r>
      <w:r w:rsidR="000F1FA5" w:rsidRPr="00452E2E">
        <w:rPr>
          <w:szCs w:val="24"/>
        </w:rPr>
        <w:t xml:space="preserve"> </w:t>
      </w:r>
      <w:r w:rsidRPr="00452E2E">
        <w:t>whilst few have been conducted in public sector organizations</w:t>
      </w:r>
      <w:r w:rsidR="000F1FA5" w:rsidRPr="00452E2E">
        <w:t xml:space="preserve"> </w:t>
      </w:r>
      <w:r w:rsidR="000F1FA5" w:rsidRPr="00452E2E">
        <w:rPr>
          <w:szCs w:val="24"/>
        </w:rPr>
        <w:fldChar w:fldCharType="begin" w:fldLock="1"/>
      </w:r>
      <w:r w:rsidR="000F1FA5" w:rsidRPr="00452E2E">
        <w:rPr>
          <w:szCs w:val="24"/>
        </w:rPr>
        <w:instrText>ADDIN CSL_CITATION { "citationItems" : [ { "id" : "ITEM-1", "itemData" : { "DOI" : "10.1080/09585191003658821", "ISBN" : "0958-5192", "ISSN" : "0958-5192", "abstract" : "This paper presents the findings of a cross-cultural comparison of the effects of \u2018best practice\u2019 HRM using employees from a matched sample of local government service departments in England and Malaysia (England n = 569, Malaysian n = 453). The paper tests the universal \u2018best practice\u2019 thesis, and also assesses the perceived level of up-take of HR practices in the two samples. The research also considers the effects of the psychological climate and employees' perceptions of trust on five work-related outcomes, namely job satisfaction, motivation, organizational citizenship behaviour, stress and quit intentions. The findings reveal that the Malaysian workers perceived the up-take of HR practices to be higher in comparison to their counterparts in England. A less consistent pattern emerged with regards to perceptions of climate. OLS regression revealed that consistent with the universal thesis, a bundle of HR practices significantly predicted employee outcomes in the hypothesized directions in both samples. Therefore, these findings provide strong support for the universal thesis.", "author" : [ { "dropping-particle" : "", "family" : "Gould-Williams", "given" : "Julian Seymour", "non-dropping-particle" : "", "parse-names" : false, "suffix" : "" }, { "dropping-particle" : "", "family" : "Mohamed", "given" : "R. B.", "non-dropping-particle" : "", "parse-names" : false, "suffix" : "" } ], "container-title" : "International Journal of Human Resource Management", "id" : "ITEM-1", "issue" : "5", "issued" : { "date-parts" : [ [ "2010" ] ] }, "page" : "653-675", "title" : "A comparative study of the effects of 'best practice' HRM on worker outcomes in Malaysia and England local government", "type" : "article-journal", "volume" : "21" }, "uris" : [ "http://www.mendeley.com/documents/?uuid=98a188d6-200c-4802-9dc6-91c1531372f0" ] }, { "id" : "ITEM-2", "itemData" : { "DOI" : "10.1037/a0033925", "ISBN" : "1939-1854(Electronic);0021-9010(Print)", "ISSN" : "1939-1854", "PMID" : "23915431", "abstract" : "Given the limited understanding of temporal issues in extant theorizing about the link between human resource management (HRM) and performance, in this study we aim to shed light on how, when, and why HR interventions affect organizational performance. On the basis of longitudinal, multi-informant and multisource data from public hospital services in England, we provide new insights into the complex interplay between employees' perceptions of HR systems, job satisfaction, and performance outcomes over time. The dynamic panel data analyses provide support for changes in employees' experience of an HR system being related to subsequent changes in customer satisfaction, as mediated by changes in job satisfaction, albeit these effects decrease over time. Moreover, our longitudinal analyses highlight the importance of feedback effects in the HRM-performance chain, which otherwise appears to evolve in a cyclical manner.", "author" : [ { "dropping-particle" : "", "family" : "Piening", "given" : "Erk P", "non-dropping-particle" : "", "parse-names" : false, "suffix" : "" }, { "dropping-particle" : "", "family" : "Baluch", "given" : "Alina M", "non-dropping-particle" : "", "parse-names" : false, "suffix" : "" }, { "dropping-particle" : "", "family" : "Salge", "given" : "Torsten Oliver", "non-dropping-particle" : "", "parse-names" : false, "suffix" : "" } ], "container-title" : "Journal of Applied Psychology", "id" : "ITEM-2", "issue" : "6", "issued" : { "date-parts" : [ [ "2013" ] ] }, "page" : "926-47", "title" : "The relationship between employees' perceptions of human resource systems and organizational performance: Examining mediating mechanisms and temporal dynamics", "type" : "article-journal", "volume" : "98" }, "uris" : [ "http://www.mendeley.com/documents/?uuid=0a42ce09-305a-4d4f-a3be-971a3a45e158" ] }, { "id" : "ITEM-3", "itemData" : { "DOI" : "10.1111/puar.12160.In", "author" : [ { "dropping-particle" : "", "family" : "Ko", "given" : "Jaekwon", "non-dropping-particle" : "", "parse-names" : false, "suffix" : "" }, { "dropping-particle" : "", "family" : "Hur", "given" : "Seunguk", "non-dropping-particle" : "", "parse-names" : false, "suffix" : "" } ], "container-title" : "Public Adminisration Review", "id" : "ITEM-3", "issue" : "2", "issued" : { "date-parts" : [ [ "2014" ] ] }, "page" : "176-187", "title" : "Th e Impacts of employee benefits, procedural justice, and managerial trustworthiness on work attitudes: Integrated understanding based on social exchange theory", "type" : "article-journal", "volume" : "74" }, "uris" : [ "http://www.mendeley.com/documents/?uuid=411a3991-a079-432a-9fa2-4e3f8f2912f5" ] }, { "id" : "ITEM-4", "itemData" : { "DOI" : "10.1111/puar.12354.High-Performance", "abstract" : "Th is article responds to recent calls for research examining the mechanisms through which high-performance human resource practices (HPHRPs) aff ect employee outcomes. Using the theoretical lens of social exchange and process theories, the authors examine one such mechanism, public service motivation, through which HPHRPs infl uence employees' aff ective commitment and organizational citizenship behaviors in public sector organizations. A sample of professionals in the Egyptian health and higher education sectors was used to test a partial mediation model using structural equation modeling. Findings show that public service motivation partially mediated the relationship between HPHRPs and employees' aff ective commitment and organizational citizenship behaviors. Similar results were achieved when the system of HPHRPs was disaggregated to consider the individual eff ects of fi ve human resource practices.", "author" : [ { "dropping-particle" : "", "family" : "Mostafa", "given" : "Ahmed Mohammed Sayed", "non-dropping-particle" : "", "parse-names" : false, "suffix" : "" }, { "dropping-particle" : "", "family" : "Gould-Williams", "given" : "Jullian", "non-dropping-particle" : "", "parse-names" : false, "suffix" : "" } ], "container-title" : "Public Administration Review", "id" : "ITEM-4", "issue" : "5", "issued" : { "date-parts" : [ [ "2015" ] ] }, "page" : "747-757", "title" : "High-performance human resource practices and employee outcomes: The mediating role of public service motivation", "type" : "article-journal", "volume" : "75" }, "uris" : [ "http://www.mendeley.com/documents/?uuid=d929d627-475b-4d7b-9d57-7ed8e89a7d6c" ] }, { "id" : "ITEM-5", "itemData" : { "DOI" : "10.1177/0020852315591642", "ISSN" : "0020-8523", "abstract" : "Background: In response to recent calls in the literature to decompose both the human resources system and performance, this study has examined the effects of ability-, motivation-and opportunity-enhancing human resources practices on the effectiveness, efficiency and fairness of public organizations, with job satisfaction considered as a mediating variable. Aim: Insights from Human Resource Management and performance research, mostly conducted in the private sector, have been combined with public management literature in order to gain insight into the Human Resource Management\u2013performance relation-ship in the public sector. Method: Regression analysis with a bootstrapping method was used to test the mediat-ing effects. Results: The analysis showed that the three human resources components heterogeneously impact upon the three performance outcomes. Further, the results showed that ability-enhancing and opportunity-enhancing human resources practices are more strongly related to performance outcomes than motivation-enhancing human resources practices. Conclusion: Decomposing Human Resource Management and performance provides greater insight into the Human Resource Management\u2013performance relationship. Points for practitioners The results show that investing in Human Resource Management positively influences performance outcomes. Moreover, our results show that various aspects of public per-formance require different human resources approaches. Investing in ability-enhancing human resources practices seems to be particularly relevant if one wants to enhance effectiveness. All the human resources practices, but especially ability-enhancing ones, are relevant to enhancing efficiency. However, investing in motivation-enhancing human resources practices seems to make little sense if one is seeking to enhance fairness.", "author" : [ { "dropping-particle" : "", "family" : "Vermeeren", "given" : "Brenda", "non-dropping-particle" : "", "parse-names" : false, "suffix" : "" } ], "container-title" : "International Review of Administrative Sciences", "id" : "ITEM-5", "issue" : "0", "issued" : { "date-parts" : [ [ "2015" ] ] }, "page" : "1-21", "title" : "Influencing public sector performance: Studying the impact of ability-, motivation-and opportunity-enhancing human resources practices on various performance outcomes in the public sector", "type" : "article-journal", "volume" : "0" }, "uris" : [ "http://www.mendeley.com/documents/?uuid=e94ccd21-bfcd-4def-8476-e5a8fb4192ef" ] } ], "mendeley" : { "formattedCitation" : "(Gould-Williams &amp; Mohamed 2010; Piening et al. 2013; Ko &amp; Hur 2014; Mostafa &amp; Gould-Williams 2015; Vermeeren 2015)", "manualFormatting" : "(e.g. Gould-Williams &amp; Mohamed, 2010; Piening et al., 2013; Ko &amp; Hur, 2014; Mostafa &amp; Gould-Williams, 2015; Vermeeren, 2015)", "plainTextFormattedCitation" : "(Gould-Williams &amp; Mohamed 2010; Piening et al. 2013; Ko &amp; Hur 2014; Mostafa &amp; Gould-Williams 2015; Vermeeren 2015)", "previouslyFormattedCitation" : "(Gould-Williams &amp; Mohamed 2010; Piening et al. 2013; Ko &amp; Hur 2014; Mostafa &amp; Gould-Williams 2015; Vermeeren 2015)" }, "properties" : { "noteIndex" : 0 }, "schema" : "https://github.com/citation-style-language/schema/raw/master/csl-citation.json" }</w:instrText>
      </w:r>
      <w:r w:rsidR="000F1FA5" w:rsidRPr="00452E2E">
        <w:rPr>
          <w:szCs w:val="24"/>
        </w:rPr>
        <w:fldChar w:fldCharType="separate"/>
      </w:r>
      <w:r w:rsidR="000F1FA5" w:rsidRPr="00452E2E">
        <w:rPr>
          <w:noProof/>
          <w:szCs w:val="24"/>
        </w:rPr>
        <w:t xml:space="preserve">(e.g. Piening </w:t>
      </w:r>
      <w:r w:rsidR="000F1FA5" w:rsidRPr="00452E2E">
        <w:rPr>
          <w:i/>
          <w:noProof/>
          <w:szCs w:val="24"/>
        </w:rPr>
        <w:t>et al</w:t>
      </w:r>
      <w:r w:rsidR="000F1FA5" w:rsidRPr="00452E2E">
        <w:rPr>
          <w:noProof/>
          <w:szCs w:val="24"/>
        </w:rPr>
        <w:t>., 2013; Ko &amp; Hur, 2014; Mostafa &amp; Gould-Williams, 2015; Vermeeren, 2015)</w:t>
      </w:r>
      <w:r w:rsidR="000F1FA5" w:rsidRPr="00452E2E">
        <w:rPr>
          <w:szCs w:val="24"/>
        </w:rPr>
        <w:fldChar w:fldCharType="end"/>
      </w:r>
      <w:r w:rsidRPr="00452E2E">
        <w:t xml:space="preserve">. The present study is unique as it compares this relationship in public and private sector which makes it, to the best of my knowledge, the first study to compare this relationship in public and private sector from an African context. This means that the present study adds both national and sectoral context to the literature on HR </w:t>
      </w:r>
      <w:r w:rsidRPr="00452E2E">
        <w:lastRenderedPageBreak/>
        <w:t>practices-</w:t>
      </w:r>
      <w:r w:rsidR="00FE1167" w:rsidRPr="00452E2E">
        <w:t xml:space="preserve">employee </w:t>
      </w:r>
      <w:r w:rsidRPr="00452E2E">
        <w:t xml:space="preserve">attitudes relationship. The findings from the study </w:t>
      </w:r>
      <w:r w:rsidR="002675A4" w:rsidRPr="00452E2E">
        <w:t>indicate</w:t>
      </w:r>
      <w:r w:rsidRPr="00452E2E">
        <w:t xml:space="preserve"> the relevance of HR practices in influencing employee attitudes in both public and private sector</w:t>
      </w:r>
      <w:r w:rsidR="00BB774A" w:rsidRPr="00452E2E">
        <w:t xml:space="preserve"> in Nigeria</w:t>
      </w:r>
      <w:r w:rsidRPr="00452E2E">
        <w:t xml:space="preserve">. </w:t>
      </w:r>
    </w:p>
    <w:p w:rsidR="00D03A8E" w:rsidRPr="00452E2E" w:rsidRDefault="00D03A8E" w:rsidP="00D03A8E">
      <w:pPr>
        <w:spacing w:line="360" w:lineRule="auto"/>
        <w:jc w:val="both"/>
      </w:pPr>
      <w:r w:rsidRPr="00452E2E">
        <w:t>Further, the test of mediation effect of procedural justice and HR attributions on the relationship between HR practices and employee attitudes as well as the test of moderation effect of sector on these relationships is a major contribution to the literature on HR practices-</w:t>
      </w:r>
      <w:r w:rsidR="00A4325C" w:rsidRPr="00452E2E">
        <w:t xml:space="preserve">employee </w:t>
      </w:r>
      <w:r w:rsidRPr="00452E2E">
        <w:t xml:space="preserve">attitudes relationship. The present study indicates that procedural justice mediates the relationship between training as well as employee benefits and affective, normative and continuance commitment but not with job satisfaction. Moreover, procedural justice did not mediate the relationship employee participation and employee attitudes. This means that in the context of </w:t>
      </w:r>
      <w:r w:rsidR="00AE2C50" w:rsidRPr="00452E2E">
        <w:t xml:space="preserve">public and private sector in </w:t>
      </w:r>
      <w:r w:rsidRPr="00452E2E">
        <w:t>Nigeria, the mediating role of procedural justice on HR practices-</w:t>
      </w:r>
      <w:r w:rsidR="00D94B19" w:rsidRPr="00452E2E">
        <w:t xml:space="preserve">employee </w:t>
      </w:r>
      <w:r w:rsidRPr="00452E2E">
        <w:t xml:space="preserve">attitudes relationship depends not only on the type of HR practice but also on the type of employee attitude. More so, the mediation effect of procedural justice on HR practices-affective commitment relationship was further moderated by sector. This is a major contribution in the sense that it shows that the mediation effect of procedural justice is contingent on sector. But beyond sector, the finding indicates that the mediation effect of procedural justice on HR practices-affective commitment relationship will be stronger in organizational contexts where employees are provided avenues for employee consultation and collective participation. </w:t>
      </w:r>
    </w:p>
    <w:p w:rsidR="00D03A8E" w:rsidRPr="00452E2E" w:rsidRDefault="00D03A8E" w:rsidP="00D03A8E">
      <w:pPr>
        <w:spacing w:line="360" w:lineRule="auto"/>
        <w:jc w:val="both"/>
      </w:pPr>
      <w:r w:rsidRPr="00452E2E">
        <w:t>Furthermore, the present study is the first to extend the construct of HR attributions to an African context. The effects of commitment-focused, control-focused and union compliance HR attributions on employee attitudes were examined with the mediation effect of HR attributions on HR practices-</w:t>
      </w:r>
      <w:r w:rsidR="001F1236" w:rsidRPr="00452E2E">
        <w:t xml:space="preserve">employee </w:t>
      </w:r>
      <w:r w:rsidRPr="00452E2E">
        <w:t xml:space="preserve">attitudes relationship also examined. Whilst support was provided for the positive effect of commitment-focused HR attribution on job satisfaction, there was no significant effect </w:t>
      </w:r>
      <w:r w:rsidR="00052E45" w:rsidRPr="00452E2E">
        <w:t xml:space="preserve">of commitment-focused HR attribution </w:t>
      </w:r>
      <w:r w:rsidRPr="00452E2E">
        <w:t xml:space="preserve">on organizational commitment components. This means that in the context of Nigeria, commitment-focused HR attribution is related to job satisfaction but not to organizational commitment. Also commitment-focused HR attribution mediated the relationship between employee participation and job satisfaction but not with the other </w:t>
      </w:r>
      <w:r w:rsidRPr="00452E2E">
        <w:lastRenderedPageBreak/>
        <w:t>practices or employee attitudes. This extends the literature on HR attributions by suggesting that in the context of Nigeria, where HR practice</w:t>
      </w:r>
      <w:r w:rsidR="00C8366E" w:rsidRPr="00452E2E">
        <w:t>s require</w:t>
      </w:r>
      <w:r w:rsidRPr="00452E2E">
        <w:t xml:space="preserve"> employees to make contribution</w:t>
      </w:r>
      <w:r w:rsidR="00A154D6" w:rsidRPr="00452E2E">
        <w:t>s</w:t>
      </w:r>
      <w:r w:rsidRPr="00452E2E">
        <w:t xml:space="preserve"> to the organization like the case of employee participation, the relationship between such </w:t>
      </w:r>
      <w:r w:rsidR="00C8366E" w:rsidRPr="00452E2E">
        <w:t>a</w:t>
      </w:r>
      <w:r w:rsidRPr="00452E2E">
        <w:t xml:space="preserve"> practice and job satisfaction could be mediated by employee perceptions of commitment-focused HR attribution. However, this may not be the case when HR practice</w:t>
      </w:r>
      <w:r w:rsidR="00D43207" w:rsidRPr="00452E2E">
        <w:t>s</w:t>
      </w:r>
      <w:r w:rsidRPr="00452E2E">
        <w:t xml:space="preserve"> require employees to receive favours from the organization like the case of training or employee benefits. </w:t>
      </w:r>
    </w:p>
    <w:p w:rsidR="00D03A8E" w:rsidRPr="00452E2E" w:rsidRDefault="00D03A8E" w:rsidP="00D03A8E">
      <w:pPr>
        <w:spacing w:line="360" w:lineRule="auto"/>
        <w:jc w:val="both"/>
      </w:pPr>
      <w:r w:rsidRPr="00452E2E">
        <w:t xml:space="preserve">Moreover, previous research has reported a negative relationship between control-focused HR attribution and employee attitudes </w:t>
      </w:r>
      <w:r w:rsidRPr="00452E2E">
        <w:fldChar w:fldCharType="begin" w:fldLock="1"/>
      </w:r>
      <w:r w:rsidRPr="00452E2E">
        <w:instrText>ADDIN CSL_CITATION { "citationItems" : [ { "id" : "ITEM-1", "itemData" : { "DOI" : "10.1111/j.1744-6570.2008.00121.x", "ISBN" : "00315826\\n17446570", "ISSN" : "00315826", "PMID" : "33437010", "abstract" : "The construct of human resource (HR) attributions is introduced. We argue that the attributions that employees make about the reasons why management adopts the HR practices that it does have consequences for their attitudes and behaviors, and ultimately, unit performance. Drawing on the strategic HR literature, we propose a typology of 5 HR-attribution dimensions. Utilizing data collected from a service firm, we show that employees make varying attributions for the same HR practices, and that these attributions are differentially associated with commitment and satisfaction. In turn, we show that these attitudes become shared within units and that they are related to unit-level organizational citizenship behaviors and customer satisfaction. Findings and implications are discussed. [ABSTRACT FROM AUTHOR] Copyright of Personnel Psychology is the property of Wiley-Blackwell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"Nishii", "given" : "Lisa H.", "non-dropping-particle" : "", "parse-names" : false, "suffix" : "" }, { "dropping-particle" : "", "family" : "Lepak", "given" : "David P.", "non-dropping-particle" : "", "parse-names" : false, "suffix" : "" }, { "dropping-particle" : "", "family" : "Schneider", "given" : "Benjamin", "non-dropping-particle" : "", "parse-names" : false, "suffix" : "" } ], "container-title" : "Personnel Psychology", "id" : "ITEM-1", "issue" : "3", "issued" : { "date-parts" : [ [ "2008" ] ] }, "page" : "503-545", "title" : "Employee attributions of the \"why\" of HR practices: Their effects on employee attitudes and behaviors, and customer satisfaction", "type" : "article-journal", "volume" : "61" }, "uris" : [ "http://www.mendeley.com/documents/?uuid=0cc47b0c-aebc-44dc-ad5f-f4b6f050e5e9" ] } ], "mendeley" : { "formattedCitation" : "(Nishii et al. 2008)", "manualFormatting" : "(Nishii et al., 2008)", "plainTextFormattedCitation" : "(Nishii et al. 2008)", "previouslyFormattedCitation" : "(Nishii et al. 2008)" }, "properties" : { "noteIndex" : 0 }, "schema" : "https://github.com/citation-style-language/schema/raw/master/csl-citation.json" }</w:instrText>
      </w:r>
      <w:r w:rsidRPr="00452E2E">
        <w:fldChar w:fldCharType="separate"/>
      </w:r>
      <w:r w:rsidRPr="00452E2E">
        <w:rPr>
          <w:noProof/>
        </w:rPr>
        <w:t xml:space="preserve">(Nishii </w:t>
      </w:r>
      <w:r w:rsidRPr="00452E2E">
        <w:rPr>
          <w:i/>
          <w:noProof/>
        </w:rPr>
        <w:t>et al</w:t>
      </w:r>
      <w:r w:rsidRPr="00452E2E">
        <w:rPr>
          <w:noProof/>
        </w:rPr>
        <w:t>., 2008)</w:t>
      </w:r>
      <w:r w:rsidRPr="00452E2E">
        <w:fldChar w:fldCharType="end"/>
      </w:r>
      <w:r w:rsidRPr="00452E2E">
        <w:t>. However, the finding from the present study that control-focused HR attribution has a positive effect on normative commitment adds to the literature on HR attributions by indicating that this relationship may, after all, be context-dependent. Additionally, this research is the first to examine the effect of HR attributions on all the three components of organizational commitment.</w:t>
      </w:r>
    </w:p>
    <w:p w:rsidR="00D03A8E" w:rsidRPr="00452E2E" w:rsidRDefault="00D03A8E" w:rsidP="00D03A8E">
      <w:pPr>
        <w:spacing w:line="360" w:lineRule="auto"/>
        <w:jc w:val="both"/>
      </w:pPr>
      <w:r w:rsidRPr="00452E2E">
        <w:t xml:space="preserve">Finally, whilst previous studies have examined the effect of HR practices on employee attitudes, there have been calls for researchers to consider the significance of the institutional context when examining such relationships </w:t>
      </w:r>
      <w:r w:rsidRPr="00452E2E">
        <w:fldChar w:fldCharType="begin" w:fldLock="1"/>
      </w:r>
      <w:r w:rsidRPr="00452E2E">
        <w:instrText>ADDIN CSL_CITATION { "citationItems" : [ { "id" : "ITEM-1", "itemData" : { "DOI" : "10.1111/j.1740-8784.2010.00185.x", "ISSN" : "17408776", "author" : [ { "dropping-particle" : "", "family" : "Kim", "given" : "Sunghoon", "non-dropping-particle" : "", "parse-names" : false, "suffix" : "" }, { "dropping-particle" : "", "family" : "Wright", "given" : "Patrick M.", "non-dropping-particle" : "", "parse-names" : false, "suffix" : "" } ], "container-title" : "Management and Organization Review", "id" : "ITEM-1", "issue" : "1", "issued" : { "date-parts" : [ [ "2011" ] ] }, "page" : "153-174", "title" : "Putting strategic human resource management in context: a contextualized model of high commitment work systems and its implications in China", "type" : "article-journal", "volume" : "7" }, "uris" : [ "http://www.mendeley.com/documents/?uuid=e9ba5a84-9a84-4202-806b-63b83d1edd7f" ] } ], "mendeley" : { "formattedCitation" : "(Kim &amp; Wright 2011)", "manualFormatting" : "(Kim &amp; Wright, 2011)", "plainTextFormattedCitation" : "(Kim &amp; Wright 2011)", "previouslyFormattedCitation" : "(Kim &amp; Wright 2011)" }, "properties" : { "noteIndex" : 0 }, "schema" : "https://github.com/citation-style-language/schema/raw/master/csl-citation.json" }</w:instrText>
      </w:r>
      <w:r w:rsidRPr="00452E2E">
        <w:fldChar w:fldCharType="separate"/>
      </w:r>
      <w:r w:rsidRPr="00452E2E">
        <w:rPr>
          <w:noProof/>
        </w:rPr>
        <w:t>(Kim &amp; Wright, 2011)</w:t>
      </w:r>
      <w:r w:rsidRPr="00452E2E">
        <w:fldChar w:fldCharType="end"/>
      </w:r>
      <w:r w:rsidRPr="00452E2E">
        <w:t>. The present study examined this relationship from an institutional perspective by first</w:t>
      </w:r>
      <w:r w:rsidR="009963CE" w:rsidRPr="00452E2E">
        <w:t>ly</w:t>
      </w:r>
      <w:r w:rsidRPr="00452E2E">
        <w:t xml:space="preserve"> identifying the differences between the institutional environment of public and private sector organi</w:t>
      </w:r>
      <w:r w:rsidR="009963CE" w:rsidRPr="00452E2E">
        <w:t>zations in Nigeria. This was followed by examining how the institutional environment influences HR</w:t>
      </w:r>
      <w:r w:rsidRPr="00452E2E">
        <w:t xml:space="preserve"> practices </w:t>
      </w:r>
      <w:r w:rsidR="009963CE" w:rsidRPr="00452E2E">
        <w:t xml:space="preserve">in the public and private sector </w:t>
      </w:r>
      <w:r w:rsidRPr="00452E2E">
        <w:t xml:space="preserve">and how this may affect the attitudinal responses of employees. Apart from the fact that findings from the study were explained based on the institutional environment of public and private organizations in Nigeria, the finding that the mediation effect of procedural justice on the relationship between HR practices and affective commitment is further moderated by sector is an indication that the nature of the relationship between HR practices and affective commitment may be influenced by the institutional environment in which organizations operate. </w:t>
      </w:r>
    </w:p>
    <w:p w:rsidR="00D03A8E" w:rsidRPr="00452E2E" w:rsidRDefault="00EA28AC" w:rsidP="00170224">
      <w:pPr>
        <w:pStyle w:val="Heading3"/>
      </w:pPr>
      <w:bookmarkStart w:id="235" w:name="_Toc465271221"/>
      <w:bookmarkStart w:id="236" w:name="_Toc473808212"/>
      <w:r w:rsidRPr="00452E2E">
        <w:t>9.4</w:t>
      </w:r>
      <w:r w:rsidR="00D03A8E" w:rsidRPr="00452E2E">
        <w:t xml:space="preserve"> Practical Implications</w:t>
      </w:r>
      <w:bookmarkEnd w:id="235"/>
      <w:bookmarkEnd w:id="236"/>
    </w:p>
    <w:p w:rsidR="00D03A8E" w:rsidRPr="00452E2E" w:rsidRDefault="00D03A8E" w:rsidP="00D03A8E">
      <w:pPr>
        <w:spacing w:line="360" w:lineRule="auto"/>
        <w:jc w:val="both"/>
      </w:pPr>
      <w:r w:rsidRPr="00452E2E">
        <w:t xml:space="preserve">The findings from this research have vital implications for managers, trade unions and policy makers in Nigeria. The research has established the significance of HR </w:t>
      </w:r>
      <w:r w:rsidRPr="00452E2E">
        <w:lastRenderedPageBreak/>
        <w:t xml:space="preserve">practices in engendering positive employee attitudes in public and private sector </w:t>
      </w:r>
      <w:r w:rsidR="0055431F" w:rsidRPr="00452E2E">
        <w:t xml:space="preserve">organizations </w:t>
      </w:r>
      <w:r w:rsidRPr="00452E2E">
        <w:t>in Nigeria. Therefore, managers of public and private sector organizations should consider employees as important stakeholders and therefore invest in quality HR practices that will improve their skills and abilities as well as motivate employees. By so doing, it will engender positive attitudes of employees which are not only beneficial to employees but also to the organization. Although this may be difficult especially in the context of the private sector organizations that compete mostly on the basis of cost and who are more concerned about short term gains, those organizations that pursue the route recommended here will reap long term benefits that are more sustainable.</w:t>
      </w:r>
    </w:p>
    <w:p w:rsidR="00D03A8E" w:rsidRPr="00452E2E" w:rsidRDefault="00D03A8E" w:rsidP="00D03A8E">
      <w:pPr>
        <w:spacing w:line="360" w:lineRule="auto"/>
        <w:jc w:val="both"/>
      </w:pPr>
      <w:r w:rsidRPr="00452E2E">
        <w:t xml:space="preserve">Also, managers of organizations in Nigeria, especially those in the private sector should provide avenues for employees to make contributions to workplace decisions through employee consultation schemes and collective participation schemes such as trade unionism. This will enable employees </w:t>
      </w:r>
      <w:r w:rsidR="005742D0" w:rsidRPr="00452E2E">
        <w:t xml:space="preserve">to </w:t>
      </w:r>
      <w:r w:rsidRPr="00452E2E">
        <w:t>have a voice in decisions affecting their work which will enhance their perception of fairness of decisions. When employees contribute to workplace decisions they are bound to accept the outcomes of such decisions. The resultant effect would be increased employee morale, positive attitudes and increased productivity; thus, creating a win-win situation for both employees and organizations.</w:t>
      </w:r>
    </w:p>
    <w:p w:rsidR="00D03A8E" w:rsidRPr="00452E2E" w:rsidRDefault="00D03A8E" w:rsidP="00D03A8E">
      <w:pPr>
        <w:spacing w:line="360" w:lineRule="auto"/>
        <w:jc w:val="both"/>
      </w:pPr>
      <w:r w:rsidRPr="00452E2E">
        <w:t xml:space="preserve">Findings from the research suggest that compared to the private sector, public sector organizations have more decent employment practices that provide opportunities for collective participation through trade unionism. However, with pressures from the World Bank and IMF on the public sector to move fully towards neo-liberal approaches, it might be </w:t>
      </w:r>
      <w:r w:rsidR="00276530" w:rsidRPr="00452E2E">
        <w:t xml:space="preserve">only </w:t>
      </w:r>
      <w:r w:rsidRPr="00452E2E">
        <w:t xml:space="preserve">a matter of time before such approaches are embraced in future, given Nigeria’s reliance on these institutions for financial and technical assistance. It therefore behoves on trade unions in Nigeria to be resilient in mobilising their members to confront such neo-liberal policies. The partnership between trade unions in Nigeria and civil society organizations in challenging some of the harsh economic policies is a step in the right direction. Nevertheless, trade unions in Nigeria must move quickly to resolve their internal crises in order for them to </w:t>
      </w:r>
      <w:r w:rsidR="00EA1B70" w:rsidRPr="00452E2E">
        <w:t xml:space="preserve">effectively </w:t>
      </w:r>
      <w:r w:rsidRPr="00452E2E">
        <w:t xml:space="preserve">confront a ‘common enemy’. A situation </w:t>
      </w:r>
      <w:r w:rsidRPr="00452E2E">
        <w:lastRenderedPageBreak/>
        <w:t xml:space="preserve">where there are factional leaderships in NLC as it is presently constituted will surely limit the ability of trade unions to mobilise and demand for workers’ rights. </w:t>
      </w:r>
    </w:p>
    <w:p w:rsidR="00D03A8E" w:rsidRPr="00452E2E" w:rsidRDefault="00D03A8E" w:rsidP="00D03A8E">
      <w:pPr>
        <w:spacing w:line="360" w:lineRule="auto"/>
        <w:jc w:val="both"/>
      </w:pPr>
      <w:r w:rsidRPr="00452E2E">
        <w:t xml:space="preserve">Policy makers in Nigeria must ensure that institutions responsible for enforcement of labour legislation are well equipped and are allowed to function without political interference. In this way, there will be more institutional coverage across organizations in Nigeria which will result to improved conditions of employment and will in turn result to positive benefits to the society at large. This will require a war against corruption as the menace of corruption has weakened the efficacy of institutions in the country. The fight against corruption instituted by the current administration of </w:t>
      </w:r>
      <w:r w:rsidR="00F34BB6" w:rsidRPr="00452E2E">
        <w:t>President Buhari is commendable,</w:t>
      </w:r>
      <w:r w:rsidRPr="00452E2E">
        <w:t xml:space="preserve"> although more needs to be done for the full benefits of anti-corruption to be reaped. This will require directing the searchlight to the public service that has been responsible for facilitating most of the corrupt deals for politicians.</w:t>
      </w:r>
    </w:p>
    <w:p w:rsidR="00D03A8E" w:rsidRPr="00452E2E" w:rsidRDefault="00D03A8E" w:rsidP="00D03A8E">
      <w:pPr>
        <w:spacing w:line="360" w:lineRule="auto"/>
        <w:jc w:val="both"/>
      </w:pPr>
      <w:r w:rsidRPr="00452E2E">
        <w:t xml:space="preserve">Finally, policy makers in Nigeria must develop the political will to resist neo-liberal policies imposed on the country by Bretton Woods institutions. </w:t>
      </w:r>
      <w:r w:rsidR="00B1243A" w:rsidRPr="00452E2E">
        <w:t>A</w:t>
      </w:r>
      <w:r w:rsidRPr="00452E2E">
        <w:t xml:space="preserve">s at the time of this writing, there were discussions </w:t>
      </w:r>
      <w:r w:rsidR="00B2043B" w:rsidRPr="00452E2E">
        <w:t>about</w:t>
      </w:r>
      <w:r w:rsidRPr="00452E2E">
        <w:t xml:space="preserve"> </w:t>
      </w:r>
      <w:r w:rsidR="00B2043B" w:rsidRPr="00452E2E">
        <w:t>the possible privatization of</w:t>
      </w:r>
      <w:r w:rsidRPr="00452E2E">
        <w:t xml:space="preserve"> some of the public sector banks that participated in this study. Experience has shown that such policies have never impacted positively on the country but instead have led to untold hardship on the citizenry as a res</w:t>
      </w:r>
      <w:r w:rsidR="000D2E15" w:rsidRPr="00452E2E">
        <w:t>ult of massive job cuts. Moreover</w:t>
      </w:r>
      <w:r w:rsidRPr="00452E2E">
        <w:t xml:space="preserve">, the advice from neo-liberal ideologists that </w:t>
      </w:r>
      <w:r w:rsidR="00DC5235" w:rsidRPr="00452E2E">
        <w:t>emerg</w:t>
      </w:r>
      <w:r w:rsidRPr="00452E2E">
        <w:t xml:space="preserve">ing </w:t>
      </w:r>
      <w:r w:rsidR="00B279C6" w:rsidRPr="00452E2E">
        <w:t>economies</w:t>
      </w:r>
      <w:r w:rsidRPr="00452E2E">
        <w:t xml:space="preserve">, including Nigeria, should weaken labour legislation ostensibly to attract FDI inflows is flawed and should be ignored. In fact, research evidence from Africa </w:t>
      </w:r>
      <w:r w:rsidRPr="00452E2E">
        <w:fldChar w:fldCharType="begin" w:fldLock="1"/>
      </w:r>
      <w:r w:rsidRPr="00452E2E">
        <w:instrText>ADDIN CSL_CITATION { "citationItems" : [ { "id" : "ITEM-1", "itemData" : { "author" : [ { "dropping-particle" : "", "family" : "Wood", "given" : "Geoffrey", "non-dropping-particle" : "", "parse-names" : false, "suffix" : "" }, { "dropping-particle" : "", "family" : "Mazouz", "given" : "Khelifa", "non-dropping-particle" : "", "parse-names" : false, "suffix" : "" }, { "dropping-particle" : "", "family" : "Yin", "given" : "Shuxing", "non-dropping-particle" : "", "parse-names" : false, "suffix" : "" }, { "dropping-particle" : "", "family" : "Cheah", "given" : "Jeremy Eng-Tuck", "non-dropping-particle" : "", "parse-names" : false, "suffix" : "" } ], "container-title" : "Human Resource Management", "id" : "ITEM-1", "issue" : "1", "issued" : { "date-parts" : [ [ "2014" ] ] }, "page" : "179-201", "title" : "Foreign direct investment from emerging markets to Africa: the HRM context", "type" : "article-journal", "volume" : "53" }, "uris" : [ "http://www.mendeley.com/documents/?uuid=95e88070-2673-45e4-965e-85cf438e7148" ] } ], "mendeley" : { "formattedCitation" : "(Wood et al. 2014)", "manualFormatting" : "(Wood et al., 2014)", "plainTextFormattedCitation" : "(Wood et al. 2014)", "previouslyFormattedCitation" : "(Wood et al. 2014)"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2014)</w:t>
      </w:r>
      <w:r w:rsidRPr="00452E2E">
        <w:fldChar w:fldCharType="end"/>
      </w:r>
      <w:r w:rsidRPr="00452E2E">
        <w:t xml:space="preserve"> and South Eastern Europe </w:t>
      </w:r>
      <w:r w:rsidRPr="00452E2E">
        <w:fldChar w:fldCharType="begin" w:fldLock="1"/>
      </w:r>
      <w:r w:rsidRPr="00452E2E">
        <w:instrText>ADDIN CSL_CITATION { "citationItems" : [ { "id" : "ITEM-1", "itemData" : { "DOI" : "10.1093/cje/beu070", "ISSN" : "0309-166X", "author" : [ { "dropping-particle" : "", "family" : "Wood", "given" : "G.", "non-dropping-particle" : "", "parse-names" : false, "suffix" : "" }, { "dropping-particle" : "", "family" : "Yin", "given" : "S.", "non-dropping-particle" : "", "parse-names" : false, "suffix" : "" }, { "dropping-particle" : "", "family" : "Mazouz", "given" : "K.", "non-dropping-particle" : "", "parse-names" : false, "suffix" : "" }, { "dropping-particle" : "", "family" : "Cheah", "given" : "J. E.-T.", "non-dropping-particle" : "", "parse-names" : false, "suffix" : "" } ], "container-title" : "Cambridge Journal of Economics", "id" : "ITEM-1", "issued" : { "date-parts" : [ [ "2016" ] ] }, "page" : "141-163", "title" : "Foreign direct investment and employment rights in South-Eastern Europe", "type" : "article-journal", "volume" : "40" }, "uris" : [ "http://www.mendeley.com/documents/?uuid=45063e2b-1228-4701-a742-106b424cbd17" ] } ], "mendeley" : { "formattedCitation" : "(Wood et al. 2016)", "manualFormatting" : "(Wood et al., 2016)", "plainTextFormattedCitation" : "(Wood et al. 2016)", "previouslyFormattedCitation" : "(Wood et al. 2016)" }, "properties" : { "noteIndex" : 0 }, "schema" : "https://github.com/citation-style-language/schema/raw/master/csl-citation.json" }</w:instrText>
      </w:r>
      <w:r w:rsidRPr="00452E2E">
        <w:fldChar w:fldCharType="separate"/>
      </w:r>
      <w:r w:rsidRPr="00452E2E">
        <w:rPr>
          <w:noProof/>
        </w:rPr>
        <w:t xml:space="preserve">(Wood </w:t>
      </w:r>
      <w:r w:rsidRPr="00452E2E">
        <w:rPr>
          <w:i/>
          <w:noProof/>
        </w:rPr>
        <w:t>et al</w:t>
      </w:r>
      <w:r w:rsidRPr="00452E2E">
        <w:rPr>
          <w:noProof/>
        </w:rPr>
        <w:t>., 2016)</w:t>
      </w:r>
      <w:r w:rsidRPr="00452E2E">
        <w:fldChar w:fldCharType="end"/>
      </w:r>
      <w:r w:rsidRPr="00452E2E">
        <w:t xml:space="preserve"> suggest that countries with weakened labour legislation were less likely to attract FDI than countries whose labour legislation guarantee strong rights of workers. Thus, as the present administration in Nigeria attempts to diversify the economy and attract FDI, some aspects of labour legislation that protect workers’ rights should rather be strengthened in order to make the country an attractive FDI destination. </w:t>
      </w:r>
    </w:p>
    <w:p w:rsidR="00D03A8E" w:rsidRPr="00452E2E" w:rsidRDefault="00EA28AC" w:rsidP="00170224">
      <w:pPr>
        <w:pStyle w:val="Heading3"/>
      </w:pPr>
      <w:bookmarkStart w:id="237" w:name="_Toc465271222"/>
      <w:bookmarkStart w:id="238" w:name="_Toc473808213"/>
      <w:r w:rsidRPr="00452E2E">
        <w:t>9.5</w:t>
      </w:r>
      <w:r w:rsidR="00D03A8E" w:rsidRPr="00452E2E">
        <w:t xml:space="preserve"> Research Limitations and Directions for Future Research</w:t>
      </w:r>
      <w:bookmarkEnd w:id="237"/>
      <w:bookmarkEnd w:id="238"/>
    </w:p>
    <w:p w:rsidR="00D03A8E" w:rsidRPr="00452E2E" w:rsidRDefault="00D03A8E" w:rsidP="00D03A8E">
      <w:pPr>
        <w:spacing w:line="360" w:lineRule="auto"/>
        <w:jc w:val="both"/>
      </w:pPr>
      <w:r w:rsidRPr="00452E2E">
        <w:t xml:space="preserve">As with any research, the current research </w:t>
      </w:r>
      <w:r w:rsidR="00D44C8F" w:rsidRPr="00452E2E">
        <w:t>is not without some limitations,</w:t>
      </w:r>
      <w:r w:rsidRPr="00452E2E">
        <w:t xml:space="preserve"> although pointing those out does not weaken the conclusions drawn from the research. Instead, it identifies research gaps that could be filled in future research.  </w:t>
      </w:r>
      <w:r w:rsidRPr="00452E2E">
        <w:lastRenderedPageBreak/>
        <w:t xml:space="preserve">One of the limitations of this research is in the number of HR practices that were included in the research. Of course, there are numerous HR practices that </w:t>
      </w:r>
      <w:r w:rsidR="00E240A7" w:rsidRPr="00452E2E">
        <w:t>c</w:t>
      </w:r>
      <w:r w:rsidRPr="00452E2E">
        <w:t>ould have been studied. The research however included only four HR practices in study 1 whilst three of these practices were carried onto study 2. Whilst it is</w:t>
      </w:r>
      <w:r w:rsidR="00205306" w:rsidRPr="00452E2E">
        <w:t xml:space="preserve"> possible that other practices c</w:t>
      </w:r>
      <w:r w:rsidRPr="00452E2E">
        <w:t xml:space="preserve">ould have been considered and hence this constitutes a limitation to the research, it was the view of the researcher and coupled with previous research evidence on HRM in Nigeria that the practices included in the research were some of the most important practices in the context of public and private sector in Nigeria. Nevertheless, future studies can expand on the present study by researching more HR practices. Moreover, by researching more HR practices, researchers can identify the cluster of practices that influence positive work outcomes in each sector. </w:t>
      </w:r>
    </w:p>
    <w:p w:rsidR="00604F58" w:rsidRPr="00452E2E" w:rsidRDefault="00D03A8E" w:rsidP="00D03A8E">
      <w:pPr>
        <w:spacing w:line="360" w:lineRule="auto"/>
        <w:jc w:val="both"/>
      </w:pPr>
      <w:r w:rsidRPr="00452E2E">
        <w:t xml:space="preserve">As with cross-sectional designs, the issue of cause and effect cannot be established in the present research. Although the present research examined the effect of HR practices on employee attitudes, it might be that employees with positive attitudes have favourable ratings of HR practices in their organizations. Therefore, future researchers may consider conducting a longitudinal study to establish whether HR practices cause positive attitudes or vice versa. </w:t>
      </w:r>
    </w:p>
    <w:p w:rsidR="00D03A8E" w:rsidRPr="00452E2E" w:rsidRDefault="002A0C00" w:rsidP="00D03A8E">
      <w:pPr>
        <w:spacing w:line="360" w:lineRule="auto"/>
        <w:jc w:val="both"/>
      </w:pPr>
      <w:r w:rsidRPr="00452E2E">
        <w:t xml:space="preserve">More so, </w:t>
      </w:r>
      <w:r w:rsidR="00364415" w:rsidRPr="00452E2E">
        <w:t xml:space="preserve">the fact that it was practically impossible to accurately sample all organizations in the 11 cities that were included in study 1 of this research constitutes a limitation to the research. Nevertheless, efforts were made to, as much as possible, access many organizations across diverse industries that met the criteria to participate in the research in order to avoid bias in sampling. </w:t>
      </w:r>
      <w:r w:rsidR="00BE35B2" w:rsidRPr="00452E2E">
        <w:t xml:space="preserve">As such, the conclusions drawn from the research are not necessarily affected by the sampling method. </w:t>
      </w:r>
      <w:r w:rsidR="00100F46" w:rsidRPr="00452E2E">
        <w:t xml:space="preserve">Further, there was a low response rate in some industries that participated in study 1 which constitutes a limitation to the research. </w:t>
      </w:r>
      <w:r w:rsidR="00BE35B2" w:rsidRPr="00452E2E">
        <w:t>Indeed, t</w:t>
      </w:r>
      <w:r w:rsidR="00C35BEB" w:rsidRPr="00452E2E">
        <w:t xml:space="preserve">he gaining access to a large pool </w:t>
      </w:r>
      <w:r w:rsidR="00421A3D" w:rsidRPr="00452E2E">
        <w:t xml:space="preserve">of </w:t>
      </w:r>
      <w:r w:rsidR="00C35BEB" w:rsidRPr="00452E2E">
        <w:t xml:space="preserve">organizations to participate in a research such as the </w:t>
      </w:r>
      <w:r w:rsidR="00BE35B2" w:rsidRPr="00452E2E">
        <w:t xml:space="preserve">present </w:t>
      </w:r>
      <w:r w:rsidR="00F24AE5" w:rsidRPr="00452E2E">
        <w:t xml:space="preserve">one </w:t>
      </w:r>
      <w:r w:rsidR="00BE35B2" w:rsidRPr="00452E2E">
        <w:t xml:space="preserve">constitutes a major challenge researchers face whilst researching developing or emerging countries. </w:t>
      </w:r>
    </w:p>
    <w:p w:rsidR="00D03A8E" w:rsidRPr="00452E2E" w:rsidRDefault="00D03A8E" w:rsidP="00D03A8E">
      <w:pPr>
        <w:spacing w:line="360" w:lineRule="auto"/>
        <w:jc w:val="both"/>
      </w:pPr>
      <w:r w:rsidRPr="00452E2E">
        <w:t xml:space="preserve">Although the researcher examined the effect of procedural justice and HR attributions as mediating variables in order to understand the mechanism through which HR practices affect employee attitudes, there are other potential mediating </w:t>
      </w:r>
      <w:r w:rsidRPr="00452E2E">
        <w:lastRenderedPageBreak/>
        <w:t xml:space="preserve">variables such as organizational climate, perceived organizational support, person-organization fit, among others that can tested in future research on HR practices and employee attitudes in public and private sector in Nigeria. In addition, the present study focused on employee attitudes as outcome variables. Meanwhile, there are other outcome variables that such as job performance, organizational citizenship behaviours, work stress, organizational performance among others could be examined in future research within the context of public and private sector in Nigeria. </w:t>
      </w:r>
    </w:p>
    <w:p w:rsidR="00D03A8E" w:rsidRPr="00452E2E" w:rsidRDefault="00D03A8E" w:rsidP="00D03A8E">
      <w:pPr>
        <w:spacing w:line="360" w:lineRule="auto"/>
        <w:jc w:val="both"/>
      </w:pPr>
      <w:r w:rsidRPr="00452E2E">
        <w:t xml:space="preserve">Moreover, whilst the present research provided support for the utility of the segmented business theory as an institutional framework for understanding the nature of HRM in Nigeria, the findings from the current study cannot be generalized across other African contexts. Therefore, researchers interested in African HRM should adopt a similar framework for studying HRM in other African contexts in order to compare the findings to be generated with those of the present study. </w:t>
      </w:r>
    </w:p>
    <w:p w:rsidR="00D03A8E" w:rsidRPr="00452E2E" w:rsidRDefault="00D03A8E" w:rsidP="00D03A8E">
      <w:pPr>
        <w:spacing w:line="360" w:lineRule="auto"/>
        <w:jc w:val="both"/>
      </w:pPr>
      <w:r w:rsidRPr="00452E2E">
        <w:t xml:space="preserve">Whereas the present research examined statistically the effects of HR attributions on employee attitudes, the construct of HR attributions is complex and may be subject to cultural interpretations. Thus, future research should consider exploring the construct of HR attributions through in-depth qualitative research. This will enable researchers to identify whether there is the existence some context-dependent HR attributions. </w:t>
      </w:r>
    </w:p>
    <w:p w:rsidR="00D03A8E" w:rsidRPr="00452E2E" w:rsidRDefault="00D03A8E" w:rsidP="00D03A8E">
      <w:pPr>
        <w:spacing w:line="360" w:lineRule="auto"/>
        <w:jc w:val="both"/>
      </w:pPr>
      <w:r w:rsidRPr="00452E2E">
        <w:t xml:space="preserve">Finally, as HRM is important to public and private sector organizations, so is it important to non-profit organizations. Therefore, future research should consider comparing the nature of HRM in these three sectors: public, private and non-profit sectors. This will enable researchers understand the types of practices employees encounter in these sectors. </w:t>
      </w:r>
      <w:r w:rsidR="00255578" w:rsidRPr="00452E2E">
        <w:t xml:space="preserve">Moreover, </w:t>
      </w:r>
      <w:r w:rsidR="00B77A24" w:rsidRPr="00452E2E">
        <w:t xml:space="preserve">whilst the present research focused on indigenous public and private sector organizations in Nigeria and hence a limitation to the research, future research should consider comparing HRM practices between indigenous organizations and subsidiaries of multinational companies in Nigeria. </w:t>
      </w:r>
    </w:p>
    <w:p w:rsidR="00D03A8E" w:rsidRPr="00452E2E" w:rsidRDefault="00EB5C7A" w:rsidP="00170224">
      <w:pPr>
        <w:pStyle w:val="Heading3"/>
      </w:pPr>
      <w:bookmarkStart w:id="239" w:name="_Toc465271223"/>
      <w:bookmarkStart w:id="240" w:name="_Toc473808214"/>
      <w:r w:rsidRPr="00452E2E">
        <w:lastRenderedPageBreak/>
        <w:t>9.6</w:t>
      </w:r>
      <w:r w:rsidR="00D03A8E" w:rsidRPr="00452E2E">
        <w:t xml:space="preserve"> Final Reflections</w:t>
      </w:r>
      <w:bookmarkEnd w:id="239"/>
      <w:bookmarkEnd w:id="240"/>
    </w:p>
    <w:p w:rsidR="00D03A8E" w:rsidRPr="00452E2E" w:rsidRDefault="00D03A8E" w:rsidP="00D03A8E">
      <w:pPr>
        <w:spacing w:line="360" w:lineRule="auto"/>
        <w:jc w:val="both"/>
      </w:pPr>
      <w:r w:rsidRPr="00452E2E">
        <w:t xml:space="preserve">Having reflected on the PhD experience, I have come to the conclusion that although it was obviously challenging, it was a very rewarding experience. The skills I acquired through the process have positively impacted on me both as a researcher and as an individual. Whilst the PhD process honed my skills in quantitative research especially in the area of quantitative data analysis, the highlight of the process was my exposure to qualitative research. Prior to commencing the PhD, I had worked in a faculty where quantitative research was the norm. In fact, I had the orientation that all management research was quantitative! As a result, I had no prior knowledge about qualitative research. However, I learned from the PhD process that qualitative research is a very important aspect of management research and that there are certain complex research problems that are better understood via qualitative research. In addition, I understood that the divide between qualitative and quantitative research was also a matter of the research philosophy of the researcher. </w:t>
      </w:r>
    </w:p>
    <w:p w:rsidR="00D03A8E" w:rsidRPr="00452E2E" w:rsidRDefault="00D03A8E" w:rsidP="00D03A8E">
      <w:pPr>
        <w:spacing w:line="360" w:lineRule="auto"/>
        <w:jc w:val="both"/>
      </w:pPr>
      <w:r w:rsidRPr="00452E2E">
        <w:t xml:space="preserve">It was therefore exciting to combine quantitative and qualitative methods in my PhD research. Through in-depth qualitative interviews, I was able to interact with HR managers who explained to me why certain HRM decisions were taken in their organizations – responses that were not possible to get via quantitative methods. Again, it was during this research process that I realised there were software for analysing qualitative data. My ability to use Nvivo for qualitative data analysis is one of the highlights of my exposure to qualitative research. This means that I have developed skills in both quantitative and qualitative data analysis which are very useful for my future research endeavours. </w:t>
      </w:r>
    </w:p>
    <w:p w:rsidR="00D03A8E" w:rsidRPr="00452E2E" w:rsidRDefault="00D03A8E" w:rsidP="00D03A8E">
      <w:pPr>
        <w:spacing w:line="360" w:lineRule="auto"/>
        <w:jc w:val="both"/>
      </w:pPr>
      <w:r w:rsidRPr="00452E2E">
        <w:t xml:space="preserve">I also learned from the PhD experience how to effectively manage a research process. I was able to divide my research project into manageable tasks for which time was allocated whilst I was able to evaluate my progress. What is more, I learned the ethics of research, particularly in the aspect of access negotiation. Through the PhD experience, I realised that it was unethical to approach prospective respondents without first of all seeking access from the organization. Not only will this experience enable me </w:t>
      </w:r>
      <w:r w:rsidR="00066758" w:rsidRPr="00452E2E">
        <w:t xml:space="preserve">to </w:t>
      </w:r>
      <w:r w:rsidRPr="00452E2E">
        <w:t xml:space="preserve">effectively manage research projects in future, I shall be conducting research that </w:t>
      </w:r>
      <w:r w:rsidR="007C4113" w:rsidRPr="00452E2E">
        <w:t xml:space="preserve">will be </w:t>
      </w:r>
      <w:r w:rsidRPr="00452E2E">
        <w:t>of high eth</w:t>
      </w:r>
      <w:r w:rsidR="00153DD9" w:rsidRPr="00452E2E">
        <w:t xml:space="preserve">ical standards. </w:t>
      </w:r>
      <w:r w:rsidR="00153DD9" w:rsidRPr="00452E2E">
        <w:lastRenderedPageBreak/>
        <w:t>Moreover</w:t>
      </w:r>
      <w:r w:rsidRPr="00452E2E">
        <w:t xml:space="preserve">, through the field work experience, I now have contacts of key industry players in Nigeria that would be useful for conducting future research in the Nigerian context. </w:t>
      </w:r>
    </w:p>
    <w:p w:rsidR="00D03A8E" w:rsidRPr="00452E2E" w:rsidRDefault="00D03A8E" w:rsidP="00D03A8E">
      <w:pPr>
        <w:spacing w:line="360" w:lineRule="auto"/>
        <w:jc w:val="both"/>
      </w:pPr>
      <w:r w:rsidRPr="00452E2E">
        <w:t>Finally, my knowledge about HRM has tremendously improved due to conducting my PhD research in this area. I have read many writings on HRM which has made me appreciate the multi-disciplinary nature of the subject and the fact that HRM differ</w:t>
      </w:r>
      <w:r w:rsidR="0062413C" w:rsidRPr="00452E2E">
        <w:t>s</w:t>
      </w:r>
      <w:r w:rsidRPr="00452E2E">
        <w:t xml:space="preserve"> from context to context. </w:t>
      </w:r>
      <w:r w:rsidR="006D73C0" w:rsidRPr="00452E2E">
        <w:t xml:space="preserve">In general, </w:t>
      </w:r>
      <w:r w:rsidRPr="00452E2E">
        <w:t>I hope to share the knowledge gained from this process with researchers in my home country in order to advance research in that part of the world.</w:t>
      </w:r>
    </w:p>
    <w:p w:rsidR="00AA75A4" w:rsidRPr="00452E2E" w:rsidRDefault="00AA75A4" w:rsidP="00D03A8E">
      <w:pPr>
        <w:spacing w:line="360" w:lineRule="auto"/>
        <w:jc w:val="both"/>
        <w:sectPr w:rsidR="00AA75A4" w:rsidRPr="00452E2E" w:rsidSect="00B57950">
          <w:pgSz w:w="11906" w:h="16838"/>
          <w:pgMar w:top="1440" w:right="1440" w:bottom="1440" w:left="2127" w:header="708" w:footer="708" w:gutter="0"/>
          <w:cols w:space="708"/>
          <w:docGrid w:linePitch="360"/>
        </w:sectPr>
      </w:pPr>
    </w:p>
    <w:p w:rsidR="00D03A8E" w:rsidRPr="00452E2E" w:rsidRDefault="00D03A8E" w:rsidP="00D03A8E">
      <w:pPr>
        <w:pStyle w:val="Heading1"/>
        <w:numPr>
          <w:ilvl w:val="0"/>
          <w:numId w:val="0"/>
        </w:numPr>
      </w:pPr>
      <w:bookmarkStart w:id="241" w:name="_Toc473808215"/>
      <w:r w:rsidRPr="00452E2E">
        <w:lastRenderedPageBreak/>
        <w:t>BIBLIOGRAPHY</w:t>
      </w:r>
      <w:bookmarkEnd w:id="241"/>
    </w:p>
    <w:p w:rsidR="002B68E7" w:rsidRPr="00452E2E" w:rsidRDefault="002B68E7" w:rsidP="002B68E7">
      <w:pPr>
        <w:jc w:val="both"/>
        <w:rPr>
          <w:rFonts w:cs="Times New Roman"/>
          <w:noProof/>
          <w:szCs w:val="24"/>
        </w:rPr>
      </w:pPr>
      <w:r w:rsidRPr="00452E2E">
        <w:rPr>
          <w:rFonts w:cs="Times New Roman"/>
          <w:noProof/>
          <w:szCs w:val="24"/>
        </w:rPr>
        <w:t xml:space="preserve">Acemoglu, D., Robinson, J.A. &amp; Woren, D. (2012). </w:t>
      </w:r>
      <w:r w:rsidRPr="00452E2E">
        <w:rPr>
          <w:rFonts w:cs="Times New Roman"/>
          <w:i/>
          <w:iCs/>
          <w:noProof/>
          <w:szCs w:val="24"/>
        </w:rPr>
        <w:t>Why nations fail: The origins of power, prosperity and poverty</w:t>
      </w:r>
      <w:r w:rsidRPr="00452E2E">
        <w:rPr>
          <w:rFonts w:cs="Times New Roman"/>
          <w:noProof/>
          <w:szCs w:val="24"/>
        </w:rPr>
        <w:t>, New York: Crown Business.</w:t>
      </w:r>
    </w:p>
    <w:p w:rsidR="00D03A8E" w:rsidRPr="00452E2E" w:rsidRDefault="00D03A8E" w:rsidP="00501BA6">
      <w:pPr>
        <w:widowControl w:val="0"/>
        <w:autoSpaceDE w:val="0"/>
        <w:autoSpaceDN w:val="0"/>
        <w:adjustRightInd w:val="0"/>
        <w:spacing w:line="240" w:lineRule="auto"/>
        <w:jc w:val="both"/>
        <w:rPr>
          <w:noProof/>
          <w:szCs w:val="24"/>
        </w:rPr>
      </w:pPr>
      <w:r w:rsidRPr="00452E2E">
        <w:rPr>
          <w:b/>
        </w:rPr>
        <w:fldChar w:fldCharType="begin" w:fldLock="1"/>
      </w:r>
      <w:r w:rsidRPr="00452E2E">
        <w:rPr>
          <w:b/>
        </w:rPr>
        <w:instrText xml:space="preserve">ADDIN Mendeley Bibliography CSL_BIBLIOGRAPHY </w:instrText>
      </w:r>
      <w:r w:rsidRPr="00452E2E">
        <w:rPr>
          <w:b/>
        </w:rPr>
        <w:fldChar w:fldCharType="separate"/>
      </w:r>
      <w:r w:rsidRPr="00452E2E">
        <w:rPr>
          <w:noProof/>
          <w:szCs w:val="24"/>
        </w:rPr>
        <w:t xml:space="preserve">Ackers, P. (2010). An Industrial relations perspective on employee participation. In P. J. Gollan, D. Lewin, M. Marchington &amp; A. Wilkinson, eds. </w:t>
      </w:r>
      <w:r w:rsidRPr="00452E2E">
        <w:rPr>
          <w:i/>
          <w:iCs/>
          <w:noProof/>
          <w:szCs w:val="24"/>
        </w:rPr>
        <w:t>The Oxford handbook of participation in organizations</w:t>
      </w:r>
      <w:r w:rsidRPr="00452E2E">
        <w:rPr>
          <w:noProof/>
          <w:szCs w:val="24"/>
        </w:rPr>
        <w:t>. Oxford: Oxford University Press, pp. 52–75.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Adams, S. &amp; Artz, B. (2015). Health insurance, familial responsibilities and job satisfaction. </w:t>
      </w:r>
      <w:r w:rsidRPr="00452E2E">
        <w:rPr>
          <w:i/>
          <w:iCs/>
          <w:noProof/>
          <w:szCs w:val="24"/>
        </w:rPr>
        <w:t>Journal of Family and Economic Issues</w:t>
      </w:r>
      <w:r w:rsidRPr="00452E2E">
        <w:rPr>
          <w:noProof/>
          <w:szCs w:val="24"/>
        </w:rPr>
        <w:t>, 36, pp.143–153.</w:t>
      </w:r>
    </w:p>
    <w:p w:rsidR="002B68E7"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Adegbite, E. (2012). Corporate governance regulation in Nigeria. </w:t>
      </w:r>
      <w:r w:rsidRPr="00452E2E">
        <w:rPr>
          <w:i/>
          <w:iCs/>
          <w:noProof/>
          <w:szCs w:val="24"/>
        </w:rPr>
        <w:t>The International Journal of Business in Society</w:t>
      </w:r>
      <w:r w:rsidRPr="00452E2E">
        <w:rPr>
          <w:noProof/>
          <w:szCs w:val="24"/>
        </w:rPr>
        <w:t>, 12(2), pp.257–276.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Adeleye, I. (2011). Theorising human resource management in Africa: Beyond cultural relativism. </w:t>
      </w:r>
      <w:r w:rsidRPr="00452E2E">
        <w:rPr>
          <w:i/>
          <w:iCs/>
          <w:noProof/>
          <w:szCs w:val="24"/>
        </w:rPr>
        <w:t>African Journal of Business Management</w:t>
      </w:r>
      <w:r w:rsidRPr="00452E2E">
        <w:rPr>
          <w:noProof/>
          <w:szCs w:val="24"/>
        </w:rPr>
        <w:t>, 5(6), pp.2028–2039.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Adesoye, A. &amp; Atanda, A. (2012). Development finance institutions in Nigeria: Structure, roles and assessment. </w:t>
      </w:r>
      <w:r w:rsidRPr="00452E2E">
        <w:rPr>
          <w:i/>
          <w:iCs/>
          <w:noProof/>
          <w:szCs w:val="24"/>
        </w:rPr>
        <w:t>MPRA Paper No. 35839</w:t>
      </w:r>
      <w:r w:rsidRPr="00452E2E">
        <w:rPr>
          <w:noProof/>
          <w:szCs w:val="24"/>
        </w:rPr>
        <w:t>, pp.1–15. Available at: https://mpra.ub.uni-muenchen.de/35839/</w:t>
      </w:r>
    </w:p>
    <w:p w:rsidR="002B68E7" w:rsidRPr="00452E2E" w:rsidRDefault="002B68E7" w:rsidP="002B68E7">
      <w:pPr>
        <w:jc w:val="both"/>
        <w:rPr>
          <w:rFonts w:cs="Times New Roman"/>
          <w:noProof/>
          <w:szCs w:val="24"/>
        </w:rPr>
      </w:pPr>
      <w:r w:rsidRPr="00452E2E">
        <w:rPr>
          <w:rFonts w:cs="Times New Roman"/>
          <w:noProof/>
          <w:szCs w:val="24"/>
        </w:rPr>
        <w:t xml:space="preserve">Adewale, A. (2011). The political, economic and social dynamics of Nigeria: A synopsis. </w:t>
      </w:r>
      <w:r w:rsidRPr="00452E2E">
        <w:rPr>
          <w:rFonts w:cs="Times New Roman"/>
          <w:i/>
          <w:iCs/>
          <w:noProof/>
          <w:szCs w:val="24"/>
        </w:rPr>
        <w:t>AISA Policy Brief</w:t>
      </w:r>
      <w:r w:rsidRPr="00452E2E">
        <w:rPr>
          <w:rFonts w:cs="Times New Roman"/>
          <w:noProof/>
          <w:szCs w:val="24"/>
        </w:rPr>
        <w:t>, 39, pp.1–8.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Adewumi, F. (2012a). The global economy, trade unions and the protection of workers’ rights in Nigeria. </w:t>
      </w:r>
      <w:r w:rsidRPr="00452E2E">
        <w:rPr>
          <w:i/>
          <w:iCs/>
          <w:noProof/>
          <w:szCs w:val="24"/>
        </w:rPr>
        <w:t>WorkingUSA</w:t>
      </w:r>
      <w:r w:rsidRPr="00452E2E">
        <w:rPr>
          <w:noProof/>
          <w:szCs w:val="24"/>
        </w:rPr>
        <w:t>, 15, pp.529–547.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Adewumi, F. (2012b). Victims as sacrificial lambs: A critique of public service reforms in Nigeria. In F. Adewumi &amp; W. Idowu, eds. </w:t>
      </w:r>
      <w:r w:rsidRPr="00452E2E">
        <w:rPr>
          <w:i/>
          <w:iCs/>
          <w:noProof/>
          <w:szCs w:val="24"/>
        </w:rPr>
        <w:t>Public sector reforms in Africa: Nigerian perspectives</w:t>
      </w:r>
      <w:r w:rsidRPr="00452E2E">
        <w:rPr>
          <w:noProof/>
          <w:szCs w:val="24"/>
        </w:rPr>
        <w:t>. Dakar: CODESRIA, pp. 111–128.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Adewumi, F. &amp; Adenuga, A. (2010). </w:t>
      </w:r>
      <w:r w:rsidRPr="00452E2E">
        <w:rPr>
          <w:i/>
          <w:iCs/>
          <w:noProof/>
          <w:szCs w:val="24"/>
        </w:rPr>
        <w:t>The state of workers’ rights in Nigeria: An examination of the banking, oil and gas and telecommunication sectors</w:t>
      </w:r>
      <w:r w:rsidRPr="00452E2E">
        <w:rPr>
          <w:noProof/>
          <w:szCs w:val="24"/>
        </w:rPr>
        <w:t>, Abuja: Friedrich-Ebert-Stiftung.</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Adewumi, F. &amp; Idowu, W. (2012). Introduction. In F. Adewumi &amp; W. Idowu, eds. </w:t>
      </w:r>
      <w:r w:rsidRPr="00452E2E">
        <w:rPr>
          <w:i/>
          <w:iCs/>
          <w:noProof/>
          <w:szCs w:val="24"/>
        </w:rPr>
        <w:t>Public sector reforms in Africa: Nigerian perspectives</w:t>
      </w:r>
      <w:r w:rsidRPr="00452E2E">
        <w:rPr>
          <w:noProof/>
          <w:szCs w:val="24"/>
        </w:rPr>
        <w:t>. Dakar: CODESRIA, pp. 1–10.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Adewumi, F. &amp; Idowu, W. (2012). </w:t>
      </w:r>
      <w:r w:rsidRPr="00452E2E">
        <w:rPr>
          <w:i/>
          <w:iCs/>
          <w:noProof/>
          <w:szCs w:val="24"/>
        </w:rPr>
        <w:t>Public sector reforms in Africa: Nigerian perspectives</w:t>
      </w:r>
      <w:r w:rsidRPr="00452E2E">
        <w:rPr>
          <w:noProof/>
          <w:szCs w:val="24"/>
        </w:rPr>
        <w:t>, Dakar: CODESRIA.</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Agarwala, T. (2003). Innovative human resource practices and organizational commitment: An empirical investigation. </w:t>
      </w:r>
      <w:r w:rsidRPr="00452E2E">
        <w:rPr>
          <w:i/>
          <w:iCs/>
          <w:noProof/>
          <w:szCs w:val="24"/>
        </w:rPr>
        <w:t>The International Journal of Human Resource Management</w:t>
      </w:r>
      <w:r w:rsidRPr="00452E2E">
        <w:rPr>
          <w:noProof/>
          <w:szCs w:val="24"/>
        </w:rPr>
        <w:t>, 14(2), pp.175–197.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Agbiboa, D.E. (2013). Ethno-religious conflicts and the elusive quest for national identity in Nigeria. </w:t>
      </w:r>
      <w:r w:rsidRPr="00452E2E">
        <w:rPr>
          <w:i/>
          <w:iCs/>
          <w:noProof/>
          <w:szCs w:val="24"/>
        </w:rPr>
        <w:t>Journal of Black Studies</w:t>
      </w:r>
      <w:r w:rsidRPr="00452E2E">
        <w:rPr>
          <w:noProof/>
          <w:szCs w:val="24"/>
        </w:rPr>
        <w:t>, 44(1), pp.3–30.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Aguinis, H., Gottfredson, R.K. &amp; Joo, H. (2013). Best-practice recommendations for defining, identifying, and handling outliers. </w:t>
      </w:r>
      <w:r w:rsidRPr="00452E2E">
        <w:rPr>
          <w:i/>
          <w:iCs/>
          <w:noProof/>
          <w:szCs w:val="24"/>
        </w:rPr>
        <w:t>Organizational Research Methods</w:t>
      </w:r>
      <w:r w:rsidRPr="00452E2E">
        <w:rPr>
          <w:noProof/>
          <w:szCs w:val="24"/>
        </w:rPr>
        <w:t>, 16(2), pp.270–301.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Aguinis, H. &amp; Kraiger, K. (2009). Benefits of training and development for individuals and teams, organizations, and society. </w:t>
      </w:r>
      <w:r w:rsidRPr="00452E2E">
        <w:rPr>
          <w:i/>
          <w:iCs/>
          <w:noProof/>
          <w:szCs w:val="24"/>
        </w:rPr>
        <w:t>Annual Review of Psychology</w:t>
      </w:r>
      <w:r w:rsidRPr="00452E2E">
        <w:rPr>
          <w:noProof/>
          <w:szCs w:val="24"/>
        </w:rPr>
        <w:t xml:space="preserve">, 60, </w:t>
      </w:r>
      <w:r w:rsidRPr="00452E2E">
        <w:rPr>
          <w:noProof/>
          <w:szCs w:val="24"/>
        </w:rPr>
        <w:lastRenderedPageBreak/>
        <w:t>pp.451–474.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Ahmad, K.Z. &amp; Bakar, R.A. (2003). The association between training and organizational commitment among white-collar workers in Malaysia. </w:t>
      </w:r>
      <w:r w:rsidRPr="00452E2E">
        <w:rPr>
          <w:i/>
          <w:iCs/>
          <w:noProof/>
          <w:szCs w:val="24"/>
        </w:rPr>
        <w:t>International Journal of Training and Development</w:t>
      </w:r>
      <w:r w:rsidRPr="00452E2E">
        <w:rPr>
          <w:noProof/>
          <w:szCs w:val="24"/>
        </w:rPr>
        <w:t>, 7(3), pp.166–185.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Akanle, O. &amp; Adesina, J.O. (2015). Corruption and the Nigerian development quagmire: Popular narratives and current interrogations. </w:t>
      </w:r>
      <w:r w:rsidRPr="00452E2E">
        <w:rPr>
          <w:i/>
          <w:iCs/>
          <w:noProof/>
          <w:szCs w:val="24"/>
        </w:rPr>
        <w:t>Journal of Developing Societies</w:t>
      </w:r>
      <w:r w:rsidRPr="00452E2E">
        <w:rPr>
          <w:noProof/>
          <w:szCs w:val="24"/>
        </w:rPr>
        <w:t>, 31(4), pp.421–446.</w:t>
      </w:r>
    </w:p>
    <w:p w:rsidR="002B68E7" w:rsidRPr="00452E2E" w:rsidRDefault="002B68E7" w:rsidP="002B68E7">
      <w:pPr>
        <w:jc w:val="both"/>
        <w:rPr>
          <w:rFonts w:cs="Times New Roman"/>
          <w:noProof/>
          <w:szCs w:val="24"/>
        </w:rPr>
      </w:pPr>
      <w:r w:rsidRPr="00452E2E">
        <w:rPr>
          <w:rFonts w:cs="Times New Roman"/>
          <w:noProof/>
          <w:szCs w:val="24"/>
        </w:rPr>
        <w:t xml:space="preserve">Akinrinade, S. &amp; Ogen, O. (2008). Globalization and de-industrialization: South-South neo- liberalism and the collapse of the Nigerian textile industry. </w:t>
      </w:r>
      <w:r w:rsidRPr="00452E2E">
        <w:rPr>
          <w:rFonts w:cs="Times New Roman"/>
          <w:i/>
          <w:iCs/>
          <w:noProof/>
          <w:szCs w:val="24"/>
        </w:rPr>
        <w:t>The Global South</w:t>
      </w:r>
      <w:r w:rsidRPr="00452E2E">
        <w:rPr>
          <w:rFonts w:cs="Times New Roman"/>
          <w:noProof/>
          <w:szCs w:val="24"/>
        </w:rPr>
        <w:t>, 2(2), pp.159–170.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Al-Emadi, M.A.S. &amp; Marquardt, M.J. (2007). Relationship between employees beliefs regarding training benefits and employees organization commitment in a petroleum company in the state of Quatar. </w:t>
      </w:r>
      <w:r w:rsidRPr="00452E2E">
        <w:rPr>
          <w:i/>
          <w:iCs/>
          <w:noProof/>
          <w:szCs w:val="24"/>
        </w:rPr>
        <w:t>International Journal of Training and Development</w:t>
      </w:r>
      <w:r w:rsidRPr="00452E2E">
        <w:rPr>
          <w:noProof/>
          <w:szCs w:val="24"/>
        </w:rPr>
        <w:t>, 11(1), pp.49–71.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Allen, N.J. &amp; Meyer, J.P. (1996). Affective, continuance, and normative commitment to the organization: An examination of construct validity. </w:t>
      </w:r>
      <w:r w:rsidRPr="00452E2E">
        <w:rPr>
          <w:i/>
          <w:iCs/>
          <w:noProof/>
          <w:szCs w:val="24"/>
        </w:rPr>
        <w:t>Journal of Vocational Behavior</w:t>
      </w:r>
      <w:r w:rsidRPr="00452E2E">
        <w:rPr>
          <w:noProof/>
          <w:szCs w:val="24"/>
        </w:rPr>
        <w:t>, 49(3), pp.252–276.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Allen, N.J. &amp; Meyer, J.P. (1990). The measurement and antecedents of affective, continuance and normative commitment to the organization. </w:t>
      </w:r>
      <w:r w:rsidRPr="00452E2E">
        <w:rPr>
          <w:i/>
          <w:iCs/>
          <w:noProof/>
          <w:szCs w:val="24"/>
        </w:rPr>
        <w:t>Journal of Occupational Psychology</w:t>
      </w:r>
      <w:r w:rsidRPr="00452E2E">
        <w:rPr>
          <w:noProof/>
          <w:szCs w:val="24"/>
        </w:rPr>
        <w:t>, 63, pp.1–18.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Alvesson, M. &amp; Ashcraft, K.L. (2012). Interviews. In G. Symon &amp; C. Cassell, eds. </w:t>
      </w:r>
      <w:r w:rsidRPr="00452E2E">
        <w:rPr>
          <w:i/>
          <w:iCs/>
          <w:noProof/>
          <w:szCs w:val="24"/>
        </w:rPr>
        <w:t>Qualitative organizational research: Core methods and current challenges</w:t>
      </w:r>
      <w:r w:rsidRPr="00452E2E">
        <w:rPr>
          <w:noProof/>
          <w:szCs w:val="24"/>
        </w:rPr>
        <w:t>. London: SAGE, pp. 239–257.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Amable, B. (2003). </w:t>
      </w:r>
      <w:r w:rsidRPr="00452E2E">
        <w:rPr>
          <w:i/>
          <w:iCs/>
          <w:noProof/>
          <w:szCs w:val="24"/>
        </w:rPr>
        <w:t>The diversity of modern capitalism</w:t>
      </w:r>
      <w:r w:rsidRPr="00452E2E">
        <w:rPr>
          <w:noProof/>
          <w:szCs w:val="24"/>
        </w:rPr>
        <w:t>, Oxford: Oxford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Amaghionyeodiwe, L. (2008). Determinants of the choice of healthcare providers in Nigeria. </w:t>
      </w:r>
      <w:r w:rsidRPr="00452E2E">
        <w:rPr>
          <w:i/>
          <w:iCs/>
          <w:noProof/>
          <w:szCs w:val="24"/>
        </w:rPr>
        <w:t>Healthcare Management Science</w:t>
      </w:r>
      <w:r w:rsidRPr="00452E2E">
        <w:rPr>
          <w:noProof/>
          <w:szCs w:val="24"/>
        </w:rPr>
        <w:t>, 11(3), pp.215–227.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Amuedo-Dorantes, C. &amp; Mach, T. (2003). Performance pay and fringe benefits: Work incentives or compensating wage differentials? </w:t>
      </w:r>
      <w:r w:rsidRPr="00452E2E">
        <w:rPr>
          <w:i/>
          <w:iCs/>
          <w:noProof/>
          <w:szCs w:val="24"/>
        </w:rPr>
        <w:t>International Journal of Manpower</w:t>
      </w:r>
      <w:r w:rsidRPr="00452E2E">
        <w:rPr>
          <w:noProof/>
          <w:szCs w:val="24"/>
        </w:rPr>
        <w:t>, 24(6), pp.673–698.</w:t>
      </w:r>
    </w:p>
    <w:p w:rsidR="002B68E7" w:rsidRPr="00452E2E" w:rsidRDefault="002B68E7" w:rsidP="002B68E7">
      <w:pPr>
        <w:jc w:val="both"/>
        <w:rPr>
          <w:rFonts w:cs="Times New Roman"/>
          <w:noProof/>
          <w:szCs w:val="24"/>
        </w:rPr>
      </w:pPr>
      <w:r w:rsidRPr="00452E2E">
        <w:rPr>
          <w:rFonts w:cs="Times New Roman"/>
          <w:noProof/>
          <w:szCs w:val="24"/>
        </w:rPr>
        <w:t xml:space="preserve">Amuwo, A. (2009). The political economy of Nigeria’s post-military elections, 1999–2007. </w:t>
      </w:r>
      <w:r w:rsidRPr="00452E2E">
        <w:rPr>
          <w:rFonts w:cs="Times New Roman"/>
          <w:i/>
          <w:iCs/>
          <w:noProof/>
          <w:szCs w:val="24"/>
        </w:rPr>
        <w:t>Review of African Political Economy</w:t>
      </w:r>
      <w:r w:rsidRPr="00452E2E">
        <w:rPr>
          <w:rFonts w:cs="Times New Roman"/>
          <w:noProof/>
          <w:szCs w:val="24"/>
        </w:rPr>
        <w:t>, 36(119), pp.37–61.</w:t>
      </w:r>
    </w:p>
    <w:p w:rsidR="004653A5" w:rsidRPr="00452E2E" w:rsidRDefault="004653A5" w:rsidP="00501BA6">
      <w:pPr>
        <w:widowControl w:val="0"/>
        <w:autoSpaceDE w:val="0"/>
        <w:autoSpaceDN w:val="0"/>
        <w:adjustRightInd w:val="0"/>
        <w:spacing w:line="240" w:lineRule="auto"/>
        <w:jc w:val="both"/>
        <w:rPr>
          <w:noProof/>
          <w:szCs w:val="24"/>
        </w:rPr>
      </w:pPr>
      <w:r w:rsidRPr="00452E2E">
        <w:rPr>
          <w:noProof/>
          <w:szCs w:val="24"/>
        </w:rPr>
        <w:t xml:space="preserve">Anaeto, E. (2015). Nigeria, Paris Club deal in significant reversal, as debt grows 200%. </w:t>
      </w:r>
      <w:r w:rsidR="00C036B7" w:rsidRPr="00452E2E">
        <w:rPr>
          <w:i/>
          <w:noProof/>
          <w:szCs w:val="24"/>
        </w:rPr>
        <w:t>Vanguard</w:t>
      </w:r>
      <w:r w:rsidR="00C036B7" w:rsidRPr="00452E2E">
        <w:rPr>
          <w:noProof/>
          <w:szCs w:val="24"/>
        </w:rPr>
        <w:t xml:space="preserve"> November 2. Available at http://www.vanguardngr.com/2015/11/nigeria-paris-club-deal-in-significant-reversal-as-debt-grows-200/ [Accessed on November 23, 2016].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Anakwe, U.P. (2002). Human resource management practices in Nigeria: Challenges and insights. </w:t>
      </w:r>
      <w:r w:rsidRPr="00452E2E">
        <w:rPr>
          <w:i/>
          <w:iCs/>
          <w:noProof/>
          <w:szCs w:val="24"/>
        </w:rPr>
        <w:t>The International Journal of Human Resource Management</w:t>
      </w:r>
      <w:r w:rsidRPr="00452E2E">
        <w:rPr>
          <w:noProof/>
          <w:szCs w:val="24"/>
        </w:rPr>
        <w:t>, 13(7), pp.1042–1059.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Andreassi, J.K., Lawter, L., Brockerhoff, M. &amp; Rutigliano, P.J. (2014). Cultural impact of human resource practices on job satisfaction: A global study across 48 countries. </w:t>
      </w:r>
      <w:r w:rsidRPr="00452E2E">
        <w:rPr>
          <w:i/>
          <w:iCs/>
          <w:noProof/>
          <w:szCs w:val="24"/>
        </w:rPr>
        <w:lastRenderedPageBreak/>
        <w:t>Cross Cultural Management: An International Journal</w:t>
      </w:r>
      <w:r w:rsidRPr="00452E2E">
        <w:rPr>
          <w:noProof/>
          <w:szCs w:val="24"/>
        </w:rPr>
        <w:t>, 21(1), pp.55–77.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Ang, S.H., Bartram, T., Mcneil, N., Leggat, S.G. &amp; Stanton, P. (2013). The effects of high-performance work systems on hospital employees’ work attitudes and intention to leave: A multi-level and occupational group analysis. </w:t>
      </w:r>
      <w:r w:rsidRPr="00452E2E">
        <w:rPr>
          <w:i/>
          <w:iCs/>
          <w:noProof/>
          <w:szCs w:val="24"/>
        </w:rPr>
        <w:t>The International Journal of Human Resource Management</w:t>
      </w:r>
      <w:r w:rsidRPr="00452E2E">
        <w:rPr>
          <w:noProof/>
          <w:szCs w:val="24"/>
        </w:rPr>
        <w:t>, 24(16), pp.3086–3114.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Appelbaum, E., Bailey, T., Berg, P. &amp; Kalleberg, A.L. (2000). </w:t>
      </w:r>
      <w:r w:rsidRPr="00452E2E">
        <w:rPr>
          <w:i/>
          <w:iCs/>
          <w:noProof/>
          <w:szCs w:val="24"/>
        </w:rPr>
        <w:t>Manufacturing advantage: Why high-performance work systems pay off</w:t>
      </w:r>
      <w:r w:rsidRPr="00452E2E">
        <w:rPr>
          <w:noProof/>
          <w:szCs w:val="24"/>
        </w:rPr>
        <w:t>, Ithaca, NY: ILR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Armstrong, M. (2011). </w:t>
      </w:r>
      <w:r w:rsidRPr="00452E2E">
        <w:rPr>
          <w:i/>
          <w:iCs/>
          <w:noProof/>
          <w:szCs w:val="24"/>
        </w:rPr>
        <w:t>Armstrong’s handbook of strategic human resource management</w:t>
      </w:r>
      <w:r w:rsidRPr="00452E2E">
        <w:rPr>
          <w:noProof/>
          <w:szCs w:val="24"/>
        </w:rPr>
        <w:t>, London: Kogan Page.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Arthur, J.B. (1994). Effects of human reource systems on manufacturing performance and turnover. </w:t>
      </w:r>
      <w:r w:rsidRPr="00452E2E">
        <w:rPr>
          <w:i/>
          <w:iCs/>
          <w:noProof/>
          <w:szCs w:val="24"/>
        </w:rPr>
        <w:t>The Academy of Management Journal</w:t>
      </w:r>
      <w:r w:rsidRPr="00452E2E">
        <w:rPr>
          <w:noProof/>
          <w:szCs w:val="24"/>
        </w:rPr>
        <w:t>, 37(3), pp.670–687.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Arthur, W., Bennett, W., Edens, P.S. &amp; Bell, S.T. (2003). Effectiveness of training in organizations: A meta-analysis of design and evaluation features. </w:t>
      </w:r>
      <w:r w:rsidRPr="00452E2E">
        <w:rPr>
          <w:i/>
          <w:iCs/>
          <w:noProof/>
          <w:szCs w:val="24"/>
        </w:rPr>
        <w:t>Journal of Applied Psychology</w:t>
      </w:r>
      <w:r w:rsidRPr="00452E2E">
        <w:rPr>
          <w:noProof/>
          <w:szCs w:val="24"/>
        </w:rPr>
        <w:t>, 88(2), pp.234–245.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Arthur, W., Woehr, D.J., Akande, A. &amp; Strong, M.H. (1995). Human resource managment in West Africa: Practices and perceptions. </w:t>
      </w:r>
      <w:r w:rsidRPr="00452E2E">
        <w:rPr>
          <w:i/>
          <w:iCs/>
          <w:noProof/>
          <w:szCs w:val="24"/>
        </w:rPr>
        <w:t>The International Journal of Human Resource Management</w:t>
      </w:r>
      <w:r w:rsidRPr="00452E2E">
        <w:rPr>
          <w:noProof/>
          <w:szCs w:val="24"/>
        </w:rPr>
        <w:t>, 6(2), pp.347–367.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Artz, B. (2010). Fringe benefits and job satisfaction. </w:t>
      </w:r>
      <w:r w:rsidRPr="00452E2E">
        <w:rPr>
          <w:i/>
          <w:iCs/>
          <w:noProof/>
          <w:szCs w:val="24"/>
        </w:rPr>
        <w:t>International Journal of Manpower</w:t>
      </w:r>
      <w:r w:rsidRPr="00452E2E">
        <w:rPr>
          <w:noProof/>
          <w:szCs w:val="24"/>
        </w:rPr>
        <w:t>, 31(6), pp.626–644.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Aryee, S. (2004). HRM in Ghana. In K. Kamoche, Y.A. Debrah, Horwitz, F. &amp; Muuka, G.N. eds. </w:t>
      </w:r>
      <w:r w:rsidRPr="00452E2E">
        <w:rPr>
          <w:i/>
          <w:iCs/>
          <w:noProof/>
          <w:szCs w:val="24"/>
        </w:rPr>
        <w:t>Managing human resources in Africa</w:t>
      </w:r>
      <w:r w:rsidRPr="00452E2E">
        <w:rPr>
          <w:noProof/>
          <w:szCs w:val="24"/>
        </w:rPr>
        <w:t>. London: Routledge, pp. 121–134.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Aryee, S. (1992). Public and private sector professionals: A comparative study of their perceived work experience. </w:t>
      </w:r>
      <w:r w:rsidRPr="00452E2E">
        <w:rPr>
          <w:i/>
          <w:iCs/>
          <w:noProof/>
          <w:szCs w:val="24"/>
        </w:rPr>
        <w:t>Group &amp; Organization Management</w:t>
      </w:r>
      <w:r w:rsidRPr="00452E2E">
        <w:rPr>
          <w:noProof/>
          <w:szCs w:val="24"/>
        </w:rPr>
        <w:t>, 17(1), pp.72–85.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Aryee, S., Chen, Z.X. &amp; Budhwar, P.S. (2004). Exchange fairness and employee performance: An examination of the relationship between organizational politics and procedural justice. </w:t>
      </w:r>
      <w:r w:rsidRPr="00452E2E">
        <w:rPr>
          <w:i/>
          <w:iCs/>
          <w:noProof/>
          <w:szCs w:val="24"/>
        </w:rPr>
        <w:t>Organizational Behavior and Human Decision Processes</w:t>
      </w:r>
      <w:r w:rsidRPr="00452E2E">
        <w:rPr>
          <w:noProof/>
          <w:szCs w:val="24"/>
        </w:rPr>
        <w:t>, 94(1), pp.1–14.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Asuzu, M. (2004). The necessity of healthcare systems reform in Nigeria. </w:t>
      </w:r>
      <w:r w:rsidRPr="00452E2E">
        <w:rPr>
          <w:i/>
          <w:iCs/>
          <w:noProof/>
          <w:szCs w:val="24"/>
        </w:rPr>
        <w:t>Journal of Community Medicine and Primary Healthcare</w:t>
      </w:r>
      <w:r w:rsidRPr="00452E2E">
        <w:rPr>
          <w:noProof/>
          <w:szCs w:val="24"/>
        </w:rPr>
        <w:t>, 16(1), pp.1–3.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Azolukwam, V.A. &amp; Perkins, S.J. (2009). Managerial perspectives on HRM in Nigeria: Evolving hybridization? </w:t>
      </w:r>
      <w:r w:rsidRPr="00452E2E">
        <w:rPr>
          <w:i/>
          <w:iCs/>
          <w:noProof/>
          <w:szCs w:val="24"/>
        </w:rPr>
        <w:t>Cross Cultural Management: An International Journal</w:t>
      </w:r>
      <w:r w:rsidRPr="00452E2E">
        <w:rPr>
          <w:noProof/>
          <w:szCs w:val="24"/>
        </w:rPr>
        <w:t>, 16(1), pp.62–82.</w:t>
      </w:r>
    </w:p>
    <w:p w:rsidR="001737CA" w:rsidRPr="00452E2E" w:rsidRDefault="001737CA" w:rsidP="00501BA6">
      <w:pPr>
        <w:widowControl w:val="0"/>
        <w:autoSpaceDE w:val="0"/>
        <w:autoSpaceDN w:val="0"/>
        <w:adjustRightInd w:val="0"/>
        <w:spacing w:line="240" w:lineRule="auto"/>
        <w:jc w:val="both"/>
        <w:rPr>
          <w:noProof/>
          <w:szCs w:val="24"/>
        </w:rPr>
      </w:pPr>
      <w:r w:rsidRPr="00452E2E">
        <w:rPr>
          <w:noProof/>
          <w:szCs w:val="24"/>
        </w:rPr>
        <w:t xml:space="preserve">Bal, P.M. Kooij, D. &amp; De Jong, S.B. (2013). How </w:t>
      </w:r>
      <w:r w:rsidR="00907CB0" w:rsidRPr="00452E2E">
        <w:rPr>
          <w:noProof/>
          <w:szCs w:val="24"/>
        </w:rPr>
        <w:t xml:space="preserve">do developmental and accomodative HRM enhance employee engagement and commitment? The role of psychological contract and SOC strategies. </w:t>
      </w:r>
      <w:r w:rsidR="00907CB0" w:rsidRPr="00452E2E">
        <w:rPr>
          <w:i/>
          <w:noProof/>
          <w:szCs w:val="24"/>
        </w:rPr>
        <w:t xml:space="preserve">Journal of Management Studies, </w:t>
      </w:r>
      <w:r w:rsidR="00907CB0" w:rsidRPr="00452E2E">
        <w:rPr>
          <w:noProof/>
          <w:szCs w:val="24"/>
        </w:rPr>
        <w:t>50(4), pp.545-572.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Baarspul, H.C. &amp; Wilderom, C. (2011). Do employees behave differently in public-vs-private organizations? A state of the art review. </w:t>
      </w:r>
      <w:r w:rsidRPr="00452E2E">
        <w:rPr>
          <w:i/>
          <w:iCs/>
          <w:noProof/>
          <w:szCs w:val="24"/>
        </w:rPr>
        <w:t>Public Management Review</w:t>
      </w:r>
      <w:r w:rsidRPr="00452E2E">
        <w:rPr>
          <w:noProof/>
          <w:szCs w:val="24"/>
        </w:rPr>
        <w:t>, 13(7), pp.967–1002.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Bae, J. &amp; Lawler, J.J. (2000). Organizational and HRM strategies in Korea : Impact </w:t>
      </w:r>
      <w:r w:rsidRPr="00452E2E">
        <w:rPr>
          <w:noProof/>
          <w:szCs w:val="24"/>
        </w:rPr>
        <w:lastRenderedPageBreak/>
        <w:t xml:space="preserve">on firm performance in an emerging economy. </w:t>
      </w:r>
      <w:r w:rsidRPr="00452E2E">
        <w:rPr>
          <w:i/>
          <w:iCs/>
          <w:noProof/>
          <w:szCs w:val="24"/>
        </w:rPr>
        <w:t>The Academy of Management Journal</w:t>
      </w:r>
      <w:r w:rsidRPr="00452E2E">
        <w:rPr>
          <w:noProof/>
          <w:szCs w:val="24"/>
        </w:rPr>
        <w:t>, 43(3), pp.502–517.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Barney, J. (1991). Firm resources and sustained competitive advantage. </w:t>
      </w:r>
      <w:r w:rsidRPr="00452E2E">
        <w:rPr>
          <w:i/>
          <w:iCs/>
          <w:noProof/>
          <w:szCs w:val="24"/>
        </w:rPr>
        <w:t>Journal of Management</w:t>
      </w:r>
      <w:r w:rsidRPr="00452E2E">
        <w:rPr>
          <w:noProof/>
          <w:szCs w:val="24"/>
        </w:rPr>
        <w:t>, 17(1), pp.99–120.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Baron, R.M. &amp; Kenny, D. A. (1986). The moderator-mediator variable distinction in social psychological research: Conceptual, strategic, and statistical considerations. </w:t>
      </w:r>
      <w:r w:rsidRPr="00452E2E">
        <w:rPr>
          <w:i/>
          <w:iCs/>
          <w:noProof/>
          <w:szCs w:val="24"/>
        </w:rPr>
        <w:t>Journal of Personality and Social Psychology</w:t>
      </w:r>
      <w:r w:rsidRPr="00452E2E">
        <w:rPr>
          <w:noProof/>
          <w:szCs w:val="24"/>
        </w:rPr>
        <w:t>, 51(6), pp.1173–1182.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Bartlett, K.R. (2001). The relationship between training and organizational commitment: A study in the health care field. </w:t>
      </w:r>
      <w:r w:rsidRPr="00452E2E">
        <w:rPr>
          <w:i/>
          <w:iCs/>
          <w:noProof/>
          <w:szCs w:val="24"/>
        </w:rPr>
        <w:t>Human Resource Development Quarterly</w:t>
      </w:r>
      <w:r w:rsidRPr="00452E2E">
        <w:rPr>
          <w:noProof/>
          <w:szCs w:val="24"/>
        </w:rPr>
        <w:t>, 12(4), pp.335–352.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Bartlett, K.R. &amp; Kang, D. (2004). Training and organizational commitment among nurses following industry and organizational change in New Zealand and the United States. </w:t>
      </w:r>
      <w:r w:rsidRPr="00452E2E">
        <w:rPr>
          <w:i/>
          <w:iCs/>
          <w:noProof/>
          <w:szCs w:val="24"/>
        </w:rPr>
        <w:t>Human Resource Development International</w:t>
      </w:r>
      <w:r w:rsidRPr="00452E2E">
        <w:rPr>
          <w:noProof/>
          <w:szCs w:val="24"/>
        </w:rPr>
        <w:t>, 7(4), pp.423–440.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Bashir, N. &amp; Long, S. (2015). The relationship between training and organizational commitment among academicians. </w:t>
      </w:r>
      <w:r w:rsidRPr="00452E2E">
        <w:rPr>
          <w:i/>
          <w:iCs/>
          <w:noProof/>
          <w:szCs w:val="24"/>
        </w:rPr>
        <w:t>Journal of Management Development</w:t>
      </w:r>
      <w:r w:rsidRPr="00452E2E">
        <w:rPr>
          <w:noProof/>
          <w:szCs w:val="24"/>
        </w:rPr>
        <w:t>, 34(10), pp.1227–1245.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Baughman, R., DiNardi, D. &amp; Holtz-Eakin, D. (2003). Productivity and wage effects of “family-friendly” fringe benefits. </w:t>
      </w:r>
      <w:r w:rsidRPr="00452E2E">
        <w:rPr>
          <w:i/>
          <w:iCs/>
          <w:noProof/>
          <w:szCs w:val="24"/>
        </w:rPr>
        <w:t>International Journal of Manpower</w:t>
      </w:r>
      <w:r w:rsidRPr="00452E2E">
        <w:rPr>
          <w:noProof/>
          <w:szCs w:val="24"/>
        </w:rPr>
        <w:t>, 24(3), pp.247–259.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Beardwell, J. &amp; Clark, I. (2007). An introduction to human resource management. In J. Beardwell &amp; T. Claydon, eds. </w:t>
      </w:r>
      <w:r w:rsidRPr="00452E2E">
        <w:rPr>
          <w:i/>
          <w:iCs/>
          <w:noProof/>
          <w:szCs w:val="24"/>
        </w:rPr>
        <w:t>Human resource management: A contemporary approach</w:t>
      </w:r>
      <w:r w:rsidRPr="00452E2E">
        <w:rPr>
          <w:noProof/>
          <w:szCs w:val="24"/>
        </w:rPr>
        <w:t>. Harlow: FT/Prentice Hall, pp. 4–33.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Becker, B.E. &amp; Huselid, M.A. (1998). High performance work systems and firm performance: A synthesis of research and managerial implications. In G. Ferris, ed. </w:t>
      </w:r>
      <w:r w:rsidRPr="00452E2E">
        <w:rPr>
          <w:i/>
          <w:iCs/>
          <w:noProof/>
          <w:szCs w:val="24"/>
        </w:rPr>
        <w:t>Research in personnel and human resources management</w:t>
      </w:r>
      <w:r w:rsidRPr="00452E2E">
        <w:rPr>
          <w:noProof/>
          <w:szCs w:val="24"/>
        </w:rPr>
        <w:t>. Greenwich, CT: JAI Press, pp. 53–101.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Beer, M., Boselie, P. &amp; Brewster, C. (2015). Back to the future: Implications for the field of HRM of the multistakeholder perspective proposed 30 years ago. </w:t>
      </w:r>
      <w:r w:rsidRPr="00452E2E">
        <w:rPr>
          <w:i/>
          <w:iCs/>
          <w:noProof/>
          <w:szCs w:val="24"/>
        </w:rPr>
        <w:t>Human Resource Management</w:t>
      </w:r>
      <w:r w:rsidRPr="00452E2E">
        <w:rPr>
          <w:noProof/>
          <w:szCs w:val="24"/>
        </w:rPr>
        <w:t>, 54(3), pp.427–438.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Benson, G.S. (2006). Employee development, commitment and intention to turnover: A test of “employability” policies in action. </w:t>
      </w:r>
      <w:r w:rsidRPr="00452E2E">
        <w:rPr>
          <w:i/>
          <w:iCs/>
          <w:noProof/>
          <w:szCs w:val="24"/>
        </w:rPr>
        <w:t>Human Resource Management Journal</w:t>
      </w:r>
      <w:r w:rsidRPr="00452E2E">
        <w:rPr>
          <w:noProof/>
          <w:szCs w:val="24"/>
        </w:rPr>
        <w:t>, 16(2), pp.173–192.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Billsberry, J. (2007). </w:t>
      </w:r>
      <w:r w:rsidRPr="00452E2E">
        <w:rPr>
          <w:i/>
          <w:iCs/>
          <w:noProof/>
          <w:szCs w:val="24"/>
        </w:rPr>
        <w:t>Experiencing recruitment and selection</w:t>
      </w:r>
      <w:r w:rsidRPr="00452E2E">
        <w:rPr>
          <w:noProof/>
          <w:szCs w:val="24"/>
        </w:rPr>
        <w:t>, Chichester: John Wiley and Sons.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Birdi, K., Clegg, C., Patterson, M., Robinson, A., Stride, C., Wall, T.D. &amp; Wood, S.J. (2008). The impact of human resource and operational management practices on company productivity: A longitudinal study. </w:t>
      </w:r>
      <w:r w:rsidRPr="00452E2E">
        <w:rPr>
          <w:i/>
          <w:iCs/>
          <w:noProof/>
          <w:szCs w:val="24"/>
        </w:rPr>
        <w:t>Personnel Psychology</w:t>
      </w:r>
      <w:r w:rsidRPr="00452E2E">
        <w:rPr>
          <w:noProof/>
          <w:szCs w:val="24"/>
        </w:rPr>
        <w:t>, 61, pp.467–501.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Bischoff, C. &amp; Wood, G. (2012). The practice of HRM in Africa in comparative perspective. In C. Brewster &amp; W. Mayrhofer, eds. </w:t>
      </w:r>
      <w:r w:rsidRPr="00452E2E">
        <w:rPr>
          <w:i/>
          <w:iCs/>
          <w:noProof/>
          <w:szCs w:val="24"/>
        </w:rPr>
        <w:t>Handbook of research on comparative human resource management</w:t>
      </w:r>
      <w:r w:rsidRPr="00452E2E">
        <w:rPr>
          <w:noProof/>
          <w:szCs w:val="24"/>
        </w:rPr>
        <w:t>. Cheltenham, UK: Edward Elgar, pp. 495–511.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Björkman, I., Fey, C.F. &amp; Park, H.J. (2007). Institutional theory and MNC subsidiary HRM practices : Evidence from a three-country study. </w:t>
      </w:r>
      <w:r w:rsidRPr="00452E2E">
        <w:rPr>
          <w:i/>
          <w:iCs/>
          <w:noProof/>
          <w:szCs w:val="24"/>
        </w:rPr>
        <w:t>Journal of International Business Studies</w:t>
      </w:r>
      <w:r w:rsidRPr="00452E2E">
        <w:rPr>
          <w:noProof/>
          <w:szCs w:val="24"/>
        </w:rPr>
        <w:t>, 38(3), pp.430–446.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Blau, P. (1964). </w:t>
      </w:r>
      <w:r w:rsidRPr="00452E2E">
        <w:rPr>
          <w:i/>
          <w:iCs/>
          <w:noProof/>
          <w:szCs w:val="24"/>
        </w:rPr>
        <w:t>Exchange and power in social life</w:t>
      </w:r>
      <w:r w:rsidRPr="00452E2E">
        <w:rPr>
          <w:noProof/>
          <w:szCs w:val="24"/>
        </w:rPr>
        <w:t>, New York: John Wiley.</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Blumen, O. (2015). Employee benefits and hi-tech fatherhood. </w:t>
      </w:r>
      <w:r w:rsidRPr="00452E2E">
        <w:rPr>
          <w:i/>
          <w:iCs/>
          <w:noProof/>
          <w:szCs w:val="24"/>
        </w:rPr>
        <w:t>Journal of Managerial Psychology</w:t>
      </w:r>
      <w:r w:rsidRPr="00452E2E">
        <w:rPr>
          <w:noProof/>
          <w:szCs w:val="24"/>
        </w:rPr>
        <w:t>, 30(5), pp.535–549.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sv-SE"/>
        </w:rPr>
        <w:t xml:space="preserve">Blunt, B.. &amp; Spring, K.A. (1991). </w:t>
      </w:r>
      <w:r w:rsidRPr="00452E2E">
        <w:rPr>
          <w:noProof/>
          <w:szCs w:val="24"/>
        </w:rPr>
        <w:t xml:space="preserve">MPA graduates and the dilemma of job satisfaction: Does crossing the sector line make a difference? </w:t>
      </w:r>
      <w:r w:rsidRPr="00452E2E">
        <w:rPr>
          <w:i/>
          <w:iCs/>
          <w:noProof/>
          <w:szCs w:val="24"/>
        </w:rPr>
        <w:t>Public Personnel Management</w:t>
      </w:r>
      <w:r w:rsidRPr="00452E2E">
        <w:rPr>
          <w:noProof/>
          <w:szCs w:val="24"/>
        </w:rPr>
        <w:t>, 20(4), pp.449–455.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Bogaards, M. (2008). Dominant party systems and electoral volatility in Africa: A comment on Mozaffar and Scarritt. </w:t>
      </w:r>
      <w:r w:rsidRPr="00452E2E">
        <w:rPr>
          <w:i/>
          <w:iCs/>
          <w:noProof/>
          <w:szCs w:val="24"/>
        </w:rPr>
        <w:t>Party Politics</w:t>
      </w:r>
      <w:r w:rsidRPr="00452E2E">
        <w:rPr>
          <w:noProof/>
          <w:szCs w:val="24"/>
        </w:rPr>
        <w:t>, 14(1), pp.113–130.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Boon, C., Paauwe, J., Boselie, P. &amp; Den Hartog, D. (2009). Institutional pressures and HRM: Developing institutional fit. </w:t>
      </w:r>
      <w:r w:rsidRPr="00452E2E">
        <w:rPr>
          <w:i/>
          <w:iCs/>
          <w:noProof/>
          <w:szCs w:val="24"/>
        </w:rPr>
        <w:t>Personnel Review</w:t>
      </w:r>
      <w:r w:rsidRPr="00452E2E">
        <w:rPr>
          <w:noProof/>
          <w:szCs w:val="24"/>
        </w:rPr>
        <w:t>, 38(5), pp.492–508.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Boon, C., Den Hartog, D., Boselie, P. &amp; Pauwe, J. (2011). The relationship between perceptions of HR practices and employee outcomes: Examining the role of person–organisation and person–job fit. </w:t>
      </w:r>
      <w:r w:rsidRPr="00452E2E">
        <w:rPr>
          <w:i/>
          <w:iCs/>
          <w:noProof/>
          <w:szCs w:val="24"/>
        </w:rPr>
        <w:t>The International Journal of Human Resource Management</w:t>
      </w:r>
      <w:r w:rsidRPr="00452E2E">
        <w:rPr>
          <w:noProof/>
          <w:szCs w:val="24"/>
        </w:rPr>
        <w:t>, 22(1), pp.138–162.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Boon, C. &amp; Kalshoven, K. (2014). How high-commitment HRM relates to engagement and commitment: The moderating role of task proficiency. </w:t>
      </w:r>
      <w:r w:rsidRPr="00452E2E">
        <w:rPr>
          <w:i/>
          <w:iCs/>
          <w:noProof/>
          <w:szCs w:val="24"/>
        </w:rPr>
        <w:t>Human Resource Management</w:t>
      </w:r>
      <w:r w:rsidRPr="00452E2E">
        <w:rPr>
          <w:noProof/>
          <w:szCs w:val="24"/>
        </w:rPr>
        <w:t>, 53(3), pp.403–420.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Boselie, P. (2010). High performance work practices in the health care sector: A Dutch case study. </w:t>
      </w:r>
      <w:r w:rsidRPr="00452E2E">
        <w:rPr>
          <w:i/>
          <w:iCs/>
          <w:noProof/>
          <w:szCs w:val="24"/>
        </w:rPr>
        <w:t>International Journal of Manpower</w:t>
      </w:r>
      <w:r w:rsidRPr="00452E2E">
        <w:rPr>
          <w:noProof/>
          <w:szCs w:val="24"/>
        </w:rPr>
        <w:t>, 31(1), pp.42–58.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Boselie, P., Dietz, G. &amp; Boon, C. (2005). Commonalities and contradictions in research on human resource management and performance. </w:t>
      </w:r>
      <w:r w:rsidRPr="00452E2E">
        <w:rPr>
          <w:i/>
          <w:iCs/>
          <w:noProof/>
          <w:szCs w:val="24"/>
        </w:rPr>
        <w:t>Human Resource Management Journal</w:t>
      </w:r>
      <w:r w:rsidRPr="00452E2E">
        <w:rPr>
          <w:noProof/>
          <w:szCs w:val="24"/>
        </w:rPr>
        <w:t>, 15(3), pp.67–94.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Boselie, P., Paauwe, J. &amp; Richardson, R. (2003). Human resource management, institutionalization and organizational performance: A comparison of hospitals, hotels and local government. </w:t>
      </w:r>
      <w:r w:rsidRPr="00452E2E">
        <w:rPr>
          <w:i/>
          <w:iCs/>
          <w:noProof/>
          <w:szCs w:val="24"/>
        </w:rPr>
        <w:t>The International Journal of Human Resource Management</w:t>
      </w:r>
      <w:r w:rsidRPr="00452E2E">
        <w:rPr>
          <w:noProof/>
          <w:szCs w:val="24"/>
        </w:rPr>
        <w:t>, 14(8), pp.1407–1429.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Boselie, P. &amp; van de Wiele, T. (2002). Employee perceptions of HRM and TQM, and the effects on satisfaction and intention to leave. </w:t>
      </w:r>
      <w:r w:rsidRPr="00452E2E">
        <w:rPr>
          <w:i/>
          <w:iCs/>
          <w:noProof/>
          <w:szCs w:val="24"/>
        </w:rPr>
        <w:t>Managing Service Quality: An International Journal</w:t>
      </w:r>
      <w:r w:rsidRPr="00452E2E">
        <w:rPr>
          <w:noProof/>
          <w:szCs w:val="24"/>
        </w:rPr>
        <w:t>, 12(3), pp.165–172.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Botero, J., Djankov, R., La Porta, R. &amp; </w:t>
      </w:r>
      <w:r w:rsidRPr="00452E2E">
        <w:t>Lopez-de-Silanes, F.</w:t>
      </w:r>
      <w:r w:rsidRPr="00452E2E">
        <w:rPr>
          <w:noProof/>
          <w:szCs w:val="24"/>
        </w:rPr>
        <w:t xml:space="preserve"> (2004). The regulation of labor. </w:t>
      </w:r>
      <w:r w:rsidRPr="00452E2E">
        <w:rPr>
          <w:i/>
          <w:iCs/>
          <w:noProof/>
          <w:szCs w:val="24"/>
        </w:rPr>
        <w:t>The Quarterly Journal of Economics</w:t>
      </w:r>
      <w:r w:rsidRPr="00452E2E">
        <w:rPr>
          <w:noProof/>
          <w:szCs w:val="24"/>
        </w:rPr>
        <w:t>, 119(4), pp.1339–1382.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Bowen, D.E. &amp; Ostroff, C. (2004). Understanding HRM-firm performance linkages: The role of the “strength” of the HRM system. </w:t>
      </w:r>
      <w:r w:rsidRPr="00452E2E">
        <w:rPr>
          <w:i/>
          <w:iCs/>
          <w:noProof/>
          <w:szCs w:val="24"/>
        </w:rPr>
        <w:t>The Academy of Management Review</w:t>
      </w:r>
      <w:r w:rsidRPr="00452E2E">
        <w:rPr>
          <w:noProof/>
          <w:szCs w:val="24"/>
        </w:rPr>
        <w:t>, 29(2), pp.203–221.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Boxall, P. &amp; Macky, K. (2014). High-involvement work process, work intensification and employee well-being. </w:t>
      </w:r>
      <w:r w:rsidRPr="00452E2E">
        <w:rPr>
          <w:i/>
          <w:iCs/>
          <w:noProof/>
          <w:szCs w:val="24"/>
        </w:rPr>
        <w:t>Work, Employment &amp; Society</w:t>
      </w:r>
      <w:r w:rsidRPr="00452E2E">
        <w:rPr>
          <w:noProof/>
          <w:szCs w:val="24"/>
        </w:rPr>
        <w:t>, 28(6), pp.963–984.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Boxall, P. &amp; Purcell, J. (2010). An HRM perspective on employee participation. In P. </w:t>
      </w:r>
      <w:r w:rsidRPr="00452E2E">
        <w:rPr>
          <w:noProof/>
          <w:szCs w:val="24"/>
        </w:rPr>
        <w:lastRenderedPageBreak/>
        <w:t xml:space="preserve">J. Gollan, D. Lewin, M. Marchington &amp; A. Wilkinson, eds. </w:t>
      </w:r>
      <w:r w:rsidRPr="00452E2E">
        <w:rPr>
          <w:i/>
          <w:iCs/>
          <w:noProof/>
          <w:szCs w:val="24"/>
        </w:rPr>
        <w:t>The Oxford handbook of participation in organizations</w:t>
      </w:r>
      <w:r w:rsidRPr="00452E2E">
        <w:rPr>
          <w:noProof/>
          <w:szCs w:val="24"/>
        </w:rPr>
        <w:t>. Oxford: Oxford University Press, pp. 29–51.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Boxall, P. &amp; Purcell, J. (2003). </w:t>
      </w:r>
      <w:r w:rsidRPr="00452E2E">
        <w:rPr>
          <w:i/>
          <w:iCs/>
          <w:noProof/>
          <w:szCs w:val="24"/>
        </w:rPr>
        <w:t>Strategy and human resource management</w:t>
      </w:r>
      <w:r w:rsidRPr="00452E2E">
        <w:rPr>
          <w:noProof/>
          <w:szCs w:val="24"/>
        </w:rPr>
        <w:t>, Houndsmill: Palgrave Macmillan.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Boxall, P., Purcell, J. &amp; Wright, P.M. (2007). Human resource management: Scope, analysis, and significance. In P. Boxall, J. Purcell, &amp; P. M. Wright, eds. </w:t>
      </w:r>
      <w:r w:rsidRPr="00452E2E">
        <w:rPr>
          <w:i/>
          <w:iCs/>
          <w:noProof/>
          <w:szCs w:val="24"/>
        </w:rPr>
        <w:t>The Oxford handbook of human resource management</w:t>
      </w:r>
      <w:r w:rsidRPr="00452E2E">
        <w:rPr>
          <w:noProof/>
          <w:szCs w:val="24"/>
        </w:rPr>
        <w:t>. Oxford: Oxford University Press, pp. 1–16.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Boyer, R. (2005). How and why capitalisms differ. </w:t>
      </w:r>
      <w:r w:rsidRPr="00452E2E">
        <w:rPr>
          <w:i/>
          <w:iCs/>
          <w:noProof/>
          <w:szCs w:val="24"/>
        </w:rPr>
        <w:t>Economy and Society</w:t>
      </w:r>
      <w:r w:rsidRPr="00452E2E">
        <w:rPr>
          <w:noProof/>
          <w:szCs w:val="24"/>
        </w:rPr>
        <w:t>, 34(4), pp.509–557.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Boyne, G. (2002). Public and private management: What’s the difference? </w:t>
      </w:r>
      <w:r w:rsidRPr="00452E2E">
        <w:rPr>
          <w:i/>
          <w:iCs/>
          <w:noProof/>
          <w:szCs w:val="24"/>
        </w:rPr>
        <w:t>Journal of Management Studies</w:t>
      </w:r>
      <w:r w:rsidRPr="00452E2E">
        <w:rPr>
          <w:noProof/>
          <w:szCs w:val="24"/>
        </w:rPr>
        <w:t>, 39(1), pp.97–122.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Boyne, G. &amp; Walker, R.M. (2010). Strategic management and public service performance: The way ahead. </w:t>
      </w:r>
      <w:r w:rsidRPr="00452E2E">
        <w:rPr>
          <w:i/>
          <w:iCs/>
          <w:noProof/>
          <w:szCs w:val="24"/>
        </w:rPr>
        <w:t>Public Administration Review</w:t>
      </w:r>
      <w:r w:rsidRPr="00452E2E">
        <w:rPr>
          <w:noProof/>
          <w:szCs w:val="24"/>
        </w:rPr>
        <w:t>, 70, pp.185–192.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Bozeman, B. (1987). </w:t>
      </w:r>
      <w:r w:rsidRPr="00452E2E">
        <w:rPr>
          <w:i/>
          <w:iCs/>
          <w:noProof/>
          <w:szCs w:val="24"/>
        </w:rPr>
        <w:t>All organizations are public: Bridging public and private organizational theories</w:t>
      </w:r>
      <w:r w:rsidRPr="00452E2E">
        <w:rPr>
          <w:noProof/>
          <w:szCs w:val="24"/>
        </w:rPr>
        <w:t>, San Francisco CA: Jossey-Bass.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Bozeman, B. &amp; Bretschneider, S. (1994). The “publicness puzzle” in organization theory: A test of alternative explanations of differences between public and private organizations. </w:t>
      </w:r>
      <w:r w:rsidRPr="00452E2E">
        <w:rPr>
          <w:i/>
          <w:iCs/>
          <w:noProof/>
          <w:szCs w:val="24"/>
        </w:rPr>
        <w:t>Journal of Public Administration Research and Theory</w:t>
      </w:r>
      <w:r w:rsidRPr="00452E2E">
        <w:rPr>
          <w:noProof/>
          <w:szCs w:val="24"/>
        </w:rPr>
        <w:t>, 4(2), pp.197–223.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Braun, V. &amp; Clarke, V. (2006). Using thematic analysis in psychology. </w:t>
      </w:r>
      <w:r w:rsidRPr="00452E2E">
        <w:rPr>
          <w:i/>
          <w:iCs/>
          <w:noProof/>
          <w:szCs w:val="24"/>
        </w:rPr>
        <w:t>Qualitative Research in Psychology</w:t>
      </w:r>
      <w:r w:rsidRPr="00452E2E">
        <w:rPr>
          <w:noProof/>
          <w:szCs w:val="24"/>
        </w:rPr>
        <w:t>, 3(2), pp.77–101.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Brayfield, A.H. &amp; Rothe, H.F. (1951). An index of job satisfaction. </w:t>
      </w:r>
      <w:r w:rsidRPr="00452E2E">
        <w:rPr>
          <w:i/>
          <w:iCs/>
          <w:noProof/>
          <w:szCs w:val="24"/>
        </w:rPr>
        <w:t>Journal of Applied Psychology</w:t>
      </w:r>
      <w:r w:rsidRPr="00452E2E">
        <w:rPr>
          <w:noProof/>
          <w:szCs w:val="24"/>
        </w:rPr>
        <w:t>, 35(5), pp.307–311.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Breaugh, J.A. (2008). Employee recruitment: Current knowledge and important areas for future research. </w:t>
      </w:r>
      <w:r w:rsidRPr="00452E2E">
        <w:rPr>
          <w:i/>
          <w:iCs/>
          <w:noProof/>
          <w:szCs w:val="24"/>
        </w:rPr>
        <w:t>Human Resource Management Review</w:t>
      </w:r>
      <w:r w:rsidRPr="00452E2E">
        <w:rPr>
          <w:noProof/>
          <w:szCs w:val="24"/>
        </w:rPr>
        <w:t>, 18(3), pp.103–118.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Breaugh, J.A. (2009). The use of biodata for employee selection: Past research and future directions. </w:t>
      </w:r>
      <w:r w:rsidRPr="00452E2E">
        <w:rPr>
          <w:i/>
          <w:iCs/>
          <w:noProof/>
          <w:szCs w:val="24"/>
        </w:rPr>
        <w:t>Human Resource Management Review</w:t>
      </w:r>
      <w:r w:rsidRPr="00452E2E">
        <w:rPr>
          <w:noProof/>
          <w:szCs w:val="24"/>
        </w:rPr>
        <w:t>, 19(3), pp.219–231.</w:t>
      </w:r>
    </w:p>
    <w:p w:rsidR="00D03A8E" w:rsidRPr="00452E2E" w:rsidRDefault="00D03A8E" w:rsidP="00501BA6">
      <w:pPr>
        <w:pStyle w:val="NormalWeb"/>
        <w:spacing w:before="0" w:beforeAutospacing="0" w:after="0" w:afterAutospacing="0"/>
        <w:jc w:val="both"/>
        <w:rPr>
          <w:rFonts w:ascii="Cambria" w:hAnsi="Cambria"/>
          <w:noProof/>
        </w:rPr>
      </w:pPr>
      <w:r w:rsidRPr="00452E2E">
        <w:rPr>
          <w:rFonts w:ascii="Cambria" w:hAnsi="Cambria"/>
          <w:noProof/>
        </w:rPr>
        <w:t xml:space="preserve">Brewster, C., </w:t>
      </w:r>
      <w:r w:rsidRPr="00452E2E">
        <w:rPr>
          <w:rFonts w:ascii="Cambria" w:hAnsi="Cambria"/>
        </w:rPr>
        <w:t>Croucher, R., Wood, G. &amp; Brookes, M.</w:t>
      </w:r>
      <w:r w:rsidRPr="00452E2E">
        <w:rPr>
          <w:rFonts w:ascii="Cambria" w:hAnsi="Cambria"/>
          <w:noProof/>
        </w:rPr>
        <w:t xml:space="preserve"> (2007). Collective and individual voice: Convergence in Europe? </w:t>
      </w:r>
      <w:r w:rsidRPr="00452E2E">
        <w:rPr>
          <w:rFonts w:ascii="Cambria" w:hAnsi="Cambria"/>
          <w:i/>
          <w:iCs/>
          <w:noProof/>
        </w:rPr>
        <w:t>The International Journal of Human Resource Management</w:t>
      </w:r>
      <w:r w:rsidRPr="00452E2E">
        <w:rPr>
          <w:rFonts w:ascii="Cambria" w:hAnsi="Cambria"/>
          <w:noProof/>
        </w:rPr>
        <w:t>, 18(7), pp.1246–1262.</w:t>
      </w:r>
    </w:p>
    <w:p w:rsidR="00D03A8E" w:rsidRPr="00452E2E" w:rsidRDefault="00D03A8E" w:rsidP="00501BA6">
      <w:pPr>
        <w:pStyle w:val="NormalWeb"/>
        <w:spacing w:before="0" w:beforeAutospacing="0" w:after="0" w:afterAutospacing="0"/>
        <w:jc w:val="both"/>
        <w:rPr>
          <w:rFonts w:ascii="Cambria" w:hAnsi="Cambria"/>
        </w:rPr>
      </w:pP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Brewster, C. (2007). Comparative HRM: European views and perspectives. </w:t>
      </w:r>
      <w:r w:rsidRPr="00452E2E">
        <w:rPr>
          <w:i/>
          <w:iCs/>
          <w:noProof/>
          <w:szCs w:val="24"/>
        </w:rPr>
        <w:t>The International Journal of Human Resource Management</w:t>
      </w:r>
      <w:r w:rsidRPr="00452E2E">
        <w:rPr>
          <w:noProof/>
          <w:szCs w:val="24"/>
        </w:rPr>
        <w:t>, 18(5), pp.769–787.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Brewster, C., Brookes, M., Johnson, P. &amp; Wood, G. (2014). Direct involvement, partnership and setting: A study in bounded diversity. </w:t>
      </w:r>
      <w:r w:rsidRPr="00452E2E">
        <w:rPr>
          <w:i/>
          <w:iCs/>
          <w:noProof/>
          <w:szCs w:val="24"/>
        </w:rPr>
        <w:t>The International Journal of Human Resource Management</w:t>
      </w:r>
      <w:r w:rsidRPr="00452E2E">
        <w:rPr>
          <w:noProof/>
          <w:szCs w:val="24"/>
        </w:rPr>
        <w:t>, 25(6), pp.795–809.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Brewster, C. &amp; Mayrhofer, W. (2012). Comparative human resource management: An introduction. In C. Brewster &amp; W. Mayrhofer, eds. </w:t>
      </w:r>
      <w:r w:rsidRPr="00452E2E">
        <w:rPr>
          <w:i/>
          <w:iCs/>
          <w:noProof/>
          <w:szCs w:val="24"/>
        </w:rPr>
        <w:t>Handbook of research on comparative human resource management</w:t>
      </w:r>
      <w:r w:rsidRPr="00452E2E">
        <w:rPr>
          <w:noProof/>
          <w:szCs w:val="24"/>
        </w:rPr>
        <w:t>. Cheltenham, UK: Edward Elgar, pp. 1–</w:t>
      </w:r>
      <w:r w:rsidRPr="00452E2E">
        <w:rPr>
          <w:noProof/>
          <w:szCs w:val="24"/>
        </w:rPr>
        <w:lastRenderedPageBreak/>
        <w:t>23.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Brewster, C., Wood, G. &amp; Brookes, M. (2008). Similarity, isomorphism or duality? Recent survey evidence on the human resource management policies of multinational corporations. </w:t>
      </w:r>
      <w:r w:rsidRPr="00452E2E">
        <w:rPr>
          <w:i/>
          <w:iCs/>
          <w:noProof/>
          <w:szCs w:val="24"/>
        </w:rPr>
        <w:t>British Journal of Management</w:t>
      </w:r>
      <w:r w:rsidRPr="00452E2E">
        <w:rPr>
          <w:noProof/>
          <w:szCs w:val="24"/>
        </w:rPr>
        <w:t>, 19(4), pp.320–342.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Brewster, C., Wood, G. &amp; Goergen, M. (2015). Institutions, unionization and voice: The relative impact of context and actors on firm level practice. </w:t>
      </w:r>
      <w:r w:rsidRPr="00452E2E">
        <w:rPr>
          <w:i/>
          <w:iCs/>
          <w:noProof/>
          <w:szCs w:val="24"/>
        </w:rPr>
        <w:t>Economic and Industrial Democracy</w:t>
      </w:r>
      <w:r w:rsidRPr="00452E2E">
        <w:rPr>
          <w:noProof/>
          <w:szCs w:val="24"/>
        </w:rPr>
        <w:t>, 36(2), pp.195–214.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Brief, A.. (1998). </w:t>
      </w:r>
      <w:r w:rsidRPr="00452E2E">
        <w:rPr>
          <w:i/>
          <w:iCs/>
          <w:noProof/>
          <w:szCs w:val="24"/>
        </w:rPr>
        <w:t>Attitudes in and around organizations</w:t>
      </w:r>
      <w:r w:rsidRPr="00452E2E">
        <w:rPr>
          <w:noProof/>
          <w:szCs w:val="24"/>
        </w:rPr>
        <w:t>, Thousand Oaks, CA: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Brookes, M., Croucher, R., Fenton-O'Creevy, M. &amp; Gooderham, P. (2011). Measuring competing explanations of human resource management practices through the Cranet survey: Cultural versus institutional explanations. </w:t>
      </w:r>
      <w:r w:rsidRPr="00452E2E">
        <w:rPr>
          <w:i/>
          <w:iCs/>
          <w:noProof/>
          <w:szCs w:val="24"/>
        </w:rPr>
        <w:t>Human Resource Management Review</w:t>
      </w:r>
      <w:r w:rsidRPr="00452E2E">
        <w:rPr>
          <w:noProof/>
          <w:szCs w:val="24"/>
        </w:rPr>
        <w:t>, 21, pp.68–79.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Bryman, A. &amp; Bell, E. (2011). </w:t>
      </w:r>
      <w:r w:rsidRPr="00452E2E">
        <w:rPr>
          <w:i/>
          <w:iCs/>
          <w:noProof/>
          <w:szCs w:val="24"/>
        </w:rPr>
        <w:t>Business research methods</w:t>
      </w:r>
      <w:r w:rsidRPr="00452E2E">
        <w:rPr>
          <w:noProof/>
          <w:szCs w:val="24"/>
        </w:rPr>
        <w:t xml:space="preserve"> 3rd edition., Oxford: Oxford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Buchanan, B. (1974). Government managers, business executives, and organizational commitment. </w:t>
      </w:r>
      <w:r w:rsidRPr="00452E2E">
        <w:rPr>
          <w:i/>
          <w:iCs/>
          <w:noProof/>
          <w:szCs w:val="24"/>
        </w:rPr>
        <w:t>Public Administration Review</w:t>
      </w:r>
      <w:r w:rsidRPr="00452E2E">
        <w:rPr>
          <w:noProof/>
          <w:szCs w:val="24"/>
        </w:rPr>
        <w:t>, 35(4), pp.339–347.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Budd, J.W. (2004a). </w:t>
      </w:r>
      <w:r w:rsidRPr="00452E2E">
        <w:rPr>
          <w:i/>
          <w:iCs/>
          <w:noProof/>
          <w:szCs w:val="24"/>
        </w:rPr>
        <w:t>Employment with a human face: Balancing efficiency, equity, and voice</w:t>
      </w:r>
      <w:r w:rsidRPr="00452E2E">
        <w:rPr>
          <w:noProof/>
          <w:szCs w:val="24"/>
        </w:rPr>
        <w:t>, Ithaca, NY: Cornell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Budd, J.W. (2004b). Non-wage forms of compensation. </w:t>
      </w:r>
      <w:r w:rsidRPr="00452E2E">
        <w:rPr>
          <w:i/>
          <w:iCs/>
          <w:noProof/>
          <w:szCs w:val="24"/>
        </w:rPr>
        <w:t>Journal of Labor Research</w:t>
      </w:r>
      <w:r w:rsidRPr="00452E2E">
        <w:rPr>
          <w:noProof/>
          <w:szCs w:val="24"/>
        </w:rPr>
        <w:t>, 25(4), pp.597–622.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Budd, J.W., Gollan, P.J. &amp; Wilkinson, A. (2010). New approaches to employee voice and participation in organisations. </w:t>
      </w:r>
      <w:r w:rsidRPr="00452E2E">
        <w:rPr>
          <w:i/>
          <w:iCs/>
          <w:noProof/>
          <w:szCs w:val="24"/>
        </w:rPr>
        <w:t>Human Relations</w:t>
      </w:r>
      <w:r w:rsidRPr="00452E2E">
        <w:rPr>
          <w:noProof/>
          <w:szCs w:val="24"/>
        </w:rPr>
        <w:t>, 63(3), pp.303–310.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Budhwar, P. (2001). Human resource management in India. </w:t>
      </w:r>
      <w:r w:rsidRPr="00452E2E">
        <w:rPr>
          <w:noProof/>
          <w:szCs w:val="24"/>
          <w:lang w:val="de-DE"/>
        </w:rPr>
        <w:t xml:space="preserve">In P. Budhwar &amp; Y. A. Debrah, eds. </w:t>
      </w:r>
      <w:r w:rsidRPr="00452E2E">
        <w:rPr>
          <w:i/>
          <w:iCs/>
          <w:noProof/>
          <w:szCs w:val="24"/>
        </w:rPr>
        <w:t>Human resource management in developing countries</w:t>
      </w:r>
      <w:r w:rsidRPr="00452E2E">
        <w:rPr>
          <w:noProof/>
          <w:szCs w:val="24"/>
        </w:rPr>
        <w:t>. London: Routledge, pp. 75–90.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Bullock, J.B., Stritch, J.M. &amp; Rainey, H.G. (2013). Do sector differences hold across countries? An international comprison of public and private sector employees’ work orientation. </w:t>
      </w:r>
      <w:r w:rsidRPr="00452E2E">
        <w:rPr>
          <w:i/>
          <w:noProof/>
          <w:szCs w:val="24"/>
        </w:rPr>
        <w:t>Paper presented at 11</w:t>
      </w:r>
      <w:r w:rsidRPr="00452E2E">
        <w:rPr>
          <w:i/>
          <w:noProof/>
          <w:szCs w:val="24"/>
          <w:vertAlign w:val="superscript"/>
        </w:rPr>
        <w:t>th</w:t>
      </w:r>
      <w:r w:rsidRPr="00452E2E">
        <w:rPr>
          <w:i/>
          <w:noProof/>
          <w:szCs w:val="24"/>
        </w:rPr>
        <w:t xml:space="preserve"> </w:t>
      </w:r>
      <w:r w:rsidRPr="00452E2E">
        <w:rPr>
          <w:i/>
          <w:iCs/>
          <w:noProof/>
          <w:szCs w:val="24"/>
        </w:rPr>
        <w:t>PMRC Conference,</w:t>
      </w:r>
      <w:r w:rsidRPr="00452E2E">
        <w:rPr>
          <w:noProof/>
          <w:szCs w:val="24"/>
        </w:rPr>
        <w:t xml:space="preserve"> Madison, Wisconsin, June 20-22.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Bulut, C. &amp; Culha, O. (2010). The effects of organizational training on organizational commitment. </w:t>
      </w:r>
      <w:r w:rsidRPr="00452E2E">
        <w:rPr>
          <w:i/>
          <w:iCs/>
          <w:noProof/>
          <w:szCs w:val="24"/>
        </w:rPr>
        <w:t>International Journal of Training and Development</w:t>
      </w:r>
      <w:r w:rsidRPr="00452E2E">
        <w:rPr>
          <w:noProof/>
          <w:szCs w:val="24"/>
        </w:rPr>
        <w:t>, 14(4), pp.309–322.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Burbach, R. &amp; Royle, T. (2014). Institutional determinants of e-HRM diffusion success. </w:t>
      </w:r>
      <w:r w:rsidRPr="00452E2E">
        <w:rPr>
          <w:i/>
          <w:iCs/>
          <w:noProof/>
          <w:szCs w:val="24"/>
        </w:rPr>
        <w:t>Employee Relations</w:t>
      </w:r>
      <w:r w:rsidRPr="00452E2E">
        <w:rPr>
          <w:noProof/>
          <w:szCs w:val="24"/>
        </w:rPr>
        <w:t>, 36(4), pp.354 – 375.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Burke, R.J., Allisey, A.. &amp; Noblet, A.. (2013). The importance of human resource management in the public sector, future challenges and the relevance of the current collection. In R. . Burke, A. . Noblet, &amp; C. L. Cooper, eds. </w:t>
      </w:r>
      <w:r w:rsidRPr="00452E2E">
        <w:rPr>
          <w:i/>
          <w:iCs/>
          <w:noProof/>
          <w:szCs w:val="24"/>
        </w:rPr>
        <w:t>Human resource management in the public sector</w:t>
      </w:r>
      <w:r w:rsidRPr="00452E2E">
        <w:rPr>
          <w:noProof/>
          <w:szCs w:val="24"/>
        </w:rPr>
        <w:t>. Cheltenham, UK: Edward Elgar, pp. 1–13.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Cadman, C. (2013). Employee training: Ticking the box or building business competence? </w:t>
      </w:r>
      <w:r w:rsidRPr="00452E2E">
        <w:rPr>
          <w:i/>
          <w:iCs/>
          <w:noProof/>
          <w:szCs w:val="24"/>
        </w:rPr>
        <w:t>Industrial and Commercial Training</w:t>
      </w:r>
      <w:r w:rsidRPr="00452E2E">
        <w:rPr>
          <w:noProof/>
          <w:szCs w:val="24"/>
        </w:rPr>
        <w:t>, 45(1), pp.32–35.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Caldwell, K. (2014). How to invest in the “Mint” emerging markets. </w:t>
      </w:r>
      <w:r w:rsidRPr="00452E2E">
        <w:rPr>
          <w:i/>
          <w:iCs/>
          <w:noProof/>
          <w:szCs w:val="24"/>
        </w:rPr>
        <w:t>Telegraph</w:t>
      </w:r>
      <w:r w:rsidRPr="00452E2E">
        <w:rPr>
          <w:noProof/>
          <w:szCs w:val="24"/>
        </w:rPr>
        <w:t>. Available at: http://www.telegraph.co.uk/finance/personalfinance/investing/10580108/How-to-invest-in-the-Mint-emerging-markets.html [Accessed August 4, 2014].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pt-PT"/>
        </w:rPr>
        <w:t xml:space="preserve">Carvalho, A., Melo, S. &amp; Ferreira, A.P. (2016). </w:t>
      </w:r>
      <w:r w:rsidRPr="00452E2E">
        <w:rPr>
          <w:noProof/>
          <w:szCs w:val="24"/>
        </w:rPr>
        <w:t xml:space="preserve">Training in Portuguese non-profit organizations: The quest towards professionalization. </w:t>
      </w:r>
      <w:r w:rsidRPr="00452E2E">
        <w:rPr>
          <w:i/>
          <w:iCs/>
          <w:noProof/>
          <w:szCs w:val="24"/>
        </w:rPr>
        <w:t>International Journal of Training and Development</w:t>
      </w:r>
      <w:r w:rsidRPr="00452E2E">
        <w:rPr>
          <w:noProof/>
          <w:szCs w:val="24"/>
        </w:rPr>
        <w:t>, 20(1), pp.78–91.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Cassell, C. &amp; Symon, G. (2012). Introduction: The context of qualitative organizational research. In G. Symon &amp; C. Cassell, eds. </w:t>
      </w:r>
      <w:r w:rsidRPr="00452E2E">
        <w:rPr>
          <w:i/>
          <w:iCs/>
          <w:noProof/>
          <w:szCs w:val="24"/>
        </w:rPr>
        <w:t>Qualitative organizational research: Core methods and current challenges</w:t>
      </w:r>
      <w:r w:rsidRPr="00452E2E">
        <w:rPr>
          <w:noProof/>
          <w:szCs w:val="24"/>
        </w:rPr>
        <w:t>. London: SAGE, pp. 1–11.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Chambel, M.J. &amp; Castanheira, F. (2012). Training of temporary workers and the social exchange process. </w:t>
      </w:r>
      <w:r w:rsidRPr="00452E2E">
        <w:rPr>
          <w:i/>
          <w:iCs/>
          <w:noProof/>
          <w:szCs w:val="24"/>
        </w:rPr>
        <w:t>Journal of Managerial Psychology</w:t>
      </w:r>
      <w:r w:rsidRPr="00452E2E">
        <w:rPr>
          <w:noProof/>
          <w:szCs w:val="24"/>
        </w:rPr>
        <w:t>, 27(2), pp.191–209.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Chand, M. (2010). The impact of HRM practices on service quality, customer satisfaction and performance in the Indian hotel industry. </w:t>
      </w:r>
      <w:r w:rsidRPr="00452E2E">
        <w:rPr>
          <w:i/>
          <w:iCs/>
          <w:noProof/>
          <w:szCs w:val="24"/>
        </w:rPr>
        <w:t>The International Journal of Human Resource Management</w:t>
      </w:r>
      <w:r w:rsidRPr="00452E2E">
        <w:rPr>
          <w:noProof/>
          <w:szCs w:val="24"/>
        </w:rPr>
        <w:t>, 21(4), pp.551–566.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Chen, G. &amp; Klimoski, R.J. (2007). Training and development of human resources at work: Is the state of our science strong? </w:t>
      </w:r>
      <w:r w:rsidRPr="00452E2E">
        <w:rPr>
          <w:i/>
          <w:iCs/>
          <w:noProof/>
          <w:szCs w:val="24"/>
        </w:rPr>
        <w:t>Human Resource Management Review</w:t>
      </w:r>
      <w:r w:rsidRPr="00452E2E">
        <w:rPr>
          <w:noProof/>
          <w:szCs w:val="24"/>
        </w:rPr>
        <w:t>, 17(2), pp.180–190.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Chew, J. &amp; Chan, C.C.A. (2008). Human resource practices, organizational commitment and intention to stay. </w:t>
      </w:r>
      <w:r w:rsidRPr="00452E2E">
        <w:rPr>
          <w:i/>
          <w:iCs/>
          <w:noProof/>
          <w:szCs w:val="24"/>
        </w:rPr>
        <w:t>International Journal of Manpower</w:t>
      </w:r>
      <w:r w:rsidRPr="00452E2E">
        <w:rPr>
          <w:noProof/>
          <w:szCs w:val="24"/>
        </w:rPr>
        <w:t>, 29(6), pp.503–522.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Chiaburu, D.S., Dam, K. Van &amp; Hutchins, H.M. (2010). Social support in the workplace and training transfer: A longitudinal analysis. </w:t>
      </w:r>
      <w:r w:rsidRPr="00452E2E">
        <w:rPr>
          <w:i/>
          <w:iCs/>
          <w:noProof/>
          <w:szCs w:val="24"/>
        </w:rPr>
        <w:t>International Journal of Selection and Assessment</w:t>
      </w:r>
      <w:r w:rsidRPr="00452E2E">
        <w:rPr>
          <w:noProof/>
          <w:szCs w:val="24"/>
        </w:rPr>
        <w:t>, 18(2), pp.187–200.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Chiang, C.-F., Back, K.-J. &amp; Canter, D.. (2005). The impact of employee training on job satisfaction and intention to stay in the hotel industry. </w:t>
      </w:r>
      <w:r w:rsidRPr="00452E2E">
        <w:rPr>
          <w:i/>
          <w:iCs/>
          <w:noProof/>
          <w:szCs w:val="24"/>
        </w:rPr>
        <w:t>Journal of Human Resources in Hospitality &amp; Tourism</w:t>
      </w:r>
      <w:r w:rsidRPr="00452E2E">
        <w:rPr>
          <w:noProof/>
          <w:szCs w:val="24"/>
        </w:rPr>
        <w:t>, 4(2), pp.99–118.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Cho, K.-H. &amp; Lee, S.-H. (2001). Another look at public-private distinction and organizational commitment: A cultural explanation. </w:t>
      </w:r>
      <w:r w:rsidRPr="00452E2E">
        <w:rPr>
          <w:i/>
          <w:iCs/>
          <w:noProof/>
          <w:szCs w:val="24"/>
        </w:rPr>
        <w:t>International Journal of Organizational Analysis</w:t>
      </w:r>
      <w:r w:rsidRPr="00452E2E">
        <w:rPr>
          <w:noProof/>
          <w:szCs w:val="24"/>
        </w:rPr>
        <w:t>, 9(1), pp.84–102.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Choi, J.-H. &amp; Lee, K.-P. (2013). Effects of employees’ perceptions on the relationship between HR practices and firm performance for Korean firms. </w:t>
      </w:r>
      <w:r w:rsidRPr="00452E2E">
        <w:rPr>
          <w:i/>
          <w:iCs/>
          <w:noProof/>
          <w:szCs w:val="24"/>
        </w:rPr>
        <w:t>Personnel Review</w:t>
      </w:r>
      <w:r w:rsidRPr="00452E2E">
        <w:rPr>
          <w:noProof/>
          <w:szCs w:val="24"/>
        </w:rPr>
        <w:t>, 42(5), pp.573–594.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Choi, M. &amp; Yoon, H.J. (2015). Training investment and organizational outcomes: A moderated mediation model of employee outcomes and strategic orientation of the HR function. </w:t>
      </w:r>
      <w:r w:rsidRPr="00452E2E">
        <w:rPr>
          <w:i/>
          <w:iCs/>
          <w:noProof/>
          <w:szCs w:val="24"/>
        </w:rPr>
        <w:t>The International Journal of Human Resource Management</w:t>
      </w:r>
      <w:r w:rsidRPr="00452E2E">
        <w:rPr>
          <w:noProof/>
          <w:szCs w:val="24"/>
        </w:rPr>
        <w:t>, 26(20), pp.2632–2651.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Chovwen, C. &amp; Ivensor, E. (2009). Job insecurity and motivation among women in Nigerian consolidated banks. </w:t>
      </w:r>
      <w:r w:rsidRPr="00452E2E">
        <w:rPr>
          <w:i/>
          <w:iCs/>
          <w:noProof/>
          <w:szCs w:val="24"/>
        </w:rPr>
        <w:t>Gender in Management: An International Journal</w:t>
      </w:r>
      <w:r w:rsidRPr="00452E2E">
        <w:rPr>
          <w:noProof/>
          <w:szCs w:val="24"/>
        </w:rPr>
        <w:t>, 24(5), pp.316–326.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Cohen, A. (2007). Commitment before and after: An evaluation and reconceptualization of organizational commitment. </w:t>
      </w:r>
      <w:r w:rsidRPr="00452E2E">
        <w:rPr>
          <w:i/>
          <w:iCs/>
          <w:noProof/>
          <w:szCs w:val="24"/>
        </w:rPr>
        <w:t xml:space="preserve">Human Resource Management </w:t>
      </w:r>
      <w:r w:rsidRPr="00452E2E">
        <w:rPr>
          <w:i/>
          <w:iCs/>
          <w:noProof/>
          <w:szCs w:val="24"/>
        </w:rPr>
        <w:lastRenderedPageBreak/>
        <w:t>Review</w:t>
      </w:r>
      <w:r w:rsidRPr="00452E2E">
        <w:rPr>
          <w:noProof/>
          <w:szCs w:val="24"/>
        </w:rPr>
        <w:t>, 17(3), pp.336–354.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Cohen-Charash, Y. &amp; Spector, P.E. (2001). The role of justice in organizations: A meta-analysis. </w:t>
      </w:r>
      <w:r w:rsidRPr="00452E2E">
        <w:rPr>
          <w:i/>
          <w:iCs/>
          <w:noProof/>
          <w:szCs w:val="24"/>
        </w:rPr>
        <w:t>Organizational Behavior and Human Decision Processes</w:t>
      </w:r>
      <w:r w:rsidRPr="00452E2E">
        <w:rPr>
          <w:noProof/>
          <w:szCs w:val="24"/>
        </w:rPr>
        <w:t>, 86(2), pp.278–321.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Collis, J. &amp; Hussey, R. (2003). </w:t>
      </w:r>
      <w:r w:rsidRPr="00452E2E">
        <w:rPr>
          <w:i/>
          <w:iCs/>
          <w:noProof/>
          <w:szCs w:val="24"/>
        </w:rPr>
        <w:t>Business research: A practical guide for undergraduate and postgraduate students</w:t>
      </w:r>
      <w:r w:rsidRPr="00452E2E">
        <w:rPr>
          <w:noProof/>
          <w:szCs w:val="24"/>
        </w:rPr>
        <w:t xml:space="preserve"> 2nd edition, Basingstoke: Palgrave Macmillan.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Colquitt, J.A., Conlon, D.E., Wesson, M.J., Porter, C.O. &amp; Ng, K.Y. (2001). Justice at the millenium: A meta-analytic review of 25 years of organizational justice research. </w:t>
      </w:r>
      <w:r w:rsidRPr="00452E2E">
        <w:rPr>
          <w:i/>
          <w:iCs/>
          <w:noProof/>
          <w:szCs w:val="24"/>
        </w:rPr>
        <w:t>Journal of Applied Psychology</w:t>
      </w:r>
      <w:r w:rsidRPr="00452E2E">
        <w:rPr>
          <w:noProof/>
          <w:szCs w:val="24"/>
        </w:rPr>
        <w:t>, 86(3), pp.425–445.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Combs, J., Liu, Y., Hall, A. &amp; Ketchen, D. (2006). How much do high-performance work practices matter? A meta-analysis of their effects on organizational performance. </w:t>
      </w:r>
      <w:r w:rsidRPr="00452E2E">
        <w:rPr>
          <w:i/>
          <w:iCs/>
          <w:noProof/>
          <w:szCs w:val="24"/>
        </w:rPr>
        <w:t>Personnel Psychology</w:t>
      </w:r>
      <w:r w:rsidRPr="00452E2E">
        <w:rPr>
          <w:noProof/>
          <w:szCs w:val="24"/>
        </w:rPr>
        <w:t>, 59, pp.501–528.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Conway, E. &amp; Monks, K. (2009). Unravelling the complexities of high commitment: An employee-level analysis. </w:t>
      </w:r>
      <w:r w:rsidRPr="00452E2E">
        <w:rPr>
          <w:i/>
          <w:iCs/>
          <w:noProof/>
          <w:szCs w:val="24"/>
        </w:rPr>
        <w:t>Human resource management Journal</w:t>
      </w:r>
      <w:r w:rsidRPr="00452E2E">
        <w:rPr>
          <w:noProof/>
          <w:szCs w:val="24"/>
        </w:rPr>
        <w:t>, 19(2), pp.140–158.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Cooke, F.L., Wood, G. &amp; Horwitz, F. (2015). Multinational firms from emerging economies in Africa: Implications for research and practice in human resource management. </w:t>
      </w:r>
      <w:r w:rsidRPr="00452E2E">
        <w:rPr>
          <w:i/>
          <w:iCs/>
          <w:noProof/>
          <w:szCs w:val="24"/>
        </w:rPr>
        <w:t>The International Journal of Human Resource Management</w:t>
      </w:r>
      <w:r w:rsidRPr="00452E2E">
        <w:rPr>
          <w:noProof/>
          <w:szCs w:val="24"/>
        </w:rPr>
        <w:t>, 26(21), pp.2653–2675.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Corbin, J. &amp; Strauss, A. (2006). </w:t>
      </w:r>
      <w:r w:rsidRPr="00452E2E">
        <w:rPr>
          <w:i/>
          <w:iCs/>
          <w:noProof/>
          <w:szCs w:val="24"/>
        </w:rPr>
        <w:t>Basics of qualitative: Techniques and procedures for developing grounded theory</w:t>
      </w:r>
      <w:r w:rsidRPr="00452E2E">
        <w:rPr>
          <w:noProof/>
          <w:szCs w:val="24"/>
        </w:rPr>
        <w:t>, Thousand Oaks, CA: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es-ES_tradnl"/>
        </w:rPr>
        <w:t xml:space="preserve">Costen, W.M. &amp; Salazar, J. (2011). </w:t>
      </w:r>
      <w:r w:rsidRPr="00452E2E">
        <w:rPr>
          <w:noProof/>
          <w:szCs w:val="24"/>
        </w:rPr>
        <w:t xml:space="preserve">The impact of training and development on employee job satisfaction, loyalty, and intent to stay in the lodging industry. </w:t>
      </w:r>
      <w:r w:rsidRPr="00452E2E">
        <w:rPr>
          <w:i/>
          <w:iCs/>
          <w:noProof/>
          <w:szCs w:val="24"/>
        </w:rPr>
        <w:t>Journal of Human Resources in Hospitality &amp; Tourism</w:t>
      </w:r>
      <w:r w:rsidRPr="00452E2E">
        <w:rPr>
          <w:noProof/>
          <w:szCs w:val="24"/>
        </w:rPr>
        <w:t>, 10(3), pp.273–284.</w:t>
      </w:r>
    </w:p>
    <w:p w:rsidR="002B68E7" w:rsidRPr="00452E2E" w:rsidRDefault="002B68E7" w:rsidP="002B68E7">
      <w:pPr>
        <w:jc w:val="both"/>
        <w:rPr>
          <w:rFonts w:cs="Times New Roman"/>
          <w:noProof/>
          <w:szCs w:val="24"/>
        </w:rPr>
      </w:pPr>
      <w:r w:rsidRPr="00452E2E">
        <w:rPr>
          <w:rFonts w:cs="Times New Roman"/>
          <w:noProof/>
          <w:szCs w:val="24"/>
        </w:rPr>
        <w:t xml:space="preserve">Courtney, R. (2013). </w:t>
      </w:r>
      <w:r w:rsidRPr="00452E2E">
        <w:rPr>
          <w:rFonts w:cs="Times New Roman"/>
          <w:i/>
          <w:iCs/>
          <w:noProof/>
          <w:szCs w:val="24"/>
        </w:rPr>
        <w:t>Strategic management in the third sector</w:t>
      </w:r>
      <w:r w:rsidRPr="00452E2E">
        <w:rPr>
          <w:rFonts w:cs="Times New Roman"/>
          <w:noProof/>
          <w:szCs w:val="24"/>
        </w:rPr>
        <w:t>, Basingstoke: Palgrave Macmillan.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Crawshaw, J.R. &amp; Hatch, A. (2014). Introduction: Context and challenges for HRM. In J. R. Crawshaw, P. Budhwar, &amp; A. Davis, eds. </w:t>
      </w:r>
      <w:r w:rsidRPr="00452E2E">
        <w:rPr>
          <w:i/>
          <w:iCs/>
          <w:noProof/>
          <w:szCs w:val="24"/>
        </w:rPr>
        <w:t>Human resource management: Strategic &amp; international perspectives</w:t>
      </w:r>
      <w:r w:rsidRPr="00452E2E">
        <w:rPr>
          <w:noProof/>
          <w:szCs w:val="24"/>
        </w:rPr>
        <w:t>. London: SAGE, pp. 2–25.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Creswell, J.. (2014). </w:t>
      </w:r>
      <w:r w:rsidRPr="00452E2E">
        <w:rPr>
          <w:i/>
          <w:iCs/>
          <w:noProof/>
          <w:szCs w:val="24"/>
        </w:rPr>
        <w:t>Research design: Qualitative, quantitative &amp; mixed methods approaches</w:t>
      </w:r>
      <w:r w:rsidRPr="00452E2E">
        <w:rPr>
          <w:noProof/>
          <w:szCs w:val="24"/>
        </w:rPr>
        <w:t xml:space="preserve"> 4th edition, Thousand Oaks, CA: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it-IT"/>
        </w:rPr>
        <w:t xml:space="preserve">Cristiani, A. &amp; Peiró, J.M. (2014). </w:t>
      </w:r>
      <w:r w:rsidRPr="00452E2E">
        <w:rPr>
          <w:noProof/>
          <w:szCs w:val="24"/>
        </w:rPr>
        <w:t xml:space="preserve">Human resource function strategic role and trade unions: Exploring their impact on human resource management practices in Uruguayan firms. </w:t>
      </w:r>
      <w:r w:rsidRPr="00452E2E">
        <w:rPr>
          <w:i/>
          <w:iCs/>
          <w:noProof/>
          <w:szCs w:val="24"/>
        </w:rPr>
        <w:t>The International Journal of Human Resource Management</w:t>
      </w:r>
      <w:r w:rsidRPr="00452E2E">
        <w:rPr>
          <w:noProof/>
          <w:szCs w:val="24"/>
        </w:rPr>
        <w:t>, 26(3), pp.381–400.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Crouch, C. (2005). Three meanings of complementarity. </w:t>
      </w:r>
      <w:r w:rsidRPr="00452E2E">
        <w:rPr>
          <w:i/>
          <w:iCs/>
          <w:noProof/>
          <w:szCs w:val="24"/>
        </w:rPr>
        <w:t>Socio-Economic Review</w:t>
      </w:r>
      <w:r w:rsidRPr="00452E2E">
        <w:rPr>
          <w:noProof/>
          <w:szCs w:val="24"/>
        </w:rPr>
        <w:t>, 3(2), pp.359–363.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de-DE"/>
        </w:rPr>
        <w:t xml:space="preserve">Crouch, C., Schröder, M. &amp; Voelzkow, H. (2009). </w:t>
      </w:r>
      <w:r w:rsidRPr="00452E2E">
        <w:rPr>
          <w:noProof/>
          <w:szCs w:val="24"/>
        </w:rPr>
        <w:t xml:space="preserve">Regional and sectoral varieties of capitalism. </w:t>
      </w:r>
      <w:r w:rsidRPr="00452E2E">
        <w:rPr>
          <w:i/>
          <w:iCs/>
          <w:noProof/>
          <w:szCs w:val="24"/>
        </w:rPr>
        <w:t>Economy and Society</w:t>
      </w:r>
      <w:r w:rsidRPr="00452E2E">
        <w:rPr>
          <w:noProof/>
          <w:szCs w:val="24"/>
        </w:rPr>
        <w:t>, 38(4), pp.654–678.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Croucher, R., Brookes, M., Wood, G. &amp; Brewster, C. (2010). Context, strategy and </w:t>
      </w:r>
      <w:r w:rsidRPr="00452E2E">
        <w:rPr>
          <w:noProof/>
          <w:szCs w:val="24"/>
        </w:rPr>
        <w:lastRenderedPageBreak/>
        <w:t xml:space="preserve">financial participation: A comparative analysis. </w:t>
      </w:r>
      <w:r w:rsidRPr="00452E2E">
        <w:rPr>
          <w:i/>
          <w:iCs/>
          <w:noProof/>
          <w:szCs w:val="24"/>
        </w:rPr>
        <w:t>Human Relations</w:t>
      </w:r>
      <w:r w:rsidRPr="00452E2E">
        <w:rPr>
          <w:noProof/>
          <w:szCs w:val="24"/>
        </w:rPr>
        <w:t>, 63(6), pp.835–855.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Croucher, R., Wood, G., Brewster, C. &amp; Brookes, M. (2011). Employee turnover, HRM and institutional contexts. </w:t>
      </w:r>
      <w:r w:rsidRPr="00452E2E">
        <w:rPr>
          <w:i/>
          <w:iCs/>
          <w:noProof/>
          <w:szCs w:val="24"/>
        </w:rPr>
        <w:t>Economic and Industrial Democracy</w:t>
      </w:r>
      <w:r w:rsidRPr="00452E2E">
        <w:rPr>
          <w:noProof/>
          <w:szCs w:val="24"/>
        </w:rPr>
        <w:t>, 33(4), pp.605–620.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Crowne, K.A., Cochran, J. &amp; Carpenter, C.E. (2014). Older-worker-friendly policies and affective organizational commitment. </w:t>
      </w:r>
      <w:r w:rsidRPr="00452E2E">
        <w:rPr>
          <w:i/>
          <w:iCs/>
          <w:noProof/>
          <w:szCs w:val="24"/>
        </w:rPr>
        <w:t>Organization Management Journal</w:t>
      </w:r>
      <w:r w:rsidRPr="00452E2E">
        <w:rPr>
          <w:noProof/>
          <w:szCs w:val="24"/>
        </w:rPr>
        <w:t>, 11(2), pp.62–73.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Cunningham, I., James, P. &amp; Dibben, P. (2006). Tensions in local government employment relationships: The case of long-term sickness absence. </w:t>
      </w:r>
      <w:r w:rsidRPr="00452E2E">
        <w:rPr>
          <w:i/>
          <w:iCs/>
          <w:noProof/>
          <w:szCs w:val="24"/>
        </w:rPr>
        <w:t>Public Management Review</w:t>
      </w:r>
      <w:r w:rsidRPr="00452E2E">
        <w:rPr>
          <w:noProof/>
          <w:szCs w:val="24"/>
        </w:rPr>
        <w:t>, 8(2), pp.207–225.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Dacin, T., Goodstein, J. &amp; Scott, W.R. (2002). Institutional theory and institutional change: Introduction to the special research forum. </w:t>
      </w:r>
      <w:r w:rsidRPr="00452E2E">
        <w:rPr>
          <w:i/>
          <w:iCs/>
          <w:noProof/>
          <w:szCs w:val="24"/>
        </w:rPr>
        <w:t>Academy of Management Journal</w:t>
      </w:r>
      <w:r w:rsidRPr="00452E2E">
        <w:rPr>
          <w:noProof/>
          <w:szCs w:val="24"/>
        </w:rPr>
        <w:t>, 45(1), pp.45–57.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Dacin, T., Goodstein, J. &amp; Scott, W.R. (2002). Institutional theory and institutional change: Introduction to the special research forum. </w:t>
      </w:r>
      <w:r w:rsidRPr="00452E2E">
        <w:rPr>
          <w:i/>
          <w:iCs/>
          <w:noProof/>
          <w:szCs w:val="24"/>
        </w:rPr>
        <w:t>The Academy of Management Journal</w:t>
      </w:r>
      <w:r w:rsidRPr="00452E2E">
        <w:rPr>
          <w:noProof/>
          <w:szCs w:val="24"/>
        </w:rPr>
        <w:t>, 45(1), pp.43–56.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Dale-Olsen, H. (2006). Wages, fringe benefits and worker turnover. </w:t>
      </w:r>
      <w:r w:rsidRPr="00452E2E">
        <w:rPr>
          <w:i/>
          <w:iCs/>
          <w:noProof/>
          <w:szCs w:val="24"/>
        </w:rPr>
        <w:t>Labour Economics</w:t>
      </w:r>
      <w:r w:rsidRPr="00452E2E">
        <w:rPr>
          <w:noProof/>
          <w:szCs w:val="24"/>
        </w:rPr>
        <w:t>, 13(1), pp.87–105.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Dardot, P. &amp; Laval, C. (2013). </w:t>
      </w:r>
      <w:r w:rsidRPr="00452E2E">
        <w:rPr>
          <w:i/>
          <w:iCs/>
          <w:noProof/>
          <w:szCs w:val="24"/>
        </w:rPr>
        <w:t>The new way of the world: On neoliberal society</w:t>
      </w:r>
      <w:r w:rsidRPr="00452E2E">
        <w:rPr>
          <w:noProof/>
          <w:szCs w:val="24"/>
        </w:rPr>
        <w:t>, London: Verso.</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Darwish, T.K., Singh, S. &amp; Wood, G. (2016). The impact of human resource practices on actual and perceived organizational performance in a Middle Eastern emerging market. </w:t>
      </w:r>
      <w:r w:rsidRPr="00452E2E">
        <w:rPr>
          <w:i/>
          <w:iCs/>
          <w:noProof/>
          <w:szCs w:val="24"/>
        </w:rPr>
        <w:t>Human Resource Management</w:t>
      </w:r>
      <w:r w:rsidRPr="00452E2E">
        <w:rPr>
          <w:noProof/>
          <w:szCs w:val="24"/>
        </w:rPr>
        <w:t>, 55(2), pp.261–281.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Dawson, J. (2016). </w:t>
      </w:r>
      <w:r w:rsidRPr="00452E2E">
        <w:rPr>
          <w:i/>
          <w:iCs/>
          <w:noProof/>
          <w:szCs w:val="24"/>
        </w:rPr>
        <w:t>Analysing quantitative survey data for business and management students</w:t>
      </w:r>
      <w:r w:rsidRPr="00452E2E">
        <w:rPr>
          <w:noProof/>
          <w:szCs w:val="24"/>
        </w:rPr>
        <w:t>, London: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Dawson, J. (2014). Moderation in management research: What, why, when and how. </w:t>
      </w:r>
      <w:r w:rsidRPr="00452E2E">
        <w:rPr>
          <w:i/>
          <w:iCs/>
          <w:noProof/>
          <w:szCs w:val="24"/>
        </w:rPr>
        <w:t>Journal of Business and Psychology</w:t>
      </w:r>
      <w:r w:rsidRPr="00452E2E">
        <w:rPr>
          <w:noProof/>
          <w:szCs w:val="24"/>
        </w:rPr>
        <w:t>, 29(1), pp.1–19.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Deeg, R. (2009). The rise of internal capitalist diversity? Changing patterns of finance and corporate governance in Europe. </w:t>
      </w:r>
      <w:r w:rsidRPr="00452E2E">
        <w:rPr>
          <w:i/>
          <w:iCs/>
          <w:noProof/>
          <w:szCs w:val="24"/>
        </w:rPr>
        <w:t>Economy and Society</w:t>
      </w:r>
      <w:r w:rsidRPr="00452E2E">
        <w:rPr>
          <w:noProof/>
          <w:szCs w:val="24"/>
        </w:rPr>
        <w:t>, 38(4), pp.552–579.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Deephouse, D.L. (1999). To be different, or to be the same? It’s a question (and theory) of strategic balance. </w:t>
      </w:r>
      <w:r w:rsidRPr="00452E2E">
        <w:rPr>
          <w:i/>
          <w:iCs/>
          <w:noProof/>
          <w:szCs w:val="24"/>
        </w:rPr>
        <w:t>Strategic Management Journal</w:t>
      </w:r>
      <w:r w:rsidRPr="00452E2E">
        <w:rPr>
          <w:noProof/>
          <w:szCs w:val="24"/>
        </w:rPr>
        <w:t>, 20(2), pp.147–66.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Demoussis, M. &amp; Giannakopoulos, N. (2007). Exploring job satisfaction in private and public employment: Empirical evidence from Greece. </w:t>
      </w:r>
      <w:r w:rsidRPr="00452E2E">
        <w:rPr>
          <w:i/>
          <w:iCs/>
          <w:noProof/>
          <w:szCs w:val="24"/>
        </w:rPr>
        <w:t>Labour</w:t>
      </w:r>
      <w:r w:rsidRPr="00452E2E">
        <w:rPr>
          <w:noProof/>
          <w:szCs w:val="24"/>
        </w:rPr>
        <w:t>, 21(2), pp.333–359.</w:t>
      </w:r>
    </w:p>
    <w:p w:rsidR="00D97C1B" w:rsidRPr="00452E2E" w:rsidRDefault="00D97C1B" w:rsidP="00501BA6">
      <w:pPr>
        <w:widowControl w:val="0"/>
        <w:autoSpaceDE w:val="0"/>
        <w:autoSpaceDN w:val="0"/>
        <w:adjustRightInd w:val="0"/>
        <w:spacing w:line="240" w:lineRule="auto"/>
        <w:jc w:val="both"/>
        <w:rPr>
          <w:noProof/>
          <w:szCs w:val="24"/>
        </w:rPr>
      </w:pPr>
      <w:r w:rsidRPr="00452E2E">
        <w:rPr>
          <w:noProof/>
          <w:szCs w:val="24"/>
        </w:rPr>
        <w:t xml:space="preserve">Den Hartog, D.N., Boon, C., Verburg, R.M. &amp; Croon, M.A. (2013). HRM, communication, satisfaction, and perceived performance: A cross-level test. </w:t>
      </w:r>
      <w:r w:rsidRPr="00452E2E">
        <w:rPr>
          <w:i/>
          <w:iCs/>
          <w:noProof/>
          <w:szCs w:val="24"/>
        </w:rPr>
        <w:t>Journal of Management</w:t>
      </w:r>
      <w:r w:rsidRPr="00452E2E">
        <w:rPr>
          <w:noProof/>
          <w:szCs w:val="24"/>
        </w:rPr>
        <w:t>, 39(6), pp.1637–1665.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Derous, E. &amp; de Fruyt, F. (2016). Developments in recruitment and selection research. </w:t>
      </w:r>
      <w:r w:rsidRPr="00452E2E">
        <w:rPr>
          <w:i/>
          <w:iCs/>
          <w:noProof/>
          <w:szCs w:val="24"/>
        </w:rPr>
        <w:t>International Journal of Selection and Assessment</w:t>
      </w:r>
      <w:r w:rsidRPr="00452E2E">
        <w:rPr>
          <w:noProof/>
          <w:szCs w:val="24"/>
        </w:rPr>
        <w:t>, 24(1), pp.1–3.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DeSantis, V.S. &amp; Durst, S.L. (1996). Comparing job satisfaction among public and private sector employees. </w:t>
      </w:r>
      <w:r w:rsidRPr="00452E2E">
        <w:rPr>
          <w:i/>
          <w:iCs/>
          <w:noProof/>
          <w:szCs w:val="24"/>
        </w:rPr>
        <w:t>American Review of Public Administration</w:t>
      </w:r>
      <w:r w:rsidRPr="00452E2E">
        <w:rPr>
          <w:noProof/>
          <w:szCs w:val="24"/>
        </w:rPr>
        <w:t>, 26(3), pp.327–343.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Dibben, P. &amp; Williams, C.C. (2012). Varieties of capitalism and employment relations: Informally dominated market economies. </w:t>
      </w:r>
      <w:r w:rsidRPr="00452E2E">
        <w:rPr>
          <w:i/>
          <w:iCs/>
          <w:noProof/>
          <w:szCs w:val="24"/>
        </w:rPr>
        <w:t>Industrial Relations</w:t>
      </w:r>
      <w:r w:rsidRPr="00452E2E">
        <w:rPr>
          <w:noProof/>
          <w:szCs w:val="24"/>
        </w:rPr>
        <w:t>, 51(SUPPL. 1), pp.563–582.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Dibben, P. &amp; Wood, G. (2013). Privatization and employment relations in Africa. In A. Newenham-Kahindi, K. Kamoche, A. Chizema &amp; K. Mellahi, eds. </w:t>
      </w:r>
      <w:r w:rsidRPr="00452E2E">
        <w:rPr>
          <w:i/>
          <w:iCs/>
          <w:noProof/>
          <w:szCs w:val="24"/>
        </w:rPr>
        <w:t>Effective people management in Africa</w:t>
      </w:r>
      <w:r w:rsidRPr="00452E2E">
        <w:rPr>
          <w:noProof/>
          <w:szCs w:val="24"/>
        </w:rPr>
        <w:t>. Basingstoke: Palgrave Macmillan, pp. 72–94.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Dibben, P. &amp; Wood, G. (2016). The legacies of coercion and the challenges of contingency: Mozambican unions in difficult times. </w:t>
      </w:r>
      <w:r w:rsidRPr="00452E2E">
        <w:rPr>
          <w:i/>
          <w:iCs/>
          <w:noProof/>
          <w:szCs w:val="24"/>
        </w:rPr>
        <w:t>Labor History</w:t>
      </w:r>
      <w:r w:rsidRPr="00452E2E">
        <w:rPr>
          <w:noProof/>
          <w:szCs w:val="24"/>
        </w:rPr>
        <w:t>, 57(1), pp.126–140.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Dibben, P., Wood, G. &amp; Williams, C.C. (2015). Pressures towards and against formalization: Regulation and informal employment in Mozambique. </w:t>
      </w:r>
      <w:r w:rsidRPr="00452E2E">
        <w:rPr>
          <w:i/>
          <w:iCs/>
          <w:noProof/>
          <w:szCs w:val="24"/>
        </w:rPr>
        <w:t>International Labour Review</w:t>
      </w:r>
      <w:r w:rsidRPr="00452E2E">
        <w:rPr>
          <w:noProof/>
          <w:szCs w:val="24"/>
        </w:rPr>
        <w:t>, 154(3), pp.373–392.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DiMaggio, P.J. &amp; Powell, W.W. (1983). The iron cage revisited: Institutional isomorphism and collective rationality in organizational fields. </w:t>
      </w:r>
      <w:r w:rsidRPr="00452E2E">
        <w:rPr>
          <w:i/>
          <w:iCs/>
          <w:noProof/>
          <w:szCs w:val="24"/>
        </w:rPr>
        <w:t>American Sociological Review</w:t>
      </w:r>
      <w:r w:rsidRPr="00452E2E">
        <w:rPr>
          <w:noProof/>
          <w:szCs w:val="24"/>
        </w:rPr>
        <w:t>, 48(2), pp.147–160.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DiMaggio, P.J. &amp; Powell, W.W. (1991). The iron cage revisited: Institutional isomorphism and collective rationality in organizational fields. In W.W. Powell &amp; P.J. DiMaggio, eds. </w:t>
      </w:r>
      <w:r w:rsidRPr="00452E2E">
        <w:rPr>
          <w:i/>
          <w:iCs/>
          <w:noProof/>
          <w:szCs w:val="24"/>
        </w:rPr>
        <w:t>The new institutionalism in organizational analysis</w:t>
      </w:r>
      <w:r w:rsidRPr="00452E2E">
        <w:rPr>
          <w:noProof/>
          <w:szCs w:val="24"/>
        </w:rPr>
        <w:t>. pp. 63–82.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Duberley, J., Johnson, P. &amp; Cassell, C. (2012). Philosophies underpinning qualitative research. In G. Symon &amp; C. Cassell, eds. </w:t>
      </w:r>
      <w:r w:rsidRPr="00452E2E">
        <w:rPr>
          <w:i/>
          <w:iCs/>
          <w:noProof/>
          <w:szCs w:val="24"/>
        </w:rPr>
        <w:t>Qualitative organizational research: Core methods and current challenges</w:t>
      </w:r>
      <w:r w:rsidRPr="00452E2E">
        <w:rPr>
          <w:noProof/>
          <w:szCs w:val="24"/>
        </w:rPr>
        <w:t>. London: SAGE, pp. 15–34.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Dulebohn, J.H., Molloy, J.C., Pichler, S.M. &amp; Murray, B. (2009). Employee benefits: Literature review and emerging issues. </w:t>
      </w:r>
      <w:r w:rsidRPr="00452E2E">
        <w:rPr>
          <w:i/>
          <w:iCs/>
          <w:noProof/>
          <w:szCs w:val="24"/>
        </w:rPr>
        <w:t>Human Resource Management Review</w:t>
      </w:r>
      <w:r w:rsidRPr="00452E2E">
        <w:rPr>
          <w:noProof/>
          <w:szCs w:val="24"/>
        </w:rPr>
        <w:t>, 19(2), pp.86–103.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Dunleavy, P., Margetts, H., Bastow, S. &amp; Tinkler, J. (2006). New public management is dead- long live digital-era governance. </w:t>
      </w:r>
      <w:r w:rsidRPr="00452E2E">
        <w:rPr>
          <w:i/>
          <w:iCs/>
          <w:noProof/>
          <w:szCs w:val="24"/>
        </w:rPr>
        <w:t>Journal of Public Administration Research and Theory</w:t>
      </w:r>
      <w:r w:rsidRPr="00452E2E">
        <w:rPr>
          <w:noProof/>
          <w:szCs w:val="24"/>
        </w:rPr>
        <w:t>, 16(3), pp.467–494.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Edgar, F. &amp; Geare, A. (2005). HRM practice and employee attitudes: Different measures – different results. </w:t>
      </w:r>
      <w:r w:rsidRPr="00452E2E">
        <w:rPr>
          <w:i/>
          <w:iCs/>
          <w:noProof/>
          <w:szCs w:val="24"/>
        </w:rPr>
        <w:t>Personnel Review</w:t>
      </w:r>
      <w:r w:rsidRPr="00452E2E">
        <w:rPr>
          <w:noProof/>
          <w:szCs w:val="24"/>
        </w:rPr>
        <w:t>, 34(5), pp.534–549.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Edwards, J.R. &amp; Lambert, L.S. (2007). Methods for integrating moderation and mediation: A general analytical framework using moderated path analysis. </w:t>
      </w:r>
      <w:r w:rsidRPr="00452E2E">
        <w:rPr>
          <w:i/>
          <w:iCs/>
          <w:noProof/>
          <w:szCs w:val="24"/>
        </w:rPr>
        <w:t>Psychological methods</w:t>
      </w:r>
      <w:r w:rsidRPr="00452E2E">
        <w:rPr>
          <w:noProof/>
          <w:szCs w:val="24"/>
        </w:rPr>
        <w:t>, 12(1), pp.1–22.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Edwards, T. &amp; Ferner, A. (2004). Multinatinationals, reverse diffusion and national business systems. </w:t>
      </w:r>
      <w:r w:rsidRPr="00452E2E">
        <w:rPr>
          <w:i/>
          <w:iCs/>
          <w:noProof/>
          <w:szCs w:val="24"/>
        </w:rPr>
        <w:t>Management and Organization Review</w:t>
      </w:r>
      <w:r w:rsidRPr="00452E2E">
        <w:rPr>
          <w:noProof/>
          <w:szCs w:val="24"/>
        </w:rPr>
        <w:t>, 44(1), pp.49–79.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Elele, J. &amp; Fields, D. (2010). Participative decision making and organizational commitment. </w:t>
      </w:r>
      <w:r w:rsidRPr="00452E2E">
        <w:rPr>
          <w:i/>
          <w:iCs/>
          <w:noProof/>
          <w:szCs w:val="24"/>
        </w:rPr>
        <w:t>Cross Cultural Management: An International Journal</w:t>
      </w:r>
      <w:r w:rsidRPr="00452E2E">
        <w:rPr>
          <w:noProof/>
          <w:szCs w:val="24"/>
        </w:rPr>
        <w:t>, 17(4), pp.368–392.</w:t>
      </w:r>
    </w:p>
    <w:p w:rsidR="004F0624" w:rsidRPr="00452E2E" w:rsidRDefault="004F0624" w:rsidP="004F0624">
      <w:pPr>
        <w:jc w:val="both"/>
        <w:rPr>
          <w:rFonts w:cs="Times New Roman"/>
          <w:noProof/>
          <w:szCs w:val="24"/>
        </w:rPr>
      </w:pPr>
      <w:r w:rsidRPr="00452E2E">
        <w:rPr>
          <w:rFonts w:cs="Times New Roman"/>
          <w:noProof/>
          <w:szCs w:val="24"/>
        </w:rPr>
        <w:lastRenderedPageBreak/>
        <w:t xml:space="preserve">Ellis, F.Y.A., Nyuur, R.B. &amp; Debrah, Y.A. (2015). Human resource management in Africa. In F. Horwitz &amp; P. Budhwar, eds. </w:t>
      </w:r>
      <w:r w:rsidRPr="00452E2E">
        <w:rPr>
          <w:rFonts w:cs="Times New Roman"/>
          <w:i/>
          <w:iCs/>
          <w:noProof/>
          <w:szCs w:val="24"/>
        </w:rPr>
        <w:t>Handbook of Human Resource Management in Emerging Markets</w:t>
      </w:r>
      <w:r w:rsidRPr="00452E2E">
        <w:rPr>
          <w:rFonts w:cs="Times New Roman"/>
          <w:noProof/>
          <w:szCs w:val="24"/>
        </w:rPr>
        <w:t>. Cheltenham, UK: Edward Elgar, pp. 393–425.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Elorza, U., Aritzeta, A. &amp; Ayestarán, S. (2011). Exploring the black box in Spanish firms: The effect of the actual and perceived system on employees’ commitment and organizational performance. </w:t>
      </w:r>
      <w:r w:rsidRPr="00452E2E">
        <w:rPr>
          <w:i/>
          <w:iCs/>
          <w:noProof/>
          <w:szCs w:val="24"/>
        </w:rPr>
        <w:t>The International Journal of Human Resource Management</w:t>
      </w:r>
      <w:r w:rsidRPr="00452E2E">
        <w:rPr>
          <w:noProof/>
          <w:szCs w:val="24"/>
        </w:rPr>
        <w:t>, 22(7), pp.1401–1422.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Erhardt, K., Miller, J.. &amp; Freeman, S.J. (2011). An examination of the relationship between training comprehensiveness and organizational commitment: Further exploration of training perceptions and employee attitudes. </w:t>
      </w:r>
      <w:r w:rsidRPr="00452E2E">
        <w:rPr>
          <w:i/>
          <w:iCs/>
          <w:noProof/>
          <w:szCs w:val="24"/>
        </w:rPr>
        <w:t>Human Resource Development Quarterly</w:t>
      </w:r>
      <w:r w:rsidRPr="00452E2E">
        <w:rPr>
          <w:noProof/>
          <w:szCs w:val="24"/>
        </w:rPr>
        <w:t>, 22(4), pp.335–352.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Fabi, B., Lacoursière, R. &amp; Raymond, L. (2015). Impact of high-performance work systems on job satisfaction, organizational commitment, and intention to quit in Canadian organizations. </w:t>
      </w:r>
      <w:r w:rsidRPr="00452E2E">
        <w:rPr>
          <w:i/>
          <w:iCs/>
          <w:noProof/>
          <w:szCs w:val="24"/>
        </w:rPr>
        <w:t>International Journal of Manpower</w:t>
      </w:r>
      <w:r w:rsidRPr="00452E2E">
        <w:rPr>
          <w:noProof/>
          <w:szCs w:val="24"/>
        </w:rPr>
        <w:t>, 36(5), pp.772–790.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Fajana, S. (2007). The development of industrial relations in Nigeria. In G. Wood &amp; C. Brewster, eds. </w:t>
      </w:r>
      <w:r w:rsidRPr="00452E2E">
        <w:rPr>
          <w:i/>
          <w:iCs/>
          <w:noProof/>
          <w:szCs w:val="24"/>
        </w:rPr>
        <w:t>Industrial relations in Africa</w:t>
      </w:r>
      <w:r w:rsidRPr="00452E2E">
        <w:rPr>
          <w:noProof/>
          <w:szCs w:val="24"/>
        </w:rPr>
        <w:t>. Basingstoke: Routledge, pp. 147–161.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Fajana, S. (2008). The Nigerian informal economy: Instigating decent work and pay, and national development through unionisation. </w:t>
      </w:r>
      <w:r w:rsidRPr="00452E2E">
        <w:rPr>
          <w:i/>
          <w:iCs/>
          <w:noProof/>
          <w:szCs w:val="24"/>
        </w:rPr>
        <w:t>Employee Relations</w:t>
      </w:r>
      <w:r w:rsidRPr="00452E2E">
        <w:rPr>
          <w:noProof/>
          <w:szCs w:val="24"/>
        </w:rPr>
        <w:t>, 30(4), pp.372–390.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Farago, B., Zide, J.S. &amp; Shahani-Denning, C. (2013). Selection interviews: Role of interviewer warmth, interview structure, and interview outcome in applicants’ perceptions of organizations. </w:t>
      </w:r>
      <w:r w:rsidRPr="00452E2E">
        <w:rPr>
          <w:i/>
          <w:iCs/>
          <w:noProof/>
          <w:szCs w:val="24"/>
        </w:rPr>
        <w:t>Consulting Psychology Journal: Practice and Research</w:t>
      </w:r>
      <w:r w:rsidRPr="00452E2E">
        <w:rPr>
          <w:noProof/>
          <w:szCs w:val="24"/>
        </w:rPr>
        <w:t>, 65(3), pp.224–239.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Farndale, E., Van Ruiten, J., Kelliher, C. &amp; Hope-Hailey, V. (2011b). The influence of perceived employee voice on organizational commitment: An exchange perspective. </w:t>
      </w:r>
      <w:r w:rsidRPr="00452E2E">
        <w:rPr>
          <w:i/>
          <w:iCs/>
          <w:noProof/>
          <w:szCs w:val="24"/>
        </w:rPr>
        <w:t>Human Resource Management</w:t>
      </w:r>
      <w:r w:rsidRPr="00452E2E">
        <w:rPr>
          <w:noProof/>
          <w:szCs w:val="24"/>
        </w:rPr>
        <w:t>, 50(1), pp.113–129.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Farndale, E., Brewster, C. &amp; Poutsma, E. (2008). Coordinated vs. liberal market HRM: The impact of institutionalization on multinational firms. </w:t>
      </w:r>
      <w:r w:rsidRPr="00452E2E">
        <w:rPr>
          <w:i/>
          <w:iCs/>
          <w:noProof/>
          <w:szCs w:val="24"/>
        </w:rPr>
        <w:t>The International Journal of Human Resource Management</w:t>
      </w:r>
      <w:r w:rsidRPr="00452E2E">
        <w:rPr>
          <w:noProof/>
          <w:szCs w:val="24"/>
        </w:rPr>
        <w:t>, 19(11), pp.2004–2023.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Farndale, E., Hope-Hailey, V. &amp; Kelliher, C. (2011a). High commitment performance management: the roles of justice and trust. </w:t>
      </w:r>
      <w:r w:rsidRPr="00452E2E">
        <w:rPr>
          <w:i/>
          <w:iCs/>
          <w:noProof/>
          <w:szCs w:val="24"/>
        </w:rPr>
        <w:t>Personnel Review</w:t>
      </w:r>
      <w:r w:rsidRPr="00452E2E">
        <w:rPr>
          <w:noProof/>
          <w:szCs w:val="24"/>
        </w:rPr>
        <w:t>, 40(1), pp.5–23.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Ferris, G.R., Berkson, H.M. &amp; Harris, M.M. (2002). The recruitment interview process: Persuasion and organization reputation promotion in competitive labor markets. </w:t>
      </w:r>
      <w:r w:rsidRPr="00452E2E">
        <w:rPr>
          <w:i/>
          <w:iCs/>
          <w:noProof/>
          <w:szCs w:val="24"/>
        </w:rPr>
        <w:t>Human Resource Management Review</w:t>
      </w:r>
      <w:r w:rsidRPr="00452E2E">
        <w:rPr>
          <w:noProof/>
          <w:szCs w:val="24"/>
        </w:rPr>
        <w:t>, 12(3), pp.359–375.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Fischer, R. &amp; Mansell, A. (2009). Commitment across cultures: A meta-analytical approach. </w:t>
      </w:r>
      <w:r w:rsidRPr="00452E2E">
        <w:rPr>
          <w:i/>
          <w:iCs/>
          <w:noProof/>
          <w:szCs w:val="24"/>
        </w:rPr>
        <w:t>Journal of International Business Studies</w:t>
      </w:r>
      <w:r w:rsidRPr="00452E2E">
        <w:rPr>
          <w:noProof/>
          <w:szCs w:val="24"/>
        </w:rPr>
        <w:t>, 40(8), pp.1339–1358.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Fiske, S.. &amp; Taylor, S. (1991). </w:t>
      </w:r>
      <w:r w:rsidRPr="00452E2E">
        <w:rPr>
          <w:i/>
          <w:iCs/>
          <w:noProof/>
          <w:szCs w:val="24"/>
        </w:rPr>
        <w:t>Social cognition</w:t>
      </w:r>
      <w:r w:rsidRPr="00452E2E">
        <w:rPr>
          <w:noProof/>
          <w:szCs w:val="24"/>
        </w:rPr>
        <w:t xml:space="preserve"> 2nd edition, New York: McGraw-Hill.</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FMOH (2014). Department of hospital services. Available at: http://www.health.gov.ng/index.php/department/hospital-services [Accessed August 4, 2014].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pt-PT"/>
        </w:rPr>
        <w:lastRenderedPageBreak/>
        <w:t xml:space="preserve">Fontinha, R., Chambel, M.J. &amp; De Cuyper, N. (2012). </w:t>
      </w:r>
      <w:r w:rsidRPr="00452E2E">
        <w:rPr>
          <w:noProof/>
          <w:szCs w:val="24"/>
        </w:rPr>
        <w:t xml:space="preserve">HR attributions and the dual commitment of outsourced IT workers. </w:t>
      </w:r>
      <w:r w:rsidRPr="00452E2E">
        <w:rPr>
          <w:i/>
          <w:iCs/>
          <w:noProof/>
          <w:szCs w:val="24"/>
        </w:rPr>
        <w:t>Personnel Review</w:t>
      </w:r>
      <w:r w:rsidRPr="00452E2E">
        <w:rPr>
          <w:noProof/>
          <w:szCs w:val="24"/>
        </w:rPr>
        <w:t>, 41(6), pp.832–848.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Fottler, M.D. (1981). Is management really generic? </w:t>
      </w:r>
      <w:r w:rsidRPr="00452E2E">
        <w:rPr>
          <w:i/>
          <w:iCs/>
          <w:noProof/>
          <w:szCs w:val="24"/>
        </w:rPr>
        <w:t>Academy of Management Review</w:t>
      </w:r>
      <w:r w:rsidRPr="00452E2E">
        <w:rPr>
          <w:noProof/>
          <w:szCs w:val="24"/>
        </w:rPr>
        <w:t>, 6(1), pp.1–12.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de-DE"/>
        </w:rPr>
        <w:t xml:space="preserve">Freitag, A.R. &amp; Picherit-Duthler, G. (2004). </w:t>
      </w:r>
      <w:r w:rsidRPr="00452E2E">
        <w:rPr>
          <w:noProof/>
          <w:szCs w:val="24"/>
        </w:rPr>
        <w:t xml:space="preserve">Employee benefits communication: Proposing a PR-HR cooperative approach. </w:t>
      </w:r>
      <w:r w:rsidRPr="00452E2E">
        <w:rPr>
          <w:i/>
          <w:iCs/>
          <w:noProof/>
          <w:szCs w:val="24"/>
        </w:rPr>
        <w:t>Public Relations Review</w:t>
      </w:r>
      <w:r w:rsidRPr="00452E2E">
        <w:rPr>
          <w:noProof/>
          <w:szCs w:val="24"/>
        </w:rPr>
        <w:t>, 30(4), pp.475–482.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Fried, Y., Shirom, A., Gilboa, S. &amp; Cooper, C.L. (2008). The mediating effects of job satisfaction and propensity to leave on role stress-job performance relationships: Combining meta-analysis and structural equation modeling. </w:t>
      </w:r>
      <w:r w:rsidRPr="00452E2E">
        <w:rPr>
          <w:i/>
          <w:iCs/>
          <w:noProof/>
          <w:szCs w:val="24"/>
        </w:rPr>
        <w:t>International Journal of Stress Management</w:t>
      </w:r>
      <w:r w:rsidRPr="00452E2E">
        <w:rPr>
          <w:noProof/>
          <w:szCs w:val="24"/>
        </w:rPr>
        <w:t>, 15(4), pp.305–328.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García-Chas, R., Neira-Fontela, E. &amp; Varela-Neira, C. (2016). High-performance work systems and job satisfaction: A multilevel model. </w:t>
      </w:r>
      <w:r w:rsidRPr="00452E2E">
        <w:rPr>
          <w:i/>
          <w:iCs/>
          <w:noProof/>
          <w:szCs w:val="24"/>
        </w:rPr>
        <w:t>Journal of Managerial Psychology</w:t>
      </w:r>
      <w:r w:rsidRPr="00452E2E">
        <w:rPr>
          <w:noProof/>
          <w:szCs w:val="24"/>
        </w:rPr>
        <w:t>, 31(2), pp.451–466.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García-Izquierdo, A.L., Derous, E. &amp; Searle, R. (2013). Recruitment and Selection in Europe: One step beyond. </w:t>
      </w:r>
      <w:r w:rsidRPr="00452E2E">
        <w:rPr>
          <w:i/>
          <w:iCs/>
          <w:noProof/>
          <w:szCs w:val="24"/>
        </w:rPr>
        <w:t>Journal of Work and Organizational Psychology</w:t>
      </w:r>
      <w:r w:rsidRPr="00452E2E">
        <w:rPr>
          <w:noProof/>
          <w:szCs w:val="24"/>
        </w:rPr>
        <w:t>, 29(1), pp.1–2.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Gellatly, I.R., Hunter, K.H., Currie, L.G. &amp; Irving, P.G. (2009). HRM practices and organizational commitment profiles. </w:t>
      </w:r>
      <w:r w:rsidRPr="00452E2E">
        <w:rPr>
          <w:i/>
          <w:iCs/>
          <w:noProof/>
          <w:szCs w:val="24"/>
        </w:rPr>
        <w:t>The International Journal of Human Resource Management</w:t>
      </w:r>
      <w:r w:rsidRPr="00452E2E">
        <w:rPr>
          <w:noProof/>
          <w:szCs w:val="24"/>
        </w:rPr>
        <w:t>, 20(4), pp.869–884.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Georgellis, Y. &amp; Lange, T. (2007). Participation in continuous, on-the-job training and the impact on job satisfaction: Longitudinal evidence from the German labour market. </w:t>
      </w:r>
      <w:r w:rsidRPr="00452E2E">
        <w:rPr>
          <w:i/>
          <w:iCs/>
          <w:noProof/>
          <w:szCs w:val="24"/>
        </w:rPr>
        <w:t>International Journal of Human Resource Management</w:t>
      </w:r>
      <w:r w:rsidRPr="00452E2E">
        <w:rPr>
          <w:noProof/>
          <w:szCs w:val="24"/>
        </w:rPr>
        <w:t>, 18(6), pp.969–985.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Ghebregiorgis, F. &amp; Karsten, L. (2006). Human resource management practices in Eritrea: challenges and prospects. </w:t>
      </w:r>
      <w:r w:rsidRPr="00452E2E">
        <w:rPr>
          <w:i/>
          <w:iCs/>
          <w:noProof/>
          <w:szCs w:val="24"/>
        </w:rPr>
        <w:t>Employee Relations</w:t>
      </w:r>
      <w:r w:rsidRPr="00452E2E">
        <w:rPr>
          <w:noProof/>
          <w:szCs w:val="24"/>
        </w:rPr>
        <w:t>, 28(2), pp.144–163.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Ghosh, P., Chauhan, R. &amp; Rai, A. (2015). Supervisor support in transfer of training: Looking back at past research. </w:t>
      </w:r>
      <w:r w:rsidRPr="00452E2E">
        <w:rPr>
          <w:i/>
          <w:iCs/>
          <w:noProof/>
          <w:szCs w:val="24"/>
        </w:rPr>
        <w:t>Industrial and Commercial Training</w:t>
      </w:r>
      <w:r w:rsidRPr="00452E2E">
        <w:rPr>
          <w:noProof/>
          <w:szCs w:val="24"/>
        </w:rPr>
        <w:t>, 47(4), pp.201–207.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Giancola, F.L. (2012). Are employee benefit programs being given enough credit for their effect on employee attitudes ? </w:t>
      </w:r>
      <w:r w:rsidRPr="00452E2E">
        <w:rPr>
          <w:i/>
          <w:iCs/>
          <w:noProof/>
          <w:szCs w:val="24"/>
        </w:rPr>
        <w:t>Compensation &amp; Benefits Review</w:t>
      </w:r>
      <w:r w:rsidRPr="00452E2E">
        <w:rPr>
          <w:noProof/>
          <w:szCs w:val="24"/>
        </w:rPr>
        <w:t>, 44(5), pp.291–297.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Gill, J. &amp; Johnson, P. (2002). </w:t>
      </w:r>
      <w:r w:rsidRPr="00452E2E">
        <w:rPr>
          <w:i/>
          <w:iCs/>
          <w:noProof/>
          <w:szCs w:val="24"/>
        </w:rPr>
        <w:t>Research methods for managers</w:t>
      </w:r>
      <w:r w:rsidRPr="00452E2E">
        <w:rPr>
          <w:noProof/>
          <w:szCs w:val="24"/>
        </w:rPr>
        <w:t xml:space="preserve"> 3rd edition, London: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Gilmore, S. (2009). Introducing human resource management. In S. Gilmore &amp; S. Williams, eds. </w:t>
      </w:r>
      <w:r w:rsidRPr="00452E2E">
        <w:rPr>
          <w:i/>
          <w:iCs/>
          <w:noProof/>
          <w:szCs w:val="24"/>
        </w:rPr>
        <w:t>Human resource management</w:t>
      </w:r>
      <w:r w:rsidRPr="00452E2E">
        <w:rPr>
          <w:noProof/>
          <w:szCs w:val="24"/>
        </w:rPr>
        <w:t>. New York: Oxford University Press, pp. 2–23.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Gittel, J.F., Seidner, R. &amp; Wimbush, J. (2010). A relational model of how high-performance work systems work. </w:t>
      </w:r>
      <w:r w:rsidRPr="00452E2E">
        <w:rPr>
          <w:i/>
          <w:iCs/>
          <w:noProof/>
          <w:szCs w:val="24"/>
        </w:rPr>
        <w:t>Organization Science</w:t>
      </w:r>
      <w:r w:rsidRPr="00452E2E">
        <w:rPr>
          <w:noProof/>
          <w:szCs w:val="24"/>
        </w:rPr>
        <w:t>, 21(2), pp.490–506.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Glaveli, N. &amp; Karassavidou, E. (2011). Exploring a possible route through which training affects organizational performance: The case of a Greek bank. </w:t>
      </w:r>
      <w:r w:rsidRPr="00452E2E">
        <w:rPr>
          <w:i/>
          <w:iCs/>
          <w:noProof/>
          <w:szCs w:val="24"/>
        </w:rPr>
        <w:t>The International Journal of Human Resource Management</w:t>
      </w:r>
      <w:r w:rsidRPr="00452E2E">
        <w:rPr>
          <w:noProof/>
          <w:szCs w:val="24"/>
        </w:rPr>
        <w:t>, 22(14), pp.2892–2923.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Goergen, M., Brewster, C., Wood, G. &amp; Wilkinson, A. (2012). Varieties of capitalism and investments in human capital. </w:t>
      </w:r>
      <w:r w:rsidRPr="00452E2E">
        <w:rPr>
          <w:i/>
          <w:iCs/>
          <w:noProof/>
          <w:szCs w:val="24"/>
        </w:rPr>
        <w:t>Industrial Relations</w:t>
      </w:r>
      <w:r w:rsidRPr="00452E2E">
        <w:rPr>
          <w:noProof/>
          <w:szCs w:val="24"/>
        </w:rPr>
        <w:t>, 51(SUPPL. 1), pp.501–527.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Goergen, M., Brewster, C. &amp; Wood, G. (2013). The effects of the national setting on employment practice: The case of downsizing. </w:t>
      </w:r>
      <w:r w:rsidRPr="00452E2E">
        <w:rPr>
          <w:i/>
          <w:iCs/>
          <w:noProof/>
          <w:szCs w:val="24"/>
        </w:rPr>
        <w:t>International Business Review</w:t>
      </w:r>
      <w:r w:rsidRPr="00452E2E">
        <w:rPr>
          <w:noProof/>
          <w:szCs w:val="24"/>
        </w:rPr>
        <w:t>, 22(6), pp.1051–1067.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Gomes, E., Angwin, D., Peter, E. &amp; Mellahi, K. (2012). HRM issues and outcomes in African mergers and acquisitions: a study of the Nigerian banking sector. </w:t>
      </w:r>
      <w:r w:rsidRPr="00452E2E">
        <w:rPr>
          <w:i/>
          <w:iCs/>
          <w:noProof/>
          <w:szCs w:val="24"/>
        </w:rPr>
        <w:t>The International Journal of Human Resource Management</w:t>
      </w:r>
      <w:r w:rsidRPr="00452E2E">
        <w:rPr>
          <w:noProof/>
          <w:szCs w:val="24"/>
        </w:rPr>
        <w:t>, 23(14), pp.2874–2900.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Gong, Y., Law, K.S., Chang, S. &amp; Xin, K.R. (2009). Human resources management and firm performance: The differential role of managerial affective and continuance commitment. </w:t>
      </w:r>
      <w:r w:rsidRPr="00452E2E">
        <w:rPr>
          <w:i/>
          <w:iCs/>
          <w:noProof/>
          <w:szCs w:val="24"/>
        </w:rPr>
        <w:t>The Journal of Applied Psychology</w:t>
      </w:r>
      <w:r w:rsidRPr="00452E2E">
        <w:rPr>
          <w:noProof/>
          <w:szCs w:val="24"/>
        </w:rPr>
        <w:t>, 94(1), pp.263–275.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Goodstein, J.D. (1994). Institutional pressures and strategic responsiveness : Employer involvement in work- family issues. </w:t>
      </w:r>
      <w:r w:rsidRPr="00452E2E">
        <w:rPr>
          <w:i/>
          <w:iCs/>
          <w:noProof/>
          <w:szCs w:val="24"/>
        </w:rPr>
        <w:t>Academy of Management Journal</w:t>
      </w:r>
      <w:r w:rsidRPr="00452E2E">
        <w:rPr>
          <w:noProof/>
          <w:szCs w:val="24"/>
        </w:rPr>
        <w:t>, 37(2), pp.350–382.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Goulder, A.. (1960). The norm of reciprocity: A preliminary statement. </w:t>
      </w:r>
      <w:r w:rsidRPr="00452E2E">
        <w:rPr>
          <w:i/>
          <w:iCs/>
          <w:noProof/>
          <w:szCs w:val="24"/>
        </w:rPr>
        <w:t>American Sociological Review</w:t>
      </w:r>
      <w:r w:rsidRPr="00452E2E">
        <w:rPr>
          <w:noProof/>
          <w:szCs w:val="24"/>
        </w:rPr>
        <w:t>, 25(2), pp.161–178.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Gould-Williams, J.S. &amp; Mohamed, R.B. (2010). A comparative study of the effects of “best practice” HRM on worker outcomes in Malaysia and England local government. </w:t>
      </w:r>
      <w:r w:rsidRPr="00452E2E">
        <w:rPr>
          <w:i/>
          <w:iCs/>
          <w:noProof/>
          <w:szCs w:val="24"/>
        </w:rPr>
        <w:t>International Journal of Human Resource Management</w:t>
      </w:r>
      <w:r w:rsidRPr="00452E2E">
        <w:rPr>
          <w:noProof/>
          <w:szCs w:val="24"/>
        </w:rPr>
        <w:t>, 21(5), pp.653–675.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Goulet, L.R. &amp; Frank, M.L. (2002). Organizational commitment across three sectors: Public, non-profit, and for-profit. </w:t>
      </w:r>
      <w:r w:rsidRPr="00452E2E">
        <w:rPr>
          <w:i/>
          <w:iCs/>
          <w:noProof/>
          <w:szCs w:val="24"/>
        </w:rPr>
        <w:t>Public Personnel Management</w:t>
      </w:r>
      <w:r w:rsidRPr="00452E2E">
        <w:rPr>
          <w:noProof/>
          <w:szCs w:val="24"/>
        </w:rPr>
        <w:t>, 31(2), pp.201–210.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Graham, J. (2009). Missing data analysis: Making it work in the real world. </w:t>
      </w:r>
      <w:r w:rsidRPr="00452E2E">
        <w:rPr>
          <w:i/>
          <w:iCs/>
          <w:noProof/>
          <w:szCs w:val="24"/>
        </w:rPr>
        <w:t>Annual Review of Psychology</w:t>
      </w:r>
      <w:r w:rsidRPr="00452E2E">
        <w:rPr>
          <w:noProof/>
          <w:szCs w:val="24"/>
        </w:rPr>
        <w:t>, 60, pp.549–576.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Greenwood, R., Suddaby, R. &amp; Hinings, C.R. (2002). Theorizing change: The role of professional associations in the transformation of institutionalized fields. </w:t>
      </w:r>
      <w:r w:rsidRPr="00452E2E">
        <w:rPr>
          <w:i/>
          <w:iCs/>
          <w:noProof/>
          <w:szCs w:val="24"/>
        </w:rPr>
        <w:t>Academy of Management Journal</w:t>
      </w:r>
      <w:r w:rsidRPr="00452E2E">
        <w:rPr>
          <w:noProof/>
          <w:szCs w:val="24"/>
        </w:rPr>
        <w:t>, 45(1), pp.58–80.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Grix, J. (2002). Introducing students to the generic terminology of social research. </w:t>
      </w:r>
      <w:r w:rsidRPr="00452E2E">
        <w:rPr>
          <w:i/>
          <w:iCs/>
          <w:noProof/>
          <w:szCs w:val="24"/>
        </w:rPr>
        <w:t>Politics</w:t>
      </w:r>
      <w:r w:rsidRPr="00452E2E">
        <w:rPr>
          <w:noProof/>
          <w:szCs w:val="24"/>
        </w:rPr>
        <w:t>, 22(3), pp.175–186.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Grugulis, I. (2009). Human resource development. In D. G. Collings &amp; G. Wood, eds. </w:t>
      </w:r>
      <w:r w:rsidRPr="00452E2E">
        <w:rPr>
          <w:i/>
          <w:iCs/>
          <w:noProof/>
          <w:szCs w:val="24"/>
        </w:rPr>
        <w:t>Human resource management: A critical approach</w:t>
      </w:r>
      <w:r w:rsidRPr="00452E2E">
        <w:rPr>
          <w:noProof/>
          <w:szCs w:val="24"/>
        </w:rPr>
        <w:t>. London: Routledge, pp. 222–236.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Grugulis, I. (2013). Training and development. In A. Wilkinson &amp; T. Redman, eds. </w:t>
      </w:r>
      <w:r w:rsidRPr="00452E2E">
        <w:rPr>
          <w:i/>
          <w:iCs/>
          <w:noProof/>
          <w:szCs w:val="24"/>
        </w:rPr>
        <w:t>Contemporary human resource management: Text and cases</w:t>
      </w:r>
      <w:r w:rsidRPr="00452E2E">
        <w:rPr>
          <w:noProof/>
          <w:szCs w:val="24"/>
        </w:rPr>
        <w:t>. Harlow: Pearson, pp. 151–175.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es-ES_tradnl"/>
        </w:rPr>
        <w:t xml:space="preserve">Guba, E.G. &amp; Lincoln, Y.S. (1994). </w:t>
      </w:r>
      <w:r w:rsidRPr="00452E2E">
        <w:rPr>
          <w:noProof/>
          <w:szCs w:val="24"/>
        </w:rPr>
        <w:t xml:space="preserve">Competing paradigms in qualitative research. In N. K. Denzin &amp; Y. S. Lincoln, eds. </w:t>
      </w:r>
      <w:r w:rsidRPr="00452E2E">
        <w:rPr>
          <w:i/>
          <w:iCs/>
          <w:noProof/>
          <w:szCs w:val="24"/>
        </w:rPr>
        <w:t>Handbook of qualitative research</w:t>
      </w:r>
      <w:r w:rsidRPr="00452E2E">
        <w:rPr>
          <w:noProof/>
          <w:szCs w:val="24"/>
        </w:rPr>
        <w:t>. Thousand Oaks, CA: SAGE, pp. 105–117.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Guchait, P. &amp; Cho, S. (2010). The impact of human resource management practices on intention to leave of employees in the service industry in India: The mediating </w:t>
      </w:r>
      <w:r w:rsidRPr="00452E2E">
        <w:rPr>
          <w:noProof/>
          <w:szCs w:val="24"/>
        </w:rPr>
        <w:lastRenderedPageBreak/>
        <w:t xml:space="preserve">role of organizational commitment. </w:t>
      </w:r>
      <w:r w:rsidRPr="00452E2E">
        <w:rPr>
          <w:i/>
          <w:iCs/>
          <w:noProof/>
          <w:szCs w:val="24"/>
        </w:rPr>
        <w:t>The International Journal of Human Resource Management</w:t>
      </w:r>
      <w:r w:rsidRPr="00452E2E">
        <w:rPr>
          <w:noProof/>
          <w:szCs w:val="24"/>
        </w:rPr>
        <w:t>, 21(8), pp.1228–1247.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Guest, D. &amp; Conway, N. (2011). The impact of HR practices, HR effectiveness and a “strong HR system” on organisational outcomes: A stakeholder perspective. </w:t>
      </w:r>
      <w:r w:rsidRPr="00452E2E">
        <w:rPr>
          <w:i/>
          <w:iCs/>
          <w:noProof/>
          <w:szCs w:val="24"/>
        </w:rPr>
        <w:t>The International Journal of Human Resource Management</w:t>
      </w:r>
      <w:r w:rsidRPr="00452E2E">
        <w:rPr>
          <w:noProof/>
          <w:szCs w:val="24"/>
        </w:rPr>
        <w:t>, 22(March 2012), pp.37–41.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Guest, D.E. (2011). Human resource management and performance: Still searching for some answers. </w:t>
      </w:r>
      <w:r w:rsidRPr="00452E2E">
        <w:rPr>
          <w:i/>
          <w:iCs/>
          <w:noProof/>
          <w:szCs w:val="24"/>
        </w:rPr>
        <w:t>Human Resource Management Journal</w:t>
      </w:r>
      <w:r w:rsidRPr="00452E2E">
        <w:rPr>
          <w:noProof/>
          <w:szCs w:val="24"/>
        </w:rPr>
        <w:t>, 21(1), pp.3–13.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Guthrie, J.P. (2001). High-involvement work practices, turnover, and productivity: Evidence from New Zealand. </w:t>
      </w:r>
      <w:r w:rsidRPr="00452E2E">
        <w:rPr>
          <w:i/>
          <w:iCs/>
          <w:noProof/>
          <w:szCs w:val="24"/>
        </w:rPr>
        <w:t>The Academy of Management Journal</w:t>
      </w:r>
      <w:r w:rsidRPr="00452E2E">
        <w:rPr>
          <w:noProof/>
          <w:szCs w:val="24"/>
        </w:rPr>
        <w:t>, 44(1), pp.180–190.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Hackman, J. &amp; Oldham, G. (1976). Motivation through the design of work: Test of a theory. </w:t>
      </w:r>
      <w:r w:rsidRPr="00452E2E">
        <w:rPr>
          <w:i/>
          <w:iCs/>
          <w:noProof/>
          <w:szCs w:val="24"/>
        </w:rPr>
        <w:t>Organizational Behavior and Human Performance</w:t>
      </w:r>
      <w:r w:rsidRPr="00452E2E">
        <w:rPr>
          <w:noProof/>
          <w:szCs w:val="24"/>
        </w:rPr>
        <w:t>, 16, pp.250–279.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Hair, J., Black, W.C., Babin, B.J. &amp; Anderson, R.E. (2010). </w:t>
      </w:r>
      <w:r w:rsidRPr="00452E2E">
        <w:rPr>
          <w:i/>
          <w:iCs/>
          <w:noProof/>
          <w:szCs w:val="24"/>
        </w:rPr>
        <w:t>Multivariate data analysis: A global perspective</w:t>
      </w:r>
      <w:r w:rsidRPr="00452E2E">
        <w:rPr>
          <w:noProof/>
          <w:szCs w:val="24"/>
        </w:rPr>
        <w:t xml:space="preserve"> 7th edition, London: Pearson.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Hair, J., Money, A.H., Samouel, P. &amp; Page, M. (2007). </w:t>
      </w:r>
      <w:r w:rsidRPr="00452E2E">
        <w:rPr>
          <w:i/>
          <w:iCs/>
          <w:noProof/>
          <w:szCs w:val="24"/>
        </w:rPr>
        <w:t>Research methods for business</w:t>
      </w:r>
      <w:r w:rsidRPr="00452E2E">
        <w:rPr>
          <w:noProof/>
          <w:szCs w:val="24"/>
        </w:rPr>
        <w:t>, Chichester: John Wiley and Sons.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Hall, P. &amp; Gingerich, D. (2004). Varieties of capitalism and institutional complementarities in the macroeconomy: An empirical analysis. </w:t>
      </w:r>
      <w:r w:rsidRPr="00452E2E">
        <w:rPr>
          <w:i/>
          <w:noProof/>
          <w:szCs w:val="24"/>
        </w:rPr>
        <w:t>Discussion Paper 04/5</w:t>
      </w:r>
      <w:r w:rsidRPr="00452E2E">
        <w:rPr>
          <w:noProof/>
          <w:szCs w:val="24"/>
        </w:rPr>
        <w:t>, Max Planck Institute for the Study of Societies, Cologne.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Hall, P. &amp; Soskice, D. (2001). An introduction to varieties of capitalism. In P. Hall &amp; D. Soskice, eds. </w:t>
      </w:r>
      <w:r w:rsidRPr="00452E2E">
        <w:rPr>
          <w:i/>
          <w:iCs/>
          <w:noProof/>
          <w:szCs w:val="24"/>
        </w:rPr>
        <w:t>Varieties of capitalism</w:t>
      </w:r>
      <w:r w:rsidRPr="00452E2E">
        <w:rPr>
          <w:noProof/>
          <w:szCs w:val="24"/>
        </w:rPr>
        <w:t>. Oxford: Oxford University Press, pp. 1–68.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Hancke, B., Rhodes, M. &amp; Thatcher, M. (2007). Introduction: Beyond varieties of capitalism. In B. Hancke, M. Rhodes, &amp; M. Thatcher, eds. </w:t>
      </w:r>
      <w:r w:rsidRPr="00452E2E">
        <w:rPr>
          <w:i/>
          <w:iCs/>
          <w:noProof/>
          <w:szCs w:val="24"/>
        </w:rPr>
        <w:t>Beyond varieties of capitalism</w:t>
      </w:r>
      <w:r w:rsidRPr="00452E2E">
        <w:rPr>
          <w:noProof/>
          <w:szCs w:val="24"/>
        </w:rPr>
        <w:t>. Oxford: Oxford University Press, pp. 1–10.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Harcourt, M. &amp; Wood, G. (2007). The importance of employment protection for skill development in coordinated market economies. </w:t>
      </w:r>
      <w:r w:rsidRPr="00452E2E">
        <w:rPr>
          <w:i/>
          <w:iCs/>
          <w:noProof/>
          <w:szCs w:val="24"/>
        </w:rPr>
        <w:t>European Journal of Industrial Relations</w:t>
      </w:r>
      <w:r w:rsidRPr="00452E2E">
        <w:rPr>
          <w:noProof/>
          <w:szCs w:val="24"/>
        </w:rPr>
        <w:t>, 13(2), pp.141–159.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Hashim, J. (2010). Human resource management practices on organizational commitment: The Islamic perspective. </w:t>
      </w:r>
      <w:r w:rsidRPr="00452E2E">
        <w:rPr>
          <w:i/>
          <w:iCs/>
          <w:noProof/>
          <w:szCs w:val="24"/>
        </w:rPr>
        <w:t>Personnel Review</w:t>
      </w:r>
      <w:r w:rsidRPr="00452E2E">
        <w:rPr>
          <w:noProof/>
          <w:szCs w:val="24"/>
        </w:rPr>
        <w:t>, 39(6), pp.785–799.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Hayes, A.F. (2015). An index and test of linear moderated mediation. </w:t>
      </w:r>
      <w:r w:rsidRPr="00452E2E">
        <w:rPr>
          <w:i/>
          <w:iCs/>
          <w:noProof/>
          <w:szCs w:val="24"/>
        </w:rPr>
        <w:t>Multivariate Behavioral Research</w:t>
      </w:r>
      <w:r w:rsidRPr="00452E2E">
        <w:rPr>
          <w:noProof/>
          <w:szCs w:val="24"/>
        </w:rPr>
        <w:t>, 50(1), pp.1–22.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Hayes, A.F. (2009). Beyond Baron and Kenny: Statistical mediation analysis in the new millennium. </w:t>
      </w:r>
      <w:r w:rsidRPr="00452E2E">
        <w:rPr>
          <w:i/>
          <w:iCs/>
          <w:noProof/>
          <w:szCs w:val="24"/>
        </w:rPr>
        <w:t>Communication Monographs</w:t>
      </w:r>
      <w:r w:rsidRPr="00452E2E">
        <w:rPr>
          <w:noProof/>
          <w:szCs w:val="24"/>
        </w:rPr>
        <w:t>, 76(4), pp.408–420.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Hayes, A.F. (2012). PROCESS: A versatile computational tool for observed variable mediation, moderation, and conditional process modeling. </w:t>
      </w:r>
      <w:r w:rsidRPr="00452E2E">
        <w:rPr>
          <w:i/>
          <w:iCs/>
          <w:noProof/>
          <w:szCs w:val="24"/>
        </w:rPr>
        <w:t>White paper</w:t>
      </w:r>
      <w:r w:rsidRPr="00452E2E">
        <w:rPr>
          <w:noProof/>
          <w:szCs w:val="24"/>
        </w:rPr>
        <w:t>, pp.1–39. Available at: http://www.afhayes.com/ public/process2012.pdf.</w:t>
      </w:r>
    </w:p>
    <w:p w:rsidR="003F3070" w:rsidRPr="00452E2E" w:rsidRDefault="003F3070" w:rsidP="00501BA6">
      <w:pPr>
        <w:widowControl w:val="0"/>
        <w:autoSpaceDE w:val="0"/>
        <w:autoSpaceDN w:val="0"/>
        <w:adjustRightInd w:val="0"/>
        <w:spacing w:line="240" w:lineRule="auto"/>
        <w:jc w:val="both"/>
        <w:rPr>
          <w:noProof/>
          <w:szCs w:val="24"/>
        </w:rPr>
      </w:pPr>
      <w:r w:rsidRPr="00452E2E">
        <w:rPr>
          <w:noProof/>
          <w:szCs w:val="24"/>
        </w:rPr>
        <w:t xml:space="preserve">Hayes, A.F. (2013). </w:t>
      </w:r>
      <w:r w:rsidRPr="00452E2E">
        <w:rPr>
          <w:i/>
          <w:noProof/>
          <w:szCs w:val="24"/>
        </w:rPr>
        <w:t>Introduction to mediation, moderation and conditional process analysis</w:t>
      </w:r>
      <w:r w:rsidR="0097741B" w:rsidRPr="00452E2E">
        <w:rPr>
          <w:i/>
          <w:noProof/>
          <w:szCs w:val="24"/>
        </w:rPr>
        <w:t>: A regression-based approach</w:t>
      </w:r>
      <w:r w:rsidRPr="00452E2E">
        <w:rPr>
          <w:noProof/>
          <w:szCs w:val="24"/>
        </w:rPr>
        <w:t>, New York: The Guilford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Hayes, A.F. &amp; Preacher, K.J. (2010). Quantifying and testing indirect effects in simple mediation models when the constituent paths are nonlinear. </w:t>
      </w:r>
      <w:r w:rsidRPr="00452E2E">
        <w:rPr>
          <w:i/>
          <w:iCs/>
          <w:noProof/>
          <w:szCs w:val="24"/>
        </w:rPr>
        <w:t xml:space="preserve">Multivariate </w:t>
      </w:r>
      <w:r w:rsidRPr="00452E2E">
        <w:rPr>
          <w:i/>
          <w:iCs/>
          <w:noProof/>
          <w:szCs w:val="24"/>
        </w:rPr>
        <w:lastRenderedPageBreak/>
        <w:t>Behavioral Research</w:t>
      </w:r>
      <w:r w:rsidRPr="00452E2E">
        <w:rPr>
          <w:noProof/>
          <w:szCs w:val="24"/>
        </w:rPr>
        <w:t>, 45(4), pp.627–660.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Heffernan, M. &amp; Dundon, T. (2016). Cross-level effects of high-performance work systems (HPWS) and employee well-being: The mediating effect of organisational justice. </w:t>
      </w:r>
      <w:r w:rsidRPr="00452E2E">
        <w:rPr>
          <w:i/>
          <w:iCs/>
          <w:noProof/>
          <w:szCs w:val="24"/>
        </w:rPr>
        <w:t>Human Resource Management Journal</w:t>
      </w:r>
      <w:r w:rsidRPr="00452E2E">
        <w:rPr>
          <w:noProof/>
          <w:szCs w:val="24"/>
        </w:rPr>
        <w:t>, 26(2), pp.211–231.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Heider, F. (1958). </w:t>
      </w:r>
      <w:r w:rsidRPr="00452E2E">
        <w:rPr>
          <w:i/>
          <w:iCs/>
          <w:noProof/>
          <w:szCs w:val="24"/>
        </w:rPr>
        <w:t>The psychology of interpersonal relation</w:t>
      </w:r>
      <w:r w:rsidRPr="00452E2E">
        <w:rPr>
          <w:noProof/>
          <w:szCs w:val="24"/>
        </w:rPr>
        <w:t>, New York: Wiley.</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Herrbach, O., Mignonac, K., Vandenbeghe, C. &amp; Negrini, A. (2009). Perceived HRM practices, organizational commitment, and voluntary early retirement among late career managers. </w:t>
      </w:r>
      <w:r w:rsidRPr="00452E2E">
        <w:rPr>
          <w:i/>
          <w:iCs/>
          <w:noProof/>
          <w:szCs w:val="24"/>
        </w:rPr>
        <w:t>Human Resource Management</w:t>
      </w:r>
      <w:r w:rsidRPr="00452E2E">
        <w:rPr>
          <w:noProof/>
          <w:szCs w:val="24"/>
        </w:rPr>
        <w:t>, 48(6), pp.895–915.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Highhouse, S. &amp; Becker, A.S. (1993). Facet measures and global job satisfaction. </w:t>
      </w:r>
      <w:r w:rsidRPr="00452E2E">
        <w:rPr>
          <w:i/>
          <w:iCs/>
          <w:noProof/>
          <w:szCs w:val="24"/>
        </w:rPr>
        <w:t>Journal of Business and Psychology</w:t>
      </w:r>
      <w:r w:rsidRPr="00452E2E">
        <w:rPr>
          <w:noProof/>
          <w:szCs w:val="24"/>
        </w:rPr>
        <w:t>, 8(1), pp.117–127.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Hillebrink, C., Schippers, J., van Doorne-Huiskes, A. &amp; Peters, P. (2008). Offering choice in benefits: A new Dutch HRM arrangement. </w:t>
      </w:r>
      <w:r w:rsidRPr="00452E2E">
        <w:rPr>
          <w:i/>
          <w:iCs/>
          <w:noProof/>
          <w:szCs w:val="24"/>
        </w:rPr>
        <w:t>International Journal of Manpower</w:t>
      </w:r>
      <w:r w:rsidRPr="00452E2E">
        <w:rPr>
          <w:noProof/>
          <w:szCs w:val="24"/>
        </w:rPr>
        <w:t>, 29(4), pp.304–322.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Hinings, C.R., Greenwood, R., Reay, T. &amp; Suddaby, R. (2004). Dynamics of change in organizational fields. </w:t>
      </w:r>
      <w:r w:rsidRPr="00452E2E">
        <w:rPr>
          <w:noProof/>
          <w:szCs w:val="24"/>
          <w:lang w:val="nl-NL"/>
        </w:rPr>
        <w:t xml:space="preserve">In M. S. Poole &amp; A. H. Van De Ven, eds. </w:t>
      </w:r>
      <w:r w:rsidRPr="00452E2E">
        <w:rPr>
          <w:i/>
          <w:iCs/>
          <w:noProof/>
          <w:szCs w:val="24"/>
        </w:rPr>
        <w:t>Handbook of organizational change and innovation</w:t>
      </w:r>
      <w:r w:rsidRPr="00452E2E">
        <w:rPr>
          <w:noProof/>
          <w:szCs w:val="24"/>
        </w:rPr>
        <w:t>. New York, pp. 304–323.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Hofstede, G. (1980). </w:t>
      </w:r>
      <w:r w:rsidRPr="00452E2E">
        <w:rPr>
          <w:i/>
          <w:iCs/>
          <w:noProof/>
          <w:szCs w:val="24"/>
        </w:rPr>
        <w:t>Culture’s consequences: international differences in work related values</w:t>
      </w:r>
      <w:r w:rsidRPr="00452E2E">
        <w:rPr>
          <w:noProof/>
          <w:szCs w:val="24"/>
        </w:rPr>
        <w:t>, Beverley Hills, CA: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Hogue, M., Levashina, J. &amp; Hang, H. (2013). Will I fake it? The interplay of gender, machiavellianism, and self-monitoring on strategies for honesty in job interviews. </w:t>
      </w:r>
      <w:r w:rsidRPr="00452E2E">
        <w:rPr>
          <w:i/>
          <w:iCs/>
          <w:noProof/>
          <w:szCs w:val="24"/>
        </w:rPr>
        <w:t>Journal of Business Ethics</w:t>
      </w:r>
      <w:r w:rsidRPr="00452E2E">
        <w:rPr>
          <w:noProof/>
          <w:szCs w:val="24"/>
        </w:rPr>
        <w:t>, 117(2), pp.399–411.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Hollinshead, G. (2010). </w:t>
      </w:r>
      <w:r w:rsidRPr="00452E2E">
        <w:rPr>
          <w:i/>
          <w:iCs/>
          <w:noProof/>
          <w:szCs w:val="24"/>
        </w:rPr>
        <w:t>International and Comparative Human Resource Management</w:t>
      </w:r>
      <w:r w:rsidRPr="00452E2E">
        <w:rPr>
          <w:noProof/>
          <w:szCs w:val="24"/>
        </w:rPr>
        <w:t>, McGraw-Hill.</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Holm, A. (2014). Institutional context and e-recruitment practices of Danish organizations. </w:t>
      </w:r>
      <w:r w:rsidRPr="00452E2E">
        <w:rPr>
          <w:i/>
          <w:iCs/>
          <w:noProof/>
          <w:szCs w:val="24"/>
        </w:rPr>
        <w:t>Employee Relations</w:t>
      </w:r>
      <w:r w:rsidRPr="00452E2E">
        <w:rPr>
          <w:noProof/>
          <w:szCs w:val="24"/>
        </w:rPr>
        <w:t>, 36(4), pp.432–455.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Hood, C. (1991). A public management for all seasons? </w:t>
      </w:r>
      <w:r w:rsidRPr="00452E2E">
        <w:rPr>
          <w:i/>
          <w:iCs/>
          <w:noProof/>
          <w:szCs w:val="24"/>
        </w:rPr>
        <w:t>Public Administration</w:t>
      </w:r>
      <w:r w:rsidRPr="00452E2E">
        <w:rPr>
          <w:noProof/>
          <w:szCs w:val="24"/>
        </w:rPr>
        <w:t>, 69(1), pp.3–19.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Hooper, D., Coughlan, J. &amp; Mullen, M.R. (2008). Structural equation modelling: Guidelines for determining model fit. </w:t>
      </w:r>
      <w:r w:rsidRPr="00452E2E">
        <w:rPr>
          <w:i/>
          <w:iCs/>
          <w:noProof/>
          <w:szCs w:val="24"/>
        </w:rPr>
        <w:t>Electronic Journal of Business Research Methods</w:t>
      </w:r>
      <w:r w:rsidRPr="00452E2E">
        <w:rPr>
          <w:noProof/>
          <w:szCs w:val="24"/>
        </w:rPr>
        <w:t>, 6(1), pp.53–60.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Hoskisson, R.., Lau, C.. &amp; Wright, M. (2000). Strategy in emerging economies. </w:t>
      </w:r>
      <w:r w:rsidRPr="00452E2E">
        <w:rPr>
          <w:i/>
          <w:iCs/>
          <w:noProof/>
          <w:szCs w:val="24"/>
        </w:rPr>
        <w:t>Academy of Management Journal</w:t>
      </w:r>
      <w:r w:rsidRPr="00452E2E">
        <w:rPr>
          <w:noProof/>
          <w:szCs w:val="24"/>
        </w:rPr>
        <w:t>, 43(3), pp.249–267.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Huang, W.-R. &amp; Su, C.-H. (2016). The mediating role of job satisfaction in the relationship between job training satisfaction and turnover intentions. </w:t>
      </w:r>
      <w:r w:rsidRPr="00452E2E">
        <w:rPr>
          <w:i/>
          <w:iCs/>
          <w:noProof/>
          <w:szCs w:val="24"/>
        </w:rPr>
        <w:t>Industrial and Commercial Training</w:t>
      </w:r>
      <w:r w:rsidRPr="00452E2E">
        <w:rPr>
          <w:noProof/>
          <w:szCs w:val="24"/>
        </w:rPr>
        <w:t>, 48(1), pp.42–52.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Huselid, M.A. (1995). The impact of human resource management practices on turnover, productivity, and corporate financial performance. </w:t>
      </w:r>
      <w:r w:rsidRPr="00452E2E">
        <w:rPr>
          <w:i/>
          <w:iCs/>
          <w:noProof/>
          <w:szCs w:val="24"/>
        </w:rPr>
        <w:t>The Academy of Management Journal</w:t>
      </w:r>
      <w:r w:rsidRPr="00452E2E">
        <w:rPr>
          <w:noProof/>
          <w:szCs w:val="24"/>
        </w:rPr>
        <w:t>, 38(3), pp.635–672.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Huselid, M.A. &amp; Becker, B.E. (2011). Bridging micro and macro domains: Workforce differentiation and strategic human resource management. </w:t>
      </w:r>
      <w:r w:rsidRPr="00452E2E">
        <w:rPr>
          <w:i/>
          <w:iCs/>
          <w:noProof/>
          <w:szCs w:val="24"/>
        </w:rPr>
        <w:t xml:space="preserve">Journal of </w:t>
      </w:r>
      <w:r w:rsidRPr="00452E2E">
        <w:rPr>
          <w:i/>
          <w:iCs/>
          <w:noProof/>
          <w:szCs w:val="24"/>
        </w:rPr>
        <w:lastRenderedPageBreak/>
        <w:t>Management</w:t>
      </w:r>
      <w:r w:rsidRPr="00452E2E">
        <w:rPr>
          <w:noProof/>
          <w:szCs w:val="24"/>
        </w:rPr>
        <w:t>, 37(2), pp.421–428.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Hvidman, U. &amp; Andersen, S.C. (2014). Impact of performance management in public and private organizations. </w:t>
      </w:r>
      <w:r w:rsidRPr="00452E2E">
        <w:rPr>
          <w:i/>
          <w:iCs/>
          <w:noProof/>
          <w:szCs w:val="24"/>
        </w:rPr>
        <w:t>Journal of Public Administration Research and Theory</w:t>
      </w:r>
      <w:r w:rsidRPr="00452E2E">
        <w:rPr>
          <w:noProof/>
          <w:szCs w:val="24"/>
        </w:rPr>
        <w:t>, 24(1), pp.35–58.</w:t>
      </w:r>
    </w:p>
    <w:p w:rsidR="00343E33" w:rsidRPr="00452E2E" w:rsidRDefault="00343E33" w:rsidP="00501BA6">
      <w:pPr>
        <w:widowControl w:val="0"/>
        <w:autoSpaceDE w:val="0"/>
        <w:autoSpaceDN w:val="0"/>
        <w:adjustRightInd w:val="0"/>
        <w:spacing w:line="240" w:lineRule="auto"/>
        <w:jc w:val="both"/>
        <w:rPr>
          <w:noProof/>
          <w:szCs w:val="24"/>
        </w:rPr>
      </w:pPr>
      <w:r w:rsidRPr="00452E2E">
        <w:rPr>
          <w:noProof/>
          <w:szCs w:val="24"/>
        </w:rPr>
        <w:t xml:space="preserve">Idemudia, U. (2010). Rethinking the role of corporate social responsibility in the Nigerian oil conflict: The limits of CSR. Journal of </w:t>
      </w:r>
      <w:r w:rsidRPr="00452E2E">
        <w:rPr>
          <w:i/>
          <w:noProof/>
          <w:szCs w:val="24"/>
        </w:rPr>
        <w:t>International Development,</w:t>
      </w:r>
      <w:r w:rsidRPr="00452E2E">
        <w:rPr>
          <w:noProof/>
          <w:szCs w:val="24"/>
        </w:rPr>
        <w:t xml:space="preserve"> 22(7), pp. 833-845.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Idowu, W. (2012). Privatisation and public sector reforms in Nigeria: implications for social democratic conception of citizenship. In F. Adewumi &amp; W. Idowu, eds. </w:t>
      </w:r>
      <w:r w:rsidRPr="00452E2E">
        <w:rPr>
          <w:i/>
          <w:iCs/>
          <w:noProof/>
          <w:szCs w:val="24"/>
        </w:rPr>
        <w:t>Public sector reforms in Africa: Nigerian perspectives</w:t>
      </w:r>
      <w:r w:rsidRPr="00452E2E">
        <w:rPr>
          <w:noProof/>
          <w:szCs w:val="24"/>
        </w:rPr>
        <w:t>. Dakar: CODESRIA, pp. 49–70.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Ismail, H.N. (2016). Training and organizational commitment: Exploring the moderating role of goal orientation in the Lebanese context. </w:t>
      </w:r>
      <w:r w:rsidRPr="00452E2E">
        <w:rPr>
          <w:i/>
          <w:iCs/>
          <w:noProof/>
          <w:szCs w:val="24"/>
        </w:rPr>
        <w:t>Human Resource Development International</w:t>
      </w:r>
      <w:r w:rsidRPr="00452E2E">
        <w:rPr>
          <w:noProof/>
          <w:szCs w:val="24"/>
        </w:rPr>
        <w:t>, 19(2), pp.152–177.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Ivancevich, J.M. (2010). </w:t>
      </w:r>
      <w:r w:rsidRPr="00452E2E">
        <w:rPr>
          <w:i/>
          <w:iCs/>
          <w:noProof/>
          <w:szCs w:val="24"/>
        </w:rPr>
        <w:t>Human resource management</w:t>
      </w:r>
      <w:r w:rsidRPr="00452E2E">
        <w:rPr>
          <w:noProof/>
          <w:szCs w:val="24"/>
        </w:rPr>
        <w:t xml:space="preserve"> 11th edition, New York: McGraw-Hill.</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Jackson, G. (2009). The Japanese firm and its diversity. </w:t>
      </w:r>
      <w:r w:rsidRPr="00452E2E">
        <w:rPr>
          <w:i/>
          <w:iCs/>
          <w:noProof/>
          <w:szCs w:val="24"/>
        </w:rPr>
        <w:t>Economy and Society</w:t>
      </w:r>
      <w:r w:rsidRPr="00452E2E">
        <w:rPr>
          <w:noProof/>
          <w:szCs w:val="24"/>
        </w:rPr>
        <w:t>, 38(4), pp.606–629.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Jackson, S.E. &amp; Schuler, R.S. (1995). Understanding human resource management in the context of organizations and their environments. </w:t>
      </w:r>
      <w:r w:rsidRPr="00452E2E">
        <w:rPr>
          <w:i/>
          <w:iCs/>
          <w:noProof/>
          <w:szCs w:val="24"/>
        </w:rPr>
        <w:t>Annual Review of Psychology</w:t>
      </w:r>
      <w:r w:rsidRPr="00452E2E">
        <w:rPr>
          <w:noProof/>
          <w:szCs w:val="24"/>
        </w:rPr>
        <w:t>, 46(1), p.237.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Jackson, T. (2004). </w:t>
      </w:r>
      <w:r w:rsidRPr="00452E2E">
        <w:rPr>
          <w:i/>
          <w:iCs/>
          <w:noProof/>
          <w:szCs w:val="24"/>
        </w:rPr>
        <w:t>Management and change in Africa</w:t>
      </w:r>
      <w:r w:rsidRPr="00452E2E">
        <w:rPr>
          <w:noProof/>
          <w:szCs w:val="24"/>
        </w:rPr>
        <w:t>, London: Routledge.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Jackson, T. (2002). Reframing human resource management in Africa: a cross-cultural perspective. </w:t>
      </w:r>
      <w:r w:rsidRPr="00452E2E">
        <w:rPr>
          <w:i/>
          <w:iCs/>
          <w:noProof/>
          <w:szCs w:val="24"/>
        </w:rPr>
        <w:t>The International Journal of Human Resource Management</w:t>
      </w:r>
      <w:r w:rsidRPr="00452E2E">
        <w:rPr>
          <w:noProof/>
          <w:szCs w:val="24"/>
        </w:rPr>
        <w:t>, 13(7), pp.998–1018.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Jenkins, S. &amp; Delbridge, R. (2013). Context matters: Examining “soft” and “hard” approaches to employee engagement in two workplaces. </w:t>
      </w:r>
      <w:r w:rsidRPr="00452E2E">
        <w:rPr>
          <w:i/>
          <w:iCs/>
          <w:noProof/>
          <w:szCs w:val="24"/>
        </w:rPr>
        <w:t>The International Journal of Human Resource Management</w:t>
      </w:r>
      <w:r w:rsidRPr="00452E2E">
        <w:rPr>
          <w:noProof/>
          <w:szCs w:val="24"/>
        </w:rPr>
        <w:t>, 24(14), pp.2670–2691.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Jiang, K., Lepak, D.P., Han, K., Hong, Y., Kim, A. &amp; Winkler, A.L. (2012b). Clarifying the construct of human resource systems: Relating human resource management to employee performance. </w:t>
      </w:r>
      <w:r w:rsidRPr="00452E2E">
        <w:rPr>
          <w:i/>
          <w:iCs/>
          <w:noProof/>
          <w:szCs w:val="24"/>
        </w:rPr>
        <w:t>Human Resource Management Review</w:t>
      </w:r>
      <w:r w:rsidRPr="00452E2E">
        <w:rPr>
          <w:noProof/>
          <w:szCs w:val="24"/>
        </w:rPr>
        <w:t>, 22(2), pp.73–85.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Jiang, K., Lepak, D.P., Jia, J.U &amp; Baer, J.C. (2012a). How does human resource management influence organizational outcomes? A meta-analytic investigation of mediating mechanisms. </w:t>
      </w:r>
      <w:r w:rsidRPr="00452E2E">
        <w:rPr>
          <w:i/>
          <w:iCs/>
          <w:noProof/>
          <w:szCs w:val="24"/>
        </w:rPr>
        <w:t>Academy of Management Journal</w:t>
      </w:r>
      <w:r w:rsidRPr="00452E2E">
        <w:rPr>
          <w:noProof/>
          <w:szCs w:val="24"/>
        </w:rPr>
        <w:t>, 55(6), pp.1264–1294.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Johnson, P., Buehring, A., Cassell, C. &amp; Symon, G. (2006). Evaluating qualitative management research: Towards a contingent criteriology. </w:t>
      </w:r>
      <w:r w:rsidRPr="00452E2E">
        <w:rPr>
          <w:i/>
          <w:iCs/>
          <w:noProof/>
          <w:szCs w:val="24"/>
        </w:rPr>
        <w:t>International Journal of Management Reviews</w:t>
      </w:r>
      <w:r w:rsidRPr="00452E2E">
        <w:rPr>
          <w:noProof/>
          <w:szCs w:val="24"/>
        </w:rPr>
        <w:t>, 8(3), pp.131–156.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Johnson, P., Brookes, M., Wood, G. &amp; Brewster, C. (2015). Legal origin and social solidarity: The continued relevance of Durkheim to comparative institutional analysis. </w:t>
      </w:r>
      <w:r w:rsidRPr="00452E2E">
        <w:rPr>
          <w:i/>
          <w:iCs/>
          <w:noProof/>
          <w:szCs w:val="24"/>
        </w:rPr>
        <w:t>Sociology</w:t>
      </w:r>
      <w:r w:rsidRPr="00452E2E">
        <w:rPr>
          <w:noProof/>
          <w:szCs w:val="24"/>
        </w:rPr>
        <w:t>, pp.1–20.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Johnson, P., Wood, G., Brewster, C. &amp; Brookes, M. (2009). The rise of post-bureaucracy: Theorists’ fancy or organizational praxis? </w:t>
      </w:r>
      <w:r w:rsidRPr="00452E2E">
        <w:rPr>
          <w:i/>
          <w:iCs/>
          <w:noProof/>
          <w:szCs w:val="24"/>
        </w:rPr>
        <w:t>International Sociology</w:t>
      </w:r>
      <w:r w:rsidRPr="00452E2E">
        <w:rPr>
          <w:noProof/>
          <w:szCs w:val="24"/>
        </w:rPr>
        <w:t xml:space="preserve">, </w:t>
      </w:r>
      <w:r w:rsidRPr="00452E2E">
        <w:rPr>
          <w:noProof/>
          <w:szCs w:val="24"/>
        </w:rPr>
        <w:lastRenderedPageBreak/>
        <w:t>24(1), pp.37–61.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Johnson, P. &amp; Cassell, C. (2001). Epistemology and work psychology: New agendas. </w:t>
      </w:r>
      <w:r w:rsidRPr="00452E2E">
        <w:rPr>
          <w:i/>
          <w:iCs/>
          <w:noProof/>
          <w:szCs w:val="24"/>
        </w:rPr>
        <w:t>Journal of Occupational and Organizational Psychology</w:t>
      </w:r>
      <w:r w:rsidRPr="00452E2E">
        <w:rPr>
          <w:noProof/>
          <w:szCs w:val="24"/>
        </w:rPr>
        <w:t>, 74(2), pp.125–143.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Johnson, P. &amp; Duberley, J. (2015). Inductive praxis and management research: towards a reflexive framework. </w:t>
      </w:r>
      <w:r w:rsidRPr="00452E2E">
        <w:rPr>
          <w:i/>
          <w:iCs/>
          <w:noProof/>
          <w:szCs w:val="24"/>
        </w:rPr>
        <w:t>British Journal of Management</w:t>
      </w:r>
      <w:r w:rsidRPr="00452E2E">
        <w:rPr>
          <w:noProof/>
          <w:szCs w:val="24"/>
        </w:rPr>
        <w:t>, 26(4), pp.760–776.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Johnson, P. &amp; Duberley, J. (2003). Reflexivity in management research. </w:t>
      </w:r>
      <w:r w:rsidRPr="00452E2E">
        <w:rPr>
          <w:i/>
          <w:iCs/>
          <w:noProof/>
          <w:szCs w:val="24"/>
        </w:rPr>
        <w:t>Journal of Management Studies</w:t>
      </w:r>
      <w:r w:rsidRPr="00452E2E">
        <w:rPr>
          <w:noProof/>
          <w:szCs w:val="24"/>
        </w:rPr>
        <w:t>, 40(5), pp.1279–1303.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Johnson, P. &amp; Duberley, J. (2000). </w:t>
      </w:r>
      <w:r w:rsidRPr="00452E2E">
        <w:rPr>
          <w:i/>
          <w:iCs/>
          <w:noProof/>
          <w:szCs w:val="24"/>
        </w:rPr>
        <w:t>Understanding management research</w:t>
      </w:r>
      <w:r w:rsidRPr="00452E2E">
        <w:rPr>
          <w:noProof/>
          <w:szCs w:val="24"/>
        </w:rPr>
        <w:t>, London: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Judge, T.., Boudreau, J.. &amp; Bretz, R.., 1994. Job and life attitudes of male executives. </w:t>
      </w:r>
      <w:r w:rsidRPr="00452E2E">
        <w:rPr>
          <w:i/>
          <w:iCs/>
          <w:noProof/>
          <w:szCs w:val="24"/>
        </w:rPr>
        <w:t>Journal of Applied Psychology</w:t>
      </w:r>
      <w:r w:rsidRPr="00452E2E">
        <w:rPr>
          <w:noProof/>
          <w:szCs w:val="24"/>
        </w:rPr>
        <w:t>, 79, pp.767–782.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Judge, T.A., Thoresen, C.T., Bono, J.E. &amp; Patton, G.K. (2001). The job satisfaction- job performance relationship: A qualitative and quantitative review. </w:t>
      </w:r>
      <w:r w:rsidRPr="00452E2E">
        <w:rPr>
          <w:i/>
          <w:iCs/>
          <w:noProof/>
          <w:szCs w:val="24"/>
        </w:rPr>
        <w:t>Psychological Bulletin</w:t>
      </w:r>
      <w:r w:rsidRPr="00452E2E">
        <w:rPr>
          <w:noProof/>
          <w:szCs w:val="24"/>
        </w:rPr>
        <w:t>, 127(3), pp.376–407.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Judge, T.A. &amp; Kammeyer-Mueller, J.D. (2012). Job attitudes. </w:t>
      </w:r>
      <w:r w:rsidRPr="00452E2E">
        <w:rPr>
          <w:i/>
          <w:iCs/>
          <w:noProof/>
          <w:szCs w:val="24"/>
        </w:rPr>
        <w:t>Annual Review of Psychology</w:t>
      </w:r>
      <w:r w:rsidRPr="00452E2E">
        <w:rPr>
          <w:noProof/>
          <w:szCs w:val="24"/>
        </w:rPr>
        <w:t>, 63(1), pp.341–367.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sv-SE"/>
        </w:rPr>
        <w:t xml:space="preserve">Judge, T.A. &amp; Klinger, R. (2007). </w:t>
      </w:r>
      <w:r w:rsidRPr="00452E2E">
        <w:rPr>
          <w:noProof/>
          <w:szCs w:val="24"/>
        </w:rPr>
        <w:t xml:space="preserve">Job satisfaction: Subjective well-being at work. In M. Eid &amp; R. Larsen, eds. </w:t>
      </w:r>
      <w:r w:rsidRPr="00452E2E">
        <w:rPr>
          <w:i/>
          <w:iCs/>
          <w:noProof/>
          <w:szCs w:val="24"/>
        </w:rPr>
        <w:t>The science of subjective well-being</w:t>
      </w:r>
      <w:r w:rsidRPr="00452E2E">
        <w:rPr>
          <w:noProof/>
          <w:szCs w:val="24"/>
        </w:rPr>
        <w:t>. New York: Guildford Publication, pp. 393–413.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Juhdi, N., Pa’wan, F. &amp; Hansaram, R.M.K. (2013). HR practices and turnover intention: The mediating roles of organizational commitment and organizational engagement in a selected region in Malaysia. </w:t>
      </w:r>
      <w:r w:rsidRPr="00452E2E">
        <w:rPr>
          <w:i/>
          <w:iCs/>
          <w:noProof/>
          <w:szCs w:val="24"/>
        </w:rPr>
        <w:t>The International Journal of Human Resource Management</w:t>
      </w:r>
      <w:r w:rsidRPr="00452E2E">
        <w:rPr>
          <w:noProof/>
          <w:szCs w:val="24"/>
        </w:rPr>
        <w:t>, 24(15), pp.3002–3019.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Kahane, L. (2008). </w:t>
      </w:r>
      <w:r w:rsidRPr="00452E2E">
        <w:rPr>
          <w:i/>
          <w:iCs/>
          <w:noProof/>
          <w:szCs w:val="24"/>
        </w:rPr>
        <w:t>Regression basics</w:t>
      </w:r>
      <w:r w:rsidRPr="00452E2E">
        <w:rPr>
          <w:noProof/>
          <w:szCs w:val="24"/>
        </w:rPr>
        <w:t xml:space="preserve"> 2nd edition, Thousand Oaks, CA: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Kamoche, K. (2002). Introduction: Human resource management in Africa. </w:t>
      </w:r>
      <w:r w:rsidRPr="00452E2E">
        <w:rPr>
          <w:i/>
          <w:iCs/>
          <w:noProof/>
          <w:szCs w:val="24"/>
        </w:rPr>
        <w:t>The International Journal of Human Resource Management</w:t>
      </w:r>
      <w:r w:rsidRPr="00452E2E">
        <w:rPr>
          <w:noProof/>
          <w:szCs w:val="24"/>
        </w:rPr>
        <w:t>, 13(7), pp.993–997.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Kamoche, K., Chizema, A., Mellahi, K. &amp; Newenham-Kahindi, A. (2013). Introduction: New directions in the management of human resources in Africa. In A. Newenham-Kahindi, K. Kamoche, A. Chizema &amp; K. Mellahi, eds. </w:t>
      </w:r>
      <w:r w:rsidRPr="00452E2E">
        <w:rPr>
          <w:i/>
          <w:iCs/>
          <w:noProof/>
          <w:szCs w:val="24"/>
        </w:rPr>
        <w:t>Effective people management in Africa</w:t>
      </w:r>
      <w:r w:rsidRPr="00452E2E">
        <w:rPr>
          <w:noProof/>
          <w:szCs w:val="24"/>
        </w:rPr>
        <w:t>. Basingstoke: Palgrave Macmillan, pp. 1–14.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Kamoche, K., Debrah, Y.A., Horwitz, F. &amp; Muuka, G.N., eds. (2004). </w:t>
      </w:r>
      <w:r w:rsidRPr="00452E2E">
        <w:rPr>
          <w:i/>
          <w:iCs/>
          <w:noProof/>
          <w:szCs w:val="24"/>
        </w:rPr>
        <w:t>Managing human resources in Africa</w:t>
      </w:r>
      <w:r w:rsidRPr="00452E2E">
        <w:rPr>
          <w:noProof/>
          <w:szCs w:val="24"/>
        </w:rPr>
        <w:t>, London: Routledge.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Kamoche, K., Chizema, A., Mellahi, K. &amp; Newenham-Kahindi, A. (2012). New directions in the management of human resources in Africa. </w:t>
      </w:r>
      <w:r w:rsidRPr="00452E2E">
        <w:rPr>
          <w:i/>
          <w:iCs/>
          <w:noProof/>
          <w:szCs w:val="24"/>
        </w:rPr>
        <w:t>The International Journal of Human Resource Management</w:t>
      </w:r>
      <w:r w:rsidRPr="00452E2E">
        <w:rPr>
          <w:noProof/>
          <w:szCs w:val="24"/>
        </w:rPr>
        <w:t>, 23(14), pp.2825–2834.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Kamoche, K., Siebers, L.Q., Mamman, A. &amp; Newenhan-Kahindi, A. (2015). The dynamics of managing people in the diverse cultural and institutional context of Africa. </w:t>
      </w:r>
      <w:r w:rsidRPr="00452E2E">
        <w:rPr>
          <w:i/>
          <w:iCs/>
          <w:noProof/>
          <w:szCs w:val="24"/>
        </w:rPr>
        <w:t>Personnel Review</w:t>
      </w:r>
      <w:r w:rsidRPr="00452E2E">
        <w:rPr>
          <w:noProof/>
          <w:szCs w:val="24"/>
        </w:rPr>
        <w:t>, 44(3), pp.330–345.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Katou, A. &amp; Budhwar, P. (2014). HRM and firm performance. In J. R. Crawshaw, P. Budhwar, &amp; A. Davis, eds. </w:t>
      </w:r>
      <w:r w:rsidRPr="00452E2E">
        <w:rPr>
          <w:i/>
          <w:iCs/>
          <w:noProof/>
          <w:szCs w:val="24"/>
        </w:rPr>
        <w:t xml:space="preserve">Human resource management: Strategic &amp; international </w:t>
      </w:r>
      <w:r w:rsidRPr="00452E2E">
        <w:rPr>
          <w:i/>
          <w:iCs/>
          <w:noProof/>
          <w:szCs w:val="24"/>
        </w:rPr>
        <w:lastRenderedPageBreak/>
        <w:t>perspectives</w:t>
      </w:r>
      <w:r w:rsidRPr="00452E2E">
        <w:rPr>
          <w:noProof/>
          <w:szCs w:val="24"/>
        </w:rPr>
        <w:t>. London: SAGE, pp. 26–47.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Kehoe, R.R. &amp; Wright, P.M. (2013). The impact of high performance human resource practices on employees’ attitudes and behaviors. </w:t>
      </w:r>
      <w:r w:rsidRPr="00452E2E">
        <w:rPr>
          <w:i/>
          <w:iCs/>
          <w:noProof/>
          <w:szCs w:val="24"/>
        </w:rPr>
        <w:t>Journal of Management</w:t>
      </w:r>
      <w:r w:rsidRPr="00452E2E">
        <w:rPr>
          <w:noProof/>
          <w:szCs w:val="24"/>
        </w:rPr>
        <w:t>, 39(2), pp.366–391.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Kelley, H. (1967). Attribution theory in social psychology. In D. Levine, ed. </w:t>
      </w:r>
      <w:r w:rsidRPr="00452E2E">
        <w:rPr>
          <w:i/>
          <w:iCs/>
          <w:noProof/>
          <w:szCs w:val="24"/>
        </w:rPr>
        <w:t>Nebraska symposium on motivation, Vol 15</w:t>
      </w:r>
      <w:r w:rsidRPr="00452E2E">
        <w:rPr>
          <w:noProof/>
          <w:szCs w:val="24"/>
        </w:rPr>
        <w:t>. Lincoln: University of Nebraska Press, p.192-240.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Kim, S. &amp; Wright, P.M. (2011). Putting strategic human resource management in context: A contextualized model of high commitment work systems and its implications in China. </w:t>
      </w:r>
      <w:r w:rsidRPr="00452E2E">
        <w:rPr>
          <w:i/>
          <w:iCs/>
          <w:noProof/>
          <w:szCs w:val="24"/>
        </w:rPr>
        <w:t>Management and Organization Review</w:t>
      </w:r>
      <w:r w:rsidRPr="00452E2E">
        <w:rPr>
          <w:noProof/>
          <w:szCs w:val="24"/>
        </w:rPr>
        <w:t>, 7(1), pp.153–174.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Klotz, A.C., Veiga, D.M., Buckley, M.R. &amp; Gavin, M.B. (2013). The role of trustworthiness in recruitment and selection: A review and guide for future research. </w:t>
      </w:r>
      <w:r w:rsidRPr="00452E2E">
        <w:rPr>
          <w:i/>
          <w:iCs/>
          <w:noProof/>
          <w:szCs w:val="24"/>
        </w:rPr>
        <w:t>Journal of Organizational Behavior</w:t>
      </w:r>
      <w:r w:rsidRPr="00452E2E">
        <w:rPr>
          <w:noProof/>
          <w:szCs w:val="24"/>
        </w:rPr>
        <w:t>, 34, pp.S104–S119.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Knies, E., Boselie, P., Gould-Williams, J. &amp; Vandenabeele, W. (2015). Special issue of International Journal of Human Resource Management : strategic human resource management and public sector performance. </w:t>
      </w:r>
      <w:r w:rsidRPr="00452E2E">
        <w:rPr>
          <w:i/>
          <w:iCs/>
          <w:noProof/>
          <w:szCs w:val="24"/>
        </w:rPr>
        <w:t>International Journal of Human Resource Management</w:t>
      </w:r>
      <w:r w:rsidRPr="00452E2E">
        <w:rPr>
          <w:noProof/>
          <w:szCs w:val="24"/>
        </w:rPr>
        <w:t>, 26(3), pp.421–424.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Knudsen, H., Busck, O. &amp; Lind, J. (2011). Work environment quality: The role of workplace participation and democracy. </w:t>
      </w:r>
      <w:r w:rsidRPr="00452E2E">
        <w:rPr>
          <w:i/>
          <w:iCs/>
          <w:noProof/>
          <w:szCs w:val="24"/>
        </w:rPr>
        <w:t>Work, Employment &amp; Society</w:t>
      </w:r>
      <w:r w:rsidRPr="00452E2E">
        <w:rPr>
          <w:noProof/>
          <w:szCs w:val="24"/>
        </w:rPr>
        <w:t>, 25(3), pp.379–396.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Ko, J. &amp; Hur, S. (2014). Th e Impacts of employee benefits, procedural justice, and managerial trustworthiness on work attitudes: Integrated understanding based on social exchange theory. </w:t>
      </w:r>
      <w:r w:rsidRPr="00452E2E">
        <w:rPr>
          <w:i/>
          <w:iCs/>
          <w:noProof/>
          <w:szCs w:val="24"/>
        </w:rPr>
        <w:t>Public Adminisration Review</w:t>
      </w:r>
      <w:r w:rsidRPr="00452E2E">
        <w:rPr>
          <w:noProof/>
          <w:szCs w:val="24"/>
        </w:rPr>
        <w:t>, 74(2), pp.176–187.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Kooij, D., Jansen, P.G., Dikkers, J.S. &amp; De Lange, A.H. (2010). The influence of age on associations between HR practices and both affective commitment and job satisfaction: A meta-analysis. </w:t>
      </w:r>
      <w:r w:rsidRPr="00452E2E">
        <w:rPr>
          <w:i/>
          <w:iCs/>
          <w:noProof/>
          <w:szCs w:val="24"/>
        </w:rPr>
        <w:t>Journal of Organizational Behavior</w:t>
      </w:r>
      <w:r w:rsidRPr="00452E2E">
        <w:rPr>
          <w:noProof/>
          <w:szCs w:val="24"/>
        </w:rPr>
        <w:t>, 31, pp.1111–1136.</w:t>
      </w:r>
    </w:p>
    <w:p w:rsidR="00573F2C" w:rsidRPr="00452E2E" w:rsidRDefault="00573F2C" w:rsidP="00501BA6">
      <w:pPr>
        <w:widowControl w:val="0"/>
        <w:autoSpaceDE w:val="0"/>
        <w:autoSpaceDN w:val="0"/>
        <w:adjustRightInd w:val="0"/>
        <w:spacing w:line="240" w:lineRule="auto"/>
        <w:jc w:val="both"/>
        <w:rPr>
          <w:noProof/>
          <w:szCs w:val="24"/>
        </w:rPr>
      </w:pPr>
      <w:r w:rsidRPr="00452E2E">
        <w:rPr>
          <w:noProof/>
          <w:szCs w:val="24"/>
        </w:rPr>
        <w:t xml:space="preserve">Kooij, D., Guest, D.E., Clinton, M., Knight, T., Jansen, P. &amp; Dikkers, J. (2013). How the impact of HR practices on employee well-being and performance changes with age. </w:t>
      </w:r>
      <w:r w:rsidRPr="00452E2E">
        <w:rPr>
          <w:i/>
          <w:noProof/>
          <w:szCs w:val="24"/>
        </w:rPr>
        <w:t xml:space="preserve">Human Resource Management Journal, </w:t>
      </w:r>
      <w:r w:rsidRPr="00452E2E">
        <w:rPr>
          <w:noProof/>
          <w:szCs w:val="24"/>
        </w:rPr>
        <w:t>23(1), pp.18-35.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Kostova, T. &amp; Roth, K. (2002). Adoption of an organizational practice by subsidiaries of multinational corporations : Institutional and relational effects. </w:t>
      </w:r>
      <w:r w:rsidRPr="00452E2E">
        <w:rPr>
          <w:i/>
          <w:iCs/>
          <w:noProof/>
          <w:szCs w:val="24"/>
        </w:rPr>
        <w:t>The Academy of Management Journal</w:t>
      </w:r>
      <w:r w:rsidRPr="00452E2E">
        <w:rPr>
          <w:noProof/>
          <w:szCs w:val="24"/>
        </w:rPr>
        <w:t>, 45(1), pp.215–233.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Kostova, T., Roth, K. &amp; Dacin, T. (2008). Institutional theory in the study of multinational corporations : A critique and new directions. </w:t>
      </w:r>
      <w:r w:rsidRPr="00452E2E">
        <w:rPr>
          <w:i/>
          <w:iCs/>
          <w:noProof/>
          <w:szCs w:val="24"/>
        </w:rPr>
        <w:t>The Academy of Management Review</w:t>
      </w:r>
      <w:r w:rsidRPr="00452E2E">
        <w:rPr>
          <w:noProof/>
          <w:szCs w:val="24"/>
        </w:rPr>
        <w:t>, 33(4), pp.994–1006.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Koys, D. (1988). Human Resource Management and a Culture of Respect: Effects on Employee’ organization commitment. </w:t>
      </w:r>
      <w:r w:rsidRPr="00452E2E">
        <w:rPr>
          <w:i/>
          <w:iCs/>
          <w:noProof/>
          <w:szCs w:val="24"/>
        </w:rPr>
        <w:t>Employee responsibilities and Rights Journal</w:t>
      </w:r>
      <w:r w:rsidRPr="00452E2E">
        <w:rPr>
          <w:noProof/>
          <w:szCs w:val="24"/>
        </w:rPr>
        <w:t>, 1(16), pp.57–68.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Koys, D. (2001). The Effects of employee satisfaction, organizational citizenship behavior, and turnover on organizational effectiveness: A unit-level, longitudinal study. </w:t>
      </w:r>
      <w:r w:rsidRPr="00452E2E">
        <w:rPr>
          <w:i/>
          <w:iCs/>
          <w:noProof/>
          <w:szCs w:val="24"/>
        </w:rPr>
        <w:t>Personnel Psychology</w:t>
      </w:r>
      <w:r w:rsidRPr="00452E2E">
        <w:rPr>
          <w:noProof/>
          <w:szCs w:val="24"/>
        </w:rPr>
        <w:t>, 54(1), pp.101–114.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Kraiger, K. (2003). Perspectives on training and development. In W. C. Borman, D. R. Ilgen, &amp; R. J. Klimoski, eds. </w:t>
      </w:r>
      <w:r w:rsidRPr="00452E2E">
        <w:rPr>
          <w:i/>
          <w:iCs/>
          <w:noProof/>
          <w:szCs w:val="24"/>
        </w:rPr>
        <w:t>Handbook of psychology: Industrial and organizational psychology</w:t>
      </w:r>
      <w:r w:rsidRPr="00452E2E">
        <w:rPr>
          <w:noProof/>
          <w:szCs w:val="24"/>
        </w:rPr>
        <w:t>. Hoboken, NJ: John Wiley and Sons, pp. 171–192.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Krippendorff, K. (2004). </w:t>
      </w:r>
      <w:r w:rsidRPr="00452E2E">
        <w:rPr>
          <w:i/>
          <w:iCs/>
          <w:noProof/>
          <w:szCs w:val="24"/>
        </w:rPr>
        <w:t>Content analysis: An introduction to its methodology</w:t>
      </w:r>
      <w:r w:rsidRPr="00452E2E">
        <w:rPr>
          <w:noProof/>
          <w:szCs w:val="24"/>
        </w:rPr>
        <w:t xml:space="preserve"> 2nd edition, Thousand Oaks: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Kura, S.Y. (2011). Political parties and democracy in Nigeria: candidate selection, campaign and party financing in people’s democratic party. </w:t>
      </w:r>
      <w:r w:rsidRPr="00452E2E">
        <w:rPr>
          <w:i/>
          <w:iCs/>
          <w:noProof/>
          <w:szCs w:val="24"/>
        </w:rPr>
        <w:t>Journal of Sustainable Development in Africa</w:t>
      </w:r>
      <w:r w:rsidRPr="00452E2E">
        <w:rPr>
          <w:noProof/>
          <w:szCs w:val="24"/>
        </w:rPr>
        <w:t>, 13(6), pp.268–298.</w:t>
      </w:r>
    </w:p>
    <w:p w:rsidR="00D03A8E" w:rsidRDefault="00D03A8E" w:rsidP="00501BA6">
      <w:pPr>
        <w:widowControl w:val="0"/>
        <w:autoSpaceDE w:val="0"/>
        <w:autoSpaceDN w:val="0"/>
        <w:adjustRightInd w:val="0"/>
        <w:spacing w:line="240" w:lineRule="auto"/>
        <w:jc w:val="both"/>
        <w:rPr>
          <w:noProof/>
          <w:szCs w:val="24"/>
        </w:rPr>
      </w:pPr>
      <w:r w:rsidRPr="00452E2E">
        <w:rPr>
          <w:noProof/>
          <w:szCs w:val="24"/>
        </w:rPr>
        <w:t xml:space="preserve">Kuvaas, B. (2008). An exploration of how the employee-organization relationship affects the linkage between perception of developmental human resource practices and employee outcomes. </w:t>
      </w:r>
      <w:r w:rsidRPr="00452E2E">
        <w:rPr>
          <w:i/>
          <w:iCs/>
          <w:noProof/>
          <w:szCs w:val="24"/>
        </w:rPr>
        <w:t>Journal of Management Studies</w:t>
      </w:r>
      <w:r w:rsidRPr="00452E2E">
        <w:rPr>
          <w:noProof/>
          <w:szCs w:val="24"/>
        </w:rPr>
        <w:t>, 45(1), pp.1–25.</w:t>
      </w:r>
    </w:p>
    <w:p w:rsidR="000E5293" w:rsidRPr="00452E2E" w:rsidRDefault="000E5293" w:rsidP="000E5293">
      <w:pPr>
        <w:widowControl w:val="0"/>
        <w:autoSpaceDE w:val="0"/>
        <w:autoSpaceDN w:val="0"/>
        <w:adjustRightInd w:val="0"/>
        <w:spacing w:line="240" w:lineRule="auto"/>
        <w:jc w:val="both"/>
        <w:rPr>
          <w:noProof/>
          <w:szCs w:val="24"/>
        </w:rPr>
      </w:pPr>
      <w:r w:rsidRPr="00452E2E">
        <w:rPr>
          <w:noProof/>
          <w:szCs w:val="24"/>
        </w:rPr>
        <w:t xml:space="preserve">La Porta, R., Lopez-de-Silanes, F., Shleifer, A. &amp; Vishny, R.W. (2000). Investor protection and corporate governance. </w:t>
      </w:r>
      <w:r w:rsidRPr="00452E2E">
        <w:rPr>
          <w:i/>
          <w:iCs/>
          <w:noProof/>
          <w:szCs w:val="24"/>
        </w:rPr>
        <w:t>Journal of Financial Economics</w:t>
      </w:r>
      <w:r w:rsidRPr="00452E2E">
        <w:rPr>
          <w:noProof/>
          <w:szCs w:val="24"/>
        </w:rPr>
        <w:t>, 58(1–2), pp.3–27.</w:t>
      </w:r>
    </w:p>
    <w:p w:rsidR="000E5293" w:rsidRPr="00452E2E" w:rsidRDefault="000E5293" w:rsidP="000E5293">
      <w:pPr>
        <w:widowControl w:val="0"/>
        <w:autoSpaceDE w:val="0"/>
        <w:autoSpaceDN w:val="0"/>
        <w:adjustRightInd w:val="0"/>
        <w:spacing w:line="240" w:lineRule="auto"/>
        <w:jc w:val="both"/>
        <w:rPr>
          <w:noProof/>
          <w:szCs w:val="24"/>
        </w:rPr>
      </w:pPr>
      <w:r w:rsidRPr="00452E2E">
        <w:rPr>
          <w:noProof/>
          <w:szCs w:val="24"/>
        </w:rPr>
        <w:t xml:space="preserve">La Porta, R., Lopez-de-Silanes, F., Shleifer, A. &amp; Vishny, R.W. (1999). The quality of government. </w:t>
      </w:r>
      <w:r w:rsidRPr="00452E2E">
        <w:rPr>
          <w:i/>
          <w:iCs/>
          <w:noProof/>
          <w:szCs w:val="24"/>
        </w:rPr>
        <w:t>Journal of Law, Economics, &amp; Organization</w:t>
      </w:r>
      <w:r w:rsidRPr="00452E2E">
        <w:rPr>
          <w:noProof/>
          <w:szCs w:val="24"/>
        </w:rPr>
        <w:t>, 15(1), pp.12–14.</w:t>
      </w:r>
    </w:p>
    <w:p w:rsidR="000E5293" w:rsidRPr="00452E2E" w:rsidRDefault="000E5293" w:rsidP="00501BA6">
      <w:pPr>
        <w:widowControl w:val="0"/>
        <w:autoSpaceDE w:val="0"/>
        <w:autoSpaceDN w:val="0"/>
        <w:adjustRightInd w:val="0"/>
        <w:spacing w:line="240" w:lineRule="auto"/>
        <w:jc w:val="both"/>
        <w:rPr>
          <w:noProof/>
          <w:szCs w:val="24"/>
        </w:rPr>
      </w:pPr>
      <w:r w:rsidRPr="00452E2E">
        <w:rPr>
          <w:noProof/>
          <w:szCs w:val="24"/>
        </w:rPr>
        <w:t xml:space="preserve">La Porta, R., Lopez-de-Silanes, F. &amp; Shleifer, A. (2008). The economic consequences of legal origins. </w:t>
      </w:r>
      <w:r w:rsidRPr="00452E2E">
        <w:rPr>
          <w:i/>
          <w:iCs/>
          <w:noProof/>
          <w:szCs w:val="24"/>
        </w:rPr>
        <w:t>Journal of Economic Literature</w:t>
      </w:r>
      <w:r w:rsidRPr="00452E2E">
        <w:rPr>
          <w:noProof/>
          <w:szCs w:val="24"/>
        </w:rPr>
        <w:t>, 46(2), pp.285–332.</w:t>
      </w:r>
    </w:p>
    <w:p w:rsidR="000E5293" w:rsidRDefault="000E5293" w:rsidP="00501BA6">
      <w:pPr>
        <w:widowControl w:val="0"/>
        <w:autoSpaceDE w:val="0"/>
        <w:autoSpaceDN w:val="0"/>
        <w:adjustRightInd w:val="0"/>
        <w:spacing w:line="240" w:lineRule="auto"/>
        <w:jc w:val="both"/>
        <w:rPr>
          <w:noProof/>
          <w:szCs w:val="24"/>
        </w:rPr>
      </w:pPr>
      <w:r w:rsidRPr="00452E2E">
        <w:rPr>
          <w:noProof/>
          <w:szCs w:val="24"/>
        </w:rPr>
        <w:t xml:space="preserve">Lane, C. &amp; Wood, G. (2009). Capitalist diversity and diversity within capitalism. </w:t>
      </w:r>
      <w:r w:rsidRPr="00452E2E">
        <w:rPr>
          <w:i/>
          <w:iCs/>
          <w:noProof/>
          <w:szCs w:val="24"/>
        </w:rPr>
        <w:t>Economy and Society</w:t>
      </w:r>
      <w:r w:rsidRPr="00452E2E">
        <w:rPr>
          <w:noProof/>
          <w:szCs w:val="24"/>
        </w:rPr>
        <w:t>, 38(4), pp.531–551.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Lane, C. &amp; Wood, G. (2014). Capitalist diversity, work and employment relations. In A. Wilkinson, G. Wood, &amp; R. Deeg, eds. </w:t>
      </w:r>
      <w:r w:rsidRPr="00452E2E">
        <w:rPr>
          <w:i/>
          <w:iCs/>
          <w:noProof/>
          <w:szCs w:val="24"/>
        </w:rPr>
        <w:t>The Oxford handbook of employlent relations</w:t>
      </w:r>
      <w:r w:rsidRPr="00452E2E">
        <w:rPr>
          <w:noProof/>
          <w:szCs w:val="24"/>
        </w:rPr>
        <w:t>. Oxford: Oxford University Press, pp. 156–172.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Le, H., Brewster, C., Demirbag, M. &amp; Wood, G. (2013). Management compensation systems in MNCs and domestic firms: Cross-national empirical evidence. </w:t>
      </w:r>
      <w:r w:rsidRPr="00452E2E">
        <w:rPr>
          <w:i/>
          <w:iCs/>
          <w:noProof/>
          <w:szCs w:val="24"/>
        </w:rPr>
        <w:t>Management International Review</w:t>
      </w:r>
      <w:r w:rsidRPr="00452E2E">
        <w:rPr>
          <w:noProof/>
          <w:szCs w:val="24"/>
        </w:rPr>
        <w:t>, 53(5), pp.741–762.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Legge, K. (2005). </w:t>
      </w:r>
      <w:r w:rsidRPr="00452E2E">
        <w:rPr>
          <w:i/>
          <w:iCs/>
          <w:noProof/>
          <w:szCs w:val="24"/>
        </w:rPr>
        <w:t>Human resource management: Rhetorics and realities</w:t>
      </w:r>
      <w:r w:rsidRPr="00452E2E">
        <w:rPr>
          <w:noProof/>
          <w:szCs w:val="24"/>
        </w:rPr>
        <w:t xml:space="preserve"> Anniversary edition, Basingstoke: Palgrave Macmillan.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de-DE"/>
        </w:rPr>
        <w:t xml:space="preserve">Leppel, K., Brucker, E. &amp; Cochran, J. (2012). </w:t>
      </w:r>
      <w:r w:rsidRPr="00452E2E">
        <w:rPr>
          <w:noProof/>
          <w:szCs w:val="24"/>
        </w:rPr>
        <w:t xml:space="preserve">The importance of job training to job satisfaction of older workers. </w:t>
      </w:r>
      <w:r w:rsidRPr="00452E2E">
        <w:rPr>
          <w:i/>
          <w:iCs/>
          <w:noProof/>
          <w:szCs w:val="24"/>
        </w:rPr>
        <w:t>Journal of Aging &amp; Social Policy</w:t>
      </w:r>
      <w:r w:rsidRPr="00452E2E">
        <w:rPr>
          <w:noProof/>
          <w:szCs w:val="24"/>
        </w:rPr>
        <w:t>, 24(1), pp.62–76.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Lievens, F. &amp; Chapman, D. (2010). Recruitment and selection. In A. Wilkinson, N. Bacon, T. Redman &amp; S. Snell, eds. </w:t>
      </w:r>
      <w:r w:rsidRPr="00452E2E">
        <w:rPr>
          <w:i/>
          <w:iCs/>
          <w:noProof/>
          <w:szCs w:val="24"/>
        </w:rPr>
        <w:t>The SAGE handbook of human resource management</w:t>
      </w:r>
      <w:r w:rsidRPr="00452E2E">
        <w:rPr>
          <w:noProof/>
          <w:szCs w:val="24"/>
        </w:rPr>
        <w:t>. London: SAGE, pp. 135–154.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pt-PT"/>
        </w:rPr>
        <w:t xml:space="preserve">Lin, Z., Yao, X. &amp; Zhao, Z. (2014). </w:t>
      </w:r>
      <w:r w:rsidRPr="00452E2E">
        <w:rPr>
          <w:noProof/>
          <w:szCs w:val="24"/>
        </w:rPr>
        <w:t xml:space="preserve">The direct and indirect impact of employee benefits on firm performance in China. </w:t>
      </w:r>
      <w:r w:rsidRPr="00452E2E">
        <w:rPr>
          <w:i/>
          <w:iCs/>
          <w:noProof/>
          <w:szCs w:val="24"/>
        </w:rPr>
        <w:t>Asia Pacific Journal of Human Resources</w:t>
      </w:r>
      <w:r w:rsidRPr="00452E2E">
        <w:rPr>
          <w:noProof/>
          <w:szCs w:val="24"/>
        </w:rPr>
        <w:t>, 52(4), pp.476–495.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Locke, E. (1976). The nature and causes of job satisfaction. In M. . Dunnette, ed. </w:t>
      </w:r>
      <w:r w:rsidRPr="00452E2E">
        <w:rPr>
          <w:i/>
          <w:iCs/>
          <w:noProof/>
          <w:szCs w:val="24"/>
        </w:rPr>
        <w:t>Handbook of industrial and organizational psychology</w:t>
      </w:r>
      <w:r w:rsidRPr="00452E2E">
        <w:rPr>
          <w:noProof/>
          <w:szCs w:val="24"/>
        </w:rPr>
        <w:t>. Chicago: Rand McNally, pp. 1297–1343.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Lyons, S.T., Duxbury, L.E. &amp; Higgins, C.A. (2006). A comparison of the values and commitment of private sector, public sector, and parapublic sector employees. </w:t>
      </w:r>
      <w:r w:rsidRPr="00452E2E">
        <w:rPr>
          <w:i/>
          <w:iCs/>
          <w:noProof/>
          <w:szCs w:val="24"/>
        </w:rPr>
        <w:lastRenderedPageBreak/>
        <w:t>Public Administration Review</w:t>
      </w:r>
      <w:r w:rsidRPr="00452E2E">
        <w:rPr>
          <w:noProof/>
          <w:szCs w:val="24"/>
        </w:rPr>
        <w:t>, 66(4), pp.605–618.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Macduffie, J.P. (1995). Human resource bundles and manufacturing performance: Organizational logic and flexible production systmes in the world auto industry. </w:t>
      </w:r>
      <w:r w:rsidRPr="00452E2E">
        <w:rPr>
          <w:i/>
          <w:iCs/>
          <w:noProof/>
          <w:szCs w:val="24"/>
        </w:rPr>
        <w:t>Industrial and Labour Relations Review</w:t>
      </w:r>
      <w:r w:rsidRPr="00452E2E">
        <w:rPr>
          <w:noProof/>
          <w:szCs w:val="24"/>
        </w:rPr>
        <w:t>, 48(2), pp.197–221.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Mack, L. (2010). The philosophical underpinnings of educational research. </w:t>
      </w:r>
      <w:r w:rsidRPr="00452E2E">
        <w:rPr>
          <w:i/>
          <w:iCs/>
          <w:noProof/>
          <w:szCs w:val="24"/>
        </w:rPr>
        <w:t>Polyglossia</w:t>
      </w:r>
      <w:r w:rsidRPr="00452E2E">
        <w:rPr>
          <w:noProof/>
          <w:szCs w:val="24"/>
        </w:rPr>
        <w:t>, 19, pp.5–11.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Macky, K. &amp; Boxall, P. (2008). High-involvement work processes, work intensification and employee well-being: A study of New Zealand worker experiences. </w:t>
      </w:r>
      <w:r w:rsidRPr="00452E2E">
        <w:rPr>
          <w:i/>
          <w:iCs/>
          <w:noProof/>
          <w:szCs w:val="24"/>
        </w:rPr>
        <w:t>Asia Pacific Journal of Human Resources</w:t>
      </w:r>
      <w:r w:rsidRPr="00452E2E">
        <w:rPr>
          <w:noProof/>
          <w:szCs w:val="24"/>
        </w:rPr>
        <w:t>, 46(1), pp.38–55.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Mähler, A. (2010). </w:t>
      </w:r>
      <w:r w:rsidRPr="00452E2E">
        <w:rPr>
          <w:iCs/>
          <w:noProof/>
          <w:szCs w:val="24"/>
        </w:rPr>
        <w:t>Nigeria: A prime example of the resource curse? Revisiting the oil-violence link in the Niger Delta</w:t>
      </w:r>
      <w:r w:rsidRPr="00452E2E">
        <w:rPr>
          <w:noProof/>
          <w:szCs w:val="24"/>
        </w:rPr>
        <w:t xml:space="preserve">, </w:t>
      </w:r>
      <w:r w:rsidRPr="00452E2E">
        <w:rPr>
          <w:i/>
          <w:noProof/>
          <w:szCs w:val="24"/>
        </w:rPr>
        <w:t xml:space="preserve">CIGA Working Paper No. 120. </w:t>
      </w:r>
      <w:r w:rsidRPr="00452E2E">
        <w:rPr>
          <w:noProof/>
          <w:szCs w:val="24"/>
        </w:rPr>
        <w:t>German Institute of Global and Area Studies, Hamburg.</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Malhotra, N.. &amp; Dash, S. (2011). </w:t>
      </w:r>
      <w:r w:rsidRPr="00452E2E">
        <w:rPr>
          <w:i/>
          <w:iCs/>
          <w:noProof/>
          <w:szCs w:val="24"/>
        </w:rPr>
        <w:t>Marketing research: An applied orientation</w:t>
      </w:r>
      <w:r w:rsidRPr="00452E2E">
        <w:rPr>
          <w:noProof/>
          <w:szCs w:val="24"/>
        </w:rPr>
        <w:t>, London: Pearson.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Marchington, M. &amp; Wilkinson, A. (2012). </w:t>
      </w:r>
      <w:r w:rsidRPr="00452E2E">
        <w:rPr>
          <w:i/>
          <w:iCs/>
          <w:noProof/>
          <w:szCs w:val="24"/>
        </w:rPr>
        <w:t>Human resource management at work</w:t>
      </w:r>
      <w:r w:rsidRPr="00452E2E">
        <w:rPr>
          <w:noProof/>
          <w:szCs w:val="24"/>
        </w:rPr>
        <w:t xml:space="preserve"> 5th edition, London: CIPD.</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Mardsen, D. &amp; Cañibano, A. (2010). An Economic perspective on employee participation. In P. J. Gollan, D. Lewin, M. Marchington &amp; A. Wilkinson, eds. </w:t>
      </w:r>
      <w:r w:rsidRPr="00452E2E">
        <w:rPr>
          <w:i/>
          <w:iCs/>
          <w:noProof/>
          <w:szCs w:val="24"/>
        </w:rPr>
        <w:t>The Oxford handbook of participation in organizations</w:t>
      </w:r>
      <w:r w:rsidRPr="00452E2E">
        <w:rPr>
          <w:noProof/>
          <w:szCs w:val="24"/>
        </w:rPr>
        <w:t>. Oxford: Oxford University Press, pp. 131–166.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nl-NL"/>
        </w:rPr>
        <w:t xml:space="preserve">Markovits, Y., Davis, A. &amp; van Dick, R. (2007). </w:t>
      </w:r>
      <w:r w:rsidRPr="00452E2E">
        <w:rPr>
          <w:noProof/>
          <w:szCs w:val="24"/>
        </w:rPr>
        <w:t xml:space="preserve">Organizational commitment profiles and job satisfaction among Greek private and public sector employees. </w:t>
      </w:r>
      <w:r w:rsidRPr="00452E2E">
        <w:rPr>
          <w:i/>
          <w:iCs/>
          <w:noProof/>
          <w:szCs w:val="24"/>
        </w:rPr>
        <w:t>International Journal of Cross Cultural Management</w:t>
      </w:r>
      <w:r w:rsidRPr="00452E2E">
        <w:rPr>
          <w:noProof/>
          <w:szCs w:val="24"/>
        </w:rPr>
        <w:t>, 7(1), pp.77–99.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Martinez, L., White, C., Shapiro, J. &amp; Hebl, M. (2015). Selection bias: Stereotypes and discrimination related to having a history of cancer. </w:t>
      </w:r>
      <w:r w:rsidRPr="00452E2E">
        <w:rPr>
          <w:i/>
          <w:iCs/>
          <w:noProof/>
          <w:szCs w:val="24"/>
        </w:rPr>
        <w:t>Journal of Applied Psychology</w:t>
      </w:r>
      <w:r w:rsidRPr="00452E2E">
        <w:rPr>
          <w:noProof/>
          <w:szCs w:val="24"/>
        </w:rPr>
        <w:t>, 101(1), pp.122–128.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Mathieu, J.E. &amp; Zajac, D.M. (1990). A review and meta-analysis of the antecedents, correlates, and consequences of organizational commitment. </w:t>
      </w:r>
      <w:r w:rsidRPr="00452E2E">
        <w:rPr>
          <w:i/>
          <w:iCs/>
          <w:noProof/>
          <w:szCs w:val="24"/>
        </w:rPr>
        <w:t>Psychological Bulletin</w:t>
      </w:r>
      <w:r w:rsidRPr="00452E2E">
        <w:rPr>
          <w:noProof/>
          <w:szCs w:val="24"/>
        </w:rPr>
        <w:t>, 108(2), pp.171–194.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Mayrhofer, W., Brewster, C., Morley, M.J. &amp; Ledolter, J. (2011). Hearing a different drummer? Convergence of human resource management in Europe - A longitudinal analysis. </w:t>
      </w:r>
      <w:r w:rsidRPr="00452E2E">
        <w:rPr>
          <w:i/>
          <w:iCs/>
          <w:noProof/>
          <w:szCs w:val="24"/>
        </w:rPr>
        <w:t>Human Resource Management Review</w:t>
      </w:r>
      <w:r w:rsidRPr="00452E2E">
        <w:rPr>
          <w:noProof/>
          <w:szCs w:val="24"/>
        </w:rPr>
        <w:t>, 21(1), pp.50–67.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McAuley, J., Duberley, J. &amp; Johnson, P. (2014). </w:t>
      </w:r>
      <w:r w:rsidRPr="00452E2E">
        <w:rPr>
          <w:i/>
          <w:iCs/>
          <w:noProof/>
          <w:szCs w:val="24"/>
        </w:rPr>
        <w:t>Organization theory: Challenges and perspectives</w:t>
      </w:r>
      <w:r w:rsidRPr="00452E2E">
        <w:rPr>
          <w:noProof/>
          <w:szCs w:val="24"/>
        </w:rPr>
        <w:t xml:space="preserve"> 2nd edition, Harlow: Pearson.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Mellahi, K. &amp; Wood, G. (2003). From kinship to trust: Changing recruitment practices in unstable political contexts. </w:t>
      </w:r>
      <w:r w:rsidRPr="00452E2E">
        <w:rPr>
          <w:i/>
          <w:iCs/>
          <w:noProof/>
          <w:szCs w:val="24"/>
        </w:rPr>
        <w:t>International Journal of Cross Cultural Management</w:t>
      </w:r>
      <w:r w:rsidRPr="00452E2E">
        <w:rPr>
          <w:noProof/>
          <w:szCs w:val="24"/>
        </w:rPr>
        <w:t>, 3(3), pp.369–381.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Mendelson, M.B., Turner, N. &amp; Barling, J. (2011). Perceptions of the presence and effectiveness of high involvement work systems and their relationship to employee attitudes: A test of competing models. </w:t>
      </w:r>
      <w:r w:rsidRPr="00452E2E">
        <w:rPr>
          <w:i/>
          <w:iCs/>
          <w:noProof/>
          <w:szCs w:val="24"/>
        </w:rPr>
        <w:t>Personnel Review</w:t>
      </w:r>
      <w:r w:rsidRPr="00452E2E">
        <w:rPr>
          <w:noProof/>
          <w:szCs w:val="24"/>
        </w:rPr>
        <w:t>, 40(1), pp.45–69.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Messersmith, J.G. &amp; Guthrie, J.P. (2010). High performance work systems in emergent organizations: Implications for firm performance. </w:t>
      </w:r>
      <w:r w:rsidRPr="00452E2E">
        <w:rPr>
          <w:i/>
          <w:iCs/>
          <w:noProof/>
          <w:szCs w:val="24"/>
        </w:rPr>
        <w:t>Human Resource Management</w:t>
      </w:r>
      <w:r w:rsidRPr="00452E2E">
        <w:rPr>
          <w:noProof/>
          <w:szCs w:val="24"/>
        </w:rPr>
        <w:t>, 49(2), pp.241–264.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Herscovitch, L. &amp; Topolnytsky, L. (2002). Affective, continuance, and normative commitment to the organization: A meta-analysis of antecedents, correlates, and consequences. </w:t>
      </w:r>
      <w:r w:rsidRPr="00452E2E">
        <w:rPr>
          <w:i/>
          <w:iCs/>
          <w:noProof/>
          <w:szCs w:val="24"/>
        </w:rPr>
        <w:t>Journal of Vocational Behavior</w:t>
      </w:r>
      <w:r w:rsidRPr="00452E2E">
        <w:rPr>
          <w:noProof/>
          <w:szCs w:val="24"/>
        </w:rPr>
        <w:t>, 61(1), pp.20–52.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Stanley, D.J., Jackson, T.A., McInnis, K.J., Maltin, E.R. &amp; Sheppard, L. (2012a). Affective, normative, and continuance commitment levels across cultures: A meta-analysis. </w:t>
      </w:r>
      <w:r w:rsidRPr="00452E2E">
        <w:rPr>
          <w:i/>
          <w:iCs/>
          <w:noProof/>
          <w:szCs w:val="24"/>
        </w:rPr>
        <w:t>Journal of Vocational Behavior</w:t>
      </w:r>
      <w:r w:rsidRPr="00452E2E">
        <w:rPr>
          <w:noProof/>
          <w:szCs w:val="24"/>
        </w:rPr>
        <w:t>, 80(2), pp.225–245.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&amp; Allen, N.J. (1991). A three-component model conceptualization of organizational commitment. </w:t>
      </w:r>
      <w:r w:rsidRPr="00452E2E">
        <w:rPr>
          <w:i/>
          <w:iCs/>
          <w:noProof/>
          <w:szCs w:val="24"/>
        </w:rPr>
        <w:t>Human Resource Management Review</w:t>
      </w:r>
      <w:r w:rsidRPr="00452E2E">
        <w:rPr>
          <w:noProof/>
          <w:szCs w:val="24"/>
        </w:rPr>
        <w:t>, 1(1), pp.61–89.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Allen, N.J. &amp; Smith, C.A. (1993). Commitment to organizations and occupations: Extension and test of a three-component conceptualization. </w:t>
      </w:r>
      <w:r w:rsidRPr="00452E2E">
        <w:rPr>
          <w:i/>
          <w:iCs/>
          <w:noProof/>
          <w:szCs w:val="24"/>
        </w:rPr>
        <w:t>Journal of Applied Psychology</w:t>
      </w:r>
      <w:r w:rsidRPr="00452E2E">
        <w:rPr>
          <w:noProof/>
          <w:szCs w:val="24"/>
        </w:rPr>
        <w:t>, 78(4), pp.538–551.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&amp; Herscovitch, L. (2001). Commitment in the workplace: Toward a general model. </w:t>
      </w:r>
      <w:r w:rsidRPr="00452E2E">
        <w:rPr>
          <w:i/>
          <w:iCs/>
          <w:noProof/>
          <w:szCs w:val="24"/>
        </w:rPr>
        <w:t>Human Resource Management Review</w:t>
      </w:r>
      <w:r w:rsidRPr="00452E2E">
        <w:rPr>
          <w:noProof/>
          <w:szCs w:val="24"/>
        </w:rPr>
        <w:t>, 11(3), pp.299–326.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&amp; Maltin, E.R. (2010). Employee commitment and well-being: A critical review, theoretical framework and research agenda. </w:t>
      </w:r>
      <w:r w:rsidRPr="00452E2E">
        <w:rPr>
          <w:i/>
          <w:iCs/>
          <w:noProof/>
          <w:szCs w:val="24"/>
        </w:rPr>
        <w:t>Journal of Vocational Behavior</w:t>
      </w:r>
      <w:r w:rsidRPr="00452E2E">
        <w:rPr>
          <w:noProof/>
          <w:szCs w:val="24"/>
        </w:rPr>
        <w:t>, 77(2), pp.323–337.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&amp; Parfyonova, N.M. (2010). Normative commitment in the workplace: A theoretical analysis and re-conceptualization. </w:t>
      </w:r>
      <w:r w:rsidRPr="00452E2E">
        <w:rPr>
          <w:i/>
          <w:iCs/>
          <w:noProof/>
          <w:szCs w:val="24"/>
        </w:rPr>
        <w:t>Human Resource Management Review</w:t>
      </w:r>
      <w:r w:rsidRPr="00452E2E">
        <w:rPr>
          <w:noProof/>
          <w:szCs w:val="24"/>
        </w:rPr>
        <w:t>, 20(4), pp.283–294.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&amp; Smith, C.A. (2000). HRM practices and organizational commitment: Test of a mediation model. </w:t>
      </w:r>
      <w:r w:rsidRPr="00452E2E">
        <w:rPr>
          <w:i/>
          <w:iCs/>
          <w:noProof/>
          <w:szCs w:val="24"/>
        </w:rPr>
        <w:t>Canadian Journal of Administrative Sciences</w:t>
      </w:r>
      <w:r w:rsidRPr="00452E2E">
        <w:rPr>
          <w:noProof/>
          <w:szCs w:val="24"/>
        </w:rPr>
        <w:t>, 17(4), pp.319–331.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J.P., Stanley, L.J. &amp; Parfyonova, N.M. (2012b). Employee commitment in context: The nature and implication of commitment profiles. </w:t>
      </w:r>
      <w:r w:rsidRPr="00452E2E">
        <w:rPr>
          <w:i/>
          <w:iCs/>
          <w:noProof/>
          <w:szCs w:val="24"/>
        </w:rPr>
        <w:t>Journal of Vocational Behavior</w:t>
      </w:r>
      <w:r w:rsidRPr="00452E2E">
        <w:rPr>
          <w:noProof/>
          <w:szCs w:val="24"/>
        </w:rPr>
        <w:t>, 80(1), pp.1–16.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Meyer, J.W. &amp; Rowan, B. (1977). Institutionalized organizations: Formal structure as myth and ceremony. </w:t>
      </w:r>
      <w:r w:rsidRPr="00452E2E">
        <w:rPr>
          <w:i/>
          <w:iCs/>
          <w:noProof/>
          <w:szCs w:val="24"/>
        </w:rPr>
        <w:t>American Journal of Sociology</w:t>
      </w:r>
      <w:r w:rsidRPr="00452E2E">
        <w:rPr>
          <w:noProof/>
          <w:szCs w:val="24"/>
        </w:rPr>
        <w:t>, 83(2), p.340.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Miles, M.. &amp; Huberman, M. (1994). </w:t>
      </w:r>
      <w:r w:rsidRPr="00452E2E">
        <w:rPr>
          <w:i/>
          <w:iCs/>
          <w:noProof/>
          <w:szCs w:val="24"/>
        </w:rPr>
        <w:t>Qualitative data analysis</w:t>
      </w:r>
      <w:r w:rsidRPr="00452E2E">
        <w:rPr>
          <w:noProof/>
          <w:szCs w:val="24"/>
        </w:rPr>
        <w:t>, Thousand Oaks, CA: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de-DE"/>
        </w:rPr>
        <w:t xml:space="preserve">Milkovich, G.T., Newman, J. &amp; Gerhart, B. (2011). </w:t>
      </w:r>
      <w:r w:rsidRPr="00452E2E">
        <w:rPr>
          <w:i/>
          <w:iCs/>
          <w:noProof/>
          <w:szCs w:val="24"/>
        </w:rPr>
        <w:t>Compensation</w:t>
      </w:r>
      <w:r w:rsidRPr="00452E2E">
        <w:rPr>
          <w:noProof/>
          <w:szCs w:val="24"/>
        </w:rPr>
        <w:t xml:space="preserve"> 10th edition, New York: McGraw-Hill.</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sv-SE"/>
        </w:rPr>
        <w:t xml:space="preserve">Mirvis, P.H. &amp; Hackett, E.J. (1983). </w:t>
      </w:r>
      <w:r w:rsidRPr="00452E2E">
        <w:rPr>
          <w:noProof/>
          <w:szCs w:val="24"/>
        </w:rPr>
        <w:t xml:space="preserve">Work and work force characteristics in the nonprofit sector. </w:t>
      </w:r>
      <w:r w:rsidRPr="00452E2E">
        <w:rPr>
          <w:i/>
          <w:iCs/>
          <w:noProof/>
          <w:szCs w:val="24"/>
        </w:rPr>
        <w:t>Monthly Labor Review</w:t>
      </w:r>
      <w:r w:rsidRPr="00452E2E">
        <w:rPr>
          <w:noProof/>
          <w:szCs w:val="24"/>
        </w:rPr>
        <w:t>, pp.3–12.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Mohr, R.D. &amp; Zoghi, C. (2008). High involvement management work design and job satisfaction. </w:t>
      </w:r>
      <w:r w:rsidRPr="00452E2E">
        <w:rPr>
          <w:i/>
          <w:iCs/>
          <w:noProof/>
          <w:szCs w:val="24"/>
        </w:rPr>
        <w:t>Industrial and Labour Relations Review</w:t>
      </w:r>
      <w:r w:rsidRPr="00452E2E">
        <w:rPr>
          <w:noProof/>
          <w:szCs w:val="24"/>
        </w:rPr>
        <w:t>, 61(3), pp.275–296.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Moorman, R.H. (1991). Relationship between organizational justice and organizational citizenship behaviors : Do fairness perceptions influence employee </w:t>
      </w:r>
      <w:r w:rsidRPr="00452E2E">
        <w:rPr>
          <w:noProof/>
          <w:szCs w:val="24"/>
        </w:rPr>
        <w:lastRenderedPageBreak/>
        <w:t xml:space="preserve">citizenship? </w:t>
      </w:r>
      <w:r w:rsidRPr="00452E2E">
        <w:rPr>
          <w:i/>
          <w:iCs/>
          <w:noProof/>
          <w:szCs w:val="24"/>
        </w:rPr>
        <w:t>Journal of Applied Psychology</w:t>
      </w:r>
      <w:r w:rsidRPr="00452E2E">
        <w:rPr>
          <w:noProof/>
          <w:szCs w:val="24"/>
        </w:rPr>
        <w:t>, 76(6), pp.845–855.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Moorman, R.H., Niehoff, B.P. &amp; Organ, D.W. (1993). Treating employees fairly and organizational citizenship behavior: Sorting the effects of job satisfaction, organizational commitment, and procedural justice. </w:t>
      </w:r>
      <w:r w:rsidRPr="00452E2E">
        <w:rPr>
          <w:i/>
          <w:iCs/>
          <w:noProof/>
          <w:szCs w:val="24"/>
        </w:rPr>
        <w:t>Employee Responsibilities and Rights Journal</w:t>
      </w:r>
      <w:r w:rsidRPr="00452E2E">
        <w:rPr>
          <w:noProof/>
          <w:szCs w:val="24"/>
        </w:rPr>
        <w:t>, 6(3), pp.209–225.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Moreno-Galbis, E. (2012). The impact of TFP growth on the unemployment rate: Does on-the-job training matter? </w:t>
      </w:r>
      <w:r w:rsidRPr="00452E2E">
        <w:rPr>
          <w:i/>
          <w:iCs/>
          <w:noProof/>
          <w:szCs w:val="24"/>
        </w:rPr>
        <w:t>European Economic Review</w:t>
      </w:r>
      <w:r w:rsidRPr="00452E2E">
        <w:rPr>
          <w:noProof/>
          <w:szCs w:val="24"/>
        </w:rPr>
        <w:t>, 56(8), pp.1692–1713.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Morgan, D. (2014). </w:t>
      </w:r>
      <w:r w:rsidRPr="00452E2E">
        <w:rPr>
          <w:i/>
          <w:iCs/>
          <w:noProof/>
          <w:szCs w:val="24"/>
        </w:rPr>
        <w:t>Integrating qualitative and quantitative methods: A pragmatic approach</w:t>
      </w:r>
      <w:r w:rsidRPr="00452E2E">
        <w:rPr>
          <w:noProof/>
          <w:szCs w:val="24"/>
        </w:rPr>
        <w:t>, Thousand Oaks, CA: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Morgan, G. (2009). Globalization, multinationals and institutional diversity. </w:t>
      </w:r>
      <w:r w:rsidRPr="00452E2E">
        <w:rPr>
          <w:i/>
          <w:iCs/>
          <w:noProof/>
          <w:szCs w:val="24"/>
        </w:rPr>
        <w:t>Economy and Society</w:t>
      </w:r>
      <w:r w:rsidRPr="00452E2E">
        <w:rPr>
          <w:noProof/>
          <w:szCs w:val="24"/>
        </w:rPr>
        <w:t>, 38(4), pp.580–605.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Morrow, P.C. (2011). Managing organizational commitment: Insights from longitudinal research. </w:t>
      </w:r>
      <w:r w:rsidRPr="00452E2E">
        <w:rPr>
          <w:i/>
          <w:iCs/>
          <w:noProof/>
          <w:szCs w:val="24"/>
        </w:rPr>
        <w:t>Journal of Vocational Behavior</w:t>
      </w:r>
      <w:r w:rsidRPr="00452E2E">
        <w:rPr>
          <w:noProof/>
          <w:szCs w:val="24"/>
        </w:rPr>
        <w:t>, 79(1), pp.18–35.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Mostafa, A.M.S. &amp; Gould-Williams, J. (2015). High-performance human resource practices and employee outcomes: The mediating role of public service motivation. </w:t>
      </w:r>
      <w:r w:rsidRPr="00452E2E">
        <w:rPr>
          <w:i/>
          <w:iCs/>
          <w:noProof/>
          <w:szCs w:val="24"/>
        </w:rPr>
        <w:t>Public Administration Review</w:t>
      </w:r>
      <w:r w:rsidRPr="00452E2E">
        <w:rPr>
          <w:noProof/>
          <w:szCs w:val="24"/>
        </w:rPr>
        <w:t>, 75(5), pp.747–757.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Mostafa, A.M.S. &amp; Gould-Williams, J.S. (2014). Testing the mediation effect of person–organization fit on the relationship between high performance HR practices and employee outcomes in the Egyptian public sector. </w:t>
      </w:r>
      <w:r w:rsidRPr="00452E2E">
        <w:rPr>
          <w:i/>
          <w:iCs/>
          <w:noProof/>
          <w:szCs w:val="24"/>
        </w:rPr>
        <w:t>The International Journal of Human Resource Management</w:t>
      </w:r>
      <w:r w:rsidRPr="00452E2E">
        <w:rPr>
          <w:noProof/>
          <w:szCs w:val="24"/>
        </w:rPr>
        <w:t>, 25(2), pp.276–292.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Mott-Stenerson, B. (2008). Integrating qualitative and quantitative theoretical perspectives in applied advertising research. </w:t>
      </w:r>
      <w:r w:rsidRPr="00452E2E">
        <w:rPr>
          <w:i/>
          <w:iCs/>
          <w:noProof/>
          <w:szCs w:val="24"/>
        </w:rPr>
        <w:t>Journal of Business Research</w:t>
      </w:r>
      <w:r w:rsidRPr="00452E2E">
        <w:rPr>
          <w:noProof/>
          <w:szCs w:val="24"/>
        </w:rPr>
        <w:t>, 61(5), pp.431–433.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Mowday, R.T., Steers, R.M. &amp; Porter, L.W. (1979). The measurement of organizational commitment. </w:t>
      </w:r>
      <w:r w:rsidRPr="00452E2E">
        <w:rPr>
          <w:i/>
          <w:iCs/>
          <w:noProof/>
          <w:szCs w:val="24"/>
        </w:rPr>
        <w:t>Journal of Vocational Behavior</w:t>
      </w:r>
      <w:r w:rsidRPr="00452E2E">
        <w:rPr>
          <w:noProof/>
          <w:szCs w:val="24"/>
        </w:rPr>
        <w:t>, 14(2), pp.224–247.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Murray, M.A. (1975). Comparing public and private management :An exploratory essay. </w:t>
      </w:r>
      <w:r w:rsidRPr="00452E2E">
        <w:rPr>
          <w:i/>
          <w:iCs/>
          <w:noProof/>
          <w:szCs w:val="24"/>
        </w:rPr>
        <w:t>Public Administration Review</w:t>
      </w:r>
      <w:r w:rsidRPr="00452E2E">
        <w:rPr>
          <w:noProof/>
          <w:szCs w:val="24"/>
        </w:rPr>
        <w:t>, 35(4), pp.364–371.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Muse, L.A. &amp; Wadsworth, L.L. (2012). An examination of traditional versus non-traditional benefits. </w:t>
      </w:r>
      <w:r w:rsidRPr="00452E2E">
        <w:rPr>
          <w:i/>
          <w:iCs/>
          <w:noProof/>
          <w:szCs w:val="24"/>
        </w:rPr>
        <w:t>Journal of Managerial Psychology</w:t>
      </w:r>
      <w:r w:rsidRPr="00452E2E">
        <w:rPr>
          <w:noProof/>
          <w:szCs w:val="24"/>
        </w:rPr>
        <w:t>, 27(2), pp.112–131.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Mustapha, A.R. (2009). Institutionalising ethnic representation: How effective is affirmative action in Nigeria ? </w:t>
      </w:r>
      <w:r w:rsidRPr="00452E2E">
        <w:rPr>
          <w:i/>
          <w:iCs/>
          <w:noProof/>
          <w:szCs w:val="24"/>
        </w:rPr>
        <w:t>Journal of International Development</w:t>
      </w:r>
      <w:r w:rsidRPr="00452E2E">
        <w:rPr>
          <w:noProof/>
          <w:szCs w:val="24"/>
        </w:rPr>
        <w:t>, 576(43), pp.561–576.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Newenham-Kahindi, A., Kamoche, K., Chizema, A. &amp; Mellahi, K. eds, (2013). </w:t>
      </w:r>
      <w:r w:rsidRPr="00452E2E">
        <w:rPr>
          <w:i/>
          <w:iCs/>
          <w:noProof/>
          <w:szCs w:val="24"/>
        </w:rPr>
        <w:t>Effective people management in Africa</w:t>
      </w:r>
      <w:r w:rsidRPr="00452E2E">
        <w:rPr>
          <w:noProof/>
          <w:szCs w:val="24"/>
        </w:rPr>
        <w:t>, Basingstoke: Palgrave Macmillan.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Newman, A., Thanacoody, R. &amp; Hui, W. (2011). The impact of employee perceptions of training on organisational commitment and turnover intentions: A study of multinationals in the Chinese service sector. </w:t>
      </w:r>
      <w:r w:rsidRPr="00452E2E">
        <w:rPr>
          <w:i/>
          <w:iCs/>
          <w:noProof/>
          <w:szCs w:val="24"/>
        </w:rPr>
        <w:t>The International Journal of Human Resource Management</w:t>
      </w:r>
      <w:r w:rsidRPr="00452E2E">
        <w:rPr>
          <w:noProof/>
          <w:szCs w:val="24"/>
        </w:rPr>
        <w:t>, 22(8), pp.1765–1787.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Ng, T.W.H. &amp; Feldman, D.C. (2011). Affective organizational commitment and citizenship behavior: Linear and non-linear moderating effects of organizational </w:t>
      </w:r>
      <w:r w:rsidRPr="00452E2E">
        <w:rPr>
          <w:noProof/>
          <w:szCs w:val="24"/>
        </w:rPr>
        <w:lastRenderedPageBreak/>
        <w:t xml:space="preserve">tenure. </w:t>
      </w:r>
      <w:r w:rsidRPr="00452E2E">
        <w:rPr>
          <w:i/>
          <w:iCs/>
          <w:noProof/>
          <w:szCs w:val="24"/>
        </w:rPr>
        <w:t>Journal of Vocational Behavior</w:t>
      </w:r>
      <w:r w:rsidRPr="00452E2E">
        <w:rPr>
          <w:noProof/>
          <w:szCs w:val="24"/>
        </w:rPr>
        <w:t>, 79(2), pp.528–537.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Ng, T.W.H., Sorensen, K.L. &amp; Yim, F.H.K. (2009). Does the job satisfaction-job performance relationship vary across cultures? </w:t>
      </w:r>
      <w:r w:rsidRPr="00452E2E">
        <w:rPr>
          <w:i/>
          <w:iCs/>
          <w:noProof/>
          <w:szCs w:val="24"/>
        </w:rPr>
        <w:t>Journal of Cross-Cultural Psychology</w:t>
      </w:r>
      <w:r w:rsidRPr="00452E2E">
        <w:rPr>
          <w:noProof/>
          <w:szCs w:val="24"/>
        </w:rPr>
        <w:t>, 40(5), pp.761–796.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Nishii, L.. &amp; Wright, P.M. (2008). Variability at multiple levels of analysis: Implications for strategic human resource management. In D. Smith, ed. </w:t>
      </w:r>
      <w:r w:rsidRPr="00452E2E">
        <w:rPr>
          <w:i/>
          <w:iCs/>
          <w:noProof/>
          <w:szCs w:val="24"/>
        </w:rPr>
        <w:t>The people make the place</w:t>
      </w:r>
      <w:r w:rsidRPr="00452E2E">
        <w:rPr>
          <w:noProof/>
          <w:szCs w:val="24"/>
        </w:rPr>
        <w:t>. Mahwah, NJ: Erlbaum, pp. 225–248.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Nishii, L.H., Lepak, D.P. &amp; Schneider, B. (2008). Employee attributions of the “why” of HR practices: Their effects on employee attitudes and behaviors, and customer satisfaction. </w:t>
      </w:r>
      <w:r w:rsidRPr="00452E2E">
        <w:rPr>
          <w:i/>
          <w:iCs/>
          <w:noProof/>
          <w:szCs w:val="24"/>
        </w:rPr>
        <w:t>Personnel Psychology</w:t>
      </w:r>
      <w:r w:rsidRPr="00452E2E">
        <w:rPr>
          <w:noProof/>
          <w:szCs w:val="24"/>
        </w:rPr>
        <w:t>, 61(3), pp.503–545.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North, D.C. (1990). </w:t>
      </w:r>
      <w:r w:rsidRPr="00452E2E">
        <w:rPr>
          <w:i/>
          <w:iCs/>
          <w:noProof/>
          <w:szCs w:val="24"/>
        </w:rPr>
        <w:t>Institutions, institutional change and economic performance</w:t>
      </w:r>
      <w:r w:rsidRPr="00452E2E">
        <w:rPr>
          <w:noProof/>
          <w:szCs w:val="24"/>
        </w:rPr>
        <w:t>, Cambridge: Cambridge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Nsamenang, S.A., Hirsch, J.K., Topciu, R., Goodman, A.D. &amp; Duberstein, P.R. (2016). The interrelations between spiritual well-being, pain interference and depressive symptoms in patients with multiple sclerosis. </w:t>
      </w:r>
      <w:r w:rsidRPr="00452E2E">
        <w:rPr>
          <w:i/>
          <w:iCs/>
          <w:noProof/>
          <w:szCs w:val="24"/>
        </w:rPr>
        <w:t>Journal of Behavioral Medicine</w:t>
      </w:r>
      <w:r w:rsidRPr="00452E2E">
        <w:rPr>
          <w:noProof/>
          <w:szCs w:val="24"/>
        </w:rPr>
        <w:t>, 39(2), pp.355–363.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Nutt, P.C. &amp; Backoff, R.W. (1993). Organizational publicness and its implications for strategic management. </w:t>
      </w:r>
      <w:r w:rsidRPr="00452E2E">
        <w:rPr>
          <w:i/>
          <w:iCs/>
          <w:noProof/>
          <w:szCs w:val="24"/>
        </w:rPr>
        <w:t>Journal of Public Administration Research and Theory</w:t>
      </w:r>
      <w:r w:rsidRPr="00452E2E">
        <w:rPr>
          <w:noProof/>
          <w:szCs w:val="24"/>
        </w:rPr>
        <w:t>, 3(2), pp.209–231.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Nwabuzor, A. (2005). Corruption and development: New initiatives in economic openness and strengthened rule of law. </w:t>
      </w:r>
      <w:r w:rsidRPr="00452E2E">
        <w:rPr>
          <w:i/>
          <w:iCs/>
          <w:noProof/>
          <w:szCs w:val="24"/>
        </w:rPr>
        <w:t>Journal of Business Ethics</w:t>
      </w:r>
      <w:r w:rsidRPr="00452E2E">
        <w:rPr>
          <w:noProof/>
          <w:szCs w:val="24"/>
        </w:rPr>
        <w:t>, 59(1), pp.121–138.</w:t>
      </w:r>
    </w:p>
    <w:p w:rsidR="00343E33" w:rsidRPr="00452E2E" w:rsidRDefault="00343E33" w:rsidP="00343E33">
      <w:pPr>
        <w:jc w:val="both"/>
        <w:rPr>
          <w:rFonts w:cs="Times New Roman"/>
          <w:noProof/>
          <w:szCs w:val="24"/>
        </w:rPr>
      </w:pPr>
      <w:r w:rsidRPr="00452E2E">
        <w:rPr>
          <w:rFonts w:cs="Times New Roman"/>
          <w:noProof/>
          <w:szCs w:val="24"/>
        </w:rPr>
        <w:t xml:space="preserve">Nwajiaku-Dahou, K. (2012). The political economy of oil and “rebellion” in Nigeria’s Niger Delta. </w:t>
      </w:r>
      <w:r w:rsidRPr="00452E2E">
        <w:rPr>
          <w:rFonts w:cs="Times New Roman"/>
          <w:i/>
          <w:iCs/>
          <w:noProof/>
          <w:szCs w:val="24"/>
        </w:rPr>
        <w:t>Review of African Political Economy</w:t>
      </w:r>
      <w:r w:rsidRPr="00452E2E">
        <w:rPr>
          <w:rFonts w:cs="Times New Roman"/>
          <w:noProof/>
          <w:szCs w:val="24"/>
        </w:rPr>
        <w:t>, 39(132), pp.295–313.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Nwoye, M. (2002). A focus group discussion approach to the comparative analysis of private and public sector enterprises in Nigeria. </w:t>
      </w:r>
      <w:r w:rsidRPr="00452E2E">
        <w:rPr>
          <w:i/>
          <w:iCs/>
          <w:noProof/>
          <w:szCs w:val="24"/>
        </w:rPr>
        <w:t>Technovation</w:t>
      </w:r>
      <w:r w:rsidRPr="00452E2E">
        <w:rPr>
          <w:noProof/>
          <w:szCs w:val="24"/>
        </w:rPr>
        <w:t>, 22, pp.525–534.</w:t>
      </w:r>
    </w:p>
    <w:p w:rsidR="00343E33" w:rsidRPr="00452E2E" w:rsidRDefault="00343E33" w:rsidP="00343E33">
      <w:pPr>
        <w:jc w:val="both"/>
        <w:rPr>
          <w:rFonts w:cs="Times New Roman"/>
          <w:noProof/>
          <w:szCs w:val="24"/>
        </w:rPr>
      </w:pPr>
      <w:r w:rsidRPr="00452E2E">
        <w:rPr>
          <w:rFonts w:cs="Times New Roman"/>
          <w:noProof/>
          <w:szCs w:val="24"/>
        </w:rPr>
        <w:t xml:space="preserve">Nwozor, A. (2009). Echoes of divergence within: The politics and politicisation of Nigeria’s debt relief. </w:t>
      </w:r>
      <w:r w:rsidRPr="00452E2E">
        <w:rPr>
          <w:rFonts w:cs="Times New Roman"/>
          <w:i/>
          <w:iCs/>
          <w:noProof/>
          <w:szCs w:val="24"/>
        </w:rPr>
        <w:t>Review of African Political Economy</w:t>
      </w:r>
      <w:r w:rsidRPr="00452E2E">
        <w:rPr>
          <w:rFonts w:cs="Times New Roman"/>
          <w:noProof/>
          <w:szCs w:val="24"/>
        </w:rPr>
        <w:t>, 36(119), pp.23–35.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Nzotta, S.M. &amp; Okereke, E. (2009). Financial deepening and economic development of Nigeria: An empirical investigation. </w:t>
      </w:r>
      <w:r w:rsidRPr="00452E2E">
        <w:rPr>
          <w:i/>
          <w:iCs/>
          <w:noProof/>
          <w:szCs w:val="24"/>
        </w:rPr>
        <w:t>African Journal of Accounting, Economics, Finance and Banking Research</w:t>
      </w:r>
      <w:r w:rsidRPr="00452E2E">
        <w:rPr>
          <w:noProof/>
          <w:szCs w:val="24"/>
        </w:rPr>
        <w:t>, 5(5), pp.52–66.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Ogun, T.P. (2010). Infrastructure and poverty reduction: Implications for urban development in Nigeria. </w:t>
      </w:r>
      <w:r w:rsidRPr="00452E2E">
        <w:rPr>
          <w:i/>
          <w:iCs/>
          <w:noProof/>
          <w:szCs w:val="24"/>
        </w:rPr>
        <w:t>Urban Forum</w:t>
      </w:r>
      <w:r w:rsidRPr="00452E2E">
        <w:rPr>
          <w:noProof/>
          <w:szCs w:val="24"/>
        </w:rPr>
        <w:t>, 21(3), pp.249–266.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Og</w:t>
      </w:r>
      <w:r w:rsidR="001C5488" w:rsidRPr="00452E2E">
        <w:rPr>
          <w:noProof/>
          <w:szCs w:val="24"/>
        </w:rPr>
        <w:t>unyomi, P. &amp; Bruning, N.S. (2016</w:t>
      </w:r>
      <w:r w:rsidRPr="00452E2E">
        <w:rPr>
          <w:noProof/>
          <w:szCs w:val="24"/>
        </w:rPr>
        <w:t xml:space="preserve">). Human resource management and organizational performance of small and medium enterprises (SMEs) in Nigeria. </w:t>
      </w:r>
      <w:r w:rsidRPr="00452E2E">
        <w:rPr>
          <w:i/>
          <w:iCs/>
          <w:noProof/>
          <w:szCs w:val="24"/>
        </w:rPr>
        <w:t>The International Journal of Human Resource Management</w:t>
      </w:r>
      <w:r w:rsidRPr="00452E2E">
        <w:rPr>
          <w:noProof/>
          <w:szCs w:val="24"/>
        </w:rPr>
        <w:t>, 27(6), pp.612-634.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Ohana, M., Meyer, M. &amp; Swaton, S. (2012). Decision-making in social enterprises: exploring the link between employee participation and organizational commitment. </w:t>
      </w:r>
      <w:r w:rsidRPr="00452E2E">
        <w:rPr>
          <w:i/>
          <w:iCs/>
          <w:noProof/>
          <w:szCs w:val="24"/>
        </w:rPr>
        <w:t>Nonprofit and Voluntary Sector Quarterly</w:t>
      </w:r>
      <w:r w:rsidRPr="00452E2E">
        <w:rPr>
          <w:noProof/>
          <w:szCs w:val="24"/>
        </w:rPr>
        <w:t>, 42(6), pp.1092–1110.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Okpara, J.O. &amp; Wynn, P. (2008). Human resource management practices in a </w:t>
      </w:r>
      <w:r w:rsidRPr="00452E2E">
        <w:rPr>
          <w:noProof/>
          <w:szCs w:val="24"/>
        </w:rPr>
        <w:lastRenderedPageBreak/>
        <w:t xml:space="preserve">transition economy: Challenges and prospects. </w:t>
      </w:r>
      <w:r w:rsidRPr="00452E2E">
        <w:rPr>
          <w:i/>
          <w:iCs/>
          <w:noProof/>
          <w:szCs w:val="24"/>
        </w:rPr>
        <w:t>Management Research News</w:t>
      </w:r>
      <w:r w:rsidRPr="00452E2E">
        <w:rPr>
          <w:noProof/>
          <w:szCs w:val="24"/>
        </w:rPr>
        <w:t>, 31(1), pp.57–76.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Oliver, C. (1991). Strategic responses to institutional processes. </w:t>
      </w:r>
      <w:r w:rsidRPr="00452E2E">
        <w:rPr>
          <w:i/>
          <w:iCs/>
          <w:noProof/>
          <w:szCs w:val="24"/>
        </w:rPr>
        <w:t>The Academy of Management Review</w:t>
      </w:r>
      <w:r w:rsidRPr="00452E2E">
        <w:rPr>
          <w:noProof/>
          <w:szCs w:val="24"/>
        </w:rPr>
        <w:t>, 16(1), pp.145–179.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Ollo-López, A., Bayo-Moriones, A. &amp; Larraza-Kintana, M. (2016). Disentangling the relationship between high-involvement-work-systems and job satisfaction. </w:t>
      </w:r>
      <w:r w:rsidRPr="00452E2E">
        <w:rPr>
          <w:i/>
          <w:iCs/>
          <w:noProof/>
          <w:szCs w:val="24"/>
        </w:rPr>
        <w:t>Employee Relations</w:t>
      </w:r>
      <w:r w:rsidRPr="00452E2E">
        <w:rPr>
          <w:noProof/>
          <w:szCs w:val="24"/>
        </w:rPr>
        <w:t>, 38(4), pp.620–642.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Olusoji, G., Owoyemi, O. &amp; Adegboye, M. (2014). Meritocracy- 0 versus mediocrity-1 : and mediocrity won: The case of the Nigerian federal character principle (FCP ). </w:t>
      </w:r>
      <w:r w:rsidRPr="00452E2E">
        <w:rPr>
          <w:i/>
          <w:iCs/>
          <w:noProof/>
          <w:szCs w:val="24"/>
        </w:rPr>
        <w:t>International Review of Social Sciences and Humanities</w:t>
      </w:r>
      <w:r w:rsidRPr="00452E2E">
        <w:rPr>
          <w:noProof/>
          <w:szCs w:val="24"/>
        </w:rPr>
        <w:t>, 7(1), pp.46–51.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Omar, M. (2012). Rethinking public service reforms in Nigeria. In F. Adewumi &amp; W. Idowu, eds. </w:t>
      </w:r>
      <w:r w:rsidRPr="00452E2E">
        <w:rPr>
          <w:i/>
          <w:iCs/>
          <w:noProof/>
          <w:szCs w:val="24"/>
        </w:rPr>
        <w:t>Public sector reforms in Africa: Nigerian perspectives</w:t>
      </w:r>
      <w:r w:rsidRPr="00452E2E">
        <w:rPr>
          <w:noProof/>
          <w:szCs w:val="24"/>
        </w:rPr>
        <w:t>. Dakar: CODESRIA, pp. 29–48.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Ovadje, F. &amp; Ankomah, A. (2001). Human resource management in Nigeria. In P. Budhwar &amp; Y. A. Debrah, eds. </w:t>
      </w:r>
      <w:r w:rsidRPr="00452E2E">
        <w:rPr>
          <w:i/>
          <w:iCs/>
          <w:noProof/>
          <w:szCs w:val="24"/>
        </w:rPr>
        <w:t>Human resource management in developing countries</w:t>
      </w:r>
      <w:r w:rsidRPr="00452E2E">
        <w:rPr>
          <w:noProof/>
          <w:szCs w:val="24"/>
        </w:rPr>
        <w:t>. London: Routledge, pp. 174–190.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Owens, P.L.J. (2006). One more reason not to cut your training budget: The relationship between training and organizational outcomes. </w:t>
      </w:r>
      <w:r w:rsidRPr="00452E2E">
        <w:rPr>
          <w:i/>
          <w:iCs/>
          <w:noProof/>
          <w:szCs w:val="24"/>
        </w:rPr>
        <w:t>Public Personnel Management</w:t>
      </w:r>
      <w:r w:rsidRPr="00452E2E">
        <w:rPr>
          <w:noProof/>
          <w:szCs w:val="24"/>
        </w:rPr>
        <w:t>, 35(2), pp.163–172.</w:t>
      </w:r>
    </w:p>
    <w:p w:rsidR="00343E33" w:rsidRPr="00452E2E" w:rsidRDefault="00343E33" w:rsidP="00343E33">
      <w:pPr>
        <w:jc w:val="both"/>
        <w:rPr>
          <w:szCs w:val="24"/>
        </w:rPr>
      </w:pPr>
      <w:r w:rsidRPr="00452E2E">
        <w:rPr>
          <w:szCs w:val="24"/>
        </w:rPr>
        <w:t xml:space="preserve">Oyeranti, G.A., Babatunde, M.A. &amp; Ogunkola, E.O. (2011). An analysis of China-Nigeria relations. </w:t>
      </w:r>
      <w:r w:rsidRPr="00452E2E">
        <w:rPr>
          <w:i/>
          <w:szCs w:val="24"/>
        </w:rPr>
        <w:t xml:space="preserve">Journal of Chinese Economic and Foreign Trade Studies, </w:t>
      </w:r>
      <w:r w:rsidRPr="00452E2E">
        <w:rPr>
          <w:szCs w:val="24"/>
        </w:rPr>
        <w:t>4(3), pp. 183-199.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Paauwe, J. (2004). </w:t>
      </w:r>
      <w:r w:rsidRPr="00452E2E">
        <w:rPr>
          <w:i/>
          <w:iCs/>
          <w:noProof/>
          <w:szCs w:val="24"/>
        </w:rPr>
        <w:t>HRM and performance: Achieving long term viability</w:t>
      </w:r>
      <w:r w:rsidRPr="00452E2E">
        <w:rPr>
          <w:noProof/>
          <w:szCs w:val="24"/>
        </w:rPr>
        <w:t>, New York: Oxford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Paauwe, J. &amp; Boselie, P. (2003). Challenging the “strategic HRM” and the relevance of the institutional setting. </w:t>
      </w:r>
      <w:r w:rsidRPr="00452E2E">
        <w:rPr>
          <w:i/>
          <w:iCs/>
          <w:noProof/>
          <w:szCs w:val="24"/>
        </w:rPr>
        <w:t>Human Resource Management Journal</w:t>
      </w:r>
      <w:r w:rsidRPr="00452E2E">
        <w:rPr>
          <w:noProof/>
          <w:szCs w:val="24"/>
        </w:rPr>
        <w:t>, 13(3), pp.56–70.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Paauwe, J. &amp; Boselie, P. (2007). HRM and societal embeddedness. In P. Boxall, J. Purcell, &amp; P. Wright, eds. </w:t>
      </w:r>
      <w:r w:rsidRPr="00452E2E">
        <w:rPr>
          <w:i/>
          <w:iCs/>
          <w:noProof/>
          <w:szCs w:val="24"/>
        </w:rPr>
        <w:t>The Oxford handbook of human resource management</w:t>
      </w:r>
      <w:r w:rsidRPr="00452E2E">
        <w:rPr>
          <w:noProof/>
          <w:szCs w:val="24"/>
        </w:rPr>
        <w:t>. New York: Oxford University Press, pp. 166–184.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Pagano, M. &amp; Volpin, P. (2005). The political economy of corporate governance. </w:t>
      </w:r>
      <w:r w:rsidRPr="00452E2E">
        <w:rPr>
          <w:i/>
          <w:iCs/>
          <w:noProof/>
          <w:szCs w:val="24"/>
        </w:rPr>
        <w:t>American Economic Review</w:t>
      </w:r>
      <w:r w:rsidRPr="00452E2E">
        <w:rPr>
          <w:noProof/>
          <w:szCs w:val="24"/>
        </w:rPr>
        <w:t>, 95(4), pp.1005–1030.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Paré, G. &amp; Tremblay, M. (2007). The influence of high-involvement human resource practices, procedural justice, organizational commitment, and citizenship behaviors on information technology professionals ’ turnover intentions. </w:t>
      </w:r>
      <w:r w:rsidRPr="00452E2E">
        <w:rPr>
          <w:i/>
          <w:iCs/>
          <w:noProof/>
          <w:szCs w:val="24"/>
        </w:rPr>
        <w:t>Group &amp; Organization Management</w:t>
      </w:r>
      <w:r w:rsidRPr="00452E2E">
        <w:rPr>
          <w:noProof/>
          <w:szCs w:val="24"/>
        </w:rPr>
        <w:t>, 32(3), pp.326–357.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Patterson, M.G., West, M.A., Lawthom, R. &amp; Nickell, S. (1997). </w:t>
      </w:r>
      <w:r w:rsidRPr="00452E2E">
        <w:rPr>
          <w:i/>
          <w:iCs/>
          <w:noProof/>
          <w:szCs w:val="24"/>
        </w:rPr>
        <w:t>Impact of people management practices on business performance</w:t>
      </w:r>
      <w:r w:rsidRPr="00452E2E">
        <w:rPr>
          <w:noProof/>
          <w:szCs w:val="24"/>
        </w:rPr>
        <w:t>, London: Institue of Personnel and Development.</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Paul,  A. K. &amp; Anantharaman, R.N. (2004). Influence of HRM practices on organizational commitment: A study among software professionals in India. </w:t>
      </w:r>
      <w:r w:rsidRPr="00452E2E">
        <w:rPr>
          <w:i/>
          <w:iCs/>
          <w:noProof/>
          <w:szCs w:val="24"/>
        </w:rPr>
        <w:t>Human Resource Development Quarterly</w:t>
      </w:r>
      <w:r w:rsidRPr="00452E2E">
        <w:rPr>
          <w:noProof/>
          <w:szCs w:val="24"/>
        </w:rPr>
        <w:t>, 15(1), pp.77–88.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Peck, J. (2010). </w:t>
      </w:r>
      <w:r w:rsidRPr="00452E2E">
        <w:rPr>
          <w:i/>
          <w:iCs/>
          <w:noProof/>
          <w:szCs w:val="24"/>
        </w:rPr>
        <w:t>Constructions of neoliberalism</w:t>
      </w:r>
      <w:r w:rsidRPr="00452E2E">
        <w:rPr>
          <w:noProof/>
          <w:szCs w:val="24"/>
        </w:rPr>
        <w:t>, Oxford: Oxford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Perry, J.L. &amp; Rainey, H.G. (1988). The public-private distinction in organization theory: A critique and research strategy. </w:t>
      </w:r>
      <w:r w:rsidRPr="00452E2E">
        <w:rPr>
          <w:i/>
          <w:iCs/>
          <w:noProof/>
          <w:szCs w:val="24"/>
        </w:rPr>
        <w:t>Academy of management review</w:t>
      </w:r>
      <w:r w:rsidRPr="00452E2E">
        <w:rPr>
          <w:noProof/>
          <w:szCs w:val="24"/>
        </w:rPr>
        <w:t>, 13(2), pp.182–201.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Petrescu, A.I. &amp; Simmons, R. (2008). Human resource management practices and workers’ job satisfaction. </w:t>
      </w:r>
      <w:r w:rsidRPr="00452E2E">
        <w:rPr>
          <w:i/>
          <w:iCs/>
          <w:noProof/>
          <w:szCs w:val="24"/>
        </w:rPr>
        <w:t>International Journal of Manpower</w:t>
      </w:r>
      <w:r w:rsidRPr="00452E2E">
        <w:rPr>
          <w:noProof/>
          <w:szCs w:val="24"/>
        </w:rPr>
        <w:t>, 29(7), pp.651–667.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Piening, E.P., Baluch, A.M. &amp; Ridder, H.-G. (2014). Mind the intended-implemented gap: Understanding employees’ perceptions of HRM. </w:t>
      </w:r>
      <w:r w:rsidRPr="00452E2E">
        <w:rPr>
          <w:i/>
          <w:iCs/>
          <w:noProof/>
          <w:szCs w:val="24"/>
        </w:rPr>
        <w:t>Human Resource Management</w:t>
      </w:r>
      <w:r w:rsidRPr="00452E2E">
        <w:rPr>
          <w:noProof/>
          <w:szCs w:val="24"/>
        </w:rPr>
        <w:t>, 53(4), pp.545–567.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Piening, E.P., Baluch, A.M. &amp; Salge, T.O. (2013). The relationship between employees’ perceptions of human resource systems and organizational performance: Examining mediating mechanisms and temporal dynamics. </w:t>
      </w:r>
      <w:r w:rsidRPr="00452E2E">
        <w:rPr>
          <w:i/>
          <w:iCs/>
          <w:noProof/>
          <w:szCs w:val="24"/>
        </w:rPr>
        <w:t>Journal of Applied Psychology</w:t>
      </w:r>
      <w:r w:rsidRPr="00452E2E">
        <w:rPr>
          <w:noProof/>
          <w:szCs w:val="24"/>
        </w:rPr>
        <w:t>, 98(6), pp.926–47.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Pollitt, C. &amp; Bouckaert, G. (2004). </w:t>
      </w:r>
      <w:r w:rsidRPr="00452E2E">
        <w:rPr>
          <w:i/>
          <w:iCs/>
          <w:noProof/>
          <w:szCs w:val="24"/>
        </w:rPr>
        <w:t>Public management reform: A comparative perspective</w:t>
      </w:r>
      <w:r w:rsidRPr="00452E2E">
        <w:rPr>
          <w:noProof/>
          <w:szCs w:val="24"/>
        </w:rPr>
        <w:t>, Oxford: Oxford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sv-SE"/>
        </w:rPr>
        <w:t xml:space="preserve">Polsa, P., Spens, K., Soneye, A. &amp; Antai, I. (2011). </w:t>
      </w:r>
      <w:r w:rsidRPr="00452E2E">
        <w:rPr>
          <w:noProof/>
          <w:szCs w:val="24"/>
        </w:rPr>
        <w:t xml:space="preserve">Comparing the perceived quality of private and public health services in Nigeria. </w:t>
      </w:r>
      <w:r w:rsidRPr="00452E2E">
        <w:rPr>
          <w:i/>
          <w:iCs/>
          <w:noProof/>
          <w:szCs w:val="24"/>
        </w:rPr>
        <w:t>Journal of Management Policy and Practice</w:t>
      </w:r>
      <w:r w:rsidRPr="00452E2E">
        <w:rPr>
          <w:noProof/>
          <w:szCs w:val="24"/>
        </w:rPr>
        <w:t>, 12(7), pp.18–26.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Porter, L.W., Steers, R.M., Mowday, R.T. &amp; Boulian, R.V. (1974). Organizational commitment, job satisfaction, and turnover among psychiatric technicians. </w:t>
      </w:r>
      <w:r w:rsidRPr="00452E2E">
        <w:rPr>
          <w:i/>
          <w:iCs/>
          <w:noProof/>
          <w:szCs w:val="24"/>
        </w:rPr>
        <w:t>Journal of Applied Psychology</w:t>
      </w:r>
      <w:r w:rsidRPr="00452E2E">
        <w:rPr>
          <w:noProof/>
          <w:szCs w:val="24"/>
        </w:rPr>
        <w:t>, 59(5), pp.603–609.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Preacher, K.J. &amp; Kelley, K. (2011). Effect size measures for mediation models: Quantitative strategies for communicating indirect effects. </w:t>
      </w:r>
      <w:r w:rsidRPr="00452E2E">
        <w:rPr>
          <w:i/>
          <w:iCs/>
          <w:noProof/>
          <w:szCs w:val="24"/>
        </w:rPr>
        <w:t>Psychological Methods</w:t>
      </w:r>
      <w:r w:rsidRPr="00452E2E">
        <w:rPr>
          <w:noProof/>
          <w:szCs w:val="24"/>
        </w:rPr>
        <w:t>, 16(2), pp.93–115.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Preacher, K.J., Rucker, D.D. &amp; Hayes, A.F. (2007). Addressing moderated mediation hypotheses: Theory, methods, and prescriptions. </w:t>
      </w:r>
      <w:r w:rsidRPr="00452E2E">
        <w:rPr>
          <w:i/>
          <w:iCs/>
          <w:noProof/>
          <w:szCs w:val="24"/>
        </w:rPr>
        <w:t>Multivariate Behavioral Research</w:t>
      </w:r>
      <w:r w:rsidRPr="00452E2E">
        <w:rPr>
          <w:noProof/>
          <w:szCs w:val="24"/>
        </w:rPr>
        <w:t>, 42(1), pp.185–227.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Qiao, K., Khilji, S. &amp; Wang, X. (2009). High-performance work systems, organizational commitment, and the role of demographic features in the People’s Republic of China. </w:t>
      </w:r>
      <w:r w:rsidRPr="00452E2E">
        <w:rPr>
          <w:i/>
          <w:iCs/>
          <w:noProof/>
          <w:szCs w:val="24"/>
        </w:rPr>
        <w:t>The International Journal of Human Resource Management</w:t>
      </w:r>
      <w:r w:rsidRPr="00452E2E">
        <w:rPr>
          <w:noProof/>
          <w:szCs w:val="24"/>
        </w:rPr>
        <w:t>, 20(11), pp.2311–2330.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Rainey, H.G. (1979). Perceptions of incentives in business and government: Implications for civil service reform. </w:t>
      </w:r>
      <w:r w:rsidRPr="00452E2E">
        <w:rPr>
          <w:i/>
          <w:iCs/>
          <w:noProof/>
          <w:szCs w:val="24"/>
        </w:rPr>
        <w:t>Public Administration Review</w:t>
      </w:r>
      <w:r w:rsidRPr="00452E2E">
        <w:rPr>
          <w:noProof/>
          <w:szCs w:val="24"/>
        </w:rPr>
        <w:t>, 39(5), pp.440–448.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Rainey, H.G. (2014). </w:t>
      </w:r>
      <w:r w:rsidRPr="00452E2E">
        <w:rPr>
          <w:i/>
          <w:iCs/>
          <w:noProof/>
          <w:szCs w:val="24"/>
        </w:rPr>
        <w:t>Understanding and managing public organizations</w:t>
      </w:r>
      <w:r w:rsidRPr="00452E2E">
        <w:rPr>
          <w:noProof/>
          <w:szCs w:val="24"/>
        </w:rPr>
        <w:t xml:space="preserve"> 5th edition, San Francisco CA: Jossey-Bass.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Rainey, H.G. &amp; Bozeman, B. (2000). Comparing public and private organizations: Empirical research and the power of the a priori. </w:t>
      </w:r>
      <w:r w:rsidRPr="00452E2E">
        <w:rPr>
          <w:i/>
          <w:iCs/>
          <w:noProof/>
          <w:szCs w:val="24"/>
        </w:rPr>
        <w:t>Journal of Public Administration Research and Theory</w:t>
      </w:r>
      <w:r w:rsidRPr="00452E2E">
        <w:rPr>
          <w:noProof/>
          <w:szCs w:val="24"/>
        </w:rPr>
        <w:t>, 10(2), pp.447–470.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Redman, T. &amp; Wilkinson, A. (2013). Human resource management: A contemporary perspective. In A. Wilkinson &amp; T. Redman, eds. </w:t>
      </w:r>
      <w:r w:rsidRPr="00452E2E">
        <w:rPr>
          <w:i/>
          <w:iCs/>
          <w:noProof/>
          <w:szCs w:val="24"/>
        </w:rPr>
        <w:t xml:space="preserve">Contemporary </w:t>
      </w:r>
      <w:r w:rsidRPr="00452E2E">
        <w:rPr>
          <w:i/>
          <w:iCs/>
          <w:noProof/>
          <w:szCs w:val="24"/>
        </w:rPr>
        <w:lastRenderedPageBreak/>
        <w:t>human resource management: Text and cases</w:t>
      </w:r>
      <w:r w:rsidRPr="00452E2E">
        <w:rPr>
          <w:noProof/>
          <w:szCs w:val="24"/>
        </w:rPr>
        <w:t>. Harlow: Pearson, pp. 4–40.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Rees, C. (2013). Human resource management in public sector in developing countries. In R. . Burke, A. . Noblet, &amp; C. L. Cooper, eds. </w:t>
      </w:r>
      <w:r w:rsidRPr="00452E2E">
        <w:rPr>
          <w:i/>
          <w:iCs/>
          <w:noProof/>
          <w:szCs w:val="24"/>
        </w:rPr>
        <w:t>Human resource management in the public sector</w:t>
      </w:r>
      <w:r w:rsidRPr="00452E2E">
        <w:rPr>
          <w:noProof/>
          <w:szCs w:val="24"/>
        </w:rPr>
        <w:t>. Cheltenham, UK: Edward Elgar, pp. 37–60.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Rhoades, L. &amp; Eisenberger, R. (2002). Perceived organizational support: A review of the literature. </w:t>
      </w:r>
      <w:r w:rsidRPr="00452E2E">
        <w:rPr>
          <w:i/>
          <w:iCs/>
          <w:noProof/>
          <w:szCs w:val="24"/>
        </w:rPr>
        <w:t>Journal of Applied Psychology</w:t>
      </w:r>
      <w:r w:rsidRPr="00452E2E">
        <w:rPr>
          <w:noProof/>
          <w:szCs w:val="24"/>
        </w:rPr>
        <w:t>, 87(4), pp.698–714.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Richard, O.C. &amp; Johnson, N.B. (2001). Strategic human resource management effectiveness and firm performance. </w:t>
      </w:r>
      <w:r w:rsidRPr="00452E2E">
        <w:rPr>
          <w:i/>
          <w:iCs/>
          <w:noProof/>
          <w:szCs w:val="24"/>
        </w:rPr>
        <w:t>International Journal of Human Resource Management</w:t>
      </w:r>
      <w:r w:rsidRPr="00452E2E">
        <w:rPr>
          <w:noProof/>
          <w:szCs w:val="24"/>
        </w:rPr>
        <w:t>, 12(2), pp.299–310.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Riketta, M. (2002). Attitudinal organizational commitment and job performance: A meta-analysis. </w:t>
      </w:r>
      <w:r w:rsidRPr="00452E2E">
        <w:rPr>
          <w:i/>
          <w:iCs/>
          <w:noProof/>
          <w:szCs w:val="24"/>
        </w:rPr>
        <w:t>Journal of Organizational Behavior</w:t>
      </w:r>
      <w:r w:rsidRPr="00452E2E">
        <w:rPr>
          <w:noProof/>
          <w:szCs w:val="24"/>
        </w:rPr>
        <w:t>, 23(3), pp.257–266.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Roe, M. (2003). </w:t>
      </w:r>
      <w:r w:rsidRPr="00452E2E">
        <w:rPr>
          <w:i/>
          <w:iCs/>
          <w:noProof/>
          <w:szCs w:val="24"/>
        </w:rPr>
        <w:t>Political determinants of corporate governance</w:t>
      </w:r>
      <w:r w:rsidRPr="00452E2E">
        <w:rPr>
          <w:noProof/>
          <w:szCs w:val="24"/>
        </w:rPr>
        <w:t>, Oxford: Oxford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Roulin, N., Bangerter, A. &amp; Yerly, E. (2011). The uniqueness effect in selection interviews. </w:t>
      </w:r>
      <w:r w:rsidRPr="00452E2E">
        <w:rPr>
          <w:i/>
          <w:iCs/>
          <w:noProof/>
          <w:szCs w:val="24"/>
        </w:rPr>
        <w:t>Journal of Personnel Psychology</w:t>
      </w:r>
      <w:r w:rsidRPr="00452E2E">
        <w:rPr>
          <w:noProof/>
          <w:szCs w:val="24"/>
        </w:rPr>
        <w:t>, 10(1), pp.43–47.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Ryan, A.M. &amp; Derous, E. (2016). Highlighting tensions in recruitment and selection research and practice. </w:t>
      </w:r>
      <w:r w:rsidRPr="00452E2E">
        <w:rPr>
          <w:i/>
          <w:iCs/>
          <w:noProof/>
          <w:szCs w:val="24"/>
        </w:rPr>
        <w:t>International Journal of Selection and Assessment</w:t>
      </w:r>
      <w:r w:rsidRPr="00452E2E">
        <w:rPr>
          <w:noProof/>
          <w:szCs w:val="24"/>
        </w:rPr>
        <w:t>, 24(1), pp.54–62.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Saari, L. &amp; Judge, T.A. (2004). Employee attitudes and job satisfaction. </w:t>
      </w:r>
      <w:r w:rsidRPr="00452E2E">
        <w:rPr>
          <w:i/>
          <w:iCs/>
          <w:noProof/>
          <w:szCs w:val="24"/>
        </w:rPr>
        <w:t>Human Resource Management</w:t>
      </w:r>
      <w:r w:rsidRPr="00452E2E">
        <w:rPr>
          <w:noProof/>
          <w:szCs w:val="24"/>
        </w:rPr>
        <w:t>, 43(4), pp.395–407.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Saks, A.M. &amp; Burke-Smalley, L.A. (2014). Is transfer of training related to firm performance? </w:t>
      </w:r>
      <w:r w:rsidRPr="00452E2E">
        <w:rPr>
          <w:i/>
          <w:iCs/>
          <w:noProof/>
          <w:szCs w:val="24"/>
        </w:rPr>
        <w:t>International Journal of Training and Development</w:t>
      </w:r>
      <w:r w:rsidRPr="00452E2E">
        <w:rPr>
          <w:noProof/>
          <w:szCs w:val="24"/>
        </w:rPr>
        <w:t>, 18(2), pp.104–115.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Salas, E., Tannebaum, S., Kraiger, K. &amp; SMith-Jentsch, K. (2012). The science of training and development in organizations: What matters in practice. </w:t>
      </w:r>
      <w:r w:rsidRPr="00452E2E">
        <w:rPr>
          <w:i/>
          <w:iCs/>
          <w:noProof/>
          <w:szCs w:val="24"/>
        </w:rPr>
        <w:t>Psychological Science in the Public Interest</w:t>
      </w:r>
      <w:r w:rsidRPr="00452E2E">
        <w:rPr>
          <w:noProof/>
          <w:szCs w:val="24"/>
        </w:rPr>
        <w:t>, 13(2), pp.74–101.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Sandelowski, M. (2000). Combining qualitative and quantitative sampling, data collection, and analysis techniques in mixed-method studies. </w:t>
      </w:r>
      <w:r w:rsidRPr="00452E2E">
        <w:rPr>
          <w:i/>
          <w:iCs/>
          <w:noProof/>
          <w:szCs w:val="24"/>
        </w:rPr>
        <w:t>Research in Nursing &amp; Health</w:t>
      </w:r>
      <w:r w:rsidRPr="00452E2E">
        <w:rPr>
          <w:noProof/>
          <w:szCs w:val="24"/>
        </w:rPr>
        <w:t>, 23(3), pp.246–255.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Sanders, K., Dorenbosch, L. &amp; Reuver, R. D. (2008). The impact of individual and shared employee perceptions of HRM on affective commitment: Considering climate strength. </w:t>
      </w:r>
      <w:r w:rsidRPr="00452E2E">
        <w:rPr>
          <w:i/>
          <w:iCs/>
          <w:noProof/>
          <w:szCs w:val="24"/>
        </w:rPr>
        <w:t>Personnel Review</w:t>
      </w:r>
      <w:r w:rsidRPr="00452E2E">
        <w:rPr>
          <w:noProof/>
          <w:szCs w:val="24"/>
        </w:rPr>
        <w:t>, 37(4), pp.412–425.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Saridakis, G., Muñoz Torres, R. &amp; Johnstone, S. (2013). Do human resource practices enhance organizational commitment in SMEs with low employee satisfaction? </w:t>
      </w:r>
      <w:r w:rsidRPr="00452E2E">
        <w:rPr>
          <w:i/>
          <w:iCs/>
          <w:noProof/>
          <w:szCs w:val="24"/>
        </w:rPr>
        <w:t>British Journal of Management</w:t>
      </w:r>
      <w:r w:rsidRPr="00452E2E">
        <w:rPr>
          <w:noProof/>
          <w:szCs w:val="24"/>
        </w:rPr>
        <w:t>, 24(3), pp.445–458.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Saunders, M., Lewis, P. &amp; Thornhill, A. (2012). </w:t>
      </w:r>
      <w:r w:rsidRPr="00452E2E">
        <w:rPr>
          <w:i/>
          <w:iCs/>
          <w:noProof/>
          <w:szCs w:val="24"/>
        </w:rPr>
        <w:t>Research methods for business students</w:t>
      </w:r>
      <w:r w:rsidRPr="00452E2E">
        <w:rPr>
          <w:noProof/>
          <w:szCs w:val="24"/>
        </w:rPr>
        <w:t xml:space="preserve"> 6th edition, Harlow: Pearson.</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Scheffer, J. (2002). Dealing with missing data. </w:t>
      </w:r>
      <w:r w:rsidRPr="00452E2E">
        <w:rPr>
          <w:i/>
          <w:iCs/>
          <w:noProof/>
          <w:szCs w:val="24"/>
        </w:rPr>
        <w:t>Research Letters in the Information and Mathematical Sciences</w:t>
      </w:r>
      <w:r w:rsidRPr="00452E2E">
        <w:rPr>
          <w:noProof/>
          <w:szCs w:val="24"/>
        </w:rPr>
        <w:t>, 3, pp.153–160.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de-DE"/>
        </w:rPr>
        <w:t xml:space="preserve">Schneider, D.S. &amp; Vaught, B.C. (1993). </w:t>
      </w:r>
      <w:r w:rsidRPr="00452E2E">
        <w:rPr>
          <w:noProof/>
          <w:szCs w:val="24"/>
        </w:rPr>
        <w:t xml:space="preserve">A comparison of job satisfaction between </w:t>
      </w:r>
      <w:r w:rsidRPr="00452E2E">
        <w:rPr>
          <w:noProof/>
          <w:szCs w:val="24"/>
        </w:rPr>
        <w:lastRenderedPageBreak/>
        <w:t xml:space="preserve">public and private sector managers. </w:t>
      </w:r>
      <w:r w:rsidRPr="00452E2E">
        <w:rPr>
          <w:i/>
          <w:iCs/>
          <w:noProof/>
          <w:szCs w:val="24"/>
        </w:rPr>
        <w:t>Public Administration Quarterly</w:t>
      </w:r>
      <w:r w:rsidRPr="00452E2E">
        <w:rPr>
          <w:noProof/>
          <w:szCs w:val="24"/>
        </w:rPr>
        <w:t>, 17(1), pp.68–83.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Scott, P.G. &amp; Falcone, S. (1998). Comparing public and private organizations: An exploratory analysis of three frameworks. </w:t>
      </w:r>
      <w:r w:rsidRPr="00452E2E">
        <w:rPr>
          <w:i/>
          <w:iCs/>
          <w:noProof/>
          <w:szCs w:val="24"/>
        </w:rPr>
        <w:t>The American Review of Public Administration</w:t>
      </w:r>
      <w:r w:rsidRPr="00452E2E">
        <w:rPr>
          <w:noProof/>
          <w:szCs w:val="24"/>
        </w:rPr>
        <w:t>, 28, pp.126–145.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Scott, W.R. (2008). Approaching adulthood: The maturing of institutional theory. </w:t>
      </w:r>
      <w:r w:rsidRPr="00452E2E">
        <w:rPr>
          <w:i/>
          <w:iCs/>
          <w:noProof/>
          <w:szCs w:val="24"/>
        </w:rPr>
        <w:t>Theory and Society</w:t>
      </w:r>
      <w:r w:rsidRPr="00452E2E">
        <w:rPr>
          <w:noProof/>
          <w:szCs w:val="24"/>
        </w:rPr>
        <w:t>, 37(5), pp.427–442.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Scott, W.R. (2014). </w:t>
      </w:r>
      <w:r w:rsidRPr="00452E2E">
        <w:rPr>
          <w:i/>
          <w:iCs/>
          <w:noProof/>
          <w:szCs w:val="24"/>
        </w:rPr>
        <w:t>Institutions and organizations: Ideas, interests, and identities</w:t>
      </w:r>
      <w:r w:rsidRPr="00452E2E">
        <w:rPr>
          <w:noProof/>
          <w:szCs w:val="24"/>
        </w:rPr>
        <w:t xml:space="preserve"> 4th edition, Los Angeles: SAGE.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Scott, W.R. (2008). Lords of the dance: Professionals as institutional agents. </w:t>
      </w:r>
      <w:r w:rsidRPr="00452E2E">
        <w:rPr>
          <w:i/>
          <w:iCs/>
          <w:noProof/>
          <w:szCs w:val="24"/>
        </w:rPr>
        <w:t>Organization Studies</w:t>
      </w:r>
      <w:r w:rsidRPr="00452E2E">
        <w:rPr>
          <w:noProof/>
          <w:szCs w:val="24"/>
        </w:rPr>
        <w:t>, 29(2), pp.219–238.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Scott, W.R. (2010). Reflections: The past and future of research on institutions and institutional change. </w:t>
      </w:r>
      <w:r w:rsidRPr="00452E2E">
        <w:rPr>
          <w:i/>
          <w:iCs/>
          <w:noProof/>
          <w:szCs w:val="24"/>
        </w:rPr>
        <w:t>Journal of Change Management</w:t>
      </w:r>
      <w:r w:rsidRPr="00452E2E">
        <w:rPr>
          <w:noProof/>
          <w:szCs w:val="24"/>
        </w:rPr>
        <w:t>, 10(1), pp.5–21.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Searle, R. (2009). Recruitment and selection. In D. G. Collings &amp; G. Wood, eds. </w:t>
      </w:r>
      <w:r w:rsidRPr="00452E2E">
        <w:rPr>
          <w:i/>
          <w:iCs/>
          <w:noProof/>
          <w:szCs w:val="24"/>
        </w:rPr>
        <w:t>Human resource management: A critical approach</w:t>
      </w:r>
      <w:r w:rsidRPr="00452E2E">
        <w:rPr>
          <w:noProof/>
          <w:szCs w:val="24"/>
        </w:rPr>
        <w:t>. London: Routledge, pp. 151–168.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Sekaran, U. &amp; Bougie, R. (2010). </w:t>
      </w:r>
      <w:r w:rsidRPr="00452E2E">
        <w:rPr>
          <w:i/>
          <w:iCs/>
          <w:noProof/>
          <w:szCs w:val="24"/>
        </w:rPr>
        <w:t>Research methods for business: A skill building approach</w:t>
      </w:r>
      <w:r w:rsidRPr="00452E2E">
        <w:rPr>
          <w:noProof/>
          <w:szCs w:val="24"/>
        </w:rPr>
        <w:t xml:space="preserve"> 3rd edition, New York: John Wiley.</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sv-SE"/>
        </w:rPr>
        <w:t xml:space="preserve">Shamsudin, F.M. &amp; Ramalu, S.S. (2014). </w:t>
      </w:r>
      <w:r w:rsidRPr="00452E2E">
        <w:rPr>
          <w:noProof/>
          <w:szCs w:val="24"/>
        </w:rPr>
        <w:t xml:space="preserve">The influence of HR practices and job satisfaction on interpersonal deviance in the workplace. </w:t>
      </w:r>
      <w:r w:rsidRPr="00452E2E">
        <w:rPr>
          <w:i/>
          <w:iCs/>
          <w:noProof/>
          <w:szCs w:val="24"/>
        </w:rPr>
        <w:t>Journal of Management &amp; Organization</w:t>
      </w:r>
      <w:r w:rsidRPr="00452E2E">
        <w:rPr>
          <w:noProof/>
          <w:szCs w:val="24"/>
        </w:rPr>
        <w:t>, 20(5), pp.691–709.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Shury, J., Winterbotham, M., Davies, B., Oldfield, K., Spilsbury, M., Constable, S. (2010). </w:t>
      </w:r>
      <w:r w:rsidRPr="00452E2E">
        <w:rPr>
          <w:i/>
          <w:iCs/>
          <w:noProof/>
          <w:szCs w:val="24"/>
        </w:rPr>
        <w:t>National employer skills survey for England 2009: Main report</w:t>
      </w:r>
      <w:r w:rsidRPr="00452E2E">
        <w:rPr>
          <w:noProof/>
          <w:szCs w:val="24"/>
        </w:rPr>
        <w:t>, London: UKCES.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Simon, H. A. (1995). Organizations and Markets. </w:t>
      </w:r>
      <w:r w:rsidRPr="00452E2E">
        <w:rPr>
          <w:i/>
          <w:iCs/>
          <w:noProof/>
          <w:szCs w:val="24"/>
        </w:rPr>
        <w:t>Journal of Public Administration Research and Theory</w:t>
      </w:r>
      <w:r w:rsidRPr="00452E2E">
        <w:rPr>
          <w:noProof/>
          <w:szCs w:val="24"/>
        </w:rPr>
        <w:t>, 5(3), pp.273–294.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Simon, H. A (1998). Why public administration? </w:t>
      </w:r>
      <w:r w:rsidRPr="00452E2E">
        <w:rPr>
          <w:i/>
          <w:iCs/>
          <w:noProof/>
          <w:szCs w:val="24"/>
        </w:rPr>
        <w:t>Journal of Public Administration Research and Theory</w:t>
      </w:r>
      <w:r w:rsidRPr="00452E2E">
        <w:rPr>
          <w:noProof/>
          <w:szCs w:val="24"/>
        </w:rPr>
        <w:t>, 8(1), pp.1–11.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Sinclair, R.R., Leo, M.C. &amp; Wright, C. (2005). Benefit system effects on employees’ benefit knowledge, use and organizational commitment. </w:t>
      </w:r>
      <w:r w:rsidRPr="00452E2E">
        <w:rPr>
          <w:i/>
          <w:iCs/>
          <w:noProof/>
          <w:szCs w:val="24"/>
        </w:rPr>
        <w:t>Journal of Business and Psychology</w:t>
      </w:r>
      <w:r w:rsidRPr="00452E2E">
        <w:rPr>
          <w:noProof/>
          <w:szCs w:val="24"/>
        </w:rPr>
        <w:t>, 20(1), pp.3–29.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Singh, R.N. &amp; Mohanty, R.P. (2011). Participation satisfaction and organizational commitment: Moderating role of employee’s cultural values. </w:t>
      </w:r>
      <w:r w:rsidRPr="00452E2E">
        <w:rPr>
          <w:i/>
          <w:iCs/>
          <w:noProof/>
          <w:szCs w:val="24"/>
        </w:rPr>
        <w:t>Human Resource Development International</w:t>
      </w:r>
      <w:r w:rsidRPr="00452E2E">
        <w:rPr>
          <w:noProof/>
          <w:szCs w:val="24"/>
        </w:rPr>
        <w:t>, 14(5), pp.583–603.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Smith, P., Kendall, L. &amp; Hulin, C. (1969). </w:t>
      </w:r>
      <w:r w:rsidRPr="00452E2E">
        <w:rPr>
          <w:i/>
          <w:iCs/>
          <w:noProof/>
          <w:szCs w:val="24"/>
        </w:rPr>
        <w:t>The measurement of job satisfaction in work and retirement</w:t>
      </w:r>
      <w:r w:rsidRPr="00452E2E">
        <w:rPr>
          <w:noProof/>
          <w:szCs w:val="24"/>
        </w:rPr>
        <w:t>, Chicago: Rand McNally.</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Soley-Bori, M. (2013). </w:t>
      </w:r>
      <w:r w:rsidRPr="00452E2E">
        <w:rPr>
          <w:iCs/>
          <w:noProof/>
          <w:szCs w:val="24"/>
        </w:rPr>
        <w:t>Dealing with missing data: key assumptions and methods for applied analysis</w:t>
      </w:r>
      <w:r w:rsidRPr="00452E2E">
        <w:rPr>
          <w:noProof/>
          <w:szCs w:val="24"/>
        </w:rPr>
        <w:t xml:space="preserve">. </w:t>
      </w:r>
      <w:r w:rsidRPr="00452E2E">
        <w:rPr>
          <w:i/>
          <w:noProof/>
          <w:szCs w:val="24"/>
        </w:rPr>
        <w:t>Technical Report No.4</w:t>
      </w:r>
      <w:r w:rsidRPr="00452E2E">
        <w:rPr>
          <w:noProof/>
          <w:szCs w:val="24"/>
        </w:rPr>
        <w:t>, Boston University School of Public Health.</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Solinger,  O. N., Olffen, W. V. &amp; Roe, R. A. (2008). Beyond the three-component </w:t>
      </w:r>
      <w:r w:rsidRPr="00452E2E">
        <w:rPr>
          <w:noProof/>
          <w:szCs w:val="24"/>
        </w:rPr>
        <w:lastRenderedPageBreak/>
        <w:t xml:space="preserve">model of organizational commitment. </w:t>
      </w:r>
      <w:r w:rsidRPr="00452E2E">
        <w:rPr>
          <w:i/>
          <w:iCs/>
          <w:noProof/>
          <w:szCs w:val="24"/>
        </w:rPr>
        <w:t>Journal of Applied Psychology</w:t>
      </w:r>
      <w:r w:rsidRPr="00452E2E">
        <w:rPr>
          <w:noProof/>
          <w:szCs w:val="24"/>
        </w:rPr>
        <w:t>, 93(1), pp.83–70.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Solomon, E.E. (1986). Private and public sector managers: An empirical investigation of job characteristics and organizational climate. </w:t>
      </w:r>
      <w:r w:rsidRPr="00452E2E">
        <w:rPr>
          <w:i/>
          <w:iCs/>
          <w:noProof/>
          <w:szCs w:val="24"/>
        </w:rPr>
        <w:t>Journal of Applied Psychology</w:t>
      </w:r>
      <w:r w:rsidRPr="00452E2E">
        <w:rPr>
          <w:noProof/>
          <w:szCs w:val="24"/>
        </w:rPr>
        <w:t>, 71(2), pp.247–259.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Spector, P.(1997). </w:t>
      </w:r>
      <w:r w:rsidRPr="00452E2E">
        <w:rPr>
          <w:i/>
          <w:iCs/>
          <w:noProof/>
          <w:szCs w:val="24"/>
        </w:rPr>
        <w:t>Job Satisfaction: Application, assessment, causes, and consequences</w:t>
      </w:r>
      <w:r w:rsidRPr="00452E2E">
        <w:rPr>
          <w:noProof/>
          <w:szCs w:val="24"/>
        </w:rPr>
        <w:t>, Thousand Oaks: SAGE Publications.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it-IT"/>
        </w:rPr>
        <w:t xml:space="preserve">Stampini, M., Leung, R., Diarra, S.M. &amp; Pla, L. (2011). </w:t>
      </w:r>
      <w:r w:rsidRPr="00452E2E">
        <w:rPr>
          <w:noProof/>
          <w:szCs w:val="24"/>
        </w:rPr>
        <w:t xml:space="preserve">How large is the private sector in Africa? evidence from national accounts and labor markets. </w:t>
      </w:r>
      <w:r w:rsidRPr="00452E2E">
        <w:rPr>
          <w:i/>
          <w:noProof/>
          <w:szCs w:val="24"/>
        </w:rPr>
        <w:t>Discussion Paper No. 6267,</w:t>
      </w:r>
      <w:r w:rsidRPr="00452E2E">
        <w:rPr>
          <w:noProof/>
          <w:szCs w:val="24"/>
        </w:rPr>
        <w:t xml:space="preserve"> Institute for the Study of Labor, Bonn, pp.1–27.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de-DE"/>
        </w:rPr>
        <w:t xml:space="preserve">Stanley, L., Vandenberghe, C., Vandenberg, R. &amp; Bentein, K. (2013). </w:t>
      </w:r>
      <w:r w:rsidRPr="00452E2E">
        <w:rPr>
          <w:noProof/>
          <w:szCs w:val="24"/>
        </w:rPr>
        <w:t xml:space="preserve">Commitment profiles and employee turnover. </w:t>
      </w:r>
      <w:r w:rsidRPr="00452E2E">
        <w:rPr>
          <w:i/>
          <w:iCs/>
          <w:noProof/>
          <w:szCs w:val="24"/>
        </w:rPr>
        <w:t>Journal of Vocational Behavior</w:t>
      </w:r>
      <w:r w:rsidRPr="00452E2E">
        <w:rPr>
          <w:noProof/>
          <w:szCs w:val="24"/>
        </w:rPr>
        <w:t>, 82(3), pp.176–187.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Steel, B.S. &amp; Warner, R.L. (1990). Job satisfaction among early labor force participants: Unexpected outcomes in public and private sector comparisons. </w:t>
      </w:r>
      <w:r w:rsidRPr="00452E2E">
        <w:rPr>
          <w:i/>
          <w:iCs/>
          <w:noProof/>
          <w:szCs w:val="24"/>
        </w:rPr>
        <w:t>Review of Public Personnel Administration</w:t>
      </w:r>
      <w:r w:rsidRPr="00452E2E">
        <w:rPr>
          <w:noProof/>
          <w:szCs w:val="24"/>
        </w:rPr>
        <w:t>, 10(4), pp.4–22.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Steele, J., Bourke, L., Luloff, A.E., Liao, P-E., Theodori, G.L. &amp; Krannich, R.S. (2001). The drop-off/pick-up method for household survey research. </w:t>
      </w:r>
      <w:r w:rsidRPr="00452E2E">
        <w:rPr>
          <w:i/>
          <w:iCs/>
          <w:noProof/>
          <w:szCs w:val="24"/>
        </w:rPr>
        <w:t>Journal of Community Development Society</w:t>
      </w:r>
      <w:r w:rsidRPr="00452E2E">
        <w:rPr>
          <w:noProof/>
          <w:szCs w:val="24"/>
        </w:rPr>
        <w:t>, 32(2), pp.238–250.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Storey, J. (1995). </w:t>
      </w:r>
      <w:r w:rsidRPr="00452E2E">
        <w:rPr>
          <w:i/>
          <w:iCs/>
          <w:noProof/>
          <w:szCs w:val="24"/>
        </w:rPr>
        <w:t>Human resource management: A critical text</w:t>
      </w:r>
      <w:r w:rsidRPr="00452E2E">
        <w:rPr>
          <w:noProof/>
          <w:szCs w:val="24"/>
        </w:rPr>
        <w:t>, London: Routledge.</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Sturdy, A. (2011). Consultancy’s consequences? A critical assessment of management consultancy’s impact on management. </w:t>
      </w:r>
      <w:r w:rsidRPr="00452E2E">
        <w:rPr>
          <w:i/>
          <w:iCs/>
          <w:noProof/>
          <w:szCs w:val="24"/>
        </w:rPr>
        <w:t>British Journal of Management</w:t>
      </w:r>
      <w:r w:rsidRPr="00452E2E">
        <w:rPr>
          <w:noProof/>
          <w:szCs w:val="24"/>
        </w:rPr>
        <w:t>, 22(3), pp.517–530.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Sun, L.-Y., Aryee, S. &amp; Law, K.S. (2007). High-Performance human resource practices, citizenship behavior, and organizational performance: A relational perspective. </w:t>
      </w:r>
      <w:r w:rsidRPr="00452E2E">
        <w:rPr>
          <w:i/>
          <w:iCs/>
          <w:noProof/>
          <w:szCs w:val="24"/>
        </w:rPr>
        <w:t>Academy of Management Journal</w:t>
      </w:r>
      <w:r w:rsidRPr="00452E2E">
        <w:rPr>
          <w:noProof/>
          <w:szCs w:val="24"/>
        </w:rPr>
        <w:t>, 50(3), pp.558–577.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Sweeney, P.. &amp; McFarlin, D.. (1993). Workers’ evaluations of the “ends” and “means”: An examination of four models of distributive and procedural justice. </w:t>
      </w:r>
      <w:r w:rsidRPr="00452E2E">
        <w:rPr>
          <w:i/>
          <w:iCs/>
          <w:noProof/>
          <w:szCs w:val="24"/>
        </w:rPr>
        <w:t>Organizational Behavior and Human Decision Processes</w:t>
      </w:r>
      <w:r w:rsidRPr="00452E2E">
        <w:rPr>
          <w:noProof/>
          <w:szCs w:val="24"/>
        </w:rPr>
        <w:t>, 55, pp.23–40.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Tabvuma, V., Georgellis, Y. &amp; Lange, T. (2015). Orientation training and job satisfaction: A sector and gender analysis. </w:t>
      </w:r>
      <w:r w:rsidRPr="00452E2E">
        <w:rPr>
          <w:i/>
          <w:iCs/>
          <w:noProof/>
          <w:szCs w:val="24"/>
        </w:rPr>
        <w:t>Human Resource Management</w:t>
      </w:r>
      <w:r w:rsidRPr="00452E2E">
        <w:rPr>
          <w:noProof/>
          <w:szCs w:val="24"/>
        </w:rPr>
        <w:t>, 54(2), pp.303–321.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Takeuchi, N. &amp; Takeuchi, T. (2013). Committed to the organization or the job? Effects of perceived HRM practices on employees’ behavioral outcomes in the Japanese healthcare industry. </w:t>
      </w:r>
      <w:r w:rsidRPr="00452E2E">
        <w:rPr>
          <w:i/>
          <w:iCs/>
          <w:noProof/>
          <w:szCs w:val="24"/>
        </w:rPr>
        <w:t>The International Journal of Human Resource Management</w:t>
      </w:r>
      <w:r w:rsidRPr="00452E2E">
        <w:rPr>
          <w:noProof/>
          <w:szCs w:val="24"/>
        </w:rPr>
        <w:t>, 24(11), pp.2089–2106.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Taylor, S. (2006). Acquaintance, meritocracy and critical realism: Researching recruitment and selection processes in smaller and growth organizations. </w:t>
      </w:r>
      <w:r w:rsidRPr="00452E2E">
        <w:rPr>
          <w:i/>
          <w:iCs/>
          <w:noProof/>
          <w:szCs w:val="24"/>
        </w:rPr>
        <w:t>Human Resource Management Review</w:t>
      </w:r>
      <w:r w:rsidRPr="00452E2E">
        <w:rPr>
          <w:noProof/>
          <w:szCs w:val="24"/>
        </w:rPr>
        <w:t>, 16(4), pp.478–489.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Teti, E. &amp; Andriotto, M. (2013). Effectiveness of employee welfare schemes: Differences of specific professional profiles. </w:t>
      </w:r>
      <w:r w:rsidRPr="00452E2E">
        <w:rPr>
          <w:i/>
          <w:iCs/>
          <w:noProof/>
          <w:szCs w:val="24"/>
        </w:rPr>
        <w:t xml:space="preserve">The International Journal of Human </w:t>
      </w:r>
      <w:r w:rsidRPr="00452E2E">
        <w:rPr>
          <w:i/>
          <w:iCs/>
          <w:noProof/>
          <w:szCs w:val="24"/>
        </w:rPr>
        <w:lastRenderedPageBreak/>
        <w:t>Resource Management</w:t>
      </w:r>
      <w:r w:rsidRPr="00452E2E">
        <w:rPr>
          <w:noProof/>
          <w:szCs w:val="24"/>
        </w:rPr>
        <w:t>, 24(17), pp.3232–3246.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Tharenou, P., Saks, A.M. &amp; Moore, C. (2007). A review and critique of research on training and organizational-level outcomes. </w:t>
      </w:r>
      <w:r w:rsidRPr="00452E2E">
        <w:rPr>
          <w:i/>
          <w:iCs/>
          <w:noProof/>
          <w:szCs w:val="24"/>
        </w:rPr>
        <w:t>Human Resource Management Review</w:t>
      </w:r>
      <w:r w:rsidRPr="00452E2E">
        <w:rPr>
          <w:noProof/>
          <w:szCs w:val="24"/>
        </w:rPr>
        <w:t>, 17(3), pp.251–273.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Thelen, K., (2001). Varieties of labor politics in developed democracies. In P. Hall &amp; D. Soskice, eds. </w:t>
      </w:r>
      <w:r w:rsidRPr="00452E2E">
        <w:rPr>
          <w:i/>
          <w:iCs/>
          <w:noProof/>
          <w:szCs w:val="24"/>
        </w:rPr>
        <w:t>Varieties of capitalism</w:t>
      </w:r>
      <w:r w:rsidRPr="00452E2E">
        <w:rPr>
          <w:noProof/>
          <w:szCs w:val="24"/>
        </w:rPr>
        <w:t>. Oxford: Oxford University Press, pp. 71–103.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Top, M., Akdere, M. &amp; Tarcan, M. (2015). Examining transformational leadership, job satisfaction, organizational commitment and organizational trust in Turkish hospitals: Public servants versus private sector employees. </w:t>
      </w:r>
      <w:r w:rsidRPr="00452E2E">
        <w:rPr>
          <w:i/>
          <w:iCs/>
          <w:noProof/>
          <w:szCs w:val="24"/>
        </w:rPr>
        <w:t>The International Journal of Human Resource Management</w:t>
      </w:r>
      <w:r w:rsidRPr="00452E2E">
        <w:rPr>
          <w:noProof/>
          <w:szCs w:val="24"/>
        </w:rPr>
        <w:t>, 26(9), pp.1259–1282.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Torrington, D., Hall, L., Taylor, S. &amp; Atkinson, C. (2011). </w:t>
      </w:r>
      <w:r w:rsidRPr="00452E2E">
        <w:rPr>
          <w:i/>
          <w:iCs/>
          <w:noProof/>
          <w:szCs w:val="24"/>
        </w:rPr>
        <w:t>Human resource management</w:t>
      </w:r>
      <w:r w:rsidRPr="00452E2E">
        <w:rPr>
          <w:noProof/>
          <w:szCs w:val="24"/>
        </w:rPr>
        <w:t xml:space="preserve"> 8th edition, London: FT Prentice Hall.</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Trigilia, C. &amp; Burroni, L. (2009). Italy: rise, decline and restructuring of a regionalized capitalism. </w:t>
      </w:r>
      <w:r w:rsidRPr="00452E2E">
        <w:rPr>
          <w:i/>
          <w:iCs/>
          <w:noProof/>
          <w:szCs w:val="24"/>
        </w:rPr>
        <w:t>Economy and Society</w:t>
      </w:r>
      <w:r w:rsidRPr="00452E2E">
        <w:rPr>
          <w:noProof/>
          <w:szCs w:val="24"/>
        </w:rPr>
        <w:t>, 38(4), pp.630–653.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Ugwu, O. (2015). Towards diversifying Nigeria’s economy. </w:t>
      </w:r>
      <w:r w:rsidRPr="00452E2E">
        <w:rPr>
          <w:i/>
          <w:iCs/>
          <w:noProof/>
          <w:szCs w:val="24"/>
        </w:rPr>
        <w:t xml:space="preserve">Peoples Daily, </w:t>
      </w:r>
      <w:r w:rsidRPr="00452E2E">
        <w:rPr>
          <w:iCs/>
          <w:noProof/>
          <w:szCs w:val="24"/>
        </w:rPr>
        <w:t>7 October</w:t>
      </w:r>
      <w:r w:rsidRPr="00452E2E">
        <w:rPr>
          <w:noProof/>
          <w:szCs w:val="24"/>
        </w:rPr>
        <w:t>. Available at: http://www.peoplesdailyng.com/towards-diversifying-nigerias-economy/</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Vaiman, V. &amp; Brewster, C. (2015). How far do cultural differences explain the differences between nations? Implications for HRM. </w:t>
      </w:r>
      <w:r w:rsidRPr="00452E2E">
        <w:rPr>
          <w:i/>
          <w:iCs/>
          <w:noProof/>
          <w:szCs w:val="24"/>
        </w:rPr>
        <w:t>The International Journal of Human Resource Management</w:t>
      </w:r>
      <w:r w:rsidRPr="00452E2E">
        <w:rPr>
          <w:noProof/>
          <w:szCs w:val="24"/>
        </w:rPr>
        <w:t>, 26(2), pp.151–164.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Vermeeren, B. (2015). Influencing public sector performance: Studying the impact of ability-, motivation-and opportunity-enhancing human resources practices on various performance outcomes in the public sector. </w:t>
      </w:r>
      <w:r w:rsidRPr="00452E2E">
        <w:rPr>
          <w:i/>
          <w:iCs/>
          <w:noProof/>
          <w:szCs w:val="24"/>
        </w:rPr>
        <w:t>International Review of Administrative Sciences</w:t>
      </w:r>
      <w:r w:rsidRPr="00452E2E">
        <w:rPr>
          <w:noProof/>
          <w:szCs w:val="24"/>
        </w:rPr>
        <w:t>, 0(0), pp.1–21.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Vitols, S. (2001). Varieties of corporate governance: comparing Germany and the UK. In P. Hall &amp; D. Soskice, eds. </w:t>
      </w:r>
      <w:r w:rsidRPr="00452E2E">
        <w:rPr>
          <w:i/>
          <w:iCs/>
          <w:noProof/>
          <w:szCs w:val="24"/>
        </w:rPr>
        <w:t>Varieties of capitalism</w:t>
      </w:r>
      <w:r w:rsidRPr="00452E2E">
        <w:rPr>
          <w:noProof/>
          <w:szCs w:val="24"/>
        </w:rPr>
        <w:t>. Oxford: Oxford University Press, pp. 337–360.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nl-NL"/>
        </w:rPr>
        <w:t xml:space="preserve">Van De Voorde, K. &amp; Beijer, S. (2015). </w:t>
      </w:r>
      <w:r w:rsidRPr="00452E2E">
        <w:rPr>
          <w:noProof/>
          <w:szCs w:val="24"/>
        </w:rPr>
        <w:t xml:space="preserve">The role of employee HR attributions in the relationship between high-performance work systems and employee outcomes. </w:t>
      </w:r>
      <w:r w:rsidRPr="00452E2E">
        <w:rPr>
          <w:i/>
          <w:iCs/>
          <w:noProof/>
          <w:szCs w:val="24"/>
        </w:rPr>
        <w:t>Human Resource Management Journal</w:t>
      </w:r>
      <w:r w:rsidRPr="00452E2E">
        <w:rPr>
          <w:noProof/>
          <w:szCs w:val="24"/>
        </w:rPr>
        <w:t>, 25(1), pp.62–78.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Wall, T.D. &amp; Wood, S.J. (2005). </w:t>
      </w:r>
      <w:r w:rsidRPr="00452E2E">
        <w:rPr>
          <w:iCs/>
          <w:noProof/>
          <w:szCs w:val="24"/>
        </w:rPr>
        <w:t>The romance of human resource management and business performance, and the case for big science</w:t>
      </w:r>
      <w:r w:rsidRPr="00452E2E">
        <w:rPr>
          <w:noProof/>
          <w:szCs w:val="24"/>
        </w:rPr>
        <w:t xml:space="preserve">. </w:t>
      </w:r>
      <w:r w:rsidRPr="00452E2E">
        <w:rPr>
          <w:i/>
          <w:noProof/>
          <w:szCs w:val="24"/>
        </w:rPr>
        <w:t xml:space="preserve">Human Relations, </w:t>
      </w:r>
      <w:r w:rsidRPr="00452E2E">
        <w:rPr>
          <w:noProof/>
          <w:szCs w:val="24"/>
        </w:rPr>
        <w:t>58(4), pp.429-462.</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Wang, Y., Yang, C. &amp; Wang, K. (2012). Public and private employees’ job satisfaction and turnover. </w:t>
      </w:r>
      <w:r w:rsidRPr="00452E2E">
        <w:rPr>
          <w:i/>
          <w:iCs/>
          <w:noProof/>
          <w:szCs w:val="24"/>
        </w:rPr>
        <w:t>Public Personnel Management</w:t>
      </w:r>
      <w:r w:rsidRPr="00452E2E">
        <w:rPr>
          <w:noProof/>
          <w:szCs w:val="24"/>
        </w:rPr>
        <w:t>, 41(3), pp.557–574.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Wang, Y.-D., Yang, C. &amp; Wang, K.-Y., (2012). Comparing public and private employees’ job satisfaction and turnover. </w:t>
      </w:r>
      <w:r w:rsidRPr="00452E2E">
        <w:rPr>
          <w:i/>
          <w:iCs/>
          <w:noProof/>
          <w:szCs w:val="24"/>
        </w:rPr>
        <w:t>Public Personnel Management</w:t>
      </w:r>
      <w:r w:rsidRPr="00452E2E">
        <w:rPr>
          <w:noProof/>
          <w:szCs w:val="24"/>
        </w:rPr>
        <w:t>, 41(3), pp.557–573.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Wasti, S.A. (2005). Commitment profiles: Combinations of organizational commitment forms and job outcomes. </w:t>
      </w:r>
      <w:r w:rsidRPr="00452E2E">
        <w:rPr>
          <w:i/>
          <w:iCs/>
          <w:noProof/>
          <w:szCs w:val="24"/>
        </w:rPr>
        <w:t>Journal of Vocational Behavior</w:t>
      </w:r>
      <w:r w:rsidRPr="00452E2E">
        <w:rPr>
          <w:noProof/>
          <w:szCs w:val="24"/>
        </w:rPr>
        <w:t xml:space="preserve">, 67(2), </w:t>
      </w:r>
      <w:r w:rsidRPr="00452E2E">
        <w:rPr>
          <w:noProof/>
          <w:szCs w:val="24"/>
        </w:rPr>
        <w:lastRenderedPageBreak/>
        <w:t>pp.290–308.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Webster, E. &amp; Wood, G. (2005). Human resource management practice and institutional constraints: The case of Mozambique. </w:t>
      </w:r>
      <w:r w:rsidRPr="00452E2E">
        <w:rPr>
          <w:i/>
          <w:iCs/>
          <w:noProof/>
          <w:szCs w:val="24"/>
        </w:rPr>
        <w:t>Employee Relations</w:t>
      </w:r>
      <w:r w:rsidRPr="00452E2E">
        <w:rPr>
          <w:noProof/>
          <w:szCs w:val="24"/>
        </w:rPr>
        <w:t>, 27(4), pp.369–385.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Whitener, E.M. (2001). Do high commitment human resource practices affect employee commitment: A cross-level analysis using hierarchical linear modeling. </w:t>
      </w:r>
      <w:r w:rsidRPr="00452E2E">
        <w:rPr>
          <w:i/>
          <w:iCs/>
          <w:noProof/>
          <w:szCs w:val="24"/>
        </w:rPr>
        <w:t>Journal of Management</w:t>
      </w:r>
      <w:r w:rsidRPr="00452E2E">
        <w:rPr>
          <w:noProof/>
          <w:szCs w:val="24"/>
        </w:rPr>
        <w:t>, 27, pp.515–535.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Whitley, R. (1999). </w:t>
      </w:r>
      <w:r w:rsidRPr="00452E2E">
        <w:rPr>
          <w:i/>
          <w:iCs/>
          <w:noProof/>
          <w:szCs w:val="24"/>
        </w:rPr>
        <w:t>Divergent capitalisms: The social structuring and change of business systems</w:t>
      </w:r>
      <w:r w:rsidRPr="00452E2E">
        <w:rPr>
          <w:noProof/>
          <w:szCs w:val="24"/>
        </w:rPr>
        <w:t>, Oxford: Oxford University Press.</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Wilkinson, A., Gollan, P.J., Marchington, M. &amp; Lewin, D. (2010). Conceptualizing employee participation in organizations. In P. J. Gollan, D. Lewin, M. Marchington &amp; A. Wilkinson, eds. </w:t>
      </w:r>
      <w:r w:rsidRPr="00452E2E">
        <w:rPr>
          <w:i/>
          <w:iCs/>
          <w:noProof/>
          <w:szCs w:val="24"/>
        </w:rPr>
        <w:t>The Oxford handbook of participation in organizations</w:t>
      </w:r>
      <w:r w:rsidRPr="00452E2E">
        <w:rPr>
          <w:noProof/>
          <w:szCs w:val="24"/>
        </w:rPr>
        <w:t>. Oxford: Oxford University Press, pp. 3–26.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Wilkinson, A. &amp; Dundon, T. (2010). Direct employee participation. In P. J. Gollan, D. Lewin, M. Marchington &amp; A. Wilkinson, eds. </w:t>
      </w:r>
      <w:r w:rsidRPr="00452E2E">
        <w:rPr>
          <w:i/>
          <w:iCs/>
          <w:noProof/>
          <w:szCs w:val="24"/>
        </w:rPr>
        <w:t>The Oxford handbook of participation in organizations</w:t>
      </w:r>
      <w:r w:rsidRPr="00452E2E">
        <w:rPr>
          <w:noProof/>
          <w:szCs w:val="24"/>
        </w:rPr>
        <w:t>. Oxford: Oxford University Press, pp. 167–185.</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fr-FR"/>
        </w:rPr>
        <w:t xml:space="preserve">Wilkinson, A., Dundon, T. &amp; Grugulis, I. (2007). </w:t>
      </w:r>
      <w:r w:rsidRPr="00452E2E">
        <w:rPr>
          <w:noProof/>
          <w:szCs w:val="24"/>
        </w:rPr>
        <w:t xml:space="preserve">Information but not consultation: Exploring employee involvement in SMEs. </w:t>
      </w:r>
      <w:r w:rsidRPr="00452E2E">
        <w:rPr>
          <w:i/>
          <w:iCs/>
          <w:noProof/>
          <w:szCs w:val="24"/>
        </w:rPr>
        <w:t>The International Journal of Human Resource Management</w:t>
      </w:r>
      <w:r w:rsidRPr="00452E2E">
        <w:rPr>
          <w:noProof/>
          <w:szCs w:val="24"/>
        </w:rPr>
        <w:t>, 18(7), pp.1279–1297.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Wilkinson, A., Wood, G. &amp; Deeg, R. (2014). Comparative employment systems. In A. Wilkinson, G. Wood, &amp; R. Deeg, eds. </w:t>
      </w:r>
      <w:r w:rsidRPr="00452E2E">
        <w:rPr>
          <w:i/>
          <w:iCs/>
          <w:noProof/>
          <w:szCs w:val="24"/>
        </w:rPr>
        <w:t>The Oxford handbook of employment relations</w:t>
      </w:r>
      <w:r w:rsidRPr="00452E2E">
        <w:rPr>
          <w:noProof/>
          <w:szCs w:val="24"/>
        </w:rPr>
        <w:t>. New York: Oxford University Press, pp. 1–20.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Williams, I. &amp; Powell, M. (2013). In search of the public: An analysis of the derivation and application of publicness theories. </w:t>
      </w:r>
      <w:r w:rsidRPr="00452E2E">
        <w:rPr>
          <w:i/>
          <w:noProof/>
          <w:szCs w:val="24"/>
        </w:rPr>
        <w:t xml:space="preserve">Paper presented at Social Policy Association Conference, </w:t>
      </w:r>
      <w:r w:rsidRPr="00452E2E">
        <w:rPr>
          <w:noProof/>
          <w:szCs w:val="24"/>
        </w:rPr>
        <w:t>Sheffield, 8-10 July.</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(2010). Employee participation in developing and emerging countries. In P. J. Gollan, D. Lewin, M. Marchington &amp; A. Wilkinson, eds. </w:t>
      </w:r>
      <w:r w:rsidRPr="00452E2E">
        <w:rPr>
          <w:i/>
          <w:iCs/>
          <w:noProof/>
          <w:szCs w:val="24"/>
        </w:rPr>
        <w:t>The Oxford handbook of participation in organizations</w:t>
      </w:r>
      <w:r w:rsidRPr="00452E2E">
        <w:rPr>
          <w:noProof/>
          <w:szCs w:val="24"/>
        </w:rPr>
        <w:t>. Oxford: Oxford University Press, pp. 552–569.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Yin, S., Mazouz, K. &amp; Cheah, J. (2016). Foreign direct investment and employment rights in South-Eastern Europe. </w:t>
      </w:r>
      <w:r w:rsidRPr="00452E2E">
        <w:rPr>
          <w:i/>
          <w:iCs/>
          <w:noProof/>
          <w:szCs w:val="24"/>
        </w:rPr>
        <w:t>Cambridge Journal of Economics</w:t>
      </w:r>
      <w:r w:rsidRPr="00452E2E">
        <w:rPr>
          <w:noProof/>
          <w:szCs w:val="24"/>
        </w:rPr>
        <w:t>, 40, pp.141–163.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Mazouz, K., Yin, S. &amp; Cheah, J. (2014b). Foreign direct investment from emerging markets to Africa: The HRM context. </w:t>
      </w:r>
      <w:r w:rsidRPr="00452E2E">
        <w:rPr>
          <w:i/>
          <w:iCs/>
          <w:noProof/>
          <w:szCs w:val="24"/>
        </w:rPr>
        <w:t>Human Resource Management</w:t>
      </w:r>
      <w:r w:rsidRPr="00452E2E">
        <w:rPr>
          <w:noProof/>
          <w:szCs w:val="24"/>
        </w:rPr>
        <w:t>, 53(1), pp.179–201.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Dibben, P., Stride, C. &amp; Webster, E. (2011). HRM in Mozambique: Homogenization, path dependence or segmented business system? </w:t>
      </w:r>
      <w:r w:rsidRPr="00452E2E">
        <w:rPr>
          <w:i/>
          <w:iCs/>
          <w:noProof/>
          <w:szCs w:val="24"/>
        </w:rPr>
        <w:t>Journal of World Business</w:t>
      </w:r>
      <w:r w:rsidRPr="00452E2E">
        <w:rPr>
          <w:noProof/>
          <w:szCs w:val="24"/>
        </w:rPr>
        <w:t>, 46(1), pp.31–41.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Psychogis, A., Szamosi, L.T. &amp; Collings, D.G. (2012). Institutional approaches to comparative HRM. In C. Brewster &amp; W. Mayrhofer, eds. </w:t>
      </w:r>
      <w:r w:rsidRPr="00452E2E">
        <w:rPr>
          <w:i/>
          <w:iCs/>
          <w:noProof/>
          <w:szCs w:val="24"/>
        </w:rPr>
        <w:t>Handbook of research on comparative human resource management</w:t>
      </w:r>
      <w:r w:rsidRPr="00452E2E">
        <w:rPr>
          <w:noProof/>
          <w:szCs w:val="24"/>
        </w:rPr>
        <w:t>. Cheltenham, UK: Edward Elgar, pp. 27–50.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lastRenderedPageBreak/>
        <w:t xml:space="preserve">Wood, G., Croucher, R., Brewster, C., Collings, D.G. &amp; Brookes, M. (2009). Varieties of firm: Complementarity and bounded diversity. </w:t>
      </w:r>
      <w:r w:rsidRPr="00452E2E">
        <w:rPr>
          <w:i/>
          <w:iCs/>
          <w:noProof/>
          <w:szCs w:val="24"/>
        </w:rPr>
        <w:t>Journal of Economic Issues</w:t>
      </w:r>
      <w:r w:rsidRPr="00452E2E">
        <w:rPr>
          <w:noProof/>
          <w:szCs w:val="24"/>
        </w:rPr>
        <w:t>, XLIII(1), pp.239–258.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Brewster, C. &amp; Brookes, M. (2014a). Institutions and firm level HRM practice. In G. Wood, C. Brewster, &amp; M. Brookes, eds. </w:t>
      </w:r>
      <w:r w:rsidRPr="00452E2E">
        <w:rPr>
          <w:i/>
          <w:iCs/>
          <w:noProof/>
          <w:szCs w:val="24"/>
        </w:rPr>
        <w:t>Human resource management and the institutional perspective</w:t>
      </w:r>
      <w:r w:rsidRPr="00452E2E">
        <w:rPr>
          <w:noProof/>
          <w:szCs w:val="24"/>
        </w:rPr>
        <w:t>. London and New York: Routledge, pp. 1–14.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lang w:val="nl-NL"/>
        </w:rPr>
        <w:t xml:space="preserve">Wood, G., Dibben, P. &amp; Ogden, S. (2014c). </w:t>
      </w:r>
      <w:r w:rsidRPr="00452E2E">
        <w:rPr>
          <w:noProof/>
          <w:szCs w:val="24"/>
        </w:rPr>
        <w:t xml:space="preserve">Comparative capitalism without capitalism, and production without workers: The limits and possibilities of contemporary institutional analysis. </w:t>
      </w:r>
      <w:r w:rsidRPr="00452E2E">
        <w:rPr>
          <w:i/>
          <w:iCs/>
          <w:noProof/>
          <w:szCs w:val="24"/>
        </w:rPr>
        <w:t>International Journal of Management Reviews</w:t>
      </w:r>
      <w:r w:rsidRPr="00452E2E">
        <w:rPr>
          <w:noProof/>
          <w:szCs w:val="24"/>
        </w:rPr>
        <w:t>, 16(4), pp.384–396.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&amp; Frynas, G. (2006). The institutional basis of economic failure: Anatomy of the segmented business system. </w:t>
      </w:r>
      <w:r w:rsidRPr="00452E2E">
        <w:rPr>
          <w:i/>
          <w:iCs/>
          <w:noProof/>
          <w:szCs w:val="24"/>
        </w:rPr>
        <w:t>Socio-economic Review</w:t>
      </w:r>
      <w:r w:rsidRPr="00452E2E">
        <w:rPr>
          <w:noProof/>
          <w:szCs w:val="24"/>
        </w:rPr>
        <w:t>, 4(2), pp.239–277.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&amp; Horwitz, F. (2015). Theories and institutional approaches to HRM and employment relations in selected emerging markets. In F. Horwitz &amp; P. Budhwar, eds. </w:t>
      </w:r>
      <w:r w:rsidRPr="00452E2E">
        <w:rPr>
          <w:i/>
          <w:iCs/>
          <w:noProof/>
          <w:szCs w:val="24"/>
        </w:rPr>
        <w:t>Handbook of Human Resource Management in Emerging Markets</w:t>
      </w:r>
      <w:r w:rsidRPr="00452E2E">
        <w:rPr>
          <w:noProof/>
          <w:szCs w:val="24"/>
        </w:rPr>
        <w:t>. Cheltenham, UK: Edward Elgar, pp. 19–41.</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&amp; Wilkinson, A. (2012). Institutions and employment relations: The state of the art. </w:t>
      </w:r>
      <w:r w:rsidRPr="00452E2E">
        <w:rPr>
          <w:i/>
          <w:iCs/>
          <w:noProof/>
          <w:szCs w:val="24"/>
        </w:rPr>
        <w:t>Industrial Relations</w:t>
      </w:r>
      <w:r w:rsidRPr="00452E2E">
        <w:rPr>
          <w:noProof/>
          <w:szCs w:val="24"/>
        </w:rPr>
        <w:t>, 51(S1), pp.373–388.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G. &amp; Wright, M. (2015). Corporations and the new statism: Trends and research priorites. </w:t>
      </w:r>
      <w:r w:rsidRPr="00452E2E">
        <w:rPr>
          <w:i/>
          <w:iCs/>
          <w:noProof/>
          <w:szCs w:val="24"/>
        </w:rPr>
        <w:t>Academy of Management Persepctives</w:t>
      </w:r>
      <w:r w:rsidRPr="00452E2E">
        <w:rPr>
          <w:noProof/>
          <w:szCs w:val="24"/>
        </w:rPr>
        <w:t>, 29(2), pp.271–286.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Wood, S.J. &amp; de Menezes, L.M. (2011). High involvement management, high-performance work systems and well-being. </w:t>
      </w:r>
      <w:r w:rsidRPr="00452E2E">
        <w:rPr>
          <w:i/>
          <w:iCs/>
          <w:noProof/>
          <w:szCs w:val="24"/>
        </w:rPr>
        <w:t>The International Journal of Human Resource Management</w:t>
      </w:r>
      <w:r w:rsidRPr="00452E2E">
        <w:rPr>
          <w:noProof/>
          <w:szCs w:val="24"/>
        </w:rPr>
        <w:t>, 22(7), pp.1586–1610.</w:t>
      </w:r>
    </w:p>
    <w:p w:rsidR="00D03A8E" w:rsidRPr="00452E2E" w:rsidRDefault="00F348B5" w:rsidP="00501BA6">
      <w:pPr>
        <w:widowControl w:val="0"/>
        <w:autoSpaceDE w:val="0"/>
        <w:autoSpaceDN w:val="0"/>
        <w:adjustRightInd w:val="0"/>
        <w:spacing w:line="240" w:lineRule="auto"/>
        <w:jc w:val="both"/>
        <w:rPr>
          <w:noProof/>
          <w:szCs w:val="24"/>
        </w:rPr>
      </w:pPr>
      <w:r w:rsidRPr="00452E2E">
        <w:rPr>
          <w:noProof/>
          <w:szCs w:val="24"/>
        </w:rPr>
        <w:t>World</w:t>
      </w:r>
      <w:r w:rsidR="003D2279">
        <w:rPr>
          <w:noProof/>
          <w:szCs w:val="24"/>
        </w:rPr>
        <w:t xml:space="preserve"> </w:t>
      </w:r>
      <w:r w:rsidRPr="00452E2E">
        <w:rPr>
          <w:noProof/>
          <w:szCs w:val="24"/>
        </w:rPr>
        <w:t>Bank (2016</w:t>
      </w:r>
      <w:r w:rsidR="00D03A8E" w:rsidRPr="00452E2E">
        <w:rPr>
          <w:noProof/>
          <w:szCs w:val="24"/>
        </w:rPr>
        <w:t>). Nigeria. Available at: http://www.worldbank.org/en/country/nigeria/overview [Accessed September 14, 2016].</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Wright, B.E. &amp; Davis, B.S. (2003). Job satisfaction in the public sector: The role of the work environment. </w:t>
      </w:r>
      <w:r w:rsidRPr="00452E2E">
        <w:rPr>
          <w:i/>
          <w:iCs/>
          <w:noProof/>
          <w:szCs w:val="24"/>
        </w:rPr>
        <w:t>The American Review of Public Administration</w:t>
      </w:r>
      <w:r w:rsidRPr="00452E2E">
        <w:rPr>
          <w:noProof/>
          <w:szCs w:val="24"/>
        </w:rPr>
        <w:t>, 33(1), pp.70–90.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Wright, B.E. &amp; Kim, S. (2004). Participation’s influence on job satisfaction: The importance of job characteristics. </w:t>
      </w:r>
      <w:r w:rsidRPr="00452E2E">
        <w:rPr>
          <w:i/>
          <w:iCs/>
          <w:noProof/>
          <w:szCs w:val="24"/>
        </w:rPr>
        <w:t>Review of Public Personnel Administration</w:t>
      </w:r>
      <w:r w:rsidRPr="00452E2E">
        <w:rPr>
          <w:noProof/>
          <w:szCs w:val="24"/>
        </w:rPr>
        <w:t>, 24(1), pp.18–40.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Wright, P.M. &amp; Kehoe, R.R. (2008). Human resource practices and organizational commitment: A deeper examination. </w:t>
      </w:r>
      <w:r w:rsidRPr="00452E2E">
        <w:rPr>
          <w:i/>
          <w:iCs/>
          <w:noProof/>
          <w:szCs w:val="24"/>
        </w:rPr>
        <w:t>Asia Pacific Journal of Human Resources</w:t>
      </w:r>
      <w:r w:rsidRPr="00452E2E">
        <w:rPr>
          <w:noProof/>
          <w:szCs w:val="24"/>
        </w:rPr>
        <w:t>, 46(1), pp.6–20.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Wright, P.M. &amp; Mcmahan, G.C. (2011). Exploring human capital: Putting “human” back into strategic human resource management. </w:t>
      </w:r>
      <w:r w:rsidRPr="00452E2E">
        <w:rPr>
          <w:i/>
          <w:iCs/>
          <w:noProof/>
          <w:szCs w:val="24"/>
        </w:rPr>
        <w:t>Human Resource Management Journal</w:t>
      </w:r>
      <w:r w:rsidRPr="00452E2E">
        <w:rPr>
          <w:noProof/>
          <w:szCs w:val="24"/>
        </w:rPr>
        <w:t>, 21(2), pp.93–104.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Wright, P.M. &amp; McMahan, G.C. (1992). Theoretical perspectives for strategic human resource management. </w:t>
      </w:r>
      <w:r w:rsidRPr="00452E2E">
        <w:rPr>
          <w:i/>
          <w:iCs/>
          <w:noProof/>
          <w:szCs w:val="24"/>
        </w:rPr>
        <w:t>Journal of management</w:t>
      </w:r>
      <w:r w:rsidRPr="00452E2E">
        <w:rPr>
          <w:noProof/>
          <w:szCs w:val="24"/>
        </w:rPr>
        <w:t>, 18(2), pp.295–320.</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Wu, P.-C. &amp; Chaturvedi, S. (2009). The role of procedural justice and power </w:t>
      </w:r>
      <w:r w:rsidRPr="00452E2E">
        <w:rPr>
          <w:noProof/>
          <w:szCs w:val="24"/>
        </w:rPr>
        <w:lastRenderedPageBreak/>
        <w:t xml:space="preserve">distance in the relationship between high performance work systems and employee attitudes: A multilevel perspective. </w:t>
      </w:r>
      <w:r w:rsidRPr="00452E2E">
        <w:rPr>
          <w:i/>
          <w:iCs/>
          <w:noProof/>
          <w:szCs w:val="24"/>
        </w:rPr>
        <w:t>Journal of Management</w:t>
      </w:r>
      <w:r w:rsidRPr="00452E2E">
        <w:rPr>
          <w:noProof/>
          <w:szCs w:val="24"/>
        </w:rPr>
        <w:t>, 35(5), pp.1228–1247.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Yamamoto, H. (2011). The relationship between employee benefit management and employee retention. </w:t>
      </w:r>
      <w:r w:rsidRPr="00452E2E">
        <w:rPr>
          <w:i/>
          <w:iCs/>
          <w:noProof/>
          <w:szCs w:val="24"/>
        </w:rPr>
        <w:t>International Journal of Human Resource Management</w:t>
      </w:r>
      <w:r w:rsidRPr="00452E2E">
        <w:rPr>
          <w:noProof/>
          <w:szCs w:val="24"/>
        </w:rPr>
        <w:t>, 22(17), pp.3550–3564.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Yanadori, Y. (2015). Compensation and benefits in the global organization. In D. G. Collings, G. Wood, &amp; P. M. Caliguiri, eds. </w:t>
      </w:r>
      <w:r w:rsidRPr="00452E2E">
        <w:rPr>
          <w:i/>
          <w:iCs/>
          <w:noProof/>
          <w:szCs w:val="24"/>
        </w:rPr>
        <w:t>The Routledge companion to international human resource management</w:t>
      </w:r>
      <w:r w:rsidRPr="00452E2E">
        <w:rPr>
          <w:noProof/>
          <w:szCs w:val="24"/>
        </w:rPr>
        <w:t>. London and New York: Routledge, pp. 190–209.</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Yang, B., Wang, Y. &amp; Drewry, A.W. (2009). Does it matter where to conduct training? Accounting for cultural factors. </w:t>
      </w:r>
      <w:r w:rsidRPr="00452E2E">
        <w:rPr>
          <w:i/>
          <w:iCs/>
          <w:noProof/>
          <w:szCs w:val="24"/>
        </w:rPr>
        <w:t>Human Resource Management Review</w:t>
      </w:r>
      <w:r w:rsidRPr="00452E2E">
        <w:rPr>
          <w:noProof/>
          <w:szCs w:val="24"/>
        </w:rPr>
        <w:t>, 19(4), pp.324–333.</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Yang, Y.-C. (2012). High-involvement human resource practices, affective commitment, and organizational citizenship behaviors. </w:t>
      </w:r>
      <w:r w:rsidRPr="00452E2E">
        <w:rPr>
          <w:i/>
          <w:iCs/>
          <w:noProof/>
          <w:szCs w:val="24"/>
        </w:rPr>
        <w:t>The Service Industries Journal</w:t>
      </w:r>
      <w:r w:rsidRPr="00452E2E">
        <w:rPr>
          <w:noProof/>
          <w:szCs w:val="24"/>
        </w:rPr>
        <w:t>, 32(8), pp.1209–1227.</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Yap, M., Holmes, M.R., Hannan, C-A. &amp; Cukier, W. (2010). The relationship between diversity training, organizational commitment, and career satisfaction. </w:t>
      </w:r>
      <w:r w:rsidRPr="00452E2E">
        <w:rPr>
          <w:i/>
          <w:iCs/>
          <w:noProof/>
          <w:szCs w:val="24"/>
        </w:rPr>
        <w:t>Journal of European Industrial Training</w:t>
      </w:r>
      <w:r w:rsidRPr="00452E2E">
        <w:rPr>
          <w:noProof/>
          <w:szCs w:val="24"/>
        </w:rPr>
        <w:t>, 34(6), pp.519–538.</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Zait, A. &amp; Bertea, P. (2011). Methods for testing discriminant validity. </w:t>
      </w:r>
      <w:r w:rsidRPr="00452E2E">
        <w:rPr>
          <w:i/>
          <w:iCs/>
          <w:noProof/>
          <w:szCs w:val="24"/>
        </w:rPr>
        <w:t>Management and Marketing</w:t>
      </w:r>
      <w:r w:rsidRPr="00452E2E">
        <w:rPr>
          <w:noProof/>
          <w:szCs w:val="24"/>
        </w:rPr>
        <w:t>, 9(2), pp.218–224.</w:t>
      </w:r>
    </w:p>
    <w:p w:rsidR="00D03A8E" w:rsidRPr="00452E2E" w:rsidRDefault="00D03A8E" w:rsidP="00501BA6">
      <w:pPr>
        <w:widowControl w:val="0"/>
        <w:autoSpaceDE w:val="0"/>
        <w:autoSpaceDN w:val="0"/>
        <w:adjustRightInd w:val="0"/>
        <w:spacing w:line="240" w:lineRule="auto"/>
        <w:jc w:val="both"/>
        <w:rPr>
          <w:noProof/>
          <w:szCs w:val="24"/>
        </w:rPr>
      </w:pPr>
      <w:r w:rsidRPr="00452E2E">
        <w:rPr>
          <w:noProof/>
          <w:szCs w:val="24"/>
        </w:rPr>
        <w:t xml:space="preserve">Zatzick, C.D. &amp; Iverson, R.D. (2011). Putting employee involvement in context: A cross-level model examining job satisfaction and absenteeism in high-involvement work systems. </w:t>
      </w:r>
      <w:r w:rsidRPr="00452E2E">
        <w:rPr>
          <w:i/>
          <w:iCs/>
          <w:noProof/>
          <w:szCs w:val="24"/>
        </w:rPr>
        <w:t>The International Journal of Human Resource Management</w:t>
      </w:r>
      <w:r w:rsidRPr="00452E2E">
        <w:rPr>
          <w:noProof/>
          <w:szCs w:val="24"/>
        </w:rPr>
        <w:t>, 22(17), pp.3462–3476.</w:t>
      </w:r>
    </w:p>
    <w:p w:rsidR="00D03A8E" w:rsidRPr="00452E2E" w:rsidRDefault="00D03A8E" w:rsidP="00501BA6">
      <w:pPr>
        <w:widowControl w:val="0"/>
        <w:autoSpaceDE w:val="0"/>
        <w:autoSpaceDN w:val="0"/>
        <w:adjustRightInd w:val="0"/>
        <w:spacing w:line="240" w:lineRule="auto"/>
        <w:jc w:val="both"/>
      </w:pPr>
      <w:r w:rsidRPr="00452E2E">
        <w:rPr>
          <w:noProof/>
          <w:szCs w:val="24"/>
        </w:rPr>
        <w:t xml:space="preserve">Zhu, Y., Xie, Y., Warner, M. &amp; Guo, Y. (2015). Employee participation and the influence on job satisfaction of the “new generation” of Chinese employees. </w:t>
      </w:r>
      <w:r w:rsidRPr="00452E2E">
        <w:rPr>
          <w:i/>
          <w:iCs/>
          <w:noProof/>
          <w:szCs w:val="24"/>
        </w:rPr>
        <w:t>The International Journal of Human Resource Management</w:t>
      </w:r>
      <w:r w:rsidRPr="00452E2E">
        <w:rPr>
          <w:noProof/>
          <w:szCs w:val="24"/>
        </w:rPr>
        <w:t xml:space="preserve">, 26(19), pp.2395–2411. </w:t>
      </w:r>
      <w:r w:rsidRPr="00452E2E">
        <w:rPr>
          <w:b/>
        </w:rPr>
        <w:fldChar w:fldCharType="end"/>
      </w:r>
    </w:p>
    <w:p w:rsidR="00D03A8E" w:rsidRPr="00452E2E" w:rsidRDefault="00D03A8E" w:rsidP="00501BA6">
      <w:pPr>
        <w:spacing w:after="200" w:line="276" w:lineRule="auto"/>
        <w:jc w:val="both"/>
      </w:pPr>
      <w:r w:rsidRPr="00452E2E">
        <w:br w:type="page"/>
      </w:r>
    </w:p>
    <w:p w:rsidR="00D03A8E" w:rsidRPr="00452E2E" w:rsidRDefault="00D03A8E" w:rsidP="00D03A8E">
      <w:pPr>
        <w:pStyle w:val="Heading1"/>
        <w:numPr>
          <w:ilvl w:val="0"/>
          <w:numId w:val="0"/>
        </w:numPr>
      </w:pPr>
      <w:bookmarkStart w:id="242" w:name="_Toc473808216"/>
      <w:r w:rsidRPr="00452E2E">
        <w:lastRenderedPageBreak/>
        <w:t>APPENDICES</w:t>
      </w:r>
      <w:bookmarkEnd w:id="242"/>
    </w:p>
    <w:p w:rsidR="00D03A8E" w:rsidRPr="00452E2E" w:rsidRDefault="00D03A8E" w:rsidP="00D03A8E">
      <w:pPr>
        <w:pStyle w:val="Heading2"/>
      </w:pPr>
      <w:bookmarkStart w:id="243" w:name="_Toc465271226"/>
      <w:bookmarkStart w:id="244" w:name="_Toc473808217"/>
      <w:r w:rsidRPr="00452E2E">
        <w:t>Appendix 1: Ethics Approval Letter</w:t>
      </w:r>
      <w:bookmarkEnd w:id="243"/>
      <w:bookmarkEnd w:id="244"/>
    </w:p>
    <w:p w:rsidR="00D03A8E" w:rsidRPr="00452E2E" w:rsidRDefault="00B00321" w:rsidP="00D03A8E">
      <w:r w:rsidRPr="00452E2E">
        <w:rPr>
          <w:rFonts w:cs="Times New Roman"/>
          <w:noProof/>
          <w:szCs w:val="24"/>
          <w:lang w:eastAsia="en-GB"/>
        </w:rPr>
        <w:drawing>
          <wp:anchor distT="0" distB="0" distL="114300" distR="114300" simplePos="0" relativeHeight="251660288" behindDoc="1" locked="0" layoutInCell="0" allowOverlap="1" wp14:anchorId="6B60BA83" wp14:editId="78E01704">
            <wp:simplePos x="0" y="0"/>
            <wp:positionH relativeFrom="margin">
              <wp:align>left</wp:align>
            </wp:positionH>
            <wp:positionV relativeFrom="page">
              <wp:posOffset>1622153</wp:posOffset>
            </wp:positionV>
            <wp:extent cx="2428875" cy="975360"/>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8875" cy="97536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 w:rsidR="00D03A8E" w:rsidRPr="00452E2E" w:rsidRDefault="00D03A8E" w:rsidP="00D03A8E"/>
    <w:p w:rsidR="00D03A8E" w:rsidRPr="00452E2E" w:rsidRDefault="00D03A8E" w:rsidP="00D03A8E">
      <w:pPr>
        <w:widowControl w:val="0"/>
        <w:autoSpaceDE w:val="0"/>
        <w:autoSpaceDN w:val="0"/>
        <w:adjustRightInd w:val="0"/>
        <w:spacing w:after="0" w:line="200" w:lineRule="exact"/>
        <w:rPr>
          <w:rFonts w:cs="Times New Roman"/>
          <w:szCs w:val="24"/>
        </w:rPr>
      </w:pPr>
    </w:p>
    <w:p w:rsidR="00D03A8E" w:rsidRPr="00452E2E" w:rsidRDefault="00D03A8E" w:rsidP="00D03A8E">
      <w:pPr>
        <w:widowControl w:val="0"/>
        <w:autoSpaceDE w:val="0"/>
        <w:autoSpaceDN w:val="0"/>
        <w:adjustRightInd w:val="0"/>
        <w:spacing w:after="0" w:line="200" w:lineRule="exact"/>
        <w:rPr>
          <w:rFonts w:cs="Times New Roman"/>
          <w:szCs w:val="24"/>
        </w:rPr>
      </w:pPr>
    </w:p>
    <w:p w:rsidR="00D03A8E" w:rsidRPr="00452E2E" w:rsidRDefault="00D03A8E" w:rsidP="00D03A8E">
      <w:pPr>
        <w:widowControl w:val="0"/>
        <w:autoSpaceDE w:val="0"/>
        <w:autoSpaceDN w:val="0"/>
        <w:adjustRightInd w:val="0"/>
        <w:spacing w:after="0" w:line="257"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Downloaded: 02/04/2015</w:t>
      </w:r>
    </w:p>
    <w:p w:rsidR="00D03A8E" w:rsidRPr="00452E2E" w:rsidRDefault="00D03A8E" w:rsidP="00D03A8E">
      <w:pPr>
        <w:widowControl w:val="0"/>
        <w:autoSpaceDE w:val="0"/>
        <w:autoSpaceDN w:val="0"/>
        <w:adjustRightInd w:val="0"/>
        <w:spacing w:after="0" w:line="8"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Approved: 01/04/2015</w:t>
      </w:r>
    </w:p>
    <w:p w:rsidR="00D03A8E" w:rsidRPr="00452E2E" w:rsidRDefault="00D03A8E" w:rsidP="00D03A8E">
      <w:pPr>
        <w:widowControl w:val="0"/>
        <w:autoSpaceDE w:val="0"/>
        <w:autoSpaceDN w:val="0"/>
        <w:adjustRightInd w:val="0"/>
        <w:spacing w:after="0" w:line="200" w:lineRule="exact"/>
        <w:rPr>
          <w:rFonts w:cs="Times New Roman"/>
          <w:szCs w:val="24"/>
        </w:rPr>
      </w:pPr>
    </w:p>
    <w:p w:rsidR="00D03A8E" w:rsidRPr="00452E2E" w:rsidRDefault="00D03A8E" w:rsidP="00D03A8E">
      <w:pPr>
        <w:widowControl w:val="0"/>
        <w:autoSpaceDE w:val="0"/>
        <w:autoSpaceDN w:val="0"/>
        <w:adjustRightInd w:val="0"/>
        <w:spacing w:after="0" w:line="269"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Darius Ikyanyon</w:t>
      </w:r>
    </w:p>
    <w:p w:rsidR="00D03A8E" w:rsidRPr="00452E2E" w:rsidRDefault="00D03A8E" w:rsidP="00D03A8E">
      <w:pPr>
        <w:widowControl w:val="0"/>
        <w:autoSpaceDE w:val="0"/>
        <w:autoSpaceDN w:val="0"/>
        <w:adjustRightInd w:val="0"/>
        <w:spacing w:after="0" w:line="8"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Registration number: 130122298</w:t>
      </w:r>
    </w:p>
    <w:p w:rsidR="00D03A8E" w:rsidRPr="00452E2E" w:rsidRDefault="00D03A8E" w:rsidP="00D03A8E">
      <w:pPr>
        <w:widowControl w:val="0"/>
        <w:autoSpaceDE w:val="0"/>
        <w:autoSpaceDN w:val="0"/>
        <w:adjustRightInd w:val="0"/>
        <w:spacing w:after="0" w:line="8"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Management School</w:t>
      </w:r>
    </w:p>
    <w:p w:rsidR="00D03A8E" w:rsidRPr="00452E2E" w:rsidRDefault="00D03A8E" w:rsidP="00D03A8E">
      <w:pPr>
        <w:widowControl w:val="0"/>
        <w:autoSpaceDE w:val="0"/>
        <w:autoSpaceDN w:val="0"/>
        <w:adjustRightInd w:val="0"/>
        <w:spacing w:after="0" w:line="8"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PHD</w:t>
      </w:r>
    </w:p>
    <w:p w:rsidR="00D03A8E" w:rsidRPr="00452E2E" w:rsidRDefault="00D03A8E" w:rsidP="00D03A8E">
      <w:pPr>
        <w:widowControl w:val="0"/>
        <w:autoSpaceDE w:val="0"/>
        <w:autoSpaceDN w:val="0"/>
        <w:adjustRightInd w:val="0"/>
        <w:spacing w:after="0" w:line="200" w:lineRule="exact"/>
        <w:rPr>
          <w:rFonts w:cs="Times New Roman"/>
          <w:szCs w:val="24"/>
        </w:rPr>
      </w:pPr>
    </w:p>
    <w:p w:rsidR="00D03A8E" w:rsidRPr="00452E2E" w:rsidRDefault="00D03A8E" w:rsidP="00D03A8E">
      <w:pPr>
        <w:widowControl w:val="0"/>
        <w:autoSpaceDE w:val="0"/>
        <w:autoSpaceDN w:val="0"/>
        <w:adjustRightInd w:val="0"/>
        <w:spacing w:after="0" w:line="269"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Dear Darius</w:t>
      </w:r>
    </w:p>
    <w:p w:rsidR="00D03A8E" w:rsidRPr="00452E2E" w:rsidRDefault="00D03A8E" w:rsidP="00D03A8E">
      <w:pPr>
        <w:widowControl w:val="0"/>
        <w:autoSpaceDE w:val="0"/>
        <w:autoSpaceDN w:val="0"/>
        <w:adjustRightInd w:val="0"/>
        <w:spacing w:after="0" w:line="200" w:lineRule="exact"/>
        <w:rPr>
          <w:rFonts w:cs="Times New Roman"/>
          <w:szCs w:val="24"/>
        </w:rPr>
      </w:pPr>
    </w:p>
    <w:p w:rsidR="00D03A8E" w:rsidRPr="00452E2E" w:rsidRDefault="00D03A8E" w:rsidP="00D03A8E">
      <w:pPr>
        <w:widowControl w:val="0"/>
        <w:autoSpaceDE w:val="0"/>
        <w:autoSpaceDN w:val="0"/>
        <w:adjustRightInd w:val="0"/>
        <w:spacing w:after="0" w:line="263" w:lineRule="exact"/>
        <w:rPr>
          <w:rFonts w:cs="Times New Roman"/>
          <w:szCs w:val="24"/>
        </w:rPr>
      </w:pPr>
    </w:p>
    <w:p w:rsidR="00D03A8E" w:rsidRPr="00452E2E" w:rsidRDefault="00D03A8E" w:rsidP="00D03A8E">
      <w:pPr>
        <w:widowControl w:val="0"/>
        <w:overflowPunct w:val="0"/>
        <w:autoSpaceDE w:val="0"/>
        <w:autoSpaceDN w:val="0"/>
        <w:adjustRightInd w:val="0"/>
        <w:spacing w:after="0" w:line="255" w:lineRule="auto"/>
        <w:ind w:right="140"/>
        <w:rPr>
          <w:rFonts w:cs="Times New Roman"/>
          <w:szCs w:val="24"/>
        </w:rPr>
      </w:pPr>
      <w:r w:rsidRPr="00452E2E">
        <w:rPr>
          <w:rFonts w:cs="Arial"/>
          <w:b/>
          <w:bCs/>
          <w:szCs w:val="24"/>
        </w:rPr>
        <w:t xml:space="preserve">PROJECT TITLE: </w:t>
      </w:r>
      <w:r w:rsidRPr="00452E2E">
        <w:rPr>
          <w:rFonts w:cs="Arial"/>
          <w:szCs w:val="24"/>
        </w:rPr>
        <w:t>INSTITUTIONAL DYNAMICS AND THE EFFECT OF HUMAN RESOURCE PRACTICES</w:t>
      </w:r>
      <w:r w:rsidRPr="00452E2E">
        <w:rPr>
          <w:rFonts w:cs="Arial"/>
          <w:b/>
          <w:bCs/>
          <w:szCs w:val="24"/>
        </w:rPr>
        <w:t xml:space="preserve"> </w:t>
      </w:r>
      <w:r w:rsidRPr="00452E2E">
        <w:rPr>
          <w:rFonts w:cs="Arial"/>
          <w:szCs w:val="24"/>
        </w:rPr>
        <w:t>ON JOB ATTITUDES IN PUBLIC AND PRIVATE SECTOR</w:t>
      </w: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b/>
          <w:bCs/>
          <w:szCs w:val="24"/>
        </w:rPr>
        <w:t xml:space="preserve">APPLICATION: </w:t>
      </w:r>
      <w:r w:rsidRPr="00452E2E">
        <w:rPr>
          <w:rFonts w:cs="Arial"/>
          <w:szCs w:val="24"/>
        </w:rPr>
        <w:t>Reference Number 001916</w:t>
      </w:r>
    </w:p>
    <w:p w:rsidR="00D03A8E" w:rsidRPr="00452E2E" w:rsidRDefault="00D03A8E" w:rsidP="00D03A8E">
      <w:pPr>
        <w:widowControl w:val="0"/>
        <w:autoSpaceDE w:val="0"/>
        <w:autoSpaceDN w:val="0"/>
        <w:adjustRightInd w:val="0"/>
        <w:spacing w:after="0" w:line="244" w:lineRule="exact"/>
        <w:rPr>
          <w:rFonts w:cs="Times New Roman"/>
          <w:szCs w:val="24"/>
        </w:rPr>
      </w:pPr>
    </w:p>
    <w:p w:rsidR="00D03A8E" w:rsidRPr="00452E2E" w:rsidRDefault="00D03A8E" w:rsidP="00D03A8E">
      <w:pPr>
        <w:widowControl w:val="0"/>
        <w:overflowPunct w:val="0"/>
        <w:autoSpaceDE w:val="0"/>
        <w:autoSpaceDN w:val="0"/>
        <w:adjustRightInd w:val="0"/>
        <w:spacing w:after="0" w:line="260" w:lineRule="auto"/>
        <w:ind w:right="20"/>
        <w:rPr>
          <w:rFonts w:cs="Times New Roman"/>
          <w:szCs w:val="24"/>
        </w:rPr>
      </w:pPr>
      <w:r w:rsidRPr="00452E2E">
        <w:rPr>
          <w:rFonts w:cs="Arial"/>
          <w:szCs w:val="24"/>
        </w:rPr>
        <w:t xml:space="preserve">On behalf of the University ethics reviewers who reviewed your project, I am pleased to inform you that on 01/04/2015 the above-named project was </w:t>
      </w:r>
      <w:r w:rsidRPr="00452E2E">
        <w:rPr>
          <w:rFonts w:cs="Arial"/>
          <w:b/>
          <w:bCs/>
          <w:szCs w:val="24"/>
        </w:rPr>
        <w:t>approved</w:t>
      </w:r>
      <w:r w:rsidRPr="00452E2E">
        <w:rPr>
          <w:rFonts w:cs="Arial"/>
          <w:szCs w:val="24"/>
        </w:rPr>
        <w:t xml:space="preserve"> on ethics grounds, on the basis that you will adhere to the following documentation that you submitted for ethics review:</w:t>
      </w:r>
    </w:p>
    <w:p w:rsidR="00D03A8E" w:rsidRPr="00452E2E" w:rsidRDefault="00D03A8E" w:rsidP="00D03A8E">
      <w:pPr>
        <w:widowControl w:val="0"/>
        <w:autoSpaceDE w:val="0"/>
        <w:autoSpaceDN w:val="0"/>
        <w:adjustRightInd w:val="0"/>
        <w:spacing w:after="0" w:line="192"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University research ethics application form 001916 (dated 30/03/2015).</w:t>
      </w:r>
    </w:p>
    <w:p w:rsidR="00D03A8E" w:rsidRPr="00452E2E" w:rsidRDefault="00D03A8E" w:rsidP="00D03A8E">
      <w:pPr>
        <w:widowControl w:val="0"/>
        <w:autoSpaceDE w:val="0"/>
        <w:autoSpaceDN w:val="0"/>
        <w:adjustRightInd w:val="0"/>
        <w:spacing w:after="0" w:line="8" w:lineRule="exact"/>
        <w:rPr>
          <w:rFonts w:cs="Times New Roman"/>
          <w:szCs w:val="24"/>
        </w:rPr>
      </w:pPr>
      <w:r w:rsidRPr="00452E2E">
        <w:rPr>
          <w:noProof/>
          <w:szCs w:val="24"/>
          <w:lang w:eastAsia="en-GB"/>
        </w:rPr>
        <w:drawing>
          <wp:anchor distT="0" distB="0" distL="114300" distR="114300" simplePos="0" relativeHeight="251649024" behindDoc="1" locked="0" layoutInCell="0" allowOverlap="1" wp14:anchorId="47DFF627" wp14:editId="75F32030">
            <wp:simplePos x="0" y="0"/>
            <wp:positionH relativeFrom="column">
              <wp:posOffset>220345</wp:posOffset>
            </wp:positionH>
            <wp:positionV relativeFrom="paragraph">
              <wp:posOffset>-117475</wp:posOffset>
            </wp:positionV>
            <wp:extent cx="87630" cy="87630"/>
            <wp:effectExtent l="0" t="0" r="7620" b="762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autoSpaceDE w:val="0"/>
        <w:autoSpaceDN w:val="0"/>
        <w:adjustRightInd w:val="0"/>
        <w:spacing w:after="0" w:line="240" w:lineRule="auto"/>
        <w:rPr>
          <w:rFonts w:cs="Times New Roman"/>
          <w:szCs w:val="24"/>
          <w:lang w:val="fr-FR"/>
        </w:rPr>
      </w:pPr>
      <w:r w:rsidRPr="00452E2E">
        <w:rPr>
          <w:rFonts w:cs="Arial"/>
          <w:szCs w:val="24"/>
          <w:lang w:val="fr-FR"/>
        </w:rPr>
        <w:t>Participant information sheet 005477 (19/02/2015)</w:t>
      </w:r>
    </w:p>
    <w:p w:rsidR="00D03A8E" w:rsidRPr="00452E2E" w:rsidRDefault="00D03A8E" w:rsidP="00D03A8E">
      <w:pPr>
        <w:widowControl w:val="0"/>
        <w:autoSpaceDE w:val="0"/>
        <w:autoSpaceDN w:val="0"/>
        <w:adjustRightInd w:val="0"/>
        <w:spacing w:after="0" w:line="8" w:lineRule="exact"/>
        <w:rPr>
          <w:rFonts w:cs="Times New Roman"/>
          <w:szCs w:val="24"/>
          <w:lang w:val="fr-FR"/>
        </w:rPr>
      </w:pPr>
      <w:r w:rsidRPr="00452E2E">
        <w:rPr>
          <w:noProof/>
          <w:szCs w:val="24"/>
          <w:lang w:eastAsia="en-GB"/>
        </w:rPr>
        <w:drawing>
          <wp:anchor distT="0" distB="0" distL="114300" distR="114300" simplePos="0" relativeHeight="251650048" behindDoc="1" locked="0" layoutInCell="0" allowOverlap="1" wp14:anchorId="0B26D278" wp14:editId="6B64F0FA">
            <wp:simplePos x="0" y="0"/>
            <wp:positionH relativeFrom="column">
              <wp:posOffset>220345</wp:posOffset>
            </wp:positionH>
            <wp:positionV relativeFrom="paragraph">
              <wp:posOffset>-117475</wp:posOffset>
            </wp:positionV>
            <wp:extent cx="87630" cy="87630"/>
            <wp:effectExtent l="0" t="0" r="7620" b="762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autoSpaceDE w:val="0"/>
        <w:autoSpaceDN w:val="0"/>
        <w:adjustRightInd w:val="0"/>
        <w:spacing w:after="0" w:line="240" w:lineRule="auto"/>
        <w:rPr>
          <w:rFonts w:cs="Times New Roman"/>
          <w:szCs w:val="24"/>
          <w:lang w:val="fr-FR"/>
        </w:rPr>
      </w:pPr>
      <w:r w:rsidRPr="00452E2E">
        <w:rPr>
          <w:rFonts w:cs="Arial"/>
          <w:szCs w:val="24"/>
          <w:lang w:val="fr-FR"/>
        </w:rPr>
        <w:t>Participant information sheet 005475 (19/02/2015)</w:t>
      </w:r>
    </w:p>
    <w:p w:rsidR="00D03A8E" w:rsidRPr="00452E2E" w:rsidRDefault="00D03A8E" w:rsidP="00D03A8E">
      <w:pPr>
        <w:widowControl w:val="0"/>
        <w:autoSpaceDE w:val="0"/>
        <w:autoSpaceDN w:val="0"/>
        <w:adjustRightInd w:val="0"/>
        <w:spacing w:after="0" w:line="8" w:lineRule="exact"/>
        <w:rPr>
          <w:rFonts w:cs="Times New Roman"/>
          <w:szCs w:val="24"/>
          <w:lang w:val="fr-FR"/>
        </w:rPr>
      </w:pPr>
      <w:r w:rsidRPr="00452E2E">
        <w:rPr>
          <w:noProof/>
          <w:szCs w:val="24"/>
          <w:lang w:eastAsia="en-GB"/>
        </w:rPr>
        <w:drawing>
          <wp:anchor distT="0" distB="0" distL="114300" distR="114300" simplePos="0" relativeHeight="251651072" behindDoc="1" locked="0" layoutInCell="0" allowOverlap="1" wp14:anchorId="1A7D872E" wp14:editId="5CB7B9F7">
            <wp:simplePos x="0" y="0"/>
            <wp:positionH relativeFrom="column">
              <wp:posOffset>220345</wp:posOffset>
            </wp:positionH>
            <wp:positionV relativeFrom="paragraph">
              <wp:posOffset>-117475</wp:posOffset>
            </wp:positionV>
            <wp:extent cx="87630" cy="87630"/>
            <wp:effectExtent l="0" t="0" r="7620" b="762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autoSpaceDE w:val="0"/>
        <w:autoSpaceDN w:val="0"/>
        <w:adjustRightInd w:val="0"/>
        <w:spacing w:after="0" w:line="240" w:lineRule="auto"/>
        <w:rPr>
          <w:rFonts w:cs="Times New Roman"/>
          <w:szCs w:val="24"/>
          <w:lang w:val="fr-FR"/>
        </w:rPr>
      </w:pPr>
      <w:r w:rsidRPr="00452E2E">
        <w:rPr>
          <w:rFonts w:cs="Arial"/>
          <w:szCs w:val="24"/>
          <w:lang w:val="fr-FR"/>
        </w:rPr>
        <w:t>Participant information sheet 005476 (19/02/2015)</w:t>
      </w:r>
    </w:p>
    <w:p w:rsidR="00D03A8E" w:rsidRPr="00452E2E" w:rsidRDefault="00D03A8E" w:rsidP="00D03A8E">
      <w:pPr>
        <w:widowControl w:val="0"/>
        <w:autoSpaceDE w:val="0"/>
        <w:autoSpaceDN w:val="0"/>
        <w:adjustRightInd w:val="0"/>
        <w:spacing w:after="0" w:line="8" w:lineRule="exact"/>
        <w:rPr>
          <w:rFonts w:cs="Times New Roman"/>
          <w:szCs w:val="24"/>
          <w:lang w:val="fr-FR"/>
        </w:rPr>
      </w:pPr>
      <w:r w:rsidRPr="00452E2E">
        <w:rPr>
          <w:noProof/>
          <w:szCs w:val="24"/>
          <w:lang w:eastAsia="en-GB"/>
        </w:rPr>
        <w:drawing>
          <wp:anchor distT="0" distB="0" distL="114300" distR="114300" simplePos="0" relativeHeight="251652096" behindDoc="1" locked="0" layoutInCell="0" allowOverlap="1" wp14:anchorId="0F6612CC" wp14:editId="59EBDC52">
            <wp:simplePos x="0" y="0"/>
            <wp:positionH relativeFrom="column">
              <wp:posOffset>220345</wp:posOffset>
            </wp:positionH>
            <wp:positionV relativeFrom="paragraph">
              <wp:posOffset>-117475</wp:posOffset>
            </wp:positionV>
            <wp:extent cx="87630" cy="87630"/>
            <wp:effectExtent l="0" t="0" r="7620" b="762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autoSpaceDE w:val="0"/>
        <w:autoSpaceDN w:val="0"/>
        <w:adjustRightInd w:val="0"/>
        <w:spacing w:after="0" w:line="240" w:lineRule="auto"/>
        <w:rPr>
          <w:rFonts w:cs="Times New Roman"/>
          <w:szCs w:val="24"/>
          <w:lang w:val="fr-FR"/>
        </w:rPr>
      </w:pPr>
      <w:r w:rsidRPr="00452E2E">
        <w:rPr>
          <w:rFonts w:cs="Arial"/>
          <w:szCs w:val="24"/>
          <w:lang w:val="fr-FR"/>
        </w:rPr>
        <w:t>Participant consent form 006905 (30/03/2015)</w:t>
      </w:r>
    </w:p>
    <w:p w:rsidR="00D03A8E" w:rsidRPr="00452E2E" w:rsidRDefault="00D03A8E" w:rsidP="00D03A8E">
      <w:pPr>
        <w:widowControl w:val="0"/>
        <w:autoSpaceDE w:val="0"/>
        <w:autoSpaceDN w:val="0"/>
        <w:adjustRightInd w:val="0"/>
        <w:spacing w:after="0" w:line="8" w:lineRule="exact"/>
        <w:rPr>
          <w:rFonts w:cs="Times New Roman"/>
          <w:szCs w:val="24"/>
          <w:lang w:val="fr-FR"/>
        </w:rPr>
      </w:pPr>
      <w:r w:rsidRPr="00452E2E">
        <w:rPr>
          <w:noProof/>
          <w:szCs w:val="24"/>
          <w:lang w:eastAsia="en-GB"/>
        </w:rPr>
        <w:drawing>
          <wp:anchor distT="0" distB="0" distL="114300" distR="114300" simplePos="0" relativeHeight="251653120" behindDoc="1" locked="0" layoutInCell="0" allowOverlap="1" wp14:anchorId="4870292E" wp14:editId="11E89910">
            <wp:simplePos x="0" y="0"/>
            <wp:positionH relativeFrom="column">
              <wp:posOffset>220345</wp:posOffset>
            </wp:positionH>
            <wp:positionV relativeFrom="paragraph">
              <wp:posOffset>-117475</wp:posOffset>
            </wp:positionV>
            <wp:extent cx="87630" cy="87630"/>
            <wp:effectExtent l="0" t="0" r="7620" b="762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autoSpaceDE w:val="0"/>
        <w:autoSpaceDN w:val="0"/>
        <w:adjustRightInd w:val="0"/>
        <w:spacing w:after="0" w:line="240" w:lineRule="auto"/>
        <w:rPr>
          <w:rFonts w:cs="Times New Roman"/>
          <w:szCs w:val="24"/>
          <w:lang w:val="fr-FR"/>
        </w:rPr>
      </w:pPr>
      <w:r w:rsidRPr="00452E2E">
        <w:rPr>
          <w:rFonts w:cs="Arial"/>
          <w:szCs w:val="24"/>
          <w:lang w:val="fr-FR"/>
        </w:rPr>
        <w:t>Participant consent form 006904 (30/03/2015)</w:t>
      </w:r>
    </w:p>
    <w:p w:rsidR="00D03A8E" w:rsidRPr="00452E2E" w:rsidRDefault="00D03A8E" w:rsidP="00D03A8E">
      <w:pPr>
        <w:widowControl w:val="0"/>
        <w:autoSpaceDE w:val="0"/>
        <w:autoSpaceDN w:val="0"/>
        <w:adjustRightInd w:val="0"/>
        <w:spacing w:after="0" w:line="8" w:lineRule="exact"/>
        <w:rPr>
          <w:rFonts w:cs="Times New Roman"/>
          <w:szCs w:val="24"/>
          <w:lang w:val="fr-FR"/>
        </w:rPr>
      </w:pPr>
      <w:r w:rsidRPr="00452E2E">
        <w:rPr>
          <w:noProof/>
          <w:szCs w:val="24"/>
          <w:lang w:eastAsia="en-GB"/>
        </w:rPr>
        <w:drawing>
          <wp:anchor distT="0" distB="0" distL="114300" distR="114300" simplePos="0" relativeHeight="251657216" behindDoc="1" locked="0" layoutInCell="0" allowOverlap="1" wp14:anchorId="2344BC01" wp14:editId="1EED26E4">
            <wp:simplePos x="0" y="0"/>
            <wp:positionH relativeFrom="column">
              <wp:posOffset>220345</wp:posOffset>
            </wp:positionH>
            <wp:positionV relativeFrom="paragraph">
              <wp:posOffset>-117475</wp:posOffset>
            </wp:positionV>
            <wp:extent cx="87630" cy="87630"/>
            <wp:effectExtent l="0" t="0" r="7620" b="762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autoSpaceDE w:val="0"/>
        <w:autoSpaceDN w:val="0"/>
        <w:adjustRightInd w:val="0"/>
        <w:spacing w:after="0" w:line="240" w:lineRule="auto"/>
        <w:rPr>
          <w:rFonts w:cs="Times New Roman"/>
          <w:szCs w:val="24"/>
          <w:lang w:val="fr-FR"/>
        </w:rPr>
      </w:pPr>
      <w:r w:rsidRPr="00452E2E">
        <w:rPr>
          <w:rFonts w:cs="Arial"/>
          <w:szCs w:val="24"/>
          <w:lang w:val="fr-FR"/>
        </w:rPr>
        <w:t>Participant consent form 005182 (09/02/2015)</w:t>
      </w:r>
    </w:p>
    <w:p w:rsidR="00D03A8E" w:rsidRPr="00452E2E" w:rsidRDefault="00D03A8E" w:rsidP="00D03A8E">
      <w:pPr>
        <w:widowControl w:val="0"/>
        <w:autoSpaceDE w:val="0"/>
        <w:autoSpaceDN w:val="0"/>
        <w:adjustRightInd w:val="0"/>
        <w:spacing w:after="0" w:line="223" w:lineRule="exact"/>
        <w:rPr>
          <w:rFonts w:cs="Times New Roman"/>
          <w:szCs w:val="24"/>
          <w:lang w:val="fr-FR"/>
        </w:rPr>
      </w:pPr>
      <w:r w:rsidRPr="00452E2E">
        <w:rPr>
          <w:noProof/>
          <w:szCs w:val="24"/>
          <w:lang w:eastAsia="en-GB"/>
        </w:rPr>
        <w:drawing>
          <wp:anchor distT="0" distB="0" distL="114300" distR="114300" simplePos="0" relativeHeight="251658240" behindDoc="1" locked="0" layoutInCell="0" allowOverlap="1" wp14:anchorId="0AF9B8F8" wp14:editId="2939C827">
            <wp:simplePos x="0" y="0"/>
            <wp:positionH relativeFrom="column">
              <wp:posOffset>220345</wp:posOffset>
            </wp:positionH>
            <wp:positionV relativeFrom="paragraph">
              <wp:posOffset>-117475</wp:posOffset>
            </wp:positionV>
            <wp:extent cx="87630" cy="87630"/>
            <wp:effectExtent l="0" t="0" r="7620" b="762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overflowPunct w:val="0"/>
        <w:autoSpaceDE w:val="0"/>
        <w:autoSpaceDN w:val="0"/>
        <w:adjustRightInd w:val="0"/>
        <w:spacing w:after="0"/>
        <w:rPr>
          <w:rFonts w:cs="Times New Roman"/>
          <w:szCs w:val="24"/>
        </w:rPr>
      </w:pPr>
      <w:r w:rsidRPr="00452E2E">
        <w:rPr>
          <w:rFonts w:cs="Arial"/>
          <w:szCs w:val="24"/>
        </w:rPr>
        <w:t xml:space="preserve">If during the course of the project you need to </w:t>
      </w:r>
      <w:hyperlink r:id="rId16" w:history="1">
        <w:r w:rsidRPr="00452E2E">
          <w:rPr>
            <w:rFonts w:cs="Arial"/>
            <w:szCs w:val="24"/>
          </w:rPr>
          <w:t xml:space="preserve"> </w:t>
        </w:r>
        <w:r w:rsidRPr="00452E2E">
          <w:rPr>
            <w:rFonts w:cs="Arial"/>
            <w:szCs w:val="24"/>
            <w:u w:val="single"/>
          </w:rPr>
          <w:t>deviate significantly from the above-approved documentatio</w:t>
        </w:r>
      </w:hyperlink>
      <w:r w:rsidRPr="00452E2E">
        <w:rPr>
          <w:rFonts w:cs="Arial"/>
          <w:szCs w:val="24"/>
          <w:u w:val="single"/>
        </w:rPr>
        <w:t>n</w:t>
      </w:r>
      <w:r w:rsidRPr="00452E2E">
        <w:rPr>
          <w:rFonts w:cs="Arial"/>
          <w:szCs w:val="24"/>
        </w:rPr>
        <w:t xml:space="preserve"> please inform me since written approval will be required.</w:t>
      </w:r>
    </w:p>
    <w:p w:rsidR="00D03A8E" w:rsidRPr="00452E2E" w:rsidRDefault="00D03A8E" w:rsidP="00D03A8E">
      <w:pPr>
        <w:widowControl w:val="0"/>
        <w:autoSpaceDE w:val="0"/>
        <w:autoSpaceDN w:val="0"/>
        <w:adjustRightInd w:val="0"/>
        <w:spacing w:after="0" w:line="191" w:lineRule="exact"/>
        <w:rPr>
          <w:rFonts w:cs="Times New Roman"/>
          <w:szCs w:val="24"/>
        </w:rPr>
      </w:pPr>
      <w:r w:rsidRPr="00452E2E">
        <w:rPr>
          <w:noProof/>
          <w:szCs w:val="24"/>
          <w:lang w:eastAsia="en-GB"/>
        </w:rPr>
        <w:drawing>
          <wp:anchor distT="0" distB="0" distL="114300" distR="114300" simplePos="0" relativeHeight="251659264" behindDoc="1" locked="0" layoutInCell="0" allowOverlap="1" wp14:anchorId="28C053A4" wp14:editId="75557B63">
            <wp:simplePos x="0" y="0"/>
            <wp:positionH relativeFrom="column">
              <wp:posOffset>2863850</wp:posOffset>
            </wp:positionH>
            <wp:positionV relativeFrom="paragraph">
              <wp:posOffset>-201295</wp:posOffset>
            </wp:positionV>
            <wp:extent cx="3764915" cy="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4915" cy="0"/>
                    </a:xfrm>
                    <a:prstGeom prst="rect">
                      <a:avLst/>
                    </a:prstGeom>
                    <a:noFill/>
                  </pic:spPr>
                </pic:pic>
              </a:graphicData>
            </a:graphic>
            <wp14:sizeRelH relativeFrom="page">
              <wp14:pctWidth>0</wp14:pctWidth>
            </wp14:sizeRelH>
            <wp14:sizeRelV relativeFrom="page">
              <wp14:pctHeight>0</wp14:pctHeight>
            </wp14:sizeRelV>
          </wp:anchor>
        </w:drawing>
      </w: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Yours sincerely</w:t>
      </w:r>
    </w:p>
    <w:p w:rsidR="00D03A8E" w:rsidRPr="00452E2E" w:rsidRDefault="00D03A8E" w:rsidP="00D03A8E">
      <w:pPr>
        <w:widowControl w:val="0"/>
        <w:autoSpaceDE w:val="0"/>
        <w:autoSpaceDN w:val="0"/>
        <w:adjustRightInd w:val="0"/>
        <w:spacing w:after="0" w:line="200" w:lineRule="exact"/>
        <w:rPr>
          <w:rFonts w:cs="Times New Roman"/>
          <w:szCs w:val="24"/>
        </w:rPr>
      </w:pPr>
    </w:p>
    <w:p w:rsidR="00D03A8E" w:rsidRPr="00452E2E" w:rsidRDefault="00D03A8E" w:rsidP="00D03A8E">
      <w:pPr>
        <w:widowControl w:val="0"/>
        <w:autoSpaceDE w:val="0"/>
        <w:autoSpaceDN w:val="0"/>
        <w:adjustRightInd w:val="0"/>
        <w:spacing w:after="0" w:line="200"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Malcolm Patterson</w:t>
      </w:r>
    </w:p>
    <w:p w:rsidR="00D03A8E" w:rsidRPr="00452E2E" w:rsidRDefault="00D03A8E" w:rsidP="00D03A8E">
      <w:pPr>
        <w:widowControl w:val="0"/>
        <w:autoSpaceDE w:val="0"/>
        <w:autoSpaceDN w:val="0"/>
        <w:adjustRightInd w:val="0"/>
        <w:spacing w:after="0" w:line="8" w:lineRule="exact"/>
        <w:rPr>
          <w:rFonts w:cs="Times New Roman"/>
          <w:szCs w:val="24"/>
        </w:rPr>
      </w:pPr>
    </w:p>
    <w:p w:rsidR="00D03A8E" w:rsidRPr="00452E2E" w:rsidRDefault="00D03A8E" w:rsidP="00D03A8E">
      <w:pPr>
        <w:widowControl w:val="0"/>
        <w:autoSpaceDE w:val="0"/>
        <w:autoSpaceDN w:val="0"/>
        <w:adjustRightInd w:val="0"/>
        <w:spacing w:after="0" w:line="240" w:lineRule="auto"/>
        <w:rPr>
          <w:rFonts w:cs="Times New Roman"/>
          <w:szCs w:val="24"/>
        </w:rPr>
      </w:pPr>
      <w:r w:rsidRPr="00452E2E">
        <w:rPr>
          <w:rFonts w:cs="Arial"/>
          <w:szCs w:val="24"/>
        </w:rPr>
        <w:t>Ethics Administrator</w:t>
      </w:r>
    </w:p>
    <w:p w:rsidR="00D03A8E" w:rsidRPr="00452E2E" w:rsidRDefault="00D03A8E" w:rsidP="00D03A8E">
      <w:pPr>
        <w:widowControl w:val="0"/>
        <w:autoSpaceDE w:val="0"/>
        <w:autoSpaceDN w:val="0"/>
        <w:adjustRightInd w:val="0"/>
        <w:spacing w:after="0" w:line="8" w:lineRule="exact"/>
        <w:rPr>
          <w:rFonts w:cs="Times New Roman"/>
          <w:szCs w:val="24"/>
        </w:rPr>
      </w:pPr>
    </w:p>
    <w:p w:rsidR="00B00321" w:rsidRPr="00452E2E" w:rsidRDefault="00D03A8E" w:rsidP="00D03A8E">
      <w:pPr>
        <w:widowControl w:val="0"/>
        <w:autoSpaceDE w:val="0"/>
        <w:autoSpaceDN w:val="0"/>
        <w:adjustRightInd w:val="0"/>
        <w:spacing w:after="0" w:line="240" w:lineRule="auto"/>
        <w:rPr>
          <w:rFonts w:cs="Arial"/>
          <w:szCs w:val="24"/>
        </w:rPr>
      </w:pPr>
      <w:r w:rsidRPr="00452E2E">
        <w:rPr>
          <w:rFonts w:cs="Arial"/>
          <w:szCs w:val="24"/>
        </w:rPr>
        <w:t>Management School</w:t>
      </w:r>
    </w:p>
    <w:p w:rsidR="00B00321" w:rsidRPr="00452E2E" w:rsidRDefault="00B00321" w:rsidP="00B00321">
      <w:pPr>
        <w:sectPr w:rsidR="00B00321" w:rsidRPr="00452E2E" w:rsidSect="00B57950">
          <w:pgSz w:w="11906" w:h="16838"/>
          <w:pgMar w:top="1440" w:right="1440" w:bottom="1440" w:left="2127" w:header="708" w:footer="708" w:gutter="0"/>
          <w:cols w:space="708"/>
          <w:docGrid w:linePitch="360"/>
        </w:sectPr>
      </w:pPr>
      <w:r w:rsidRPr="00452E2E">
        <w:br w:type="page"/>
      </w:r>
    </w:p>
    <w:p w:rsidR="00B00321" w:rsidRPr="00452E2E" w:rsidRDefault="00B00321" w:rsidP="00B00321"/>
    <w:p w:rsidR="00D03A8E" w:rsidRPr="00452E2E" w:rsidRDefault="00D03A8E" w:rsidP="00D03A8E">
      <w:pPr>
        <w:pStyle w:val="Heading2"/>
      </w:pPr>
      <w:bookmarkStart w:id="245" w:name="_Toc465271227"/>
      <w:bookmarkStart w:id="246" w:name="_Toc473808218"/>
      <w:r w:rsidRPr="00452E2E">
        <w:t>Appendix 2: Information Sheet for HR Managers Completing Questionnaires only</w:t>
      </w:r>
      <w:bookmarkEnd w:id="245"/>
      <w:bookmarkEnd w:id="246"/>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 xml:space="preserve">Title </w:t>
      </w: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INSTITUTIONAL CONTEXT AND THE EFFECTS OF HUMAN RESOURCE PRACTICES ON EMPLOYEE ATTITUDES IN PUBLIC AND PRIVATE SECTOR</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Information Sheet</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You are being invited to participate in this research study. Before you decide whether or not to participate, it is important for you to understand why this research is being conducted and what your participation will involve. This document provides useful information that will assist you to make an informed decision about participating in this study. Please take time to carefully read through the information provided and where appropriate discuss with your superiors or others if you wish. I am happy to be contacted if you find any part of the information unclear and would like more clarity before making a decision to take part in this study. Alternatively, you can contact the supervisors of this research if you wish to seek additional information about the research. Please take time to decide whether or not you wish to take part in this research.</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Thank you for taking time to read this information.</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Purpose of the study</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This study seeks to explore the influence of institutions on HRM as well as the specific techniques of HRM used in organizations across industries and sectors in Nigeria and to examine the effects of human resource practices on job attitudes in public and private sector.</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Participant Selection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This study is divided into 2 parts; part 1 involves human resource managers who shall provide information on the institutional factors that influence HRM as well as the specific techniques of HRM used in their organizations while part 2 involves non-managerial employees who shall provide information about their perceptions of human resource practices as well as their personal rating of job attitudes.</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You are being invited to participate in part 1 of this study because you have been identified as someone in a position to give useful insight on this topic. You meet the requirements for inclusion as a participant because of your experience as someone responsible for administering human resource practices in your organization.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It is up to you to decide whether or not to take part in this research. If you do decide to take part you will be given this information sheet to keep and be asked to complete a questionnaire. It shall be stated on the questionnaire that by completing and returning the questionnaire, you are consenting for your data to be used for the research. Please note that you can still withdraw at any time without it affecting any benefits that you are entitled to in any way. You do not have to give a reason. </w:t>
      </w:r>
    </w:p>
    <w:p w:rsidR="00D03A8E" w:rsidRPr="00452E2E" w:rsidRDefault="00D03A8E" w:rsidP="00D03A8E">
      <w:pPr>
        <w:pStyle w:val="Body"/>
        <w:jc w:val="both"/>
        <w:rPr>
          <w:rFonts w:ascii="Cambria" w:hAnsi="Cambria"/>
          <w:b/>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Scope of participation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By participating in this research, you are expected to provide information on the various institutional influences on the implementation of HR practices in your organization as well as the specific techniques of HRM used in your organization by completing a survey questionnaire. In some instances, you shall be required to simply tick the boxes provided in the questionnaire which reflect your views. In other cases however, you shall be required to write your responses in the spaces provided. It shall take approximately 20 minutes for you to complete the questionnaire. You are expected to seal the completed questionnaire in an envelope which shall be provided before returning same.</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Benefits</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Whilst there are no immediate and direct gains for your participation in this study, we do hope that in the long term, the findings from this study and the recommendations thereof shall help in improving the working conditions as well as the performance of your organization.</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Risks for participation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There are no risks whatsoever for your participation in this research. Please be assured that all the information we collect about you during the course of the research will be kept strictly confidential. You will not be able to be identified in any reports or publications.</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Reporting complaints</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If for any reason you are unhappy with the research process as it involves your participation and wish to make a complaint, please contact the researcher or the supervisors. The contact details of the researcher and supervisors are provided at the end of this information sheet.</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If you are happy to continue and participate in this research, please keep this information and sign the attached consent form any time before completing the questionnaire. </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Thank you for your time and for taking part in this research.</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Researcher</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DARIUS N. IKYANYON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Doctoral Researcher, </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Sheffield University Management School, </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The University of Sheffield, Sheffield</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United Kingdom</w:t>
      </w:r>
    </w:p>
    <w:p w:rsidR="00D03A8E" w:rsidRPr="00452E2E" w:rsidRDefault="00B26571" w:rsidP="00D03A8E">
      <w:pPr>
        <w:pStyle w:val="Body"/>
        <w:jc w:val="both"/>
        <w:rPr>
          <w:rFonts w:ascii="Cambria" w:hAnsi="Cambria"/>
          <w:color w:val="auto"/>
          <w:sz w:val="15"/>
          <w:szCs w:val="15"/>
        </w:rPr>
      </w:pPr>
      <w:hyperlink r:id="rId18" w:history="1">
        <w:r w:rsidR="00D03A8E" w:rsidRPr="00452E2E">
          <w:rPr>
            <w:rStyle w:val="Hyperlink"/>
            <w:rFonts w:ascii="Cambria" w:hAnsi="Cambria"/>
            <w:color w:val="auto"/>
            <w:sz w:val="15"/>
            <w:szCs w:val="15"/>
          </w:rPr>
          <w:t>dnikyanyon1@sheffield.ac.uk</w:t>
        </w:r>
      </w:hyperlink>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+44(0)7767967881</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Nigeria: 08035868549</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color w:val="auto"/>
          <w:sz w:val="15"/>
          <w:szCs w:val="15"/>
        </w:rPr>
      </w:pPr>
      <w:r w:rsidRPr="00452E2E">
        <w:rPr>
          <w:rFonts w:ascii="Cambria" w:hAnsi="Cambria"/>
          <w:b/>
          <w:bCs/>
          <w:color w:val="auto"/>
          <w:sz w:val="15"/>
          <w:szCs w:val="15"/>
        </w:rPr>
        <w:t>Supervisors:</w:t>
      </w:r>
    </w:p>
    <w:p w:rsidR="00B00321" w:rsidRPr="00452E2E" w:rsidRDefault="00D03A8E" w:rsidP="00B00321">
      <w:pPr>
        <w:pStyle w:val="Default"/>
        <w:jc w:val="both"/>
        <w:rPr>
          <w:rFonts w:ascii="Cambria" w:hAnsi="Cambria"/>
          <w:color w:val="auto"/>
          <w:sz w:val="15"/>
          <w:szCs w:val="15"/>
        </w:rPr>
      </w:pPr>
      <w:r w:rsidRPr="00452E2E">
        <w:rPr>
          <w:rFonts w:ascii="Cambria" w:hAnsi="Cambria"/>
          <w:color w:val="auto"/>
          <w:sz w:val="15"/>
          <w:szCs w:val="15"/>
          <w:u w:val="single"/>
        </w:rPr>
        <w:t>Professor Phil Johnson</w:t>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u w:val="single"/>
        </w:rPr>
        <w:t>Professor Jeremy Dawson</w:t>
      </w:r>
    </w:p>
    <w:p w:rsidR="00B00321" w:rsidRPr="00452E2E" w:rsidRDefault="00B26571" w:rsidP="00B00321">
      <w:pPr>
        <w:pStyle w:val="Default"/>
        <w:jc w:val="both"/>
        <w:rPr>
          <w:rStyle w:val="Hyperlink"/>
          <w:rFonts w:ascii="Cambria" w:hAnsi="Cambria"/>
          <w:color w:val="auto"/>
          <w:sz w:val="15"/>
          <w:szCs w:val="15"/>
          <w:u w:val="none"/>
        </w:rPr>
      </w:pPr>
      <w:hyperlink r:id="rId19" w:history="1">
        <w:r w:rsidR="00D03A8E" w:rsidRPr="00452E2E">
          <w:rPr>
            <w:rStyle w:val="Hyperlink"/>
            <w:rFonts w:ascii="Cambria" w:hAnsi="Cambria"/>
            <w:color w:val="auto"/>
            <w:sz w:val="15"/>
            <w:szCs w:val="15"/>
          </w:rPr>
          <w:t>phil.johnson@sheffield.ac.uk</w:t>
        </w:r>
      </w:hyperlink>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hyperlink r:id="rId20" w:history="1">
        <w:r w:rsidR="00B00321" w:rsidRPr="00452E2E">
          <w:rPr>
            <w:rStyle w:val="Hyperlink"/>
            <w:rFonts w:ascii="Cambria" w:hAnsi="Cambria"/>
            <w:color w:val="auto"/>
            <w:sz w:val="15"/>
            <w:szCs w:val="15"/>
          </w:rPr>
          <w:t>j.f.dawson@sheffield.ac.uk</w:t>
        </w:r>
      </w:hyperlink>
    </w:p>
    <w:p w:rsidR="00B00321" w:rsidRPr="00452E2E" w:rsidRDefault="00D03A8E" w:rsidP="00B00321">
      <w:pPr>
        <w:pStyle w:val="Default"/>
        <w:jc w:val="both"/>
        <w:rPr>
          <w:rFonts w:ascii="Cambria" w:hAnsi="Cambria"/>
          <w:color w:val="auto"/>
          <w:sz w:val="15"/>
          <w:szCs w:val="15"/>
        </w:rPr>
      </w:pPr>
      <w:r w:rsidRPr="00452E2E">
        <w:rPr>
          <w:rFonts w:ascii="Cambria" w:hAnsi="Cambria"/>
          <w:color w:val="auto"/>
          <w:sz w:val="15"/>
          <w:szCs w:val="15"/>
        </w:rPr>
        <w:t>+44(0) 114 222 3367</w:t>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rPr>
        <w:tab/>
      </w:r>
      <w:r w:rsidR="00B00321" w:rsidRPr="00452E2E">
        <w:rPr>
          <w:rFonts w:ascii="Cambria" w:hAnsi="Cambria"/>
          <w:color w:val="auto"/>
          <w:sz w:val="15"/>
          <w:szCs w:val="15"/>
        </w:rPr>
        <w:tab/>
        <w:t>+44(0) 114 222 3238</w:t>
      </w:r>
    </w:p>
    <w:p w:rsidR="001D104C" w:rsidRPr="00452E2E" w:rsidRDefault="001D104C" w:rsidP="00B00321">
      <w:pPr>
        <w:pStyle w:val="Default"/>
        <w:jc w:val="both"/>
        <w:rPr>
          <w:rFonts w:ascii="Cambria" w:hAnsi="Cambria"/>
          <w:color w:val="auto"/>
          <w:sz w:val="15"/>
          <w:szCs w:val="15"/>
        </w:rPr>
        <w:sectPr w:rsidR="001D104C" w:rsidRPr="00452E2E" w:rsidSect="00B57950">
          <w:pgSz w:w="11906" w:h="16838"/>
          <w:pgMar w:top="1440" w:right="1440" w:bottom="1440" w:left="2127" w:header="708" w:footer="708" w:gutter="0"/>
          <w:cols w:space="708"/>
          <w:docGrid w:linePitch="360"/>
        </w:sectPr>
      </w:pPr>
    </w:p>
    <w:p w:rsidR="00D03A8E" w:rsidRPr="00452E2E" w:rsidRDefault="00D03A8E" w:rsidP="00D03A8E">
      <w:pPr>
        <w:pStyle w:val="Heading2"/>
      </w:pPr>
      <w:bookmarkStart w:id="247" w:name="_Toc465271228"/>
      <w:bookmarkStart w:id="248" w:name="_Toc473808219"/>
      <w:r w:rsidRPr="00452E2E">
        <w:lastRenderedPageBreak/>
        <w:t>Appendix 3: Information Sheet for HR Managers Completing Questionnaires and Participating in Interviews</w:t>
      </w:r>
      <w:bookmarkEnd w:id="247"/>
      <w:bookmarkEnd w:id="248"/>
    </w:p>
    <w:p w:rsidR="00D03A8E" w:rsidRPr="00452E2E" w:rsidRDefault="00D03A8E" w:rsidP="00D03A8E">
      <w:pPr>
        <w:pStyle w:val="Body"/>
        <w:jc w:val="both"/>
        <w:rPr>
          <w:rFonts w:ascii="Cambria" w:hAnsi="Cambria"/>
          <w:b/>
          <w:bCs/>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 xml:space="preserve">Title </w:t>
      </w: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INSTITUTIONAL CONTEXT AND THE EFFECTS OF HUMAN RESOURCE PRACTICES ON EMPLOYEE ATTITUDES IN PUBLIC AND PRIVATE SECTOR</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4"/>
          <w:szCs w:val="14"/>
        </w:rPr>
      </w:pPr>
      <w:r w:rsidRPr="00452E2E">
        <w:rPr>
          <w:rFonts w:ascii="Cambria" w:hAnsi="Cambria"/>
          <w:b/>
          <w:bCs/>
          <w:color w:val="auto"/>
          <w:sz w:val="14"/>
          <w:szCs w:val="14"/>
        </w:rPr>
        <w:t>Information Sheet</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You are being invited to participate in this research study. Before you decide whether or not to participate, it is important for you to understand why this research is being conducted and what your participation will involve. This document provides useful information that will assist you to make an informed decision about participating in this study. Please take time to carefully read through the information provided and where appropriate discuss with your superiors or others if you wish. I am happy to be contacted if you find any part of the information unclear and would like more clarity before making a decision to take part in this study. Alternatively, you can contact the supervisors of this research if you wish to seek additional information about the research. Please take time to decide whether or not you wish to take part in this research.</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Thank you for taking time to read this information.</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b/>
          <w:bCs/>
          <w:color w:val="auto"/>
          <w:sz w:val="14"/>
          <w:szCs w:val="14"/>
        </w:rPr>
      </w:pPr>
      <w:r w:rsidRPr="00452E2E">
        <w:rPr>
          <w:rFonts w:ascii="Cambria" w:hAnsi="Cambria"/>
          <w:b/>
          <w:bCs/>
          <w:color w:val="auto"/>
          <w:sz w:val="14"/>
          <w:szCs w:val="14"/>
        </w:rPr>
        <w:t>Purpose of the study</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This study seeks to explore the influence of institutions on HRM as well as the specific techniques of HRM used in organizations across industries and sectors in Nigeria and to examine the effects of human resource practices on job attitudes in public and private sector.</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b/>
          <w:bCs/>
          <w:color w:val="auto"/>
          <w:sz w:val="14"/>
          <w:szCs w:val="14"/>
        </w:rPr>
      </w:pPr>
      <w:r w:rsidRPr="00452E2E">
        <w:rPr>
          <w:rFonts w:ascii="Cambria" w:hAnsi="Cambria"/>
          <w:b/>
          <w:bCs/>
          <w:color w:val="auto"/>
          <w:sz w:val="14"/>
          <w:szCs w:val="14"/>
        </w:rPr>
        <w:t>Participant Selection</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This study is divided into 2 parts; part 1 involves human resource managers who shall provide information on the institutional factors that influence HRM as well as the specific techniques of HRM used in their organizations while part 2 involves non-managerial employees who shall provide information about their perceptions of human resource practices as well as their personal rating of job attitudes.</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You are being invited to participate in part 1 of this study because you have been identified as someone in a position to give useful insight on this topic. You meet the requirements for inclusion as a participant because of your experience as someone responsible for administering human resource practices in your organization.</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 xml:space="preserve">It is up to you to decide whether or not to take part in this research. If you do decide to take part you will be given this information sheet to keep and be asked to complete a questionnaire. It shall be stated on the questionnaire that by completing and returning the questionnaire, you are consenting for your data to be used for the research. Before participating in the interview however, you shall be asked to sign a consent form before the start of the interview. Please note that you can still withdraw at any time without it affecting any benefits that you are entitled to in any way. You do not have to give a reason. </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b/>
          <w:color w:val="auto"/>
          <w:sz w:val="14"/>
          <w:szCs w:val="14"/>
        </w:rPr>
      </w:pPr>
      <w:r w:rsidRPr="00452E2E">
        <w:rPr>
          <w:rFonts w:ascii="Cambria" w:hAnsi="Cambria"/>
          <w:b/>
          <w:color w:val="auto"/>
          <w:sz w:val="14"/>
          <w:szCs w:val="14"/>
        </w:rPr>
        <w:t>Scope of participation</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By participating in this research, you are expected to provide information on the various institutional influences on the implementation of HR practices in your organization as well as the specific techniques of HRM used in your organization by completing a survey questionnaire. In some instances, you shall be required to simply tick the boxes provided in the questionnaire which reflect your views. In other cases however, you shall be required to write your responses in the spaces provided. It shall take approximately 20 minutes for you to complete the questionnaire. You are expected to seal the completed questionnaire in an envelope which shall be provided before returning same.</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In addition, you are expected to participate in an in-depth interview which shall last for between 45 minutes to 1 hour. The aim of the interview is to seek a deeper understanding of some of the issues addressed in the questionnaire. The interview shall be structured and shall center on issues such as how institutional factors influence HRM in your organization; challenges faced in trying to respond to institutional pressures among other issues. These interviews shall be tape-recorded if you so permit. If you however do not want any part of the interview recorded, you are free to say so; in which case, we shall take notes as appropriate. If you allow us to record the interviews, please be assured that the recordings shall be destroyed once the information you provide is transcribed.</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b/>
          <w:color w:val="auto"/>
          <w:sz w:val="14"/>
          <w:szCs w:val="14"/>
        </w:rPr>
      </w:pPr>
      <w:r w:rsidRPr="00452E2E">
        <w:rPr>
          <w:rFonts w:ascii="Cambria" w:hAnsi="Cambria"/>
          <w:b/>
          <w:color w:val="auto"/>
          <w:sz w:val="14"/>
          <w:szCs w:val="14"/>
        </w:rPr>
        <w:t>Benefits</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Whilst there are no immediate and direct gains for your participation in this study, we do hope that in the long term, the findings from this study and the recommendations thereof shall help in improving the working conditions as well as the performance of your organization.</w:t>
      </w:r>
    </w:p>
    <w:p w:rsidR="00D03A8E" w:rsidRPr="00452E2E" w:rsidRDefault="00D03A8E" w:rsidP="00D03A8E">
      <w:pPr>
        <w:pStyle w:val="Body"/>
        <w:jc w:val="both"/>
        <w:rPr>
          <w:rFonts w:ascii="Cambria" w:hAnsi="Cambria"/>
          <w:b/>
          <w:color w:val="auto"/>
          <w:sz w:val="14"/>
          <w:szCs w:val="14"/>
        </w:rPr>
      </w:pPr>
    </w:p>
    <w:p w:rsidR="00D03A8E" w:rsidRPr="00452E2E" w:rsidRDefault="00D03A8E" w:rsidP="00D03A8E">
      <w:pPr>
        <w:pStyle w:val="Body"/>
        <w:jc w:val="both"/>
        <w:rPr>
          <w:rFonts w:ascii="Cambria" w:hAnsi="Cambria"/>
          <w:b/>
          <w:color w:val="auto"/>
          <w:sz w:val="14"/>
          <w:szCs w:val="14"/>
        </w:rPr>
      </w:pPr>
      <w:r w:rsidRPr="00452E2E">
        <w:rPr>
          <w:rFonts w:ascii="Cambria" w:hAnsi="Cambria"/>
          <w:b/>
          <w:color w:val="auto"/>
          <w:sz w:val="14"/>
          <w:szCs w:val="14"/>
        </w:rPr>
        <w:t>Risks for participation</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 xml:space="preserve">There are no risks whatsoever for your participation in this research. Please be assured that all the information we collect about you during the course of the research will be kept strictly confidential. You will not be able to be identified in any reports or publications. </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b/>
          <w:color w:val="auto"/>
          <w:sz w:val="14"/>
          <w:szCs w:val="14"/>
        </w:rPr>
      </w:pPr>
      <w:r w:rsidRPr="00452E2E">
        <w:rPr>
          <w:rFonts w:ascii="Cambria" w:hAnsi="Cambria"/>
          <w:b/>
          <w:color w:val="auto"/>
          <w:sz w:val="14"/>
          <w:szCs w:val="14"/>
        </w:rPr>
        <w:t>Reporting complaints</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If for any reason you are unhappy with the research process as it involves your participation and wish to make a complaint, please contact the researcher or the supervisors. The contact details of the researcher and supervisors are provided at the end of this information sheet.</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 xml:space="preserve">If you are happy to continue and participate in this research, please keep this information and sign the attached consent form any time before completing the questionnaire. </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Thank you for your time and for taking part in this research.</w:t>
      </w:r>
    </w:p>
    <w:p w:rsidR="00D03A8E" w:rsidRPr="00452E2E" w:rsidRDefault="00D03A8E" w:rsidP="00D03A8E">
      <w:pPr>
        <w:pStyle w:val="Body"/>
        <w:jc w:val="both"/>
        <w:rPr>
          <w:rFonts w:ascii="Cambria" w:hAnsi="Cambria"/>
          <w:color w:val="auto"/>
          <w:sz w:val="14"/>
          <w:szCs w:val="14"/>
        </w:rPr>
      </w:pPr>
    </w:p>
    <w:p w:rsidR="00D03A8E" w:rsidRPr="00452E2E" w:rsidRDefault="00D03A8E" w:rsidP="00D03A8E">
      <w:pPr>
        <w:pStyle w:val="Body"/>
        <w:jc w:val="both"/>
        <w:rPr>
          <w:rFonts w:ascii="Cambria" w:hAnsi="Cambria"/>
          <w:b/>
          <w:bCs/>
          <w:color w:val="auto"/>
          <w:sz w:val="14"/>
          <w:szCs w:val="14"/>
        </w:rPr>
      </w:pPr>
      <w:r w:rsidRPr="00452E2E">
        <w:rPr>
          <w:rFonts w:ascii="Cambria" w:hAnsi="Cambria"/>
          <w:b/>
          <w:bCs/>
          <w:color w:val="auto"/>
          <w:sz w:val="14"/>
          <w:szCs w:val="14"/>
        </w:rPr>
        <w:t>Researcher</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Darius N. Ikyanyon</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 xml:space="preserve">Doctoral Researcher, </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Sheffield University Management School, The University of Sheffield, Sheffield, United Kingdom</w:t>
      </w:r>
    </w:p>
    <w:p w:rsidR="00D03A8E" w:rsidRPr="00452E2E" w:rsidRDefault="00B26571" w:rsidP="00D03A8E">
      <w:pPr>
        <w:pStyle w:val="Body"/>
        <w:jc w:val="both"/>
        <w:rPr>
          <w:rFonts w:ascii="Cambria" w:hAnsi="Cambria"/>
          <w:color w:val="auto"/>
          <w:sz w:val="14"/>
          <w:szCs w:val="14"/>
        </w:rPr>
      </w:pPr>
      <w:hyperlink r:id="rId21" w:history="1">
        <w:r w:rsidR="00D03A8E" w:rsidRPr="00452E2E">
          <w:rPr>
            <w:rStyle w:val="Hyperlink"/>
            <w:rFonts w:ascii="Cambria" w:hAnsi="Cambria"/>
            <w:color w:val="auto"/>
            <w:sz w:val="14"/>
            <w:szCs w:val="14"/>
          </w:rPr>
          <w:t>dnikyanyon1@sheffield.ac.uk</w:t>
        </w:r>
      </w:hyperlink>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+44(0)7767967881</w:t>
      </w:r>
    </w:p>
    <w:p w:rsidR="00D03A8E" w:rsidRPr="00452E2E" w:rsidRDefault="00D03A8E" w:rsidP="00D03A8E">
      <w:pPr>
        <w:pStyle w:val="Body"/>
        <w:jc w:val="both"/>
        <w:rPr>
          <w:rFonts w:ascii="Cambria" w:hAnsi="Cambria"/>
          <w:color w:val="auto"/>
          <w:sz w:val="14"/>
          <w:szCs w:val="14"/>
        </w:rPr>
      </w:pPr>
      <w:r w:rsidRPr="00452E2E">
        <w:rPr>
          <w:rFonts w:ascii="Cambria" w:hAnsi="Cambria"/>
          <w:color w:val="auto"/>
          <w:sz w:val="14"/>
          <w:szCs w:val="14"/>
        </w:rPr>
        <w:t>Nigeria: 08035868549</w:t>
      </w:r>
    </w:p>
    <w:p w:rsidR="00B00321" w:rsidRPr="00452E2E" w:rsidRDefault="00B00321" w:rsidP="00D03A8E">
      <w:pPr>
        <w:pStyle w:val="Body"/>
        <w:jc w:val="both"/>
        <w:rPr>
          <w:rFonts w:ascii="Cambria" w:hAnsi="Cambria"/>
          <w:b/>
          <w:bCs/>
          <w:color w:val="auto"/>
          <w:sz w:val="14"/>
          <w:szCs w:val="14"/>
        </w:rPr>
      </w:pPr>
    </w:p>
    <w:p w:rsidR="00B00321" w:rsidRPr="00452E2E" w:rsidRDefault="00B00321" w:rsidP="00D03A8E">
      <w:pPr>
        <w:pStyle w:val="Body"/>
        <w:jc w:val="both"/>
        <w:rPr>
          <w:rFonts w:ascii="Cambria" w:hAnsi="Cambria"/>
          <w:b/>
          <w:bCs/>
          <w:color w:val="auto"/>
          <w:sz w:val="14"/>
          <w:szCs w:val="14"/>
        </w:rPr>
      </w:pPr>
    </w:p>
    <w:p w:rsidR="00D03A8E" w:rsidRPr="00452E2E" w:rsidRDefault="00D03A8E" w:rsidP="00D03A8E">
      <w:pPr>
        <w:pStyle w:val="Body"/>
        <w:jc w:val="both"/>
        <w:rPr>
          <w:rFonts w:ascii="Cambria" w:hAnsi="Cambria"/>
          <w:color w:val="auto"/>
          <w:sz w:val="14"/>
          <w:szCs w:val="14"/>
        </w:rPr>
      </w:pPr>
      <w:r w:rsidRPr="00452E2E">
        <w:rPr>
          <w:rFonts w:ascii="Cambria" w:hAnsi="Cambria"/>
          <w:b/>
          <w:bCs/>
          <w:color w:val="auto"/>
          <w:sz w:val="14"/>
          <w:szCs w:val="14"/>
        </w:rPr>
        <w:t>Supervisors:</w:t>
      </w:r>
    </w:p>
    <w:p w:rsidR="00D03A8E" w:rsidRPr="00452E2E" w:rsidRDefault="00D03A8E" w:rsidP="001D104C">
      <w:pPr>
        <w:pStyle w:val="Default"/>
        <w:jc w:val="both"/>
        <w:rPr>
          <w:rFonts w:ascii="Cambria" w:hAnsi="Cambria"/>
          <w:color w:val="auto"/>
          <w:sz w:val="14"/>
          <w:szCs w:val="14"/>
        </w:rPr>
      </w:pPr>
      <w:r w:rsidRPr="00452E2E">
        <w:rPr>
          <w:rFonts w:ascii="Cambria" w:hAnsi="Cambria"/>
          <w:color w:val="auto"/>
          <w:sz w:val="14"/>
          <w:szCs w:val="14"/>
          <w:u w:val="single"/>
        </w:rPr>
        <w:t>Professor Phil Johnson</w:t>
      </w:r>
      <w:r w:rsidRPr="00452E2E">
        <w:rPr>
          <w:rFonts w:ascii="Cambria" w:hAnsi="Cambria"/>
          <w:color w:val="auto"/>
          <w:sz w:val="14"/>
          <w:szCs w:val="14"/>
        </w:rPr>
        <w:t xml:space="preserve">                            </w:t>
      </w:r>
      <w:r w:rsidR="001D104C" w:rsidRPr="00452E2E">
        <w:rPr>
          <w:rFonts w:ascii="Cambria" w:hAnsi="Cambria"/>
          <w:color w:val="auto"/>
          <w:sz w:val="14"/>
          <w:szCs w:val="14"/>
        </w:rPr>
        <w:tab/>
      </w:r>
      <w:r w:rsidR="001D104C" w:rsidRPr="00452E2E">
        <w:rPr>
          <w:rFonts w:ascii="Cambria" w:hAnsi="Cambria"/>
          <w:color w:val="auto"/>
          <w:sz w:val="14"/>
          <w:szCs w:val="14"/>
        </w:rPr>
        <w:tab/>
      </w:r>
      <w:r w:rsidR="001D104C" w:rsidRPr="00452E2E">
        <w:rPr>
          <w:rFonts w:ascii="Cambria" w:hAnsi="Cambria"/>
          <w:color w:val="auto"/>
          <w:sz w:val="14"/>
          <w:szCs w:val="14"/>
        </w:rPr>
        <w:tab/>
      </w:r>
      <w:r w:rsidR="001D104C" w:rsidRPr="00452E2E">
        <w:rPr>
          <w:rFonts w:ascii="Cambria" w:hAnsi="Cambria"/>
          <w:color w:val="auto"/>
          <w:sz w:val="14"/>
          <w:szCs w:val="14"/>
        </w:rPr>
        <w:tab/>
      </w:r>
      <w:r w:rsidR="001D104C" w:rsidRPr="00452E2E">
        <w:rPr>
          <w:rFonts w:ascii="Cambria" w:hAnsi="Cambria"/>
          <w:color w:val="auto"/>
          <w:sz w:val="14"/>
          <w:szCs w:val="14"/>
          <w:u w:val="single"/>
        </w:rPr>
        <w:t>Professor Jeremy Dawson</w:t>
      </w:r>
    </w:p>
    <w:p w:rsidR="00D03A8E" w:rsidRPr="00452E2E" w:rsidRDefault="00B26571" w:rsidP="00D03A8E">
      <w:pPr>
        <w:pStyle w:val="Body"/>
        <w:jc w:val="both"/>
        <w:rPr>
          <w:rFonts w:ascii="Cambria" w:hAnsi="Cambria"/>
          <w:color w:val="auto"/>
          <w:sz w:val="14"/>
          <w:szCs w:val="14"/>
        </w:rPr>
      </w:pPr>
      <w:hyperlink r:id="rId22" w:history="1">
        <w:r w:rsidR="00D03A8E" w:rsidRPr="00452E2E">
          <w:rPr>
            <w:rStyle w:val="Hyperlink"/>
            <w:rFonts w:ascii="Cambria" w:hAnsi="Cambria"/>
            <w:color w:val="auto"/>
            <w:sz w:val="14"/>
            <w:szCs w:val="14"/>
            <w:u w:val="none"/>
          </w:rPr>
          <w:t>phil.johnson@sheffield.ac.uk</w:t>
        </w:r>
      </w:hyperlink>
      <w:r w:rsidR="001D104C" w:rsidRPr="00452E2E">
        <w:rPr>
          <w:rStyle w:val="Hyperlink"/>
          <w:rFonts w:ascii="Cambria" w:hAnsi="Cambria"/>
          <w:color w:val="auto"/>
          <w:sz w:val="14"/>
          <w:szCs w:val="14"/>
          <w:u w:val="none"/>
        </w:rPr>
        <w:tab/>
      </w:r>
      <w:r w:rsidR="001D104C" w:rsidRPr="00452E2E">
        <w:rPr>
          <w:rStyle w:val="Hyperlink"/>
          <w:rFonts w:ascii="Cambria" w:hAnsi="Cambria"/>
          <w:color w:val="auto"/>
          <w:sz w:val="14"/>
          <w:szCs w:val="14"/>
          <w:u w:val="none"/>
        </w:rPr>
        <w:tab/>
      </w:r>
      <w:r w:rsidR="001D104C" w:rsidRPr="00452E2E">
        <w:rPr>
          <w:rStyle w:val="Hyperlink"/>
          <w:rFonts w:ascii="Cambria" w:hAnsi="Cambria"/>
          <w:color w:val="auto"/>
          <w:sz w:val="14"/>
          <w:szCs w:val="14"/>
          <w:u w:val="none"/>
        </w:rPr>
        <w:tab/>
      </w:r>
      <w:r w:rsidR="001D104C" w:rsidRPr="00452E2E">
        <w:rPr>
          <w:rStyle w:val="Hyperlink"/>
          <w:rFonts w:ascii="Cambria" w:hAnsi="Cambria"/>
          <w:color w:val="auto"/>
          <w:sz w:val="14"/>
          <w:szCs w:val="14"/>
          <w:u w:val="none"/>
        </w:rPr>
        <w:tab/>
      </w:r>
      <w:r w:rsidR="001D104C" w:rsidRPr="00452E2E">
        <w:rPr>
          <w:rStyle w:val="Hyperlink"/>
          <w:rFonts w:ascii="Cambria" w:hAnsi="Cambria"/>
          <w:color w:val="auto"/>
          <w:sz w:val="14"/>
          <w:szCs w:val="14"/>
          <w:u w:val="none"/>
        </w:rPr>
        <w:tab/>
      </w:r>
      <w:hyperlink r:id="rId23" w:history="1">
        <w:r w:rsidR="001D104C" w:rsidRPr="00452E2E">
          <w:rPr>
            <w:rStyle w:val="Hyperlink"/>
            <w:rFonts w:ascii="Cambria" w:hAnsi="Cambria"/>
            <w:color w:val="auto"/>
            <w:sz w:val="14"/>
            <w:szCs w:val="14"/>
            <w:u w:val="none"/>
          </w:rPr>
          <w:t>j.f.dawson@sheffield.ac.uk</w:t>
        </w:r>
      </w:hyperlink>
    </w:p>
    <w:p w:rsidR="001D104C" w:rsidRPr="00452E2E" w:rsidRDefault="00D03A8E" w:rsidP="001D104C">
      <w:pPr>
        <w:pStyle w:val="Default"/>
        <w:jc w:val="both"/>
        <w:rPr>
          <w:rFonts w:ascii="Cambria" w:hAnsi="Cambria"/>
          <w:color w:val="auto"/>
          <w:sz w:val="14"/>
          <w:szCs w:val="14"/>
        </w:rPr>
      </w:pPr>
      <w:r w:rsidRPr="00452E2E">
        <w:rPr>
          <w:rFonts w:ascii="Cambria" w:hAnsi="Cambria"/>
          <w:color w:val="auto"/>
          <w:sz w:val="14"/>
          <w:szCs w:val="14"/>
        </w:rPr>
        <w:t>+44(0) 114 222 33</w:t>
      </w:r>
      <w:r w:rsidR="001D104C" w:rsidRPr="00452E2E">
        <w:rPr>
          <w:rFonts w:ascii="Cambria" w:hAnsi="Cambria"/>
          <w:color w:val="auto"/>
          <w:sz w:val="14"/>
          <w:szCs w:val="14"/>
        </w:rPr>
        <w:t>67</w:t>
      </w:r>
      <w:r w:rsidR="001D104C" w:rsidRPr="00452E2E">
        <w:rPr>
          <w:rFonts w:ascii="Cambria" w:hAnsi="Cambria"/>
          <w:color w:val="auto"/>
          <w:sz w:val="14"/>
          <w:szCs w:val="14"/>
        </w:rPr>
        <w:tab/>
      </w:r>
      <w:r w:rsidR="001D104C" w:rsidRPr="00452E2E">
        <w:rPr>
          <w:rFonts w:ascii="Cambria" w:hAnsi="Cambria"/>
          <w:color w:val="auto"/>
          <w:sz w:val="14"/>
          <w:szCs w:val="14"/>
        </w:rPr>
        <w:tab/>
      </w:r>
      <w:r w:rsidR="001D104C" w:rsidRPr="00452E2E">
        <w:rPr>
          <w:rFonts w:ascii="Cambria" w:hAnsi="Cambria"/>
          <w:color w:val="auto"/>
          <w:sz w:val="14"/>
          <w:szCs w:val="14"/>
        </w:rPr>
        <w:tab/>
      </w:r>
      <w:r w:rsidR="001D104C" w:rsidRPr="00452E2E">
        <w:rPr>
          <w:rFonts w:ascii="Cambria" w:hAnsi="Cambria"/>
          <w:color w:val="auto"/>
          <w:sz w:val="14"/>
          <w:szCs w:val="14"/>
        </w:rPr>
        <w:tab/>
      </w:r>
      <w:r w:rsidR="001D104C" w:rsidRPr="00452E2E">
        <w:rPr>
          <w:rFonts w:ascii="Cambria" w:hAnsi="Cambria"/>
          <w:color w:val="auto"/>
          <w:sz w:val="14"/>
          <w:szCs w:val="14"/>
        </w:rPr>
        <w:tab/>
      </w:r>
      <w:r w:rsidR="001D104C" w:rsidRPr="00452E2E">
        <w:rPr>
          <w:rFonts w:ascii="Cambria" w:hAnsi="Cambria"/>
          <w:color w:val="auto"/>
          <w:sz w:val="14"/>
          <w:szCs w:val="14"/>
        </w:rPr>
        <w:tab/>
        <w:t>+44(0) 114 222 3238</w:t>
      </w:r>
    </w:p>
    <w:p w:rsidR="00D03A8E" w:rsidRPr="00452E2E" w:rsidRDefault="00D03A8E" w:rsidP="001D104C">
      <w:pPr>
        <w:pStyle w:val="Default"/>
        <w:jc w:val="both"/>
        <w:rPr>
          <w:rFonts w:ascii="Cambria" w:hAnsi="Cambria"/>
          <w:color w:val="auto"/>
          <w:sz w:val="14"/>
          <w:szCs w:val="14"/>
        </w:rPr>
      </w:pPr>
    </w:p>
    <w:p w:rsidR="00D03A8E" w:rsidRPr="00452E2E" w:rsidRDefault="00D03A8E" w:rsidP="00D03A8E">
      <w:pPr>
        <w:pStyle w:val="Default"/>
        <w:jc w:val="both"/>
        <w:rPr>
          <w:rFonts w:ascii="Cambria" w:hAnsi="Cambria"/>
          <w:color w:val="auto"/>
          <w:sz w:val="14"/>
          <w:szCs w:val="14"/>
        </w:rPr>
      </w:pPr>
    </w:p>
    <w:p w:rsidR="001D104C" w:rsidRPr="00452E2E" w:rsidRDefault="001D104C">
      <w:pPr>
        <w:rPr>
          <w:b/>
          <w:bCs/>
          <w:sz w:val="18"/>
          <w:szCs w:val="18"/>
        </w:rPr>
        <w:sectPr w:rsidR="001D104C" w:rsidRPr="00452E2E" w:rsidSect="00B57950">
          <w:pgSz w:w="11906" w:h="16838"/>
          <w:pgMar w:top="1440" w:right="1440" w:bottom="1440" w:left="2127" w:header="708" w:footer="708" w:gutter="0"/>
          <w:cols w:space="708"/>
          <w:docGrid w:linePitch="360"/>
        </w:sectPr>
      </w:pPr>
    </w:p>
    <w:p w:rsidR="001D104C" w:rsidRPr="00452E2E" w:rsidRDefault="001D104C" w:rsidP="001D104C">
      <w:pPr>
        <w:pStyle w:val="Heading2"/>
      </w:pPr>
      <w:bookmarkStart w:id="249" w:name="_Toc473808220"/>
      <w:r w:rsidRPr="00452E2E">
        <w:lastRenderedPageBreak/>
        <w:t>Appendix 4: Consent form for managers participating in interviews</w:t>
      </w:r>
      <w:bookmarkEnd w:id="249"/>
    </w:p>
    <w:p w:rsidR="001D104C" w:rsidRPr="00452E2E" w:rsidRDefault="001D104C" w:rsidP="001D104C">
      <w:pPr>
        <w:jc w:val="center"/>
        <w:rPr>
          <w:b/>
          <w:sz w:val="16"/>
          <w:szCs w:val="16"/>
        </w:rPr>
      </w:pPr>
      <w:r w:rsidRPr="00452E2E">
        <w:rPr>
          <w:b/>
          <w:noProof/>
          <w:sz w:val="16"/>
          <w:szCs w:val="16"/>
          <w:lang w:eastAsia="en-GB"/>
        </w:rPr>
        <w:drawing>
          <wp:inline distT="0" distB="0" distL="0" distR="0" wp14:anchorId="6B6B89BC" wp14:editId="178FEC68">
            <wp:extent cx="2419534" cy="971550"/>
            <wp:effectExtent l="19050" t="0" r="0" b="0"/>
            <wp:docPr id="59" name="Picture 2" descr="C:\Users\Darius\AppData\Local\Temp\7zOC1C9.tmp\tuoslogo_key_rgb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us\AppData\Local\Temp\7zOC1C9.tmp\tuoslogo_key_rgb_lo.gif"/>
                    <pic:cNvPicPr>
                      <a:picLocks noChangeAspect="1" noChangeArrowheads="1"/>
                    </pic:cNvPicPr>
                  </pic:nvPicPr>
                  <pic:blipFill>
                    <a:blip r:embed="rId24"/>
                    <a:srcRect/>
                    <a:stretch>
                      <a:fillRect/>
                    </a:stretch>
                  </pic:blipFill>
                  <pic:spPr bwMode="auto">
                    <a:xfrm>
                      <a:off x="0" y="0"/>
                      <a:ext cx="2419534" cy="971550"/>
                    </a:xfrm>
                    <a:prstGeom prst="rect">
                      <a:avLst/>
                    </a:prstGeom>
                    <a:noFill/>
                    <a:ln w="9525">
                      <a:noFill/>
                      <a:miter lim="800000"/>
                      <a:headEnd/>
                      <a:tailEnd/>
                    </a:ln>
                  </pic:spPr>
                </pic:pic>
              </a:graphicData>
            </a:graphic>
          </wp:inline>
        </w:drawing>
      </w:r>
    </w:p>
    <w:p w:rsidR="001D104C" w:rsidRPr="00452E2E" w:rsidRDefault="001D104C" w:rsidP="001D104C">
      <w:pPr>
        <w:jc w:val="both"/>
        <w:rPr>
          <w:b/>
          <w:sz w:val="16"/>
          <w:szCs w:val="16"/>
        </w:rPr>
      </w:pPr>
    </w:p>
    <w:p w:rsidR="001D104C" w:rsidRPr="00452E2E" w:rsidRDefault="001D104C" w:rsidP="001D104C">
      <w:pPr>
        <w:jc w:val="both"/>
        <w:rPr>
          <w:sz w:val="16"/>
          <w:szCs w:val="16"/>
        </w:rPr>
      </w:pPr>
      <w:r w:rsidRPr="00452E2E">
        <w:rPr>
          <w:b/>
          <w:sz w:val="16"/>
          <w:szCs w:val="16"/>
        </w:rPr>
        <w:t>Title of Research Project:</w:t>
      </w:r>
      <w:r w:rsidRPr="00452E2E">
        <w:rPr>
          <w:sz w:val="16"/>
          <w:szCs w:val="16"/>
        </w:rPr>
        <w:t xml:space="preserve"> Institutional Context and the Effects of Human Resource Practices on Employee Attitudes in Public and Private Sector</w:t>
      </w:r>
    </w:p>
    <w:p w:rsidR="001D104C" w:rsidRPr="00452E2E" w:rsidRDefault="001D104C" w:rsidP="001D104C">
      <w:pPr>
        <w:jc w:val="both"/>
        <w:rPr>
          <w:sz w:val="16"/>
          <w:szCs w:val="16"/>
        </w:rPr>
      </w:pPr>
      <w:r w:rsidRPr="00452E2E">
        <w:rPr>
          <w:b/>
          <w:sz w:val="16"/>
          <w:szCs w:val="16"/>
        </w:rPr>
        <w:t>Name of Researcher:</w:t>
      </w:r>
      <w:r w:rsidRPr="00452E2E">
        <w:rPr>
          <w:sz w:val="16"/>
          <w:szCs w:val="16"/>
        </w:rPr>
        <w:t xml:space="preserve"> Darius N. Ikyanyon</w:t>
      </w:r>
    </w:p>
    <w:p w:rsidR="001D104C" w:rsidRPr="00452E2E" w:rsidRDefault="001D104C" w:rsidP="001D104C">
      <w:pPr>
        <w:jc w:val="both"/>
        <w:rPr>
          <w:sz w:val="16"/>
          <w:szCs w:val="16"/>
        </w:rPr>
      </w:pPr>
    </w:p>
    <w:p w:rsidR="001D104C" w:rsidRPr="00452E2E" w:rsidRDefault="001D104C" w:rsidP="001D104C">
      <w:pPr>
        <w:jc w:val="both"/>
        <w:rPr>
          <w:sz w:val="16"/>
          <w:szCs w:val="16"/>
        </w:rPr>
      </w:pPr>
      <w:r w:rsidRPr="00452E2E">
        <w:rPr>
          <w:sz w:val="16"/>
          <w:szCs w:val="16"/>
        </w:rPr>
        <w:t>1. I confirm that I have read and understood the information sheet explaining the above research project and I have had the opportunity to ask questions about the project.</w:t>
      </w:r>
    </w:p>
    <w:p w:rsidR="001D104C" w:rsidRPr="00452E2E" w:rsidRDefault="001D104C" w:rsidP="001D104C">
      <w:pPr>
        <w:jc w:val="both"/>
        <w:rPr>
          <w:sz w:val="16"/>
          <w:szCs w:val="16"/>
        </w:rPr>
      </w:pPr>
      <w:r w:rsidRPr="00452E2E">
        <w:rPr>
          <w:sz w:val="16"/>
          <w:szCs w:val="16"/>
        </w:rPr>
        <w:t>2. I understand that that my participation is voluntary and that I am free to withdraw at any time without giving any reason and without there being any negative consequences. In addition, should I not wish to answer any particular question or questions, I am free to decline.</w:t>
      </w:r>
    </w:p>
    <w:p w:rsidR="001D104C" w:rsidRPr="00452E2E" w:rsidRDefault="001D104C" w:rsidP="001D104C">
      <w:pPr>
        <w:jc w:val="both"/>
        <w:rPr>
          <w:sz w:val="16"/>
          <w:szCs w:val="16"/>
        </w:rPr>
      </w:pPr>
      <w:r w:rsidRPr="00452E2E">
        <w:rPr>
          <w:sz w:val="16"/>
          <w:szCs w:val="16"/>
        </w:rPr>
        <w:t xml:space="preserve">3. I understand that my responses will be kept strictly confidential. I give permission for members of the research team to have access to my anonymised responses. I understand that my name will not be linked with the research materials, and I will not be identified or identifiable in the report or reports that will result from the research. </w:t>
      </w:r>
    </w:p>
    <w:p w:rsidR="001D104C" w:rsidRPr="00452E2E" w:rsidRDefault="001D104C" w:rsidP="001D104C">
      <w:pPr>
        <w:jc w:val="both"/>
        <w:rPr>
          <w:sz w:val="16"/>
          <w:szCs w:val="16"/>
        </w:rPr>
      </w:pPr>
      <w:r w:rsidRPr="00452E2E">
        <w:rPr>
          <w:sz w:val="16"/>
          <w:szCs w:val="16"/>
        </w:rPr>
        <w:t>4. I understand that the interview shall be recorded. However I have the right to stop any part of the interview from being recorded at any point in time in the course of the interview.</w:t>
      </w:r>
    </w:p>
    <w:p w:rsidR="001D104C" w:rsidRPr="00452E2E" w:rsidRDefault="001D104C" w:rsidP="001D104C">
      <w:pPr>
        <w:jc w:val="both"/>
        <w:rPr>
          <w:sz w:val="16"/>
          <w:szCs w:val="16"/>
        </w:rPr>
      </w:pPr>
      <w:r w:rsidRPr="00452E2E">
        <w:rPr>
          <w:sz w:val="16"/>
          <w:szCs w:val="16"/>
        </w:rPr>
        <w:t>5. I understand that the recorded interviews shall be heard by the researcher only.</w:t>
      </w:r>
    </w:p>
    <w:p w:rsidR="001D104C" w:rsidRPr="00452E2E" w:rsidRDefault="001D104C" w:rsidP="001D104C">
      <w:pPr>
        <w:jc w:val="both"/>
        <w:rPr>
          <w:sz w:val="16"/>
          <w:szCs w:val="16"/>
        </w:rPr>
      </w:pPr>
      <w:r w:rsidRPr="00452E2E">
        <w:rPr>
          <w:sz w:val="16"/>
          <w:szCs w:val="16"/>
        </w:rPr>
        <w:t>6. I agree for the data collected from me to be used in future research.</w:t>
      </w:r>
    </w:p>
    <w:p w:rsidR="001D104C" w:rsidRPr="00452E2E" w:rsidRDefault="001D104C" w:rsidP="001D104C">
      <w:pPr>
        <w:jc w:val="both"/>
        <w:rPr>
          <w:sz w:val="16"/>
          <w:szCs w:val="16"/>
        </w:rPr>
      </w:pPr>
      <w:r w:rsidRPr="00452E2E">
        <w:rPr>
          <w:sz w:val="16"/>
          <w:szCs w:val="16"/>
        </w:rPr>
        <w:t>7. I agree to take part in the above research project.</w:t>
      </w:r>
    </w:p>
    <w:p w:rsidR="001D104C" w:rsidRPr="00452E2E" w:rsidRDefault="001D104C" w:rsidP="001D104C">
      <w:pPr>
        <w:jc w:val="both"/>
        <w:rPr>
          <w:sz w:val="16"/>
          <w:szCs w:val="16"/>
        </w:rPr>
      </w:pPr>
    </w:p>
    <w:p w:rsidR="001D104C" w:rsidRPr="00452E2E" w:rsidRDefault="001D104C" w:rsidP="001D104C">
      <w:pPr>
        <w:jc w:val="both"/>
        <w:rPr>
          <w:sz w:val="16"/>
          <w:szCs w:val="16"/>
        </w:rPr>
      </w:pPr>
    </w:p>
    <w:p w:rsidR="001D104C" w:rsidRPr="00452E2E" w:rsidRDefault="001D104C" w:rsidP="001D104C">
      <w:pPr>
        <w:jc w:val="both"/>
        <w:rPr>
          <w:sz w:val="16"/>
          <w:szCs w:val="16"/>
        </w:rPr>
      </w:pPr>
      <w:r w:rsidRPr="00452E2E">
        <w:rPr>
          <w:noProof/>
          <w:sz w:val="16"/>
          <w:szCs w:val="16"/>
          <w:lang w:eastAsia="en-GB"/>
        </w:rPr>
        <mc:AlternateContent>
          <mc:Choice Requires="wps">
            <w:drawing>
              <wp:anchor distT="0" distB="0" distL="114300" distR="114300" simplePos="0" relativeHeight="251667456" behindDoc="0" locked="0" layoutInCell="1" allowOverlap="1" wp14:anchorId="076D160B" wp14:editId="7EF369AD">
                <wp:simplePos x="0" y="0"/>
                <wp:positionH relativeFrom="column">
                  <wp:posOffset>3400425</wp:posOffset>
                </wp:positionH>
                <wp:positionV relativeFrom="paragraph">
                  <wp:posOffset>218440</wp:posOffset>
                </wp:positionV>
                <wp:extent cx="1857375" cy="0"/>
                <wp:effectExtent l="9525" t="9525" r="9525" b="9525"/>
                <wp:wrapNone/>
                <wp:docPr id="5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A3C06" id="AutoShape 3" o:spid="_x0000_s1026" type="#_x0000_t32" style="position:absolute;margin-left:267.75pt;margin-top:17.2pt;width:146.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RmHwIAADw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"/>
            </w:pict>
          </mc:Fallback>
        </mc:AlternateContent>
      </w:r>
      <w:r w:rsidRPr="00452E2E">
        <w:rPr>
          <w:noProof/>
          <w:sz w:val="16"/>
          <w:szCs w:val="16"/>
          <w:lang w:eastAsia="en-GB"/>
        </w:rPr>
        <mc:AlternateContent>
          <mc:Choice Requires="wps">
            <w:drawing>
              <wp:anchor distT="0" distB="0" distL="114300" distR="114300" simplePos="0" relativeHeight="251666432" behindDoc="0" locked="0" layoutInCell="1" allowOverlap="1" wp14:anchorId="5B2A0F34" wp14:editId="77961361">
                <wp:simplePos x="0" y="0"/>
                <wp:positionH relativeFrom="column">
                  <wp:posOffset>285750</wp:posOffset>
                </wp:positionH>
                <wp:positionV relativeFrom="paragraph">
                  <wp:posOffset>218440</wp:posOffset>
                </wp:positionV>
                <wp:extent cx="1857375" cy="0"/>
                <wp:effectExtent l="9525" t="9525" r="9525" b="9525"/>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5AD79" id="AutoShape 2" o:spid="_x0000_s1026" type="#_x0000_t32" style="position:absolute;margin-left:22.5pt;margin-top:17.2pt;width:146.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QhIA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"/>
            </w:pict>
          </mc:Fallback>
        </mc:AlternateContent>
      </w:r>
    </w:p>
    <w:p w:rsidR="001D104C" w:rsidRPr="00452E2E" w:rsidRDefault="001D104C" w:rsidP="001D104C">
      <w:pPr>
        <w:jc w:val="both"/>
        <w:rPr>
          <w:sz w:val="16"/>
          <w:szCs w:val="16"/>
        </w:rPr>
      </w:pPr>
      <w:r w:rsidRPr="00452E2E">
        <w:rPr>
          <w:sz w:val="16"/>
          <w:szCs w:val="16"/>
        </w:rPr>
        <w:tab/>
        <w:t xml:space="preserve">Signature of Participant                                      </w:t>
      </w:r>
      <w:r w:rsidRPr="00452E2E">
        <w:rPr>
          <w:sz w:val="16"/>
          <w:szCs w:val="16"/>
        </w:rPr>
        <w:tab/>
      </w:r>
      <w:r w:rsidRPr="00452E2E">
        <w:rPr>
          <w:sz w:val="16"/>
          <w:szCs w:val="16"/>
        </w:rPr>
        <w:tab/>
        <w:t>Date</w:t>
      </w:r>
    </w:p>
    <w:p w:rsidR="001D104C" w:rsidRPr="00452E2E" w:rsidRDefault="001D104C" w:rsidP="001D104C">
      <w:pPr>
        <w:jc w:val="both"/>
        <w:rPr>
          <w:sz w:val="16"/>
          <w:szCs w:val="16"/>
        </w:rPr>
      </w:pPr>
    </w:p>
    <w:p w:rsidR="001D104C" w:rsidRPr="00452E2E" w:rsidRDefault="001D104C" w:rsidP="001D104C">
      <w:pPr>
        <w:jc w:val="both"/>
        <w:rPr>
          <w:sz w:val="16"/>
          <w:szCs w:val="16"/>
        </w:rPr>
      </w:pPr>
    </w:p>
    <w:p w:rsidR="001D104C" w:rsidRPr="00452E2E" w:rsidRDefault="001D104C" w:rsidP="001D104C">
      <w:pPr>
        <w:jc w:val="both"/>
        <w:rPr>
          <w:sz w:val="16"/>
          <w:szCs w:val="16"/>
        </w:rPr>
      </w:pPr>
    </w:p>
    <w:p w:rsidR="001D104C" w:rsidRPr="00452E2E" w:rsidRDefault="001D104C" w:rsidP="001D104C">
      <w:pPr>
        <w:jc w:val="both"/>
        <w:rPr>
          <w:sz w:val="16"/>
          <w:szCs w:val="16"/>
        </w:rPr>
      </w:pPr>
      <w:r w:rsidRPr="00452E2E">
        <w:rPr>
          <w:noProof/>
          <w:sz w:val="16"/>
          <w:szCs w:val="16"/>
          <w:lang w:eastAsia="en-GB"/>
        </w:rPr>
        <mc:AlternateContent>
          <mc:Choice Requires="wps">
            <w:drawing>
              <wp:anchor distT="0" distB="0" distL="114300" distR="114300" simplePos="0" relativeHeight="251669504" behindDoc="0" locked="0" layoutInCell="1" allowOverlap="1" wp14:anchorId="53727A1B" wp14:editId="69C3400A">
                <wp:simplePos x="0" y="0"/>
                <wp:positionH relativeFrom="column">
                  <wp:posOffset>3400425</wp:posOffset>
                </wp:positionH>
                <wp:positionV relativeFrom="paragraph">
                  <wp:posOffset>241935</wp:posOffset>
                </wp:positionV>
                <wp:extent cx="1857375" cy="0"/>
                <wp:effectExtent l="9525" t="9525" r="9525" b="9525"/>
                <wp:wrapNone/>
                <wp:docPr id="5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B6BF7" id="AutoShape 5" o:spid="_x0000_s1026" type="#_x0000_t32" style="position:absolute;margin-left:267.75pt;margin-top:19.05pt;width:146.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7dlHwIAADw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"/>
            </w:pict>
          </mc:Fallback>
        </mc:AlternateContent>
      </w:r>
      <w:r w:rsidRPr="00452E2E">
        <w:rPr>
          <w:noProof/>
          <w:sz w:val="16"/>
          <w:szCs w:val="16"/>
          <w:lang w:eastAsia="en-GB"/>
        </w:rPr>
        <mc:AlternateContent>
          <mc:Choice Requires="wps">
            <w:drawing>
              <wp:anchor distT="0" distB="0" distL="114300" distR="114300" simplePos="0" relativeHeight="251668480" behindDoc="0" locked="0" layoutInCell="1" allowOverlap="1" wp14:anchorId="027C9E7F" wp14:editId="01D91FF8">
                <wp:simplePos x="0" y="0"/>
                <wp:positionH relativeFrom="column">
                  <wp:posOffset>285750</wp:posOffset>
                </wp:positionH>
                <wp:positionV relativeFrom="paragraph">
                  <wp:posOffset>241935</wp:posOffset>
                </wp:positionV>
                <wp:extent cx="1857375" cy="0"/>
                <wp:effectExtent l="9525" t="9525" r="9525" b="9525"/>
                <wp:wrapNone/>
                <wp:docPr id="5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D570D" id="AutoShape 4" o:spid="_x0000_s1026" type="#_x0000_t32" style="position:absolute;margin-left:22.5pt;margin-top:19.05pt;width:146.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2gHwIAADw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"/>
            </w:pict>
          </mc:Fallback>
        </mc:AlternateContent>
      </w:r>
    </w:p>
    <w:p w:rsidR="001D104C" w:rsidRPr="00452E2E" w:rsidRDefault="001D104C" w:rsidP="001D104C">
      <w:pPr>
        <w:jc w:val="both"/>
        <w:rPr>
          <w:sz w:val="16"/>
          <w:szCs w:val="16"/>
        </w:rPr>
      </w:pPr>
      <w:r w:rsidRPr="00452E2E">
        <w:rPr>
          <w:sz w:val="16"/>
          <w:szCs w:val="16"/>
        </w:rPr>
        <w:tab/>
        <w:t xml:space="preserve">Signature of Researcher                                           </w:t>
      </w:r>
      <w:r w:rsidRPr="00452E2E">
        <w:rPr>
          <w:sz w:val="16"/>
          <w:szCs w:val="16"/>
        </w:rPr>
        <w:tab/>
      </w:r>
      <w:r w:rsidRPr="00452E2E">
        <w:rPr>
          <w:sz w:val="16"/>
          <w:szCs w:val="16"/>
        </w:rPr>
        <w:tab/>
        <w:t>Date</w:t>
      </w:r>
    </w:p>
    <w:p w:rsidR="001D104C" w:rsidRPr="00452E2E" w:rsidRDefault="001D104C" w:rsidP="001D104C">
      <w:pPr>
        <w:jc w:val="both"/>
        <w:rPr>
          <w:sz w:val="16"/>
          <w:szCs w:val="16"/>
        </w:rPr>
      </w:pPr>
    </w:p>
    <w:p w:rsidR="00B00321" w:rsidRPr="00452E2E" w:rsidRDefault="00B00321">
      <w:pPr>
        <w:rPr>
          <w:b/>
          <w:bCs/>
          <w:sz w:val="18"/>
          <w:szCs w:val="18"/>
        </w:rPr>
        <w:sectPr w:rsidR="00B00321" w:rsidRPr="00452E2E" w:rsidSect="00B57950">
          <w:pgSz w:w="11906" w:h="16838"/>
          <w:pgMar w:top="1440" w:right="1440" w:bottom="1440" w:left="2127" w:header="708" w:footer="708" w:gutter="0"/>
          <w:cols w:space="708"/>
          <w:docGrid w:linePitch="360"/>
        </w:sectPr>
      </w:pPr>
      <w:r w:rsidRPr="00452E2E">
        <w:rPr>
          <w:b/>
          <w:bCs/>
          <w:sz w:val="18"/>
          <w:szCs w:val="18"/>
        </w:rPr>
        <w:br w:type="page"/>
      </w:r>
    </w:p>
    <w:p w:rsidR="001D104C" w:rsidRPr="00452E2E" w:rsidRDefault="00D03A8E" w:rsidP="001D104C">
      <w:pPr>
        <w:pStyle w:val="Heading2"/>
      </w:pPr>
      <w:bookmarkStart w:id="250" w:name="_Toc473808221"/>
      <w:bookmarkStart w:id="251" w:name="_Toc465271229"/>
      <w:r w:rsidRPr="00452E2E">
        <w:lastRenderedPageBreak/>
        <w:t xml:space="preserve">Appendix </w:t>
      </w:r>
      <w:r w:rsidR="001D104C" w:rsidRPr="00452E2E">
        <w:t>5</w:t>
      </w:r>
      <w:r w:rsidRPr="00452E2E">
        <w:t xml:space="preserve">: Information Sheet for Non-managerial Employees Participating in Study </w:t>
      </w:r>
      <w:r w:rsidR="001D104C" w:rsidRPr="00452E2E">
        <w:t>2</w:t>
      </w:r>
      <w:bookmarkEnd w:id="250"/>
    </w:p>
    <w:bookmarkEnd w:id="251"/>
    <w:p w:rsidR="00D03A8E" w:rsidRPr="00452E2E" w:rsidRDefault="00D03A8E" w:rsidP="00D03A8E">
      <w:pPr>
        <w:pStyle w:val="Body"/>
        <w:jc w:val="both"/>
        <w:rPr>
          <w:rFonts w:ascii="Cambria" w:hAnsi="Cambria"/>
          <w:b/>
          <w:bCs/>
          <w:color w:val="auto"/>
          <w:sz w:val="15"/>
          <w:szCs w:val="15"/>
        </w:rPr>
      </w:pPr>
    </w:p>
    <w:p w:rsidR="00D03A8E" w:rsidRPr="00452E2E" w:rsidRDefault="00D03A8E" w:rsidP="001D104C">
      <w:pPr>
        <w:pStyle w:val="Body"/>
        <w:jc w:val="both"/>
        <w:rPr>
          <w:rFonts w:ascii="Cambria" w:hAnsi="Cambria"/>
          <w:b/>
          <w:bCs/>
          <w:color w:val="auto"/>
          <w:sz w:val="15"/>
          <w:szCs w:val="15"/>
        </w:rPr>
      </w:pPr>
      <w:r w:rsidRPr="00452E2E">
        <w:rPr>
          <w:rFonts w:ascii="Cambria" w:hAnsi="Cambria"/>
          <w:b/>
          <w:bCs/>
          <w:color w:val="auto"/>
          <w:sz w:val="15"/>
          <w:szCs w:val="15"/>
        </w:rPr>
        <w:t xml:space="preserve">Title: </w:t>
      </w:r>
      <w:r w:rsidRPr="00452E2E">
        <w:rPr>
          <w:rFonts w:ascii="Cambria" w:hAnsi="Cambria"/>
          <w:b/>
          <w:color w:val="auto"/>
          <w:sz w:val="15"/>
          <w:szCs w:val="15"/>
        </w:rPr>
        <w:t>INSTITUTIONAL CONTEXT AND THE EFFECTS OF</w:t>
      </w:r>
      <w:r w:rsidR="001D104C" w:rsidRPr="00452E2E">
        <w:rPr>
          <w:rFonts w:ascii="Cambria" w:hAnsi="Cambria"/>
          <w:b/>
          <w:color w:val="auto"/>
          <w:sz w:val="15"/>
          <w:szCs w:val="15"/>
        </w:rPr>
        <w:t xml:space="preserve"> HUMAN RESOURCE PRACTICES ON EMPOLOYEE </w:t>
      </w:r>
      <w:r w:rsidRPr="00452E2E">
        <w:rPr>
          <w:rFonts w:ascii="Cambria" w:hAnsi="Cambria"/>
          <w:b/>
          <w:color w:val="auto"/>
          <w:sz w:val="15"/>
          <w:szCs w:val="15"/>
        </w:rPr>
        <w:t>ATTITUDES IN PUBLIC AND PRIVATE SECTOR</w:t>
      </w: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Information Sheet</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You are being invited to participate in this research study. Before you decide whether or not to participate, it is important for you to understand why this research is being conducted and what your participation will involve. This document provides useful information that will assist you to make an informed decision about participating in this study. Please take time to carefully read through the information provided and where appropriate discuss with your superiors or others if you wish. I am happy to be contacted if you find any part of the information unclear and would like more clarity before making a decision to take part in this study. Alternatively, you can contact the supervisors of this research if you wish to seek additional information about the research. Please take time to decide whether or not you wish to take part in this research. Thank you for taking time to read this information.</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Purpose of the study</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This study seeks to explore the influence of institutions on HRM as well as the specific techniques of HRM used in organizations across industries and sectors in Nigeria and to examine the effects of human resource practices on job attitudes in public and private sector.</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Participant Selection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This study is divided into 2 parts; part 1 involves human resource managers who shall provide information on the institutional factors that influence HRM as well as the specific techniques of HRM used in their organizations while part 2 involves non-managerial employees who shall provide information about their perceptions of human resource practices as well as their personal rating of job attitudes.</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You are being invited to participate in part 2 of this study because you have been identified as someone in a position to give useful insight on this topic. You meet the requirements for inclusion as a participant because of you are a non-managerial employee in public or private bank; or in a public or private hospital.</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It is up to you to decide whether or not to take part in this research. If you do decide to take part you will be given this information sheet to keep and be asked to complete a questionnaire. It shall be stated on the questionnaire that by completing and returning the questionnaire, you are consenting for your data to be used for the research. Please note that you can still withdraw at any time without it affecting any benefits that you are entitled to in any way. You do not have to give a reason. </w:t>
      </w:r>
    </w:p>
    <w:p w:rsidR="00D03A8E" w:rsidRPr="00452E2E" w:rsidRDefault="00D03A8E" w:rsidP="00D03A8E">
      <w:pPr>
        <w:pStyle w:val="Body"/>
        <w:jc w:val="both"/>
        <w:rPr>
          <w:rFonts w:ascii="Cambria" w:hAnsi="Cambria"/>
          <w:b/>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Scope of participation</w:t>
      </w:r>
    </w:p>
    <w:p w:rsidR="00D03A8E" w:rsidRPr="00452E2E" w:rsidRDefault="00D03A8E" w:rsidP="00D03A8E">
      <w:pPr>
        <w:pStyle w:val="Body"/>
        <w:jc w:val="both"/>
        <w:rPr>
          <w:rFonts w:ascii="Cambria" w:hAnsi="Cambria"/>
          <w:b/>
          <w:color w:val="auto"/>
          <w:sz w:val="15"/>
          <w:szCs w:val="15"/>
        </w:rPr>
      </w:pP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By participating in this research, you are expected to provide information on your perception of human resource practices in your organization as well as your personal rating of job attitudes by completing a survey questionnaire. You shall be required to simply tick the boxes provided in the questionnaire which reflect your views. It shall take approximately 20 minutes for you to complete the questionnaire. You are expected to seal the completed questionnaire in an envelope which shall be provided before returning same.</w:t>
      </w:r>
    </w:p>
    <w:p w:rsidR="00D03A8E" w:rsidRPr="00452E2E" w:rsidRDefault="00D03A8E" w:rsidP="00D03A8E">
      <w:pPr>
        <w:pStyle w:val="Body"/>
        <w:jc w:val="both"/>
        <w:rPr>
          <w:rFonts w:ascii="Cambria" w:hAnsi="Cambria"/>
          <w:b/>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Benefits</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Whilst there are no immediate and direct gains for your participation in this study, we do hope that in the long term, the findings from this study and the recommendations thereof shall help in improving the working conditions as well as the performance of your organization.</w:t>
      </w:r>
    </w:p>
    <w:p w:rsidR="00D03A8E" w:rsidRPr="00452E2E" w:rsidRDefault="00D03A8E" w:rsidP="00D03A8E">
      <w:pPr>
        <w:pStyle w:val="Body"/>
        <w:jc w:val="both"/>
        <w:rPr>
          <w:rFonts w:ascii="Cambria" w:hAnsi="Cambria"/>
          <w:b/>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Risks for participation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There are no risks whatsoever for your participation in this research. Please be assured that all the information we collect about you during the course of the research will be kept strictly confidential. You will not be able to be identified in any reports or publications.</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color w:val="auto"/>
          <w:sz w:val="15"/>
          <w:szCs w:val="15"/>
        </w:rPr>
      </w:pPr>
      <w:r w:rsidRPr="00452E2E">
        <w:rPr>
          <w:rFonts w:ascii="Cambria" w:hAnsi="Cambria"/>
          <w:b/>
          <w:color w:val="auto"/>
          <w:sz w:val="15"/>
          <w:szCs w:val="15"/>
        </w:rPr>
        <w:t>Reporting complaints</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If for any reason you are unhappy with the research process as it involves your participation and wish to make a complaint, please contact the researcher or the supervisors. The contact details of the researcher and supervisors are provided at the end of this information sheet.</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If you are happy to continue and participate in this research, please keep this information and sign the attached consent form any time before completing the questionnaire. </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Thank you for your time and for taking part in this research.</w:t>
      </w:r>
    </w:p>
    <w:p w:rsidR="00D03A8E" w:rsidRPr="00452E2E" w:rsidRDefault="00D03A8E" w:rsidP="00D03A8E">
      <w:pPr>
        <w:pStyle w:val="Body"/>
        <w:jc w:val="both"/>
        <w:rPr>
          <w:rFonts w:ascii="Cambria" w:hAnsi="Cambria"/>
          <w:color w:val="auto"/>
          <w:sz w:val="15"/>
          <w:szCs w:val="15"/>
        </w:rPr>
      </w:pPr>
    </w:p>
    <w:p w:rsidR="00D03A8E" w:rsidRPr="00452E2E" w:rsidRDefault="00D03A8E" w:rsidP="00D03A8E">
      <w:pPr>
        <w:pStyle w:val="Body"/>
        <w:jc w:val="both"/>
        <w:rPr>
          <w:rFonts w:ascii="Cambria" w:hAnsi="Cambria"/>
          <w:b/>
          <w:bCs/>
          <w:color w:val="auto"/>
          <w:sz w:val="15"/>
          <w:szCs w:val="15"/>
        </w:rPr>
      </w:pPr>
      <w:r w:rsidRPr="00452E2E">
        <w:rPr>
          <w:rFonts w:ascii="Cambria" w:hAnsi="Cambria"/>
          <w:b/>
          <w:bCs/>
          <w:color w:val="auto"/>
          <w:sz w:val="15"/>
          <w:szCs w:val="15"/>
        </w:rPr>
        <w:t>Researcher</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Darius N. Ikyanyon</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Doctoral Researcher, </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 xml:space="preserve">Sheffield University Management School, </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The University of Sheffield, Sheffield</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United Kingdom</w:t>
      </w:r>
    </w:p>
    <w:p w:rsidR="00D03A8E" w:rsidRPr="00452E2E" w:rsidRDefault="00B26571" w:rsidP="00D03A8E">
      <w:pPr>
        <w:pStyle w:val="Body"/>
        <w:jc w:val="both"/>
        <w:rPr>
          <w:rFonts w:ascii="Cambria" w:hAnsi="Cambria"/>
          <w:color w:val="auto"/>
          <w:sz w:val="15"/>
          <w:szCs w:val="15"/>
        </w:rPr>
      </w:pPr>
      <w:hyperlink r:id="rId25" w:history="1">
        <w:r w:rsidR="00D03A8E" w:rsidRPr="00452E2E">
          <w:rPr>
            <w:rStyle w:val="Hyperlink"/>
            <w:rFonts w:ascii="Cambria" w:hAnsi="Cambria"/>
            <w:color w:val="auto"/>
            <w:sz w:val="15"/>
            <w:szCs w:val="15"/>
          </w:rPr>
          <w:t>dnikyanyon1@sheffield.ac.uk</w:t>
        </w:r>
      </w:hyperlink>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+44(0)7767967881</w:t>
      </w:r>
    </w:p>
    <w:p w:rsidR="00D03A8E" w:rsidRPr="00452E2E" w:rsidRDefault="00D03A8E" w:rsidP="00D03A8E">
      <w:pPr>
        <w:pStyle w:val="Body"/>
        <w:jc w:val="both"/>
        <w:rPr>
          <w:rFonts w:ascii="Cambria" w:hAnsi="Cambria"/>
          <w:color w:val="auto"/>
          <w:sz w:val="15"/>
          <w:szCs w:val="15"/>
        </w:rPr>
      </w:pPr>
      <w:r w:rsidRPr="00452E2E">
        <w:rPr>
          <w:rFonts w:ascii="Cambria" w:hAnsi="Cambria"/>
          <w:color w:val="auto"/>
          <w:sz w:val="15"/>
          <w:szCs w:val="15"/>
        </w:rPr>
        <w:t>Nigeria: 08035868549</w:t>
      </w:r>
    </w:p>
    <w:p w:rsidR="00D03A8E" w:rsidRPr="00452E2E" w:rsidRDefault="00D03A8E" w:rsidP="00D03A8E">
      <w:pPr>
        <w:pStyle w:val="Body"/>
        <w:jc w:val="both"/>
        <w:rPr>
          <w:rFonts w:ascii="Cambria" w:hAnsi="Cambria"/>
          <w:color w:val="auto"/>
          <w:sz w:val="15"/>
          <w:szCs w:val="15"/>
        </w:rPr>
      </w:pPr>
    </w:p>
    <w:p w:rsidR="00B00321" w:rsidRPr="00452E2E" w:rsidRDefault="00B00321" w:rsidP="00B00321">
      <w:pPr>
        <w:pStyle w:val="Body"/>
        <w:jc w:val="both"/>
        <w:rPr>
          <w:rFonts w:ascii="Cambria" w:hAnsi="Cambria"/>
          <w:color w:val="auto"/>
          <w:sz w:val="15"/>
          <w:szCs w:val="15"/>
        </w:rPr>
      </w:pPr>
      <w:r w:rsidRPr="00452E2E">
        <w:rPr>
          <w:rFonts w:ascii="Cambria" w:hAnsi="Cambria"/>
          <w:b/>
          <w:bCs/>
          <w:color w:val="auto"/>
          <w:sz w:val="15"/>
          <w:szCs w:val="15"/>
        </w:rPr>
        <w:t>Supervisors:</w:t>
      </w:r>
    </w:p>
    <w:p w:rsidR="00B00321" w:rsidRPr="00452E2E" w:rsidRDefault="00B00321" w:rsidP="00B00321">
      <w:pPr>
        <w:pStyle w:val="Default"/>
        <w:jc w:val="both"/>
        <w:rPr>
          <w:rFonts w:ascii="Cambria" w:hAnsi="Cambria"/>
          <w:color w:val="auto"/>
          <w:sz w:val="15"/>
          <w:szCs w:val="15"/>
        </w:rPr>
      </w:pPr>
      <w:r w:rsidRPr="00452E2E">
        <w:rPr>
          <w:rFonts w:ascii="Cambria" w:hAnsi="Cambria"/>
          <w:color w:val="auto"/>
          <w:sz w:val="15"/>
          <w:szCs w:val="15"/>
          <w:u w:val="single"/>
        </w:rPr>
        <w:t>Professor Phil Johnson</w:t>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u w:val="single"/>
        </w:rPr>
        <w:t>Professor Jeremy Dawson</w:t>
      </w:r>
    </w:p>
    <w:p w:rsidR="00B00321" w:rsidRPr="00452E2E" w:rsidRDefault="00B26571" w:rsidP="00B00321">
      <w:pPr>
        <w:pStyle w:val="Default"/>
        <w:jc w:val="both"/>
        <w:rPr>
          <w:rStyle w:val="Hyperlink"/>
          <w:rFonts w:ascii="Cambria" w:hAnsi="Cambria"/>
          <w:color w:val="auto"/>
          <w:sz w:val="15"/>
          <w:szCs w:val="15"/>
          <w:u w:val="none"/>
        </w:rPr>
      </w:pPr>
      <w:hyperlink r:id="rId26" w:history="1">
        <w:r w:rsidR="00B00321" w:rsidRPr="00452E2E">
          <w:rPr>
            <w:rStyle w:val="Hyperlink"/>
            <w:rFonts w:ascii="Cambria" w:hAnsi="Cambria"/>
            <w:color w:val="auto"/>
            <w:sz w:val="15"/>
            <w:szCs w:val="15"/>
          </w:rPr>
          <w:t>phil.johnson@sheffield.ac.uk</w:t>
        </w:r>
      </w:hyperlink>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r w:rsidR="00B00321" w:rsidRPr="00452E2E">
        <w:rPr>
          <w:rStyle w:val="Hyperlink"/>
          <w:rFonts w:ascii="Cambria" w:hAnsi="Cambria"/>
          <w:color w:val="auto"/>
          <w:sz w:val="15"/>
          <w:szCs w:val="15"/>
          <w:u w:val="none"/>
        </w:rPr>
        <w:tab/>
      </w:r>
      <w:hyperlink r:id="rId27" w:history="1">
        <w:r w:rsidR="00B00321" w:rsidRPr="00452E2E">
          <w:rPr>
            <w:rStyle w:val="Hyperlink"/>
            <w:rFonts w:ascii="Cambria" w:hAnsi="Cambria"/>
            <w:color w:val="auto"/>
            <w:sz w:val="15"/>
            <w:szCs w:val="15"/>
          </w:rPr>
          <w:t>j.f.dawson@sheffield.ac.uk</w:t>
        </w:r>
      </w:hyperlink>
    </w:p>
    <w:p w:rsidR="00D03A8E" w:rsidRPr="00452E2E" w:rsidRDefault="00B00321" w:rsidP="00B00321">
      <w:pPr>
        <w:pStyle w:val="Default"/>
        <w:jc w:val="both"/>
        <w:rPr>
          <w:rFonts w:ascii="Cambria" w:hAnsi="Cambria"/>
          <w:color w:val="auto"/>
          <w:sz w:val="15"/>
          <w:szCs w:val="15"/>
        </w:rPr>
      </w:pPr>
      <w:r w:rsidRPr="00452E2E">
        <w:rPr>
          <w:rFonts w:ascii="Cambria" w:hAnsi="Cambria"/>
          <w:color w:val="auto"/>
          <w:sz w:val="15"/>
          <w:szCs w:val="15"/>
        </w:rPr>
        <w:t>+44(0) 114 222 3367</w:t>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rPr>
        <w:tab/>
      </w:r>
      <w:r w:rsidRPr="00452E2E">
        <w:rPr>
          <w:rFonts w:ascii="Cambria" w:hAnsi="Cambria"/>
          <w:color w:val="auto"/>
          <w:sz w:val="15"/>
          <w:szCs w:val="15"/>
        </w:rPr>
        <w:tab/>
        <w:t>+44(0) 114 222 3238</w:t>
      </w:r>
    </w:p>
    <w:p w:rsidR="001D104C" w:rsidRPr="00452E2E" w:rsidRDefault="001D104C" w:rsidP="00B00321">
      <w:pPr>
        <w:pStyle w:val="Default"/>
        <w:jc w:val="both"/>
        <w:rPr>
          <w:b/>
          <w:color w:val="auto"/>
          <w:sz w:val="18"/>
          <w:szCs w:val="18"/>
        </w:rPr>
        <w:sectPr w:rsidR="001D104C" w:rsidRPr="00452E2E" w:rsidSect="00B57950">
          <w:pgSz w:w="11906" w:h="16838"/>
          <w:pgMar w:top="1440" w:right="1440" w:bottom="1440" w:left="2127" w:header="708" w:footer="708" w:gutter="0"/>
          <w:cols w:space="708"/>
          <w:docGrid w:linePitch="360"/>
        </w:sectPr>
      </w:pPr>
    </w:p>
    <w:p w:rsidR="00D03A8E" w:rsidRPr="00452E2E" w:rsidRDefault="00D03A8E" w:rsidP="001D104C">
      <w:pPr>
        <w:pStyle w:val="Heading2"/>
      </w:pPr>
      <w:bookmarkStart w:id="252" w:name="_Toc465271230"/>
      <w:bookmarkStart w:id="253" w:name="_Toc473808222"/>
      <w:r w:rsidRPr="00452E2E">
        <w:lastRenderedPageBreak/>
        <w:t xml:space="preserve">Appendix </w:t>
      </w:r>
      <w:r w:rsidR="001D104C" w:rsidRPr="00452E2E">
        <w:t>6</w:t>
      </w:r>
      <w:r w:rsidRPr="00452E2E">
        <w:t>: Questionnaire for Study 1</w:t>
      </w:r>
      <w:bookmarkEnd w:id="252"/>
      <w:bookmarkEnd w:id="253"/>
    </w:p>
    <w:p w:rsidR="00D03A8E" w:rsidRPr="00452E2E" w:rsidRDefault="00D03A8E" w:rsidP="00D03A8E">
      <w:pPr>
        <w:spacing w:line="240" w:lineRule="auto"/>
        <w:jc w:val="center"/>
        <w:rPr>
          <w:b/>
          <w:sz w:val="16"/>
          <w:szCs w:val="16"/>
        </w:rPr>
      </w:pPr>
    </w:p>
    <w:p w:rsidR="00D03A8E" w:rsidRPr="00452E2E" w:rsidRDefault="00D03A8E" w:rsidP="00D03A8E">
      <w:pPr>
        <w:spacing w:line="240" w:lineRule="auto"/>
        <w:jc w:val="center"/>
        <w:rPr>
          <w:b/>
          <w:sz w:val="16"/>
          <w:szCs w:val="16"/>
        </w:rPr>
      </w:pPr>
      <w:r w:rsidRPr="00452E2E">
        <w:rPr>
          <w:b/>
          <w:noProof/>
          <w:sz w:val="16"/>
          <w:szCs w:val="16"/>
          <w:lang w:eastAsia="en-GB"/>
        </w:rPr>
        <w:drawing>
          <wp:inline distT="0" distB="0" distL="0" distR="0" wp14:anchorId="01AC188F" wp14:editId="4236D78C">
            <wp:extent cx="2415540" cy="969010"/>
            <wp:effectExtent l="0" t="0" r="3810" b="2540"/>
            <wp:docPr id="136" name="Picture 136" descr="tuoslogo_key_rgb_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oslogo_key_rgb_l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5540" cy="969010"/>
                    </a:xfrm>
                    <a:prstGeom prst="rect">
                      <a:avLst/>
                    </a:prstGeom>
                    <a:noFill/>
                    <a:ln>
                      <a:noFill/>
                    </a:ln>
                  </pic:spPr>
                </pic:pic>
              </a:graphicData>
            </a:graphic>
          </wp:inline>
        </w:drawing>
      </w: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center"/>
        <w:rPr>
          <w:b/>
          <w:sz w:val="16"/>
          <w:szCs w:val="16"/>
        </w:rPr>
      </w:pPr>
      <w:r w:rsidRPr="00452E2E">
        <w:rPr>
          <w:b/>
          <w:sz w:val="16"/>
          <w:szCs w:val="16"/>
        </w:rPr>
        <w:t>SURVEY OF INSTITUTIONAL INFLUENCES ON HRM POLICIES AND SPECIFIC TECHNIQUES OF HRM IN NIGERIA</w:t>
      </w: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r w:rsidRPr="00452E2E">
        <w:rPr>
          <w:b/>
          <w:sz w:val="16"/>
          <w:szCs w:val="16"/>
        </w:rPr>
        <w:t>Information &amp; Instructions</w:t>
      </w:r>
    </w:p>
    <w:p w:rsidR="00D03A8E" w:rsidRPr="00452E2E" w:rsidRDefault="00D03A8E" w:rsidP="00D03A8E">
      <w:pPr>
        <w:spacing w:line="240" w:lineRule="auto"/>
        <w:jc w:val="both"/>
        <w:rPr>
          <w:sz w:val="16"/>
          <w:szCs w:val="16"/>
        </w:rPr>
      </w:pPr>
      <w:r w:rsidRPr="00452E2E">
        <w:rPr>
          <w:sz w:val="16"/>
          <w:szCs w:val="16"/>
        </w:rPr>
        <w:t>This questionnaire should be answered by HR Managers/Directors or those occupying equivalent positions and are responsible for people management practices in their organization.</w:t>
      </w:r>
    </w:p>
    <w:p w:rsidR="00D03A8E" w:rsidRPr="00452E2E" w:rsidRDefault="00D03A8E" w:rsidP="00D03A8E">
      <w:pPr>
        <w:spacing w:line="240" w:lineRule="auto"/>
        <w:jc w:val="both"/>
        <w:rPr>
          <w:sz w:val="16"/>
          <w:szCs w:val="16"/>
        </w:rPr>
      </w:pPr>
      <w:r w:rsidRPr="00452E2E">
        <w:rPr>
          <w:sz w:val="16"/>
          <w:szCs w:val="16"/>
        </w:rPr>
        <w:t xml:space="preserve">The questionnaire is divided into 2 main parts. The first section seeks background information about the participating organization while the other section seeks information about the specific techniques of HRM in your organization as well as the institutional influences on HR policies and practices in your organization. </w:t>
      </w:r>
    </w:p>
    <w:p w:rsidR="00D03A8E" w:rsidRPr="00452E2E" w:rsidRDefault="00D03A8E" w:rsidP="00D03A8E">
      <w:pPr>
        <w:spacing w:line="240" w:lineRule="auto"/>
        <w:jc w:val="both"/>
        <w:rPr>
          <w:sz w:val="16"/>
          <w:szCs w:val="16"/>
        </w:rPr>
      </w:pPr>
      <w:r w:rsidRPr="00452E2E">
        <w:rPr>
          <w:sz w:val="16"/>
          <w:szCs w:val="16"/>
        </w:rPr>
        <w:t xml:space="preserve">It is important that you respond to these questions as accurately and honestly as possible. </w:t>
      </w:r>
      <w:r w:rsidRPr="00452E2E">
        <w:rPr>
          <w:b/>
          <w:sz w:val="16"/>
          <w:szCs w:val="16"/>
        </w:rPr>
        <w:t>Your participation in this study is voluntary and by completing and returning this questionnaire, you are consenting to participate.</w:t>
      </w:r>
      <w:r w:rsidRPr="00452E2E">
        <w:rPr>
          <w:sz w:val="16"/>
          <w:szCs w:val="16"/>
        </w:rPr>
        <w:t xml:space="preserve"> Remember that your responses shall be kept confidential and will be used strictly for research purposes.</w:t>
      </w:r>
    </w:p>
    <w:p w:rsidR="00D03A8E" w:rsidRPr="00452E2E" w:rsidRDefault="00D03A8E" w:rsidP="00D03A8E">
      <w:pPr>
        <w:spacing w:line="240" w:lineRule="auto"/>
        <w:jc w:val="both"/>
        <w:rPr>
          <w:sz w:val="16"/>
          <w:szCs w:val="16"/>
        </w:rPr>
      </w:pPr>
      <w:r w:rsidRPr="00452E2E">
        <w:rPr>
          <w:sz w:val="16"/>
          <w:szCs w:val="16"/>
        </w:rPr>
        <w:t>Thank you for taking your time to participate in this study.</w:t>
      </w:r>
    </w:p>
    <w:p w:rsidR="00D03A8E" w:rsidRPr="00452E2E" w:rsidRDefault="00D03A8E" w:rsidP="00D03A8E">
      <w:pPr>
        <w:spacing w:line="240" w:lineRule="auto"/>
        <w:jc w:val="both"/>
        <w:rPr>
          <w:sz w:val="16"/>
          <w:szCs w:val="16"/>
        </w:rPr>
      </w:pPr>
    </w:p>
    <w:p w:rsidR="00D03A8E" w:rsidRPr="00452E2E" w:rsidRDefault="00D03A8E" w:rsidP="00D03A8E">
      <w:pPr>
        <w:spacing w:line="240" w:lineRule="auto"/>
        <w:jc w:val="both"/>
        <w:rPr>
          <w:b/>
          <w:sz w:val="16"/>
          <w:szCs w:val="16"/>
        </w:rPr>
      </w:pPr>
      <w:r w:rsidRPr="00452E2E">
        <w:rPr>
          <w:b/>
          <w:sz w:val="16"/>
          <w:szCs w:val="16"/>
        </w:rPr>
        <w:t>PART I: BACKGROUND INFORMATION</w:t>
      </w:r>
    </w:p>
    <w:p w:rsidR="00D03A8E" w:rsidRPr="00452E2E" w:rsidRDefault="00D03A8E" w:rsidP="00D03A8E">
      <w:pPr>
        <w:jc w:val="both"/>
        <w:rPr>
          <w:sz w:val="16"/>
          <w:szCs w:val="16"/>
        </w:rPr>
      </w:pPr>
      <w:r w:rsidRPr="00452E2E">
        <w:rPr>
          <w:sz w:val="16"/>
          <w:szCs w:val="16"/>
        </w:rPr>
        <w:t>Please select the option that is applicable to your organization</w:t>
      </w:r>
    </w:p>
    <w:p w:rsidR="00D03A8E" w:rsidRPr="00452E2E" w:rsidRDefault="00D03A8E" w:rsidP="00D03A8E">
      <w:pPr>
        <w:jc w:val="both"/>
        <w:rPr>
          <w:sz w:val="16"/>
          <w:szCs w:val="16"/>
        </w:rPr>
      </w:pPr>
      <w:r w:rsidRPr="00452E2E">
        <w:rPr>
          <w:sz w:val="16"/>
          <w:szCs w:val="16"/>
        </w:rPr>
        <w:t>1.</w:t>
      </w:r>
      <w:r w:rsidRPr="00452E2E">
        <w:rPr>
          <w:sz w:val="16"/>
          <w:szCs w:val="16"/>
        </w:rPr>
        <w:tab/>
        <w:t xml:space="preserve">Which of the following best describes the industry in which your organization operates? </w:t>
      </w:r>
    </w:p>
    <w:p w:rsidR="00D03A8E" w:rsidRPr="00452E2E" w:rsidRDefault="00D03A8E" w:rsidP="00D03A8E">
      <w:pPr>
        <w:pStyle w:val="ListParagraph"/>
        <w:ind w:left="0"/>
        <w:jc w:val="both"/>
        <w:rPr>
          <w:sz w:val="16"/>
          <w:szCs w:val="16"/>
        </w:rPr>
      </w:pPr>
      <w:r w:rsidRPr="00452E2E">
        <w:rPr>
          <w:sz w:val="16"/>
          <w:szCs w:val="16"/>
        </w:rPr>
        <w:t>(i)  Banking/financial services (ii) Education (iii) Health (iv) Manufacturing (v) Hotels (vi) ICT/Media</w:t>
      </w:r>
    </w:p>
    <w:p w:rsidR="00D03A8E" w:rsidRPr="00452E2E" w:rsidRDefault="00D03A8E" w:rsidP="00D03A8E">
      <w:pPr>
        <w:pStyle w:val="ListParagraph"/>
        <w:ind w:left="0"/>
        <w:jc w:val="both"/>
        <w:rPr>
          <w:sz w:val="16"/>
          <w:szCs w:val="16"/>
        </w:rPr>
      </w:pPr>
      <w:r w:rsidRPr="00452E2E">
        <w:rPr>
          <w:sz w:val="16"/>
          <w:szCs w:val="16"/>
        </w:rPr>
        <w:t xml:space="preserve"> (vii) Government ministries, departments and agencies (viii) Transport</w:t>
      </w:r>
    </w:p>
    <w:p w:rsidR="00D03A8E" w:rsidRPr="00452E2E" w:rsidRDefault="00D03A8E" w:rsidP="00D03A8E">
      <w:pPr>
        <w:jc w:val="both"/>
        <w:rPr>
          <w:sz w:val="16"/>
          <w:szCs w:val="16"/>
        </w:rPr>
      </w:pPr>
      <w:r w:rsidRPr="00452E2E">
        <w:rPr>
          <w:sz w:val="16"/>
          <w:szCs w:val="16"/>
        </w:rPr>
        <w:t>2.</w:t>
      </w:r>
      <w:r w:rsidRPr="00452E2E">
        <w:rPr>
          <w:sz w:val="16"/>
          <w:szCs w:val="16"/>
        </w:rPr>
        <w:tab/>
        <w:t>In which sector does your organization operate?</w:t>
      </w:r>
    </w:p>
    <w:p w:rsidR="00D03A8E" w:rsidRPr="00452E2E" w:rsidRDefault="00D03A8E" w:rsidP="00D03A8E">
      <w:pPr>
        <w:jc w:val="both"/>
        <w:rPr>
          <w:sz w:val="16"/>
          <w:szCs w:val="16"/>
        </w:rPr>
      </w:pPr>
      <w:r w:rsidRPr="00452E2E">
        <w:rPr>
          <w:sz w:val="16"/>
          <w:szCs w:val="16"/>
        </w:rPr>
        <w:t xml:space="preserve">                    (i) Private Sector (ii) Public Sector</w:t>
      </w:r>
    </w:p>
    <w:p w:rsidR="00D03A8E" w:rsidRPr="00452E2E" w:rsidRDefault="00D03A8E" w:rsidP="00D03A8E">
      <w:pPr>
        <w:jc w:val="both"/>
        <w:rPr>
          <w:sz w:val="16"/>
          <w:szCs w:val="16"/>
        </w:rPr>
      </w:pPr>
      <w:r w:rsidRPr="00452E2E">
        <w:rPr>
          <w:rFonts w:asciiTheme="minorHAnsi" w:hAnsiTheme="minorHAnsi"/>
          <w:noProof/>
          <w:sz w:val="22"/>
          <w:lang w:eastAsia="en-GB"/>
        </w:rPr>
        <mc:AlternateContent>
          <mc:Choice Requires="wps">
            <w:drawing>
              <wp:anchor distT="0" distB="0" distL="114300" distR="114300" simplePos="0" relativeHeight="251661312" behindDoc="0" locked="0" layoutInCell="1" allowOverlap="1" wp14:anchorId="4CF7F183" wp14:editId="5EF9158A">
                <wp:simplePos x="0" y="0"/>
                <wp:positionH relativeFrom="column">
                  <wp:posOffset>699135</wp:posOffset>
                </wp:positionH>
                <wp:positionV relativeFrom="paragraph">
                  <wp:posOffset>146050</wp:posOffset>
                </wp:positionV>
                <wp:extent cx="635" cy="635"/>
                <wp:effectExtent l="0" t="0" r="0" b="0"/>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E9D19" id="Straight Arrow Connector 133" o:spid="_x0000_s1026" type="#_x0000_t32" style="position:absolute;margin-left:55.05pt;margin-top:11.5pt;width:.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"/>
            </w:pict>
          </mc:Fallback>
        </mc:AlternateContent>
      </w:r>
      <w:r w:rsidRPr="00452E2E">
        <w:rPr>
          <w:sz w:val="16"/>
          <w:szCs w:val="16"/>
        </w:rPr>
        <w:t>3.</w:t>
      </w:r>
      <w:r w:rsidRPr="00452E2E">
        <w:rPr>
          <w:sz w:val="16"/>
          <w:szCs w:val="16"/>
        </w:rPr>
        <w:tab/>
        <w:t>What is the number of employees in your organization, including yourself?</w:t>
      </w:r>
    </w:p>
    <w:p w:rsidR="00D03A8E" w:rsidRPr="00452E2E" w:rsidRDefault="00D03A8E" w:rsidP="00D03A8E">
      <w:pPr>
        <w:jc w:val="both"/>
        <w:rPr>
          <w:sz w:val="16"/>
          <w:szCs w:val="16"/>
        </w:rPr>
      </w:pPr>
      <w:r w:rsidRPr="00452E2E">
        <w:rPr>
          <w:sz w:val="16"/>
          <w:szCs w:val="16"/>
        </w:rPr>
        <w:t xml:space="preserve">                     (i) 50-99 (ii) 100-249 (iii) 250-500 (iv) Above 500</w:t>
      </w:r>
    </w:p>
    <w:p w:rsidR="00D03A8E" w:rsidRPr="00452E2E" w:rsidRDefault="00D03A8E" w:rsidP="00D03A8E">
      <w:pPr>
        <w:jc w:val="both"/>
        <w:rPr>
          <w:sz w:val="16"/>
          <w:szCs w:val="16"/>
        </w:rPr>
      </w:pPr>
      <w:r w:rsidRPr="00452E2E">
        <w:rPr>
          <w:sz w:val="16"/>
          <w:szCs w:val="16"/>
        </w:rPr>
        <w:t xml:space="preserve">    </w:t>
      </w: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jc w:val="both"/>
        <w:rPr>
          <w:sz w:val="16"/>
          <w:szCs w:val="16"/>
        </w:rPr>
      </w:pPr>
    </w:p>
    <w:p w:rsidR="00D03A8E" w:rsidRPr="00452E2E" w:rsidRDefault="00D03A8E" w:rsidP="00D03A8E">
      <w:pPr>
        <w:rPr>
          <w:b/>
          <w:sz w:val="16"/>
          <w:szCs w:val="16"/>
        </w:rPr>
      </w:pPr>
      <w:r w:rsidRPr="00452E2E">
        <w:rPr>
          <w:b/>
          <w:sz w:val="16"/>
          <w:szCs w:val="16"/>
        </w:rPr>
        <w:lastRenderedPageBreak/>
        <w:t>PART II: SPECIFIC TECHNIQUES OF HRM &amp; INFLUENCE OF INSTITUTIONS ON HRM</w:t>
      </w:r>
    </w:p>
    <w:p w:rsidR="00D03A8E" w:rsidRPr="00452E2E" w:rsidRDefault="00D03A8E" w:rsidP="00D03A8E">
      <w:pPr>
        <w:rPr>
          <w:b/>
          <w:sz w:val="16"/>
          <w:szCs w:val="16"/>
        </w:rPr>
      </w:pPr>
      <w:r w:rsidRPr="00452E2E">
        <w:rPr>
          <w:b/>
          <w:sz w:val="16"/>
          <w:szCs w:val="16"/>
        </w:rPr>
        <w:t>(A)  SPECIFIC TECHNIQUES OF HRM</w:t>
      </w:r>
    </w:p>
    <w:p w:rsidR="00D03A8E" w:rsidRPr="00452E2E" w:rsidRDefault="00D03A8E" w:rsidP="00D03A8E">
      <w:pPr>
        <w:pStyle w:val="ListParagraph"/>
        <w:ind w:left="0"/>
        <w:rPr>
          <w:b/>
          <w:sz w:val="16"/>
          <w:szCs w:val="16"/>
        </w:rPr>
      </w:pPr>
    </w:p>
    <w:p w:rsidR="00D03A8E" w:rsidRPr="00452E2E" w:rsidRDefault="00D03A8E" w:rsidP="00D03A8E">
      <w:pPr>
        <w:pStyle w:val="ListParagraph"/>
        <w:ind w:left="0"/>
        <w:rPr>
          <w:sz w:val="16"/>
          <w:szCs w:val="16"/>
        </w:rPr>
      </w:pPr>
      <w:r w:rsidRPr="00452E2E">
        <w:rPr>
          <w:sz w:val="16"/>
          <w:szCs w:val="16"/>
        </w:rPr>
        <w:t>This section relates to the specific techniques used in administering HRM practices in your organization. Please circle the response that is applicable to your organization. 1=Yes 2=No 3=I Don't Know</w:t>
      </w: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r w:rsidRPr="00452E2E">
        <w:rPr>
          <w:sz w:val="16"/>
          <w:szCs w:val="16"/>
        </w:rPr>
        <w:t>1. What type of information sharing system does your organization use?</w:t>
      </w:r>
    </w:p>
    <w:p w:rsidR="00D03A8E" w:rsidRPr="00452E2E" w:rsidRDefault="00D03A8E" w:rsidP="00D03A8E">
      <w:pPr>
        <w:pStyle w:val="ListParagraph"/>
        <w:ind w:left="0"/>
        <w:rPr>
          <w:sz w:val="16"/>
          <w:szCs w:val="16"/>
        </w:rPr>
      </w:pPr>
    </w:p>
    <w:tbl>
      <w:tblPr>
        <w:tblStyle w:val="TableGrid"/>
        <w:tblW w:w="8602" w:type="dxa"/>
        <w:tblInd w:w="720" w:type="dxa"/>
        <w:tblLook w:val="04A0" w:firstRow="1" w:lastRow="0" w:firstColumn="1" w:lastColumn="0" w:noHBand="0" w:noVBand="1"/>
      </w:tblPr>
      <w:tblGrid>
        <w:gridCol w:w="664"/>
        <w:gridCol w:w="5663"/>
        <w:gridCol w:w="574"/>
        <w:gridCol w:w="567"/>
        <w:gridCol w:w="1134"/>
      </w:tblGrid>
      <w:tr w:rsidR="00452E2E" w:rsidRPr="00452E2E" w:rsidTr="00B57950">
        <w:tc>
          <w:tcPr>
            <w:tcW w:w="6327" w:type="dxa"/>
            <w:gridSpan w:val="2"/>
            <w:tcBorders>
              <w:top w:val="nil"/>
              <w:left w:val="nil"/>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Yes</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No</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b/>
                <w:sz w:val="16"/>
                <w:szCs w:val="16"/>
              </w:rPr>
            </w:pPr>
            <w:r w:rsidRPr="00452E2E">
              <w:rPr>
                <w:b/>
                <w:sz w:val="16"/>
                <w:szCs w:val="16"/>
              </w:rPr>
              <w:t>I Don't Know</w:t>
            </w:r>
          </w:p>
          <w:p w:rsidR="00D03A8E" w:rsidRPr="00452E2E" w:rsidRDefault="00D03A8E" w:rsidP="00B57950">
            <w:pPr>
              <w:pStyle w:val="ListParagraph"/>
              <w:ind w:left="0"/>
              <w:jc w:val="center"/>
              <w:rPr>
                <w:b/>
                <w:sz w:val="16"/>
                <w:szCs w:val="16"/>
              </w:rPr>
            </w:pPr>
            <w:r w:rsidRPr="00452E2E">
              <w:rPr>
                <w:b/>
                <w:sz w:val="16"/>
                <w:szCs w:val="16"/>
              </w:rPr>
              <w:t>3</w:t>
            </w:r>
          </w:p>
        </w:tc>
      </w:tr>
      <w:tr w:rsidR="00452E2E" w:rsidRPr="00452E2E" w:rsidTr="00B57950">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D03A8E">
            <w:pPr>
              <w:pStyle w:val="ListParagraph"/>
              <w:numPr>
                <w:ilvl w:val="0"/>
                <w:numId w:val="26"/>
              </w:numPr>
              <w:ind w:left="0" w:firstLine="0"/>
              <w:rPr>
                <w:sz w:val="16"/>
                <w:szCs w:val="16"/>
              </w:rPr>
            </w:pP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Notice boards</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D03A8E">
            <w:pPr>
              <w:pStyle w:val="ListParagraph"/>
              <w:numPr>
                <w:ilvl w:val="0"/>
                <w:numId w:val="26"/>
              </w:numPr>
              <w:ind w:left="0" w:firstLine="0"/>
              <w:rPr>
                <w:sz w:val="16"/>
                <w:szCs w:val="16"/>
              </w:rPr>
            </w:pP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Team briefings/cascade briefings</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D03A8E">
            <w:pPr>
              <w:pStyle w:val="ListParagraph"/>
              <w:numPr>
                <w:ilvl w:val="0"/>
                <w:numId w:val="26"/>
              </w:numPr>
              <w:ind w:left="0" w:firstLine="0"/>
              <w:rPr>
                <w:sz w:val="16"/>
                <w:szCs w:val="16"/>
              </w:rPr>
            </w:pP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Shop steward/workplace representative briefings</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D03A8E">
            <w:pPr>
              <w:pStyle w:val="ListParagraph"/>
              <w:numPr>
                <w:ilvl w:val="0"/>
                <w:numId w:val="26"/>
              </w:numPr>
              <w:ind w:left="0" w:firstLine="0"/>
              <w:rPr>
                <w:sz w:val="16"/>
                <w:szCs w:val="16"/>
              </w:rPr>
            </w:pP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Organization newsletter</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D03A8E" w:rsidRPr="00452E2E" w:rsidTr="00B57950">
        <w:tc>
          <w:tcPr>
            <w:tcW w:w="6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D03A8E">
            <w:pPr>
              <w:pStyle w:val="ListParagraph"/>
              <w:numPr>
                <w:ilvl w:val="0"/>
                <w:numId w:val="26"/>
              </w:numPr>
              <w:ind w:left="0" w:firstLine="0"/>
              <w:rPr>
                <w:sz w:val="16"/>
                <w:szCs w:val="16"/>
              </w:rPr>
            </w:pPr>
          </w:p>
        </w:tc>
        <w:tc>
          <w:tcPr>
            <w:tcW w:w="5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r w:rsidRPr="00452E2E">
              <w:rPr>
                <w:sz w:val="16"/>
                <w:szCs w:val="16"/>
              </w:rPr>
              <w:t>Other (specify)</w:t>
            </w:r>
          </w:p>
          <w:p w:rsidR="00D03A8E" w:rsidRPr="00452E2E" w:rsidRDefault="00D03A8E" w:rsidP="00B57950">
            <w:pPr>
              <w:pStyle w:val="ListParagraph"/>
              <w:ind w:left="0"/>
              <w:rPr>
                <w:sz w:val="16"/>
                <w:szCs w:val="16"/>
              </w:rPr>
            </w:pPr>
          </w:p>
          <w:p w:rsidR="00D03A8E" w:rsidRPr="00452E2E" w:rsidRDefault="00D03A8E" w:rsidP="00B57950">
            <w:pPr>
              <w:pStyle w:val="ListParagraph"/>
              <w:ind w:left="0"/>
              <w:rPr>
                <w:sz w:val="16"/>
                <w:szCs w:val="16"/>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bl>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r w:rsidRPr="00452E2E">
        <w:rPr>
          <w:sz w:val="16"/>
          <w:szCs w:val="16"/>
        </w:rPr>
        <w:t>2. Do you make use of the following forms of employee consultation/involvement?</w:t>
      </w:r>
    </w:p>
    <w:tbl>
      <w:tblPr>
        <w:tblStyle w:val="TableGrid"/>
        <w:tblW w:w="8602" w:type="dxa"/>
        <w:tblInd w:w="720" w:type="dxa"/>
        <w:tblLook w:val="04A0" w:firstRow="1" w:lastRow="0" w:firstColumn="1" w:lastColumn="0" w:noHBand="0" w:noVBand="1"/>
      </w:tblPr>
      <w:tblGrid>
        <w:gridCol w:w="376"/>
        <w:gridCol w:w="5951"/>
        <w:gridCol w:w="574"/>
        <w:gridCol w:w="567"/>
        <w:gridCol w:w="1134"/>
      </w:tblGrid>
      <w:tr w:rsidR="00452E2E" w:rsidRPr="00452E2E" w:rsidTr="00B57950">
        <w:tc>
          <w:tcPr>
            <w:tcW w:w="6327" w:type="dxa"/>
            <w:gridSpan w:val="2"/>
            <w:tcBorders>
              <w:top w:val="nil"/>
              <w:left w:val="nil"/>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Yes</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No</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b/>
                <w:sz w:val="16"/>
                <w:szCs w:val="16"/>
              </w:rPr>
            </w:pPr>
            <w:r w:rsidRPr="00452E2E">
              <w:rPr>
                <w:b/>
                <w:sz w:val="16"/>
                <w:szCs w:val="16"/>
              </w:rPr>
              <w:t>I Don't Know</w:t>
            </w:r>
          </w:p>
          <w:p w:rsidR="00D03A8E" w:rsidRPr="00452E2E" w:rsidRDefault="00D03A8E" w:rsidP="00B57950">
            <w:pPr>
              <w:pStyle w:val="ListParagraph"/>
              <w:ind w:left="0"/>
              <w:jc w:val="center"/>
              <w:rPr>
                <w:b/>
                <w:sz w:val="16"/>
                <w:szCs w:val="16"/>
              </w:rPr>
            </w:pPr>
            <w:r w:rsidRPr="00452E2E">
              <w:rPr>
                <w:b/>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1</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Suggestion boxes</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2</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Workplace surveys</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3</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Briefings where feedback is solicited</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D03A8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4</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r w:rsidRPr="00452E2E">
              <w:rPr>
                <w:sz w:val="16"/>
                <w:szCs w:val="16"/>
              </w:rPr>
              <w:t>Other (specify)</w:t>
            </w:r>
          </w:p>
          <w:p w:rsidR="00D03A8E" w:rsidRPr="00452E2E" w:rsidRDefault="00D03A8E" w:rsidP="00B57950">
            <w:pPr>
              <w:pStyle w:val="ListParagraph"/>
              <w:ind w:left="0"/>
              <w:rPr>
                <w:sz w:val="16"/>
                <w:szCs w:val="16"/>
              </w:rPr>
            </w:pPr>
          </w:p>
          <w:p w:rsidR="00D03A8E" w:rsidRPr="00452E2E" w:rsidRDefault="00D03A8E" w:rsidP="00B57950">
            <w:pPr>
              <w:pStyle w:val="ListParagraph"/>
              <w:ind w:left="0"/>
              <w:rPr>
                <w:sz w:val="16"/>
                <w:szCs w:val="16"/>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bl>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r w:rsidRPr="00452E2E">
        <w:rPr>
          <w:sz w:val="16"/>
          <w:szCs w:val="16"/>
        </w:rPr>
        <w:t>3. Do you make use of any of the following forms of training and development?</w:t>
      </w:r>
    </w:p>
    <w:tbl>
      <w:tblPr>
        <w:tblStyle w:val="TableGrid"/>
        <w:tblW w:w="8602" w:type="dxa"/>
        <w:tblInd w:w="720" w:type="dxa"/>
        <w:tblLook w:val="04A0" w:firstRow="1" w:lastRow="0" w:firstColumn="1" w:lastColumn="0" w:noHBand="0" w:noVBand="1"/>
      </w:tblPr>
      <w:tblGrid>
        <w:gridCol w:w="376"/>
        <w:gridCol w:w="5951"/>
        <w:gridCol w:w="574"/>
        <w:gridCol w:w="567"/>
        <w:gridCol w:w="1134"/>
      </w:tblGrid>
      <w:tr w:rsidR="00452E2E" w:rsidRPr="00452E2E" w:rsidTr="00B57950">
        <w:tc>
          <w:tcPr>
            <w:tcW w:w="6327" w:type="dxa"/>
            <w:gridSpan w:val="2"/>
            <w:tcBorders>
              <w:top w:val="nil"/>
              <w:left w:val="nil"/>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Yes</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No</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b/>
                <w:sz w:val="16"/>
                <w:szCs w:val="16"/>
              </w:rPr>
            </w:pPr>
            <w:r w:rsidRPr="00452E2E">
              <w:rPr>
                <w:b/>
                <w:sz w:val="16"/>
                <w:szCs w:val="16"/>
              </w:rPr>
              <w:t>I Don't Know</w:t>
            </w:r>
          </w:p>
          <w:p w:rsidR="00D03A8E" w:rsidRPr="00452E2E" w:rsidRDefault="00D03A8E" w:rsidP="00B57950">
            <w:pPr>
              <w:pStyle w:val="ListParagraph"/>
              <w:ind w:left="0"/>
              <w:jc w:val="center"/>
              <w:rPr>
                <w:b/>
                <w:sz w:val="16"/>
                <w:szCs w:val="16"/>
              </w:rPr>
            </w:pPr>
            <w:r w:rsidRPr="00452E2E">
              <w:rPr>
                <w:b/>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1</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Informal workplace based training</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2</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Formal workplace based training (uncertified)</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3</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Formal workplace based training (certified)</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4</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Sponsored courses with outside training body (technical)</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5</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Sponsored courses with outside training body (administrative)</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6</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Sponsored courses with outside training body (managerial)</w:t>
            </w: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D03A8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7</w:t>
            </w:r>
          </w:p>
        </w:tc>
        <w:tc>
          <w:tcPr>
            <w:tcW w:w="5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r w:rsidRPr="00452E2E">
              <w:rPr>
                <w:sz w:val="16"/>
                <w:szCs w:val="16"/>
              </w:rPr>
              <w:t>Other (specify)</w:t>
            </w:r>
          </w:p>
          <w:p w:rsidR="00D03A8E" w:rsidRPr="00452E2E" w:rsidRDefault="00D03A8E" w:rsidP="00B57950">
            <w:pPr>
              <w:pStyle w:val="ListParagraph"/>
              <w:ind w:left="0"/>
              <w:rPr>
                <w:sz w:val="16"/>
                <w:szCs w:val="16"/>
              </w:rPr>
            </w:pPr>
          </w:p>
          <w:p w:rsidR="00D03A8E" w:rsidRPr="00452E2E" w:rsidRDefault="00D03A8E" w:rsidP="00B57950">
            <w:pPr>
              <w:pStyle w:val="ListParagraph"/>
              <w:ind w:left="0"/>
              <w:rPr>
                <w:sz w:val="16"/>
                <w:szCs w:val="16"/>
              </w:rPr>
            </w:pPr>
          </w:p>
        </w:tc>
        <w:tc>
          <w:tcPr>
            <w:tcW w:w="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bl>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r w:rsidRPr="00452E2E">
        <w:rPr>
          <w:sz w:val="16"/>
          <w:szCs w:val="16"/>
        </w:rPr>
        <w:t>4. For each category of staff, please indicate how staff are recruited in your organization. Please tick (</w:t>
      </w:r>
      <w:r w:rsidRPr="00452E2E">
        <w:rPr>
          <w:sz w:val="16"/>
          <w:szCs w:val="16"/>
        </w:rPr>
        <w:sym w:font="Symbol" w:char="F0D6"/>
      </w:r>
      <w:r w:rsidRPr="00452E2E">
        <w:rPr>
          <w:sz w:val="16"/>
          <w:szCs w:val="16"/>
        </w:rPr>
        <w:t xml:space="preserve">) the option(s) applicable. </w:t>
      </w:r>
    </w:p>
    <w:p w:rsidR="00D03A8E" w:rsidRPr="00452E2E" w:rsidRDefault="00D03A8E" w:rsidP="00D03A8E">
      <w:pPr>
        <w:pStyle w:val="ListParagraph"/>
        <w:ind w:left="0"/>
        <w:rPr>
          <w:sz w:val="16"/>
          <w:szCs w:val="16"/>
        </w:rPr>
      </w:pPr>
    </w:p>
    <w:tbl>
      <w:tblPr>
        <w:tblStyle w:val="TableGrid"/>
        <w:tblW w:w="0" w:type="auto"/>
        <w:tblInd w:w="720" w:type="dxa"/>
        <w:tblLook w:val="04A0" w:firstRow="1" w:lastRow="0" w:firstColumn="1" w:lastColumn="0" w:noHBand="0" w:noVBand="1"/>
      </w:tblPr>
      <w:tblGrid>
        <w:gridCol w:w="355"/>
        <w:gridCol w:w="2429"/>
        <w:gridCol w:w="1417"/>
        <w:gridCol w:w="1150"/>
        <w:gridCol w:w="1086"/>
        <w:gridCol w:w="1036"/>
      </w:tblGrid>
      <w:tr w:rsidR="00452E2E" w:rsidRPr="00452E2E" w:rsidTr="00B57950">
        <w:tc>
          <w:tcPr>
            <w:tcW w:w="3307" w:type="dxa"/>
            <w:gridSpan w:val="2"/>
            <w:tcBorders>
              <w:top w:val="nil"/>
              <w:left w:val="nil"/>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Management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Technical Staff</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Clerical Staff</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Manual Staff</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1</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Internally</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2</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Word of mouth</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3</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Recruitment agencies</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4</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Advertisement</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D03A8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5</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r w:rsidRPr="00452E2E">
              <w:rPr>
                <w:sz w:val="16"/>
                <w:szCs w:val="16"/>
              </w:rPr>
              <w:t>Other (please specify)</w:t>
            </w:r>
          </w:p>
          <w:p w:rsidR="00D03A8E" w:rsidRPr="00452E2E" w:rsidRDefault="00D03A8E" w:rsidP="00B57950">
            <w:pPr>
              <w:pStyle w:val="ListParagraph"/>
              <w:ind w:left="0"/>
              <w:rPr>
                <w:sz w:val="16"/>
                <w:szCs w:val="16"/>
              </w:rPr>
            </w:pPr>
          </w:p>
          <w:p w:rsidR="00D03A8E" w:rsidRPr="00452E2E" w:rsidRDefault="00D03A8E" w:rsidP="00B57950">
            <w:pPr>
              <w:pStyle w:val="ListParagraph"/>
              <w:ind w:left="0"/>
              <w:rPr>
                <w:sz w:val="16"/>
                <w:szCs w:val="16"/>
              </w:rPr>
            </w:pP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bl>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r w:rsidRPr="00452E2E">
        <w:rPr>
          <w:sz w:val="16"/>
          <w:szCs w:val="16"/>
        </w:rPr>
        <w:t>5. For each category of staff, please indicate which of the selection procedures your organization follows. Please tick (</w:t>
      </w:r>
      <w:r w:rsidRPr="00452E2E">
        <w:rPr>
          <w:sz w:val="16"/>
          <w:szCs w:val="16"/>
        </w:rPr>
        <w:sym w:font="Symbol" w:char="F0D6"/>
      </w:r>
      <w:r w:rsidRPr="00452E2E">
        <w:rPr>
          <w:sz w:val="16"/>
          <w:szCs w:val="16"/>
        </w:rPr>
        <w:t>) the option(s) applicable.</w:t>
      </w:r>
    </w:p>
    <w:p w:rsidR="00D03A8E" w:rsidRPr="00452E2E" w:rsidRDefault="00D03A8E" w:rsidP="00D03A8E">
      <w:pPr>
        <w:pStyle w:val="ListParagraph"/>
        <w:ind w:left="0"/>
        <w:rPr>
          <w:sz w:val="16"/>
          <w:szCs w:val="16"/>
        </w:rPr>
      </w:pPr>
    </w:p>
    <w:tbl>
      <w:tblPr>
        <w:tblStyle w:val="TableGrid"/>
        <w:tblW w:w="0" w:type="auto"/>
        <w:tblLook w:val="04A0" w:firstRow="1" w:lastRow="0" w:firstColumn="1" w:lastColumn="0" w:noHBand="0" w:noVBand="1"/>
      </w:tblPr>
      <w:tblGrid>
        <w:gridCol w:w="369"/>
        <w:gridCol w:w="2770"/>
        <w:gridCol w:w="1508"/>
        <w:gridCol w:w="1231"/>
        <w:gridCol w:w="1189"/>
        <w:gridCol w:w="1126"/>
      </w:tblGrid>
      <w:tr w:rsidR="00452E2E" w:rsidRPr="00452E2E" w:rsidTr="00B57950">
        <w:tc>
          <w:tcPr>
            <w:tcW w:w="3307" w:type="dxa"/>
            <w:gridSpan w:val="2"/>
            <w:tcBorders>
              <w:top w:val="nil"/>
              <w:left w:val="nil"/>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Management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Technical Staff</w:t>
            </w: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Clerical Staff</w:t>
            </w: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Manual Staff</w:t>
            </w: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1</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''Walk-in'' i.e. employed without interview</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2</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Filling in an application form</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3</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Filling in an application form and interview</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452E2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4</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Psychometric test</w:t>
            </w: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r w:rsidR="00D03A8E" w:rsidRPr="00452E2E" w:rsidTr="00B57950">
        <w:tc>
          <w:tcPr>
            <w:tcW w:w="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5</w:t>
            </w:r>
          </w:p>
        </w:tc>
        <w:tc>
          <w:tcPr>
            <w:tcW w:w="29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r w:rsidRPr="00452E2E">
              <w:rPr>
                <w:sz w:val="16"/>
                <w:szCs w:val="16"/>
              </w:rPr>
              <w:t>Other (please specify)</w:t>
            </w:r>
          </w:p>
          <w:p w:rsidR="00D03A8E" w:rsidRPr="00452E2E" w:rsidRDefault="00D03A8E" w:rsidP="00B57950">
            <w:pPr>
              <w:pStyle w:val="ListParagraph"/>
              <w:ind w:left="0"/>
              <w:rPr>
                <w:sz w:val="16"/>
                <w:szCs w:val="16"/>
              </w:rPr>
            </w:pPr>
          </w:p>
          <w:p w:rsidR="00D03A8E" w:rsidRPr="00452E2E" w:rsidRDefault="00D03A8E" w:rsidP="00B57950">
            <w:pPr>
              <w:pStyle w:val="ListParagraph"/>
              <w:ind w:left="0"/>
              <w:rPr>
                <w:sz w:val="16"/>
                <w:szCs w:val="16"/>
              </w:rPr>
            </w:pPr>
          </w:p>
        </w:tc>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11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r>
    </w:tbl>
    <w:p w:rsidR="00D03A8E" w:rsidRPr="00452E2E" w:rsidRDefault="00D03A8E" w:rsidP="00D03A8E">
      <w:pPr>
        <w:pStyle w:val="ListParagraph"/>
        <w:ind w:left="0"/>
        <w:rPr>
          <w:sz w:val="16"/>
          <w:szCs w:val="16"/>
        </w:rPr>
      </w:pPr>
    </w:p>
    <w:p w:rsidR="00D03A8E" w:rsidRPr="00452E2E" w:rsidRDefault="00D03A8E" w:rsidP="00D03A8E">
      <w:pPr>
        <w:pStyle w:val="ListParagraph"/>
        <w:ind w:left="0"/>
        <w:rPr>
          <w:sz w:val="16"/>
          <w:szCs w:val="16"/>
        </w:rPr>
      </w:pPr>
    </w:p>
    <w:p w:rsidR="00D03A8E" w:rsidRPr="00452E2E" w:rsidRDefault="00D03A8E" w:rsidP="00D03A8E">
      <w:pPr>
        <w:rPr>
          <w:sz w:val="16"/>
          <w:szCs w:val="16"/>
        </w:rPr>
      </w:pPr>
    </w:p>
    <w:p w:rsidR="00D03A8E" w:rsidRPr="00452E2E" w:rsidRDefault="00D03A8E" w:rsidP="00D03A8E">
      <w:pPr>
        <w:pStyle w:val="ListParagraph"/>
        <w:ind w:left="0"/>
        <w:rPr>
          <w:sz w:val="16"/>
          <w:szCs w:val="16"/>
        </w:rPr>
      </w:pPr>
      <w:r w:rsidRPr="00452E2E">
        <w:rPr>
          <w:sz w:val="16"/>
          <w:szCs w:val="16"/>
        </w:rPr>
        <w:t>6. Does your organization provide any of the benefits listed below?</w:t>
      </w:r>
    </w:p>
    <w:tbl>
      <w:tblPr>
        <w:tblStyle w:val="TableGrid"/>
        <w:tblW w:w="8930" w:type="dxa"/>
        <w:tblInd w:w="392" w:type="dxa"/>
        <w:tblLook w:val="04A0" w:firstRow="1" w:lastRow="0" w:firstColumn="1" w:lastColumn="0" w:noHBand="0" w:noVBand="1"/>
      </w:tblPr>
      <w:tblGrid>
        <w:gridCol w:w="703"/>
        <w:gridCol w:w="5928"/>
        <w:gridCol w:w="599"/>
        <w:gridCol w:w="567"/>
        <w:gridCol w:w="1133"/>
      </w:tblGrid>
      <w:tr w:rsidR="00452E2E" w:rsidRPr="00452E2E" w:rsidTr="00B57950">
        <w:tc>
          <w:tcPr>
            <w:tcW w:w="6631" w:type="dxa"/>
            <w:gridSpan w:val="2"/>
            <w:tcBorders>
              <w:top w:val="nil"/>
              <w:left w:val="nil"/>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Yes</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jc w:val="center"/>
              <w:rPr>
                <w:b/>
                <w:sz w:val="16"/>
                <w:szCs w:val="16"/>
              </w:rPr>
            </w:pPr>
            <w:r w:rsidRPr="00452E2E">
              <w:rPr>
                <w:b/>
                <w:sz w:val="16"/>
                <w:szCs w:val="16"/>
              </w:rPr>
              <w:t>No</w:t>
            </w:r>
          </w:p>
          <w:p w:rsidR="00D03A8E" w:rsidRPr="00452E2E" w:rsidRDefault="00D03A8E" w:rsidP="00B57950">
            <w:pPr>
              <w:pStyle w:val="ListParagraph"/>
              <w:ind w:left="0"/>
              <w:jc w:val="center"/>
              <w:rPr>
                <w:b/>
                <w:sz w:val="16"/>
                <w:szCs w:val="16"/>
              </w:rPr>
            </w:pPr>
          </w:p>
          <w:p w:rsidR="00D03A8E" w:rsidRPr="00452E2E" w:rsidRDefault="00D03A8E" w:rsidP="00B57950">
            <w:pPr>
              <w:pStyle w:val="ListParagraph"/>
              <w:ind w:left="0"/>
              <w:jc w:val="center"/>
              <w:rPr>
                <w:b/>
                <w:sz w:val="16"/>
                <w:szCs w:val="16"/>
              </w:rPr>
            </w:pPr>
            <w:r w:rsidRPr="00452E2E">
              <w:rPr>
                <w:b/>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b/>
                <w:sz w:val="16"/>
                <w:szCs w:val="16"/>
              </w:rPr>
            </w:pPr>
            <w:r w:rsidRPr="00452E2E">
              <w:rPr>
                <w:b/>
                <w:sz w:val="16"/>
                <w:szCs w:val="16"/>
              </w:rPr>
              <w:t>I Don't Know</w:t>
            </w:r>
          </w:p>
          <w:p w:rsidR="00D03A8E" w:rsidRPr="00452E2E" w:rsidRDefault="00D03A8E" w:rsidP="00B57950">
            <w:pPr>
              <w:pStyle w:val="ListParagraph"/>
              <w:ind w:left="0"/>
              <w:jc w:val="center"/>
              <w:rPr>
                <w:b/>
                <w:sz w:val="16"/>
                <w:szCs w:val="16"/>
              </w:rPr>
            </w:pPr>
            <w:r w:rsidRPr="00452E2E">
              <w:rPr>
                <w:b/>
                <w:sz w:val="16"/>
                <w:szCs w:val="16"/>
              </w:rPr>
              <w:t>3</w:t>
            </w:r>
          </w:p>
        </w:tc>
      </w:tr>
      <w:tr w:rsidR="00452E2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1</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productivity awards or bonuses for increase in productivity</w:t>
            </w: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2</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Pay for overtime worked</w:t>
            </w: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3</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provide severance package</w:t>
            </w: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4</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Allow breaks during a work day</w:t>
            </w: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5</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Paid vacation</w:t>
            </w: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6</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Paid sick leave</w:t>
            </w: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452E2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7</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Health insurance</w:t>
            </w: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r w:rsidR="00D03A8E" w:rsidRPr="00452E2E" w:rsidTr="00B5795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rPr>
                <w:sz w:val="16"/>
                <w:szCs w:val="16"/>
              </w:rPr>
            </w:pPr>
            <w:r w:rsidRPr="00452E2E">
              <w:rPr>
                <w:sz w:val="16"/>
                <w:szCs w:val="16"/>
              </w:rPr>
              <w:t>8</w:t>
            </w:r>
          </w:p>
        </w:tc>
        <w:tc>
          <w:tcPr>
            <w:tcW w:w="5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03A8E" w:rsidRPr="00452E2E" w:rsidRDefault="00D03A8E" w:rsidP="00B57950">
            <w:pPr>
              <w:pStyle w:val="ListParagraph"/>
              <w:ind w:left="0"/>
              <w:rPr>
                <w:sz w:val="16"/>
                <w:szCs w:val="16"/>
              </w:rPr>
            </w:pPr>
            <w:r w:rsidRPr="00452E2E">
              <w:rPr>
                <w:sz w:val="16"/>
                <w:szCs w:val="16"/>
              </w:rPr>
              <w:t>Other (Specify)</w:t>
            </w:r>
          </w:p>
          <w:p w:rsidR="00D03A8E" w:rsidRPr="00452E2E" w:rsidRDefault="00D03A8E" w:rsidP="00B57950">
            <w:pPr>
              <w:pStyle w:val="ListParagraph"/>
              <w:ind w:left="0"/>
              <w:rPr>
                <w:sz w:val="16"/>
                <w:szCs w:val="16"/>
              </w:rPr>
            </w:pPr>
          </w:p>
        </w:tc>
        <w:tc>
          <w:tcPr>
            <w:tcW w:w="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2</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03A8E" w:rsidRPr="00452E2E" w:rsidRDefault="00D03A8E" w:rsidP="00B57950">
            <w:pPr>
              <w:pStyle w:val="ListParagraph"/>
              <w:ind w:left="0"/>
              <w:jc w:val="center"/>
              <w:rPr>
                <w:sz w:val="16"/>
                <w:szCs w:val="16"/>
              </w:rPr>
            </w:pPr>
            <w:r w:rsidRPr="00452E2E">
              <w:rPr>
                <w:sz w:val="16"/>
                <w:szCs w:val="16"/>
              </w:rPr>
              <w:t>3</w:t>
            </w:r>
          </w:p>
        </w:tc>
      </w:tr>
    </w:tbl>
    <w:p w:rsidR="00D03A8E" w:rsidRPr="00452E2E" w:rsidRDefault="00D03A8E" w:rsidP="00D03A8E">
      <w:pPr>
        <w:pStyle w:val="ListParagraph"/>
        <w:spacing w:before="240" w:line="276" w:lineRule="auto"/>
        <w:ind w:left="0"/>
        <w:rPr>
          <w:b/>
          <w:sz w:val="16"/>
          <w:szCs w:val="16"/>
        </w:rPr>
      </w:pPr>
    </w:p>
    <w:p w:rsidR="00D03A8E" w:rsidRPr="00452E2E" w:rsidRDefault="00D03A8E" w:rsidP="00D03A8E">
      <w:pPr>
        <w:pStyle w:val="ListParagraph"/>
        <w:spacing w:before="240" w:line="276" w:lineRule="auto"/>
        <w:ind w:left="0"/>
        <w:rPr>
          <w:b/>
          <w:sz w:val="16"/>
          <w:szCs w:val="16"/>
        </w:rPr>
      </w:pPr>
      <w:r w:rsidRPr="00452E2E">
        <w:rPr>
          <w:b/>
          <w:sz w:val="16"/>
          <w:szCs w:val="16"/>
        </w:rPr>
        <w:t>(B) INFLUENCE OF INSTITUTIONS ON HRM POLICIES AND PRACTICES</w:t>
      </w:r>
    </w:p>
    <w:p w:rsidR="00D03A8E" w:rsidRPr="00452E2E" w:rsidRDefault="00D03A8E" w:rsidP="00D03A8E">
      <w:pPr>
        <w:pStyle w:val="ListParagraph"/>
        <w:spacing w:before="240" w:line="276" w:lineRule="auto"/>
        <w:ind w:left="0"/>
        <w:rPr>
          <w:b/>
          <w:sz w:val="16"/>
          <w:szCs w:val="16"/>
        </w:rPr>
      </w:pPr>
    </w:p>
    <w:p w:rsidR="00D03A8E" w:rsidRPr="00452E2E" w:rsidRDefault="00D03A8E" w:rsidP="00D03A8E">
      <w:pPr>
        <w:pStyle w:val="ListParagraph"/>
        <w:spacing w:before="240" w:line="276" w:lineRule="auto"/>
        <w:ind w:left="0"/>
        <w:rPr>
          <w:sz w:val="16"/>
          <w:szCs w:val="16"/>
        </w:rPr>
      </w:pPr>
      <w:r w:rsidRPr="00452E2E">
        <w:rPr>
          <w:sz w:val="16"/>
          <w:szCs w:val="16"/>
        </w:rPr>
        <w:t>How influential do you think the following institutions are to HRM policies and practices in your organization? Please circle the number the most closely reflects the level of influence by using the scale below:</w:t>
      </w:r>
    </w:p>
    <w:p w:rsidR="00D03A8E" w:rsidRPr="00452E2E" w:rsidRDefault="00D03A8E" w:rsidP="00D03A8E">
      <w:pPr>
        <w:pStyle w:val="ListParagraph"/>
        <w:ind w:left="0"/>
        <w:rPr>
          <w:sz w:val="16"/>
          <w:szCs w:val="16"/>
        </w:rPr>
      </w:pPr>
      <w:r w:rsidRPr="00452E2E">
        <w:rPr>
          <w:sz w:val="16"/>
          <w:szCs w:val="16"/>
        </w:rPr>
        <w:t>1= not at all influential 2= slightly influential 3= somewhat influential 4= moderately influential 5= extremely influential</w:t>
      </w:r>
    </w:p>
    <w:tbl>
      <w:tblPr>
        <w:tblStyle w:val="TableGrid"/>
        <w:tblW w:w="0" w:type="auto"/>
        <w:tblLook w:val="04A0" w:firstRow="1" w:lastRow="0" w:firstColumn="1" w:lastColumn="0" w:noHBand="0" w:noVBand="1"/>
      </w:tblPr>
      <w:tblGrid>
        <w:gridCol w:w="454"/>
        <w:gridCol w:w="5667"/>
        <w:gridCol w:w="403"/>
        <w:gridCol w:w="404"/>
        <w:gridCol w:w="403"/>
        <w:gridCol w:w="403"/>
        <w:gridCol w:w="454"/>
      </w:tblGrid>
      <w:tr w:rsidR="00452E2E" w:rsidRPr="00452E2E" w:rsidTr="00B57950">
        <w:tc>
          <w:tcPr>
            <w:tcW w:w="476" w:type="dxa"/>
            <w:tcBorders>
              <w:top w:val="single" w:sz="4" w:space="0" w:color="auto"/>
              <w:left w:val="single" w:sz="4" w:space="0" w:color="auto"/>
              <w:bottom w:val="single" w:sz="4" w:space="0" w:color="auto"/>
              <w:right w:val="single" w:sz="4" w:space="0" w:color="auto"/>
            </w:tcBorders>
            <w:hideMark/>
          </w:tcPr>
          <w:p w:rsidR="00D03A8E" w:rsidRPr="00452E2E" w:rsidRDefault="00D03A8E" w:rsidP="00B57950">
            <w:pPr>
              <w:spacing w:line="360" w:lineRule="auto"/>
              <w:rPr>
                <w:sz w:val="16"/>
                <w:szCs w:val="16"/>
              </w:rPr>
            </w:pPr>
            <w:r w:rsidRPr="00452E2E">
              <w:rPr>
                <w:sz w:val="16"/>
                <w:szCs w:val="16"/>
              </w:rPr>
              <w:t>1</w:t>
            </w:r>
          </w:p>
        </w:tc>
        <w:tc>
          <w:tcPr>
            <w:tcW w:w="6385"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National Labour Laws</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1</w:t>
            </w:r>
          </w:p>
        </w:tc>
        <w:tc>
          <w:tcPr>
            <w:tcW w:w="420"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2</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3</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4</w:t>
            </w:r>
          </w:p>
        </w:tc>
        <w:tc>
          <w:tcPr>
            <w:tcW w:w="478"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5</w:t>
            </w:r>
          </w:p>
        </w:tc>
      </w:tr>
      <w:tr w:rsidR="00452E2E" w:rsidRPr="00452E2E" w:rsidTr="00B57950">
        <w:tc>
          <w:tcPr>
            <w:tcW w:w="476" w:type="dxa"/>
            <w:tcBorders>
              <w:top w:val="single" w:sz="4" w:space="0" w:color="auto"/>
              <w:left w:val="single" w:sz="4" w:space="0" w:color="auto"/>
              <w:bottom w:val="single" w:sz="4" w:space="0" w:color="auto"/>
              <w:right w:val="single" w:sz="4" w:space="0" w:color="auto"/>
            </w:tcBorders>
            <w:hideMark/>
          </w:tcPr>
          <w:p w:rsidR="00D03A8E" w:rsidRPr="00452E2E" w:rsidRDefault="00D03A8E" w:rsidP="00B57950">
            <w:pPr>
              <w:spacing w:line="360" w:lineRule="auto"/>
              <w:rPr>
                <w:sz w:val="16"/>
                <w:szCs w:val="16"/>
              </w:rPr>
            </w:pPr>
            <w:r w:rsidRPr="00452E2E">
              <w:rPr>
                <w:sz w:val="16"/>
                <w:szCs w:val="16"/>
              </w:rPr>
              <w:t>2</w:t>
            </w:r>
          </w:p>
        </w:tc>
        <w:tc>
          <w:tcPr>
            <w:tcW w:w="6385"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Trade Unions</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1</w:t>
            </w:r>
          </w:p>
        </w:tc>
        <w:tc>
          <w:tcPr>
            <w:tcW w:w="420"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2</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3</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4</w:t>
            </w:r>
          </w:p>
        </w:tc>
        <w:tc>
          <w:tcPr>
            <w:tcW w:w="478"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5</w:t>
            </w:r>
          </w:p>
        </w:tc>
      </w:tr>
      <w:tr w:rsidR="00452E2E" w:rsidRPr="00452E2E" w:rsidTr="00B57950">
        <w:tc>
          <w:tcPr>
            <w:tcW w:w="476" w:type="dxa"/>
            <w:tcBorders>
              <w:top w:val="single" w:sz="4" w:space="0" w:color="auto"/>
              <w:left w:val="single" w:sz="4" w:space="0" w:color="auto"/>
              <w:bottom w:val="single" w:sz="4" w:space="0" w:color="auto"/>
              <w:right w:val="single" w:sz="4" w:space="0" w:color="auto"/>
            </w:tcBorders>
            <w:hideMark/>
          </w:tcPr>
          <w:p w:rsidR="00D03A8E" w:rsidRPr="00452E2E" w:rsidRDefault="00D03A8E" w:rsidP="00B57950">
            <w:pPr>
              <w:spacing w:line="360" w:lineRule="auto"/>
              <w:rPr>
                <w:sz w:val="16"/>
                <w:szCs w:val="16"/>
              </w:rPr>
            </w:pPr>
            <w:r w:rsidRPr="00452E2E">
              <w:rPr>
                <w:sz w:val="16"/>
                <w:szCs w:val="16"/>
              </w:rPr>
              <w:t>3</w:t>
            </w:r>
          </w:p>
        </w:tc>
        <w:tc>
          <w:tcPr>
            <w:tcW w:w="6385"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Professional Bodies</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1</w:t>
            </w:r>
          </w:p>
        </w:tc>
        <w:tc>
          <w:tcPr>
            <w:tcW w:w="420"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2</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3</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4</w:t>
            </w:r>
          </w:p>
        </w:tc>
        <w:tc>
          <w:tcPr>
            <w:tcW w:w="478"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5</w:t>
            </w:r>
          </w:p>
        </w:tc>
      </w:tr>
      <w:tr w:rsidR="00452E2E" w:rsidRPr="00452E2E" w:rsidTr="00B57950">
        <w:tc>
          <w:tcPr>
            <w:tcW w:w="476" w:type="dxa"/>
            <w:tcBorders>
              <w:top w:val="single" w:sz="4" w:space="0" w:color="auto"/>
              <w:left w:val="single" w:sz="4" w:space="0" w:color="auto"/>
              <w:bottom w:val="single" w:sz="4" w:space="0" w:color="auto"/>
              <w:right w:val="single" w:sz="4" w:space="0" w:color="auto"/>
            </w:tcBorders>
            <w:hideMark/>
          </w:tcPr>
          <w:p w:rsidR="00D03A8E" w:rsidRPr="00452E2E" w:rsidRDefault="00D03A8E" w:rsidP="00B57950">
            <w:pPr>
              <w:spacing w:line="360" w:lineRule="auto"/>
              <w:rPr>
                <w:sz w:val="16"/>
                <w:szCs w:val="16"/>
              </w:rPr>
            </w:pPr>
            <w:r w:rsidRPr="00452E2E">
              <w:rPr>
                <w:sz w:val="16"/>
                <w:szCs w:val="16"/>
              </w:rPr>
              <w:t>4</w:t>
            </w:r>
          </w:p>
        </w:tc>
        <w:tc>
          <w:tcPr>
            <w:tcW w:w="6385"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Vocational education set-up</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1</w:t>
            </w:r>
          </w:p>
        </w:tc>
        <w:tc>
          <w:tcPr>
            <w:tcW w:w="420"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2</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3</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4</w:t>
            </w:r>
          </w:p>
        </w:tc>
        <w:tc>
          <w:tcPr>
            <w:tcW w:w="478"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5</w:t>
            </w:r>
          </w:p>
        </w:tc>
      </w:tr>
      <w:tr w:rsidR="00452E2E" w:rsidRPr="00452E2E" w:rsidTr="00B57950">
        <w:tc>
          <w:tcPr>
            <w:tcW w:w="476" w:type="dxa"/>
            <w:tcBorders>
              <w:top w:val="single" w:sz="4" w:space="0" w:color="auto"/>
              <w:left w:val="single" w:sz="4" w:space="0" w:color="auto"/>
              <w:bottom w:val="single" w:sz="4" w:space="0" w:color="auto"/>
              <w:right w:val="single" w:sz="4" w:space="0" w:color="auto"/>
            </w:tcBorders>
            <w:hideMark/>
          </w:tcPr>
          <w:p w:rsidR="00D03A8E" w:rsidRPr="00452E2E" w:rsidRDefault="00D03A8E" w:rsidP="00B57950">
            <w:pPr>
              <w:spacing w:line="360" w:lineRule="auto"/>
              <w:rPr>
                <w:sz w:val="16"/>
                <w:szCs w:val="16"/>
              </w:rPr>
            </w:pPr>
            <w:r w:rsidRPr="00452E2E">
              <w:rPr>
                <w:sz w:val="16"/>
                <w:szCs w:val="16"/>
              </w:rPr>
              <w:t>5</w:t>
            </w:r>
          </w:p>
        </w:tc>
        <w:tc>
          <w:tcPr>
            <w:tcW w:w="6385"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International Institutions</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1</w:t>
            </w:r>
          </w:p>
        </w:tc>
        <w:tc>
          <w:tcPr>
            <w:tcW w:w="420"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2</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3</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4</w:t>
            </w:r>
          </w:p>
        </w:tc>
        <w:tc>
          <w:tcPr>
            <w:tcW w:w="478"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5</w:t>
            </w:r>
          </w:p>
        </w:tc>
      </w:tr>
      <w:tr w:rsidR="00D03A8E" w:rsidRPr="00452E2E" w:rsidTr="00B57950">
        <w:tc>
          <w:tcPr>
            <w:tcW w:w="476" w:type="dxa"/>
            <w:tcBorders>
              <w:top w:val="single" w:sz="4" w:space="0" w:color="auto"/>
              <w:left w:val="single" w:sz="4" w:space="0" w:color="auto"/>
              <w:bottom w:val="single" w:sz="4" w:space="0" w:color="auto"/>
              <w:right w:val="single" w:sz="4" w:space="0" w:color="auto"/>
            </w:tcBorders>
            <w:hideMark/>
          </w:tcPr>
          <w:p w:rsidR="00D03A8E" w:rsidRPr="00452E2E" w:rsidRDefault="00D03A8E" w:rsidP="00B57950">
            <w:pPr>
              <w:spacing w:line="360" w:lineRule="auto"/>
              <w:rPr>
                <w:sz w:val="16"/>
                <w:szCs w:val="16"/>
              </w:rPr>
            </w:pPr>
            <w:r w:rsidRPr="00452E2E">
              <w:rPr>
                <w:sz w:val="16"/>
                <w:szCs w:val="16"/>
              </w:rPr>
              <w:t>6</w:t>
            </w:r>
          </w:p>
        </w:tc>
        <w:tc>
          <w:tcPr>
            <w:tcW w:w="6385"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Government Policy</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1</w:t>
            </w:r>
          </w:p>
        </w:tc>
        <w:tc>
          <w:tcPr>
            <w:tcW w:w="420"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2</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3</w:t>
            </w:r>
          </w:p>
        </w:tc>
        <w:tc>
          <w:tcPr>
            <w:tcW w:w="419"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4</w:t>
            </w:r>
          </w:p>
        </w:tc>
        <w:tc>
          <w:tcPr>
            <w:tcW w:w="478" w:type="dxa"/>
            <w:tcBorders>
              <w:top w:val="single" w:sz="4" w:space="0" w:color="auto"/>
              <w:left w:val="single" w:sz="4" w:space="0" w:color="auto"/>
              <w:bottom w:val="single" w:sz="4" w:space="0" w:color="auto"/>
              <w:right w:val="single" w:sz="4" w:space="0" w:color="auto"/>
            </w:tcBorders>
            <w:vAlign w:val="bottom"/>
            <w:hideMark/>
          </w:tcPr>
          <w:p w:rsidR="00D03A8E" w:rsidRPr="00452E2E" w:rsidRDefault="00D03A8E" w:rsidP="00B57950">
            <w:pPr>
              <w:spacing w:line="360" w:lineRule="auto"/>
              <w:rPr>
                <w:sz w:val="16"/>
                <w:szCs w:val="16"/>
              </w:rPr>
            </w:pPr>
            <w:r w:rsidRPr="00452E2E">
              <w:rPr>
                <w:sz w:val="16"/>
                <w:szCs w:val="16"/>
              </w:rPr>
              <w:t>5</w:t>
            </w:r>
          </w:p>
        </w:tc>
      </w:tr>
    </w:tbl>
    <w:p w:rsidR="00D03A8E" w:rsidRPr="00452E2E" w:rsidRDefault="00D03A8E" w:rsidP="00D03A8E">
      <w:pPr>
        <w:pStyle w:val="ListParagraph"/>
        <w:ind w:left="0"/>
        <w:rPr>
          <w:sz w:val="16"/>
          <w:szCs w:val="16"/>
        </w:rPr>
      </w:pPr>
    </w:p>
    <w:p w:rsidR="00D03A8E" w:rsidRPr="00452E2E" w:rsidRDefault="00D03A8E" w:rsidP="00D03A8E">
      <w:pPr>
        <w:pStyle w:val="ListParagraph"/>
        <w:spacing w:line="360" w:lineRule="auto"/>
        <w:ind w:left="0"/>
        <w:rPr>
          <w:sz w:val="16"/>
          <w:szCs w:val="16"/>
        </w:rPr>
      </w:pPr>
    </w:p>
    <w:p w:rsidR="00D03A8E" w:rsidRPr="00452E2E" w:rsidRDefault="00D03A8E" w:rsidP="00D03A8E">
      <w:pPr>
        <w:spacing w:before="240"/>
        <w:rPr>
          <w:b/>
          <w:sz w:val="16"/>
          <w:szCs w:val="16"/>
        </w:rPr>
      </w:pPr>
      <w:r w:rsidRPr="00452E2E">
        <w:rPr>
          <w:b/>
          <w:sz w:val="16"/>
          <w:szCs w:val="16"/>
          <w:lang w:val="en-US"/>
        </w:rPr>
        <w:t>Please, go over the survey and ensure that all questions have been answered. Thank you very much for completing this survey. Please return this survey in the enclosed envelope to your administrator.</w:t>
      </w:r>
    </w:p>
    <w:p w:rsidR="00B00321" w:rsidRPr="00452E2E" w:rsidRDefault="00B00321" w:rsidP="00D03A8E">
      <w:pPr>
        <w:spacing w:after="200" w:line="276" w:lineRule="auto"/>
        <w:sectPr w:rsidR="00B00321" w:rsidRPr="00452E2E" w:rsidSect="00B57950">
          <w:pgSz w:w="11906" w:h="16838"/>
          <w:pgMar w:top="1440" w:right="1440" w:bottom="1440" w:left="2268" w:header="709" w:footer="709" w:gutter="0"/>
          <w:cols w:space="708"/>
          <w:docGrid w:linePitch="360"/>
        </w:sectPr>
      </w:pPr>
    </w:p>
    <w:p w:rsidR="00D03A8E" w:rsidRPr="00452E2E" w:rsidRDefault="00D03A8E" w:rsidP="001D104C">
      <w:pPr>
        <w:pStyle w:val="Heading2"/>
      </w:pPr>
      <w:bookmarkStart w:id="254" w:name="_Toc465271231"/>
      <w:bookmarkStart w:id="255" w:name="_Toc473808223"/>
      <w:r w:rsidRPr="00452E2E">
        <w:lastRenderedPageBreak/>
        <w:t xml:space="preserve">Appendix </w:t>
      </w:r>
      <w:r w:rsidR="001D104C" w:rsidRPr="00452E2E">
        <w:t>7</w:t>
      </w:r>
      <w:r w:rsidRPr="00452E2E">
        <w:t>: Interview Questions for Study 1</w:t>
      </w:r>
      <w:bookmarkEnd w:id="254"/>
      <w:bookmarkEnd w:id="255"/>
    </w:p>
    <w:p w:rsidR="00D03A8E" w:rsidRPr="00452E2E" w:rsidRDefault="00D03A8E" w:rsidP="00D03A8E">
      <w:pPr>
        <w:rPr>
          <w:sz w:val="16"/>
          <w:szCs w:val="16"/>
        </w:rPr>
      </w:pP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How do national labour laws influence HRM policies and practices in your organization? Are there instances where labour laws prevented your organizations from adopting certain HRM policies you considered necessary to the success of your organization?</w:t>
      </w: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Are there standard rules and procedures guiding HRM issues in your organization? If yes, where do these rules and procedures emanate?</w:t>
      </w: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Has your organization had to adopt HRM policies and practices due to demands from social partners (trade unions, works council, funding bodies, etc)?</w:t>
      </w:r>
    </w:p>
    <w:p w:rsidR="00D03A8E" w:rsidRPr="00452E2E" w:rsidRDefault="00D03A8E" w:rsidP="00B7784A">
      <w:pPr>
        <w:pStyle w:val="ListParagraph"/>
        <w:numPr>
          <w:ilvl w:val="0"/>
          <w:numId w:val="12"/>
        </w:numPr>
        <w:spacing w:after="200" w:line="276" w:lineRule="auto"/>
        <w:ind w:left="284" w:hanging="284"/>
        <w:rPr>
          <w:sz w:val="16"/>
          <w:szCs w:val="16"/>
        </w:rPr>
      </w:pPr>
      <w:r w:rsidRPr="00452E2E">
        <w:rPr>
          <w:sz w:val="16"/>
          <w:szCs w:val="16"/>
        </w:rPr>
        <w:t>Have changes in government policy directly affected HRM policies and practices in your organization?</w:t>
      </w:r>
    </w:p>
    <w:p w:rsidR="00D03A8E" w:rsidRPr="00452E2E" w:rsidRDefault="00D03A8E" w:rsidP="00B7784A">
      <w:pPr>
        <w:pStyle w:val="ListParagraph"/>
        <w:numPr>
          <w:ilvl w:val="0"/>
          <w:numId w:val="12"/>
        </w:numPr>
        <w:spacing w:after="200" w:line="276" w:lineRule="auto"/>
        <w:ind w:left="284" w:hanging="284"/>
        <w:rPr>
          <w:sz w:val="16"/>
          <w:szCs w:val="16"/>
        </w:rPr>
      </w:pPr>
      <w:r w:rsidRPr="00452E2E">
        <w:rPr>
          <w:sz w:val="16"/>
          <w:szCs w:val="16"/>
        </w:rPr>
        <w:t>Does your organization adopt certain HRM policies and practices because others in the industry have adopted same?</w:t>
      </w:r>
    </w:p>
    <w:p w:rsidR="00D03A8E" w:rsidRPr="00452E2E" w:rsidRDefault="00D03A8E" w:rsidP="00B7784A">
      <w:pPr>
        <w:pStyle w:val="ListParagraph"/>
        <w:numPr>
          <w:ilvl w:val="0"/>
          <w:numId w:val="12"/>
        </w:numPr>
        <w:spacing w:after="200" w:line="276" w:lineRule="auto"/>
        <w:ind w:left="284" w:hanging="284"/>
        <w:rPr>
          <w:sz w:val="16"/>
          <w:szCs w:val="16"/>
        </w:rPr>
      </w:pPr>
      <w:r w:rsidRPr="00452E2E">
        <w:rPr>
          <w:sz w:val="16"/>
          <w:szCs w:val="16"/>
        </w:rPr>
        <w:t>Does your organization adopt HRM policies and practices based on the advice of consultants? If yes, when? Why?</w:t>
      </w:r>
    </w:p>
    <w:p w:rsidR="00D03A8E" w:rsidRPr="00452E2E" w:rsidRDefault="00D03A8E" w:rsidP="00B7784A">
      <w:pPr>
        <w:pStyle w:val="ListParagraph"/>
        <w:numPr>
          <w:ilvl w:val="0"/>
          <w:numId w:val="12"/>
        </w:numPr>
        <w:spacing w:after="200" w:line="276" w:lineRule="auto"/>
        <w:ind w:left="284" w:hanging="284"/>
        <w:rPr>
          <w:sz w:val="16"/>
          <w:szCs w:val="16"/>
        </w:rPr>
      </w:pPr>
      <w:r w:rsidRPr="00452E2E">
        <w:rPr>
          <w:sz w:val="16"/>
          <w:szCs w:val="16"/>
        </w:rPr>
        <w:t>Does your organization recruit HRM personnel from other organizations? Do you think the experience they bring create changes to HRM policies and practices in your organization?</w:t>
      </w: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Do your organization insist on recruiting HRM personnel with specific educational background? Why? How do you think their educational experience influence the nature of HRM in your organization?</w:t>
      </w: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Do HR managers in your organization participate in trade association workshops? How does this improve HRM in your organization?</w:t>
      </w: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Do HR managers in your organization undergo training with professional training institutions? Do you think such trainings are important for them to design and implement appropriate HRM policies in your organization?</w:t>
      </w: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Are there other factors you think influence HRM policies in your organization?</w:t>
      </w:r>
    </w:p>
    <w:p w:rsidR="00D03A8E" w:rsidRPr="00452E2E" w:rsidRDefault="00D03A8E" w:rsidP="00B7784A">
      <w:pPr>
        <w:pStyle w:val="ListParagraph"/>
        <w:numPr>
          <w:ilvl w:val="0"/>
          <w:numId w:val="12"/>
        </w:numPr>
        <w:spacing w:after="200" w:line="276" w:lineRule="auto"/>
        <w:ind w:left="284" w:hanging="284"/>
        <w:jc w:val="both"/>
        <w:rPr>
          <w:sz w:val="16"/>
          <w:szCs w:val="16"/>
        </w:rPr>
      </w:pPr>
      <w:r w:rsidRPr="00452E2E">
        <w:rPr>
          <w:sz w:val="16"/>
          <w:szCs w:val="16"/>
        </w:rPr>
        <w:t>Is there any other information concerning HRM policies and practices in your organization you would like to share with me?</w:t>
      </w:r>
    </w:p>
    <w:p w:rsidR="00D03A8E" w:rsidRPr="00452E2E" w:rsidRDefault="00D03A8E" w:rsidP="00D03A8E">
      <w:pPr>
        <w:rPr>
          <w:b/>
          <w:sz w:val="16"/>
          <w:szCs w:val="16"/>
        </w:rPr>
      </w:pPr>
      <w:r w:rsidRPr="00452E2E">
        <w:rPr>
          <w:b/>
          <w:sz w:val="16"/>
          <w:szCs w:val="16"/>
        </w:rPr>
        <w:t>[In each case, follow-up questions shall be asked to gain deeper insights on how HRM in their organization is shaped by the factors identified]</w:t>
      </w:r>
    </w:p>
    <w:p w:rsidR="00B00321" w:rsidRPr="00452E2E" w:rsidRDefault="00B00321" w:rsidP="00D03A8E">
      <w:pPr>
        <w:spacing w:after="200" w:line="276" w:lineRule="auto"/>
        <w:sectPr w:rsidR="00B00321" w:rsidRPr="00452E2E" w:rsidSect="00B57950">
          <w:pgSz w:w="11906" w:h="16838"/>
          <w:pgMar w:top="1440" w:right="1440" w:bottom="1440" w:left="2268" w:header="709" w:footer="709" w:gutter="0"/>
          <w:cols w:space="708"/>
          <w:docGrid w:linePitch="360"/>
        </w:sectPr>
      </w:pPr>
    </w:p>
    <w:p w:rsidR="00D03A8E" w:rsidRPr="00452E2E" w:rsidRDefault="00D03A8E" w:rsidP="001D104C">
      <w:pPr>
        <w:pStyle w:val="Heading2"/>
      </w:pPr>
      <w:bookmarkStart w:id="256" w:name="_Toc465271232"/>
      <w:bookmarkStart w:id="257" w:name="_Toc473808224"/>
      <w:r w:rsidRPr="00452E2E">
        <w:lastRenderedPageBreak/>
        <w:t xml:space="preserve">Appendix </w:t>
      </w:r>
      <w:r w:rsidR="001D104C" w:rsidRPr="00452E2E">
        <w:t>8</w:t>
      </w:r>
      <w:r w:rsidRPr="00452E2E">
        <w:t>: Questionnaire for Study 2</w:t>
      </w:r>
      <w:bookmarkEnd w:id="256"/>
      <w:bookmarkEnd w:id="257"/>
    </w:p>
    <w:p w:rsidR="00D03A8E" w:rsidRPr="00452E2E" w:rsidRDefault="00D03A8E" w:rsidP="00D03A8E">
      <w:pPr>
        <w:spacing w:line="240" w:lineRule="auto"/>
        <w:jc w:val="center"/>
        <w:rPr>
          <w:b/>
          <w:sz w:val="16"/>
          <w:szCs w:val="16"/>
        </w:rPr>
      </w:pPr>
      <w:r w:rsidRPr="00452E2E">
        <w:rPr>
          <w:b/>
          <w:noProof/>
          <w:sz w:val="16"/>
          <w:szCs w:val="16"/>
          <w:lang w:eastAsia="en-GB"/>
        </w:rPr>
        <w:drawing>
          <wp:inline distT="0" distB="0" distL="0" distR="0" wp14:anchorId="14BC3F01" wp14:editId="14C9C41C">
            <wp:extent cx="2419534" cy="971550"/>
            <wp:effectExtent l="19050" t="0" r="0" b="0"/>
            <wp:docPr id="137" name="Picture 2" descr="C:\Users\Darius\AppData\Local\Temp\7zOC1C9.tmp\tuoslogo_key_rgb_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us\AppData\Local\Temp\7zOC1C9.tmp\tuoslogo_key_rgb_lo.gif"/>
                    <pic:cNvPicPr>
                      <a:picLocks noChangeAspect="1" noChangeArrowheads="1"/>
                    </pic:cNvPicPr>
                  </pic:nvPicPr>
                  <pic:blipFill>
                    <a:blip r:embed="rId24"/>
                    <a:srcRect/>
                    <a:stretch>
                      <a:fillRect/>
                    </a:stretch>
                  </pic:blipFill>
                  <pic:spPr bwMode="auto">
                    <a:xfrm>
                      <a:off x="0" y="0"/>
                      <a:ext cx="2419534" cy="971550"/>
                    </a:xfrm>
                    <a:prstGeom prst="rect">
                      <a:avLst/>
                    </a:prstGeom>
                    <a:noFill/>
                    <a:ln w="9525">
                      <a:noFill/>
                      <a:miter lim="800000"/>
                      <a:headEnd/>
                      <a:tailEnd/>
                    </a:ln>
                  </pic:spPr>
                </pic:pic>
              </a:graphicData>
            </a:graphic>
          </wp:inline>
        </w:drawing>
      </w: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center"/>
        <w:rPr>
          <w:b/>
          <w:sz w:val="16"/>
          <w:szCs w:val="16"/>
        </w:rPr>
      </w:pPr>
      <w:r w:rsidRPr="00452E2E">
        <w:rPr>
          <w:b/>
          <w:sz w:val="16"/>
          <w:szCs w:val="16"/>
        </w:rPr>
        <w:t>SURVEY OF EMPLOYEE PERCEPTIONS OF HRM PRACTICES AND JOB ATTITUDES</w:t>
      </w: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r w:rsidRPr="00452E2E">
        <w:rPr>
          <w:b/>
          <w:sz w:val="16"/>
          <w:szCs w:val="16"/>
        </w:rPr>
        <w:t>Information &amp; Instructions</w:t>
      </w:r>
    </w:p>
    <w:p w:rsidR="00D03A8E" w:rsidRPr="00452E2E" w:rsidRDefault="00D03A8E" w:rsidP="00D03A8E">
      <w:pPr>
        <w:spacing w:line="240" w:lineRule="auto"/>
        <w:jc w:val="both"/>
        <w:rPr>
          <w:sz w:val="16"/>
          <w:szCs w:val="16"/>
        </w:rPr>
      </w:pPr>
      <w:r w:rsidRPr="00452E2E">
        <w:rPr>
          <w:sz w:val="16"/>
          <w:szCs w:val="16"/>
        </w:rPr>
        <w:t xml:space="preserve">This questionnaire is divided into 2 main parts. The first section seeks general information about the respondents while the other sections seek information about the human resource management practices in your organization and your attitudes toward the organization where you work. </w:t>
      </w:r>
    </w:p>
    <w:p w:rsidR="00D03A8E" w:rsidRPr="00452E2E" w:rsidRDefault="00D03A8E" w:rsidP="00D03A8E">
      <w:pPr>
        <w:spacing w:line="240" w:lineRule="auto"/>
        <w:jc w:val="both"/>
        <w:rPr>
          <w:sz w:val="16"/>
          <w:szCs w:val="16"/>
        </w:rPr>
      </w:pPr>
      <w:r w:rsidRPr="00452E2E">
        <w:rPr>
          <w:sz w:val="16"/>
          <w:szCs w:val="16"/>
        </w:rPr>
        <w:t>There are no right or wrong answers to any part of this survey. Please try to respond to each question even if you are not completely sure of your answer.</w:t>
      </w:r>
    </w:p>
    <w:p w:rsidR="00D03A8E" w:rsidRPr="00452E2E" w:rsidRDefault="00D03A8E" w:rsidP="00D03A8E">
      <w:pPr>
        <w:spacing w:line="240" w:lineRule="auto"/>
        <w:jc w:val="both"/>
        <w:rPr>
          <w:sz w:val="16"/>
          <w:szCs w:val="16"/>
        </w:rPr>
      </w:pPr>
      <w:r w:rsidRPr="00452E2E">
        <w:rPr>
          <w:sz w:val="16"/>
          <w:szCs w:val="16"/>
        </w:rPr>
        <w:t xml:space="preserve">It is important that you respond to these questions as accurately and honestly as possible. </w:t>
      </w:r>
      <w:r w:rsidRPr="00452E2E">
        <w:rPr>
          <w:b/>
          <w:sz w:val="16"/>
          <w:szCs w:val="16"/>
        </w:rPr>
        <w:t>Your participation in this study is voluntary and by completing and returning this questionnaire, you are consenting to participate.</w:t>
      </w:r>
      <w:r w:rsidRPr="00452E2E">
        <w:rPr>
          <w:sz w:val="16"/>
          <w:szCs w:val="16"/>
        </w:rPr>
        <w:t xml:space="preserve"> Remember that your responses shall be kept confidential and will be used strictly for research purposes.</w:t>
      </w:r>
    </w:p>
    <w:p w:rsidR="00D03A8E" w:rsidRPr="00452E2E" w:rsidRDefault="00D03A8E" w:rsidP="00D03A8E">
      <w:pPr>
        <w:spacing w:line="240" w:lineRule="auto"/>
        <w:jc w:val="both"/>
        <w:rPr>
          <w:sz w:val="16"/>
          <w:szCs w:val="16"/>
        </w:rPr>
      </w:pPr>
      <w:r w:rsidRPr="00452E2E">
        <w:rPr>
          <w:sz w:val="16"/>
          <w:szCs w:val="16"/>
        </w:rPr>
        <w:t>Thank you for taking your time to participate in this study.</w:t>
      </w:r>
    </w:p>
    <w:p w:rsidR="00D03A8E" w:rsidRPr="00452E2E" w:rsidRDefault="00D03A8E" w:rsidP="00D03A8E">
      <w:pPr>
        <w:spacing w:line="240" w:lineRule="auto"/>
        <w:jc w:val="both"/>
        <w:rPr>
          <w:sz w:val="16"/>
          <w:szCs w:val="16"/>
        </w:rPr>
      </w:pPr>
    </w:p>
    <w:p w:rsidR="00D03A8E" w:rsidRPr="00452E2E" w:rsidRDefault="00D03A8E" w:rsidP="00D03A8E">
      <w:pPr>
        <w:spacing w:line="240" w:lineRule="auto"/>
        <w:jc w:val="both"/>
        <w:rPr>
          <w:b/>
          <w:sz w:val="16"/>
          <w:szCs w:val="16"/>
        </w:rPr>
      </w:pPr>
      <w:r w:rsidRPr="00452E2E">
        <w:rPr>
          <w:b/>
          <w:sz w:val="16"/>
          <w:szCs w:val="16"/>
        </w:rPr>
        <w:t>PART I: GENERAL INFORMATION</w:t>
      </w:r>
    </w:p>
    <w:p w:rsidR="00D03A8E" w:rsidRPr="00452E2E" w:rsidRDefault="00D03A8E" w:rsidP="00D03A8E">
      <w:pPr>
        <w:jc w:val="both"/>
        <w:rPr>
          <w:sz w:val="16"/>
          <w:szCs w:val="16"/>
        </w:rPr>
      </w:pPr>
      <w:r w:rsidRPr="00452E2E">
        <w:rPr>
          <w:sz w:val="16"/>
          <w:szCs w:val="16"/>
        </w:rPr>
        <w:t>Please select the option that is applicable to you</w:t>
      </w:r>
    </w:p>
    <w:p w:rsidR="00D03A8E" w:rsidRPr="00452E2E" w:rsidRDefault="00D03A8E" w:rsidP="00D03A8E">
      <w:pPr>
        <w:jc w:val="both"/>
        <w:rPr>
          <w:sz w:val="16"/>
          <w:szCs w:val="16"/>
        </w:rPr>
      </w:pPr>
      <w:r w:rsidRPr="00452E2E">
        <w:rPr>
          <w:sz w:val="16"/>
          <w:szCs w:val="16"/>
        </w:rPr>
        <w:t>1.</w:t>
      </w:r>
      <w:r w:rsidRPr="00452E2E">
        <w:rPr>
          <w:sz w:val="16"/>
          <w:szCs w:val="16"/>
        </w:rPr>
        <w:tab/>
        <w:t xml:space="preserve">Your sex: </w:t>
      </w:r>
    </w:p>
    <w:p w:rsidR="00D03A8E" w:rsidRPr="00452E2E" w:rsidRDefault="00D03A8E" w:rsidP="00D03A8E">
      <w:pPr>
        <w:pStyle w:val="ListParagraph"/>
        <w:ind w:left="0"/>
        <w:jc w:val="both"/>
        <w:rPr>
          <w:sz w:val="16"/>
          <w:szCs w:val="16"/>
        </w:rPr>
      </w:pPr>
      <w:r w:rsidRPr="00452E2E">
        <w:rPr>
          <w:sz w:val="16"/>
          <w:szCs w:val="16"/>
        </w:rPr>
        <w:t>(i)</w:t>
      </w:r>
      <w:r w:rsidRPr="00452E2E">
        <w:rPr>
          <w:sz w:val="16"/>
          <w:szCs w:val="16"/>
        </w:rPr>
        <w:tab/>
        <w:t>Male</w:t>
      </w:r>
    </w:p>
    <w:p w:rsidR="00D03A8E" w:rsidRPr="00452E2E" w:rsidRDefault="00D03A8E" w:rsidP="00D03A8E">
      <w:pPr>
        <w:pStyle w:val="ListParagraph"/>
        <w:ind w:left="0"/>
        <w:jc w:val="both"/>
        <w:rPr>
          <w:sz w:val="16"/>
          <w:szCs w:val="16"/>
        </w:rPr>
      </w:pPr>
      <w:r w:rsidRPr="00452E2E">
        <w:rPr>
          <w:sz w:val="16"/>
          <w:szCs w:val="16"/>
        </w:rPr>
        <w:t>(ii)</w:t>
      </w:r>
      <w:r w:rsidRPr="00452E2E">
        <w:rPr>
          <w:sz w:val="16"/>
          <w:szCs w:val="16"/>
        </w:rPr>
        <w:tab/>
        <w:t>Female</w:t>
      </w:r>
    </w:p>
    <w:p w:rsidR="00D03A8E" w:rsidRPr="00452E2E" w:rsidRDefault="00D03A8E" w:rsidP="00D03A8E">
      <w:pPr>
        <w:jc w:val="both"/>
        <w:rPr>
          <w:sz w:val="16"/>
          <w:szCs w:val="16"/>
        </w:rPr>
      </w:pPr>
      <w:r w:rsidRPr="00452E2E">
        <w:rPr>
          <w:sz w:val="16"/>
          <w:szCs w:val="16"/>
        </w:rPr>
        <w:t>2.</w:t>
      </w:r>
      <w:r w:rsidRPr="00452E2E">
        <w:rPr>
          <w:sz w:val="16"/>
          <w:szCs w:val="16"/>
        </w:rPr>
        <w:tab/>
        <w:t xml:space="preserve">What is your highest educational qualification? </w:t>
      </w:r>
    </w:p>
    <w:p w:rsidR="00D03A8E" w:rsidRPr="00452E2E" w:rsidRDefault="00D03A8E" w:rsidP="00D03A8E">
      <w:pPr>
        <w:pStyle w:val="ListParagraph"/>
        <w:ind w:left="0"/>
        <w:jc w:val="both"/>
        <w:rPr>
          <w:sz w:val="16"/>
          <w:szCs w:val="16"/>
        </w:rPr>
      </w:pPr>
      <w:r w:rsidRPr="00452E2E">
        <w:rPr>
          <w:sz w:val="16"/>
          <w:szCs w:val="16"/>
        </w:rPr>
        <w:t>(i)</w:t>
      </w:r>
      <w:r w:rsidRPr="00452E2E">
        <w:rPr>
          <w:sz w:val="16"/>
          <w:szCs w:val="16"/>
        </w:rPr>
        <w:tab/>
        <w:t xml:space="preserve">SSCE </w:t>
      </w:r>
    </w:p>
    <w:p w:rsidR="00D03A8E" w:rsidRPr="00452E2E" w:rsidRDefault="00D03A8E" w:rsidP="00D03A8E">
      <w:pPr>
        <w:pStyle w:val="ListParagraph"/>
        <w:ind w:left="0"/>
        <w:jc w:val="both"/>
        <w:rPr>
          <w:sz w:val="16"/>
          <w:szCs w:val="16"/>
        </w:rPr>
      </w:pPr>
      <w:r w:rsidRPr="00452E2E">
        <w:rPr>
          <w:sz w:val="16"/>
          <w:szCs w:val="16"/>
        </w:rPr>
        <w:t>(ii)</w:t>
      </w:r>
      <w:r w:rsidRPr="00452E2E">
        <w:rPr>
          <w:sz w:val="16"/>
          <w:szCs w:val="16"/>
        </w:rPr>
        <w:tab/>
        <w:t xml:space="preserve">Diploma or equivalent </w:t>
      </w:r>
    </w:p>
    <w:p w:rsidR="00D03A8E" w:rsidRPr="00452E2E" w:rsidRDefault="00D03A8E" w:rsidP="00D03A8E">
      <w:pPr>
        <w:pStyle w:val="ListParagraph"/>
        <w:ind w:left="0"/>
        <w:jc w:val="both"/>
        <w:rPr>
          <w:sz w:val="16"/>
          <w:szCs w:val="16"/>
        </w:rPr>
      </w:pPr>
      <w:r w:rsidRPr="00452E2E">
        <w:rPr>
          <w:sz w:val="16"/>
          <w:szCs w:val="16"/>
        </w:rPr>
        <w:t>(iii)</w:t>
      </w:r>
      <w:r w:rsidRPr="00452E2E">
        <w:rPr>
          <w:sz w:val="16"/>
          <w:szCs w:val="16"/>
        </w:rPr>
        <w:tab/>
        <w:t xml:space="preserve">Degree/HND </w:t>
      </w:r>
    </w:p>
    <w:p w:rsidR="00D03A8E" w:rsidRPr="00452E2E" w:rsidRDefault="00D03A8E" w:rsidP="00D03A8E">
      <w:pPr>
        <w:pStyle w:val="ListParagraph"/>
        <w:ind w:left="0"/>
        <w:jc w:val="both"/>
        <w:rPr>
          <w:sz w:val="16"/>
          <w:szCs w:val="16"/>
        </w:rPr>
      </w:pPr>
      <w:r w:rsidRPr="00452E2E">
        <w:rPr>
          <w:sz w:val="16"/>
          <w:szCs w:val="16"/>
        </w:rPr>
        <w:t>(iv)</w:t>
      </w:r>
      <w:r w:rsidRPr="00452E2E">
        <w:rPr>
          <w:sz w:val="16"/>
          <w:szCs w:val="16"/>
        </w:rPr>
        <w:tab/>
        <w:t>Postgraduate or professional Degree</w:t>
      </w:r>
    </w:p>
    <w:p w:rsidR="00D03A8E" w:rsidRPr="00452E2E" w:rsidRDefault="00D03A8E" w:rsidP="00D03A8E">
      <w:pPr>
        <w:jc w:val="both"/>
        <w:rPr>
          <w:sz w:val="16"/>
          <w:szCs w:val="16"/>
        </w:rPr>
      </w:pPr>
      <w:r w:rsidRPr="00452E2E">
        <w:rPr>
          <w:noProof/>
          <w:sz w:val="16"/>
          <w:szCs w:val="16"/>
          <w:lang w:eastAsia="en-GB"/>
        </w:rPr>
        <mc:AlternateContent>
          <mc:Choice Requires="wps">
            <w:drawing>
              <wp:anchor distT="0" distB="0" distL="114300" distR="114300" simplePos="0" relativeHeight="251662336" behindDoc="0" locked="0" layoutInCell="1" allowOverlap="1" wp14:anchorId="1B75293C" wp14:editId="78BBAC13">
                <wp:simplePos x="0" y="0"/>
                <wp:positionH relativeFrom="column">
                  <wp:posOffset>699135</wp:posOffset>
                </wp:positionH>
                <wp:positionV relativeFrom="paragraph">
                  <wp:posOffset>146050</wp:posOffset>
                </wp:positionV>
                <wp:extent cx="635" cy="635"/>
                <wp:effectExtent l="9525" t="5715" r="8890" b="12700"/>
                <wp:wrapNone/>
                <wp:docPr id="1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1F2A3" id="AutoShape 11" o:spid="_x0000_s1026" type="#_x0000_t32" style="position:absolute;margin-left:55.05pt;margin-top:11.5pt;width:.0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"/>
            </w:pict>
          </mc:Fallback>
        </mc:AlternateContent>
      </w:r>
      <w:r w:rsidRPr="00452E2E">
        <w:rPr>
          <w:sz w:val="16"/>
          <w:szCs w:val="16"/>
        </w:rPr>
        <w:t>3.</w:t>
      </w:r>
      <w:r w:rsidRPr="00452E2E">
        <w:rPr>
          <w:sz w:val="16"/>
          <w:szCs w:val="16"/>
        </w:rPr>
        <w:tab/>
        <w:t xml:space="preserve">What is your age? </w:t>
      </w:r>
    </w:p>
    <w:p w:rsidR="00D03A8E" w:rsidRPr="00452E2E" w:rsidRDefault="00D03A8E" w:rsidP="00D03A8E">
      <w:pPr>
        <w:jc w:val="both"/>
        <w:rPr>
          <w:sz w:val="16"/>
          <w:szCs w:val="16"/>
        </w:rPr>
      </w:pPr>
      <w:r w:rsidRPr="00452E2E">
        <w:rPr>
          <w:sz w:val="16"/>
          <w:szCs w:val="16"/>
        </w:rPr>
        <w:t xml:space="preserve">                 (i) 18-29 years (ii) 30-39 years (iii) 40-49 years (iv) 50-59 years</w:t>
      </w:r>
    </w:p>
    <w:p w:rsidR="00D03A8E" w:rsidRPr="00452E2E" w:rsidRDefault="00D03A8E" w:rsidP="00D03A8E">
      <w:pPr>
        <w:jc w:val="both"/>
        <w:rPr>
          <w:sz w:val="16"/>
          <w:szCs w:val="16"/>
        </w:rPr>
      </w:pPr>
      <w:r w:rsidRPr="00452E2E">
        <w:rPr>
          <w:sz w:val="16"/>
          <w:szCs w:val="16"/>
        </w:rPr>
        <w:t>4.</w:t>
      </w:r>
      <w:r w:rsidRPr="00452E2E">
        <w:rPr>
          <w:sz w:val="16"/>
          <w:szCs w:val="16"/>
        </w:rPr>
        <w:tab/>
        <w:t xml:space="preserve">How long have you worked in your current organization? </w:t>
      </w:r>
    </w:p>
    <w:p w:rsidR="00D03A8E" w:rsidRPr="00452E2E" w:rsidRDefault="00D03A8E" w:rsidP="00D03A8E">
      <w:pPr>
        <w:jc w:val="both"/>
        <w:rPr>
          <w:sz w:val="16"/>
          <w:szCs w:val="16"/>
        </w:rPr>
      </w:pPr>
      <w:r w:rsidRPr="00452E2E">
        <w:rPr>
          <w:sz w:val="16"/>
          <w:szCs w:val="16"/>
        </w:rPr>
        <w:t xml:space="preserve">                  (i) 0-5 years (ii) 6-10 years (iii) 11-15 years  (iv) 16-20 years   (v) 20 years &amp; above</w:t>
      </w:r>
    </w:p>
    <w:p w:rsidR="00D03A8E" w:rsidRPr="00452E2E" w:rsidRDefault="00D03A8E" w:rsidP="00D03A8E">
      <w:pPr>
        <w:jc w:val="both"/>
        <w:rPr>
          <w:sz w:val="16"/>
          <w:szCs w:val="16"/>
        </w:rPr>
      </w:pPr>
      <w:r w:rsidRPr="00452E2E">
        <w:rPr>
          <w:sz w:val="16"/>
          <w:szCs w:val="16"/>
        </w:rPr>
        <w:t xml:space="preserve">5.            Which of the following best describes your job category?  </w:t>
      </w:r>
    </w:p>
    <w:p w:rsidR="00D03A8E" w:rsidRPr="00452E2E" w:rsidRDefault="00D03A8E" w:rsidP="00D03A8E">
      <w:pPr>
        <w:jc w:val="both"/>
        <w:rPr>
          <w:sz w:val="16"/>
          <w:szCs w:val="16"/>
        </w:rPr>
      </w:pPr>
      <w:r w:rsidRPr="00452E2E">
        <w:rPr>
          <w:sz w:val="16"/>
          <w:szCs w:val="16"/>
        </w:rPr>
        <w:t xml:space="preserve">              (i) Banking operations (ii) Marketing (iii) Clinical staff (iv) Hospital administration</w:t>
      </w:r>
    </w:p>
    <w:p w:rsidR="00D03A8E" w:rsidRPr="00452E2E" w:rsidRDefault="00D03A8E" w:rsidP="00D03A8E">
      <w:pPr>
        <w:jc w:val="both"/>
        <w:rPr>
          <w:sz w:val="16"/>
          <w:szCs w:val="16"/>
        </w:rPr>
      </w:pPr>
      <w:r w:rsidRPr="00452E2E">
        <w:rPr>
          <w:sz w:val="16"/>
          <w:szCs w:val="16"/>
        </w:rPr>
        <w:t>6.</w:t>
      </w:r>
      <w:r w:rsidRPr="00452E2E">
        <w:rPr>
          <w:sz w:val="16"/>
          <w:szCs w:val="16"/>
        </w:rPr>
        <w:tab/>
        <w:t xml:space="preserve">How much is your monthly salary? </w:t>
      </w:r>
    </w:p>
    <w:p w:rsidR="00D03A8E" w:rsidRPr="00452E2E" w:rsidRDefault="00D03A8E" w:rsidP="00D03A8E">
      <w:pPr>
        <w:pStyle w:val="ListParagraph"/>
        <w:ind w:left="0"/>
        <w:jc w:val="both"/>
        <w:rPr>
          <w:sz w:val="16"/>
          <w:szCs w:val="16"/>
        </w:rPr>
      </w:pPr>
      <w:r w:rsidRPr="00452E2E">
        <w:rPr>
          <w:sz w:val="16"/>
          <w:szCs w:val="16"/>
        </w:rPr>
        <w:t>(i)</w:t>
      </w:r>
      <w:r w:rsidRPr="00452E2E">
        <w:rPr>
          <w:sz w:val="16"/>
          <w:szCs w:val="16"/>
        </w:rPr>
        <w:tab/>
        <w:t>Less or up to N50, 000</w:t>
      </w:r>
    </w:p>
    <w:p w:rsidR="00D03A8E" w:rsidRPr="00452E2E" w:rsidRDefault="00D03A8E" w:rsidP="00D03A8E">
      <w:pPr>
        <w:pStyle w:val="ListParagraph"/>
        <w:ind w:left="0"/>
        <w:jc w:val="both"/>
        <w:rPr>
          <w:sz w:val="16"/>
          <w:szCs w:val="16"/>
        </w:rPr>
      </w:pPr>
      <w:r w:rsidRPr="00452E2E">
        <w:rPr>
          <w:sz w:val="16"/>
          <w:szCs w:val="16"/>
        </w:rPr>
        <w:t>(ii)</w:t>
      </w:r>
      <w:r w:rsidRPr="00452E2E">
        <w:rPr>
          <w:sz w:val="16"/>
          <w:szCs w:val="16"/>
        </w:rPr>
        <w:tab/>
        <w:t xml:space="preserve">N50, 001-N125, 000 </w:t>
      </w:r>
    </w:p>
    <w:p w:rsidR="00D03A8E" w:rsidRPr="00452E2E" w:rsidRDefault="00D03A8E" w:rsidP="00D03A8E">
      <w:pPr>
        <w:pStyle w:val="ListParagraph"/>
        <w:ind w:left="0"/>
        <w:jc w:val="both"/>
        <w:rPr>
          <w:sz w:val="16"/>
          <w:szCs w:val="16"/>
        </w:rPr>
      </w:pPr>
      <w:r w:rsidRPr="00452E2E">
        <w:rPr>
          <w:sz w:val="16"/>
          <w:szCs w:val="16"/>
        </w:rPr>
        <w:t>(iii)</w:t>
      </w:r>
      <w:r w:rsidRPr="00452E2E">
        <w:rPr>
          <w:sz w:val="16"/>
          <w:szCs w:val="16"/>
        </w:rPr>
        <w:tab/>
        <w:t xml:space="preserve">N125, 001-N200, 000 </w:t>
      </w:r>
    </w:p>
    <w:p w:rsidR="00D03A8E" w:rsidRPr="00452E2E" w:rsidRDefault="00D03A8E" w:rsidP="00D03A8E">
      <w:pPr>
        <w:pStyle w:val="ListParagraph"/>
        <w:ind w:left="0"/>
        <w:jc w:val="both"/>
        <w:rPr>
          <w:sz w:val="16"/>
          <w:szCs w:val="16"/>
        </w:rPr>
      </w:pPr>
      <w:r w:rsidRPr="00452E2E">
        <w:rPr>
          <w:sz w:val="16"/>
          <w:szCs w:val="16"/>
        </w:rPr>
        <w:t>(iv)</w:t>
      </w:r>
      <w:r w:rsidRPr="00452E2E">
        <w:rPr>
          <w:sz w:val="16"/>
          <w:szCs w:val="16"/>
        </w:rPr>
        <w:tab/>
        <w:t>Above N200, 000</w:t>
      </w: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r w:rsidRPr="00452E2E">
        <w:rPr>
          <w:b/>
          <w:sz w:val="16"/>
          <w:szCs w:val="16"/>
        </w:rPr>
        <w:lastRenderedPageBreak/>
        <w:t>PART II: HRM PRACTICES AND JOB ATTITUDES</w:t>
      </w:r>
    </w:p>
    <w:p w:rsidR="00D03A8E" w:rsidRPr="00452E2E" w:rsidRDefault="00D03A8E" w:rsidP="00D03A8E">
      <w:pPr>
        <w:spacing w:line="240" w:lineRule="auto"/>
        <w:jc w:val="both"/>
        <w:rPr>
          <w:sz w:val="16"/>
          <w:szCs w:val="16"/>
        </w:rPr>
      </w:pPr>
    </w:p>
    <w:p w:rsidR="00D03A8E" w:rsidRPr="00452E2E" w:rsidRDefault="00D03A8E" w:rsidP="00D03A8E">
      <w:pPr>
        <w:spacing w:line="240" w:lineRule="auto"/>
        <w:jc w:val="both"/>
        <w:rPr>
          <w:b/>
          <w:sz w:val="16"/>
          <w:szCs w:val="16"/>
        </w:rPr>
      </w:pPr>
      <w:r w:rsidRPr="00452E2E">
        <w:rPr>
          <w:b/>
          <w:sz w:val="16"/>
          <w:szCs w:val="16"/>
        </w:rPr>
        <w:t>A.</w:t>
      </w:r>
      <w:r w:rsidRPr="00452E2E">
        <w:rPr>
          <w:b/>
          <w:sz w:val="16"/>
          <w:szCs w:val="16"/>
        </w:rPr>
        <w:tab/>
        <w:t>EMPLOYEE PARTICIPATION</w:t>
      </w:r>
    </w:p>
    <w:p w:rsidR="00D03A8E" w:rsidRPr="00452E2E" w:rsidRDefault="00D03A8E" w:rsidP="00D03A8E">
      <w:pPr>
        <w:spacing w:line="240" w:lineRule="auto"/>
        <w:jc w:val="both"/>
        <w:rPr>
          <w:sz w:val="16"/>
          <w:szCs w:val="16"/>
        </w:rPr>
      </w:pPr>
      <w:r w:rsidRPr="00452E2E">
        <w:rPr>
          <w:sz w:val="16"/>
          <w:szCs w:val="16"/>
        </w:rPr>
        <w:t>This relates to the opportunity employees have to participate in work-related decisions in your organization. In your organization, you may call it employee participation, employee involvement, consultation with employees or another similar name.</w:t>
      </w:r>
    </w:p>
    <w:p w:rsidR="00D03A8E" w:rsidRPr="00452E2E" w:rsidRDefault="00D03A8E" w:rsidP="00D03A8E">
      <w:pPr>
        <w:spacing w:line="240" w:lineRule="auto"/>
        <w:jc w:val="both"/>
        <w:rPr>
          <w:sz w:val="16"/>
          <w:szCs w:val="16"/>
        </w:rPr>
      </w:pPr>
      <w:r w:rsidRPr="00452E2E">
        <w:rPr>
          <w:sz w:val="16"/>
          <w:szCs w:val="16"/>
        </w:rPr>
        <w:t>Please circle the number that most closely reflects your degree of agreement or disagreement with the following statements</w:t>
      </w:r>
    </w:p>
    <w:p w:rsidR="00D03A8E" w:rsidRPr="00452E2E" w:rsidRDefault="00D03A8E" w:rsidP="00D03A8E">
      <w:pPr>
        <w:spacing w:line="240" w:lineRule="auto"/>
        <w:jc w:val="both"/>
        <w:rPr>
          <w:sz w:val="16"/>
          <w:szCs w:val="16"/>
        </w:rPr>
      </w:pPr>
      <w:r w:rsidRPr="00452E2E">
        <w:rPr>
          <w:sz w:val="16"/>
          <w:szCs w:val="16"/>
        </w:rPr>
        <w:t>1= strongly disagree   2= disagree   3= neither agree nor disagree 4= agree        5= strongly agree</w:t>
      </w:r>
    </w:p>
    <w:tbl>
      <w:tblPr>
        <w:tblStyle w:val="TableGrid"/>
        <w:tblW w:w="9606" w:type="dxa"/>
        <w:tblLayout w:type="fixed"/>
        <w:tblLook w:val="04A0" w:firstRow="1" w:lastRow="0" w:firstColumn="1" w:lastColumn="0" w:noHBand="0" w:noVBand="1"/>
      </w:tblPr>
      <w:tblGrid>
        <w:gridCol w:w="305"/>
        <w:gridCol w:w="7883"/>
        <w:gridCol w:w="284"/>
        <w:gridCol w:w="283"/>
        <w:gridCol w:w="284"/>
        <w:gridCol w:w="262"/>
        <w:gridCol w:w="305"/>
      </w:tblGrid>
      <w:tr w:rsidR="00452E2E" w:rsidRPr="00452E2E" w:rsidTr="00BF0F8D">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w:t>
            </w:r>
          </w:p>
        </w:tc>
        <w:tc>
          <w:tcPr>
            <w:tcW w:w="7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F0F8D">
            <w:pPr>
              <w:tabs>
                <w:tab w:val="left" w:pos="7350"/>
              </w:tabs>
              <w:rPr>
                <w:sz w:val="16"/>
                <w:szCs w:val="16"/>
              </w:rPr>
            </w:pPr>
            <w:r w:rsidRPr="00452E2E">
              <w:rPr>
                <w:sz w:val="16"/>
                <w:szCs w:val="16"/>
              </w:rPr>
              <w:t>Employees are often asked by their superiors to participate in decisions affecting their work</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3</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4</w:t>
            </w:r>
          </w:p>
        </w:tc>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w:t>
            </w:r>
          </w:p>
        </w:tc>
        <w:tc>
          <w:tcPr>
            <w:tcW w:w="7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Individuals are often allowed to make decisions concerning their work</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3</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4</w:t>
            </w:r>
          </w:p>
        </w:tc>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3</w:t>
            </w:r>
          </w:p>
        </w:tc>
        <w:tc>
          <w:tcPr>
            <w:tcW w:w="7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Employees are often provided opportunity to make suggestions about the way work is done</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3</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4</w:t>
            </w:r>
          </w:p>
        </w:tc>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5</w:t>
            </w:r>
          </w:p>
        </w:tc>
      </w:tr>
      <w:tr w:rsidR="00D03A8E" w:rsidRPr="00452E2E" w:rsidTr="00BF0F8D">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4</w:t>
            </w:r>
          </w:p>
        </w:tc>
        <w:tc>
          <w:tcPr>
            <w:tcW w:w="7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Superiors keep open communication with employees</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1</w:t>
            </w:r>
          </w:p>
        </w:tc>
        <w:tc>
          <w:tcPr>
            <w:tcW w:w="2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2</w:t>
            </w:r>
          </w:p>
        </w:tc>
        <w:tc>
          <w:tcPr>
            <w:tcW w:w="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3</w:t>
            </w:r>
          </w:p>
        </w:tc>
        <w:tc>
          <w:tcPr>
            <w:tcW w:w="2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4</w:t>
            </w:r>
          </w:p>
        </w:tc>
        <w:tc>
          <w:tcPr>
            <w:tcW w:w="3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03A8E" w:rsidRPr="00452E2E" w:rsidRDefault="00D03A8E" w:rsidP="00B57950">
            <w:pPr>
              <w:rPr>
                <w:sz w:val="16"/>
                <w:szCs w:val="16"/>
              </w:rPr>
            </w:pPr>
            <w:r w:rsidRPr="00452E2E">
              <w:rPr>
                <w:sz w:val="16"/>
                <w:szCs w:val="16"/>
              </w:rPr>
              <w:t>5</w:t>
            </w:r>
          </w:p>
        </w:tc>
      </w:tr>
    </w:tbl>
    <w:p w:rsidR="00D03A8E" w:rsidRPr="00452E2E" w:rsidRDefault="00D03A8E" w:rsidP="00D03A8E">
      <w:pPr>
        <w:rPr>
          <w:b/>
          <w:sz w:val="16"/>
          <w:szCs w:val="16"/>
        </w:rPr>
      </w:pPr>
    </w:p>
    <w:p w:rsidR="00D03A8E" w:rsidRPr="00452E2E" w:rsidRDefault="00D03A8E" w:rsidP="00D03A8E">
      <w:pPr>
        <w:rPr>
          <w:b/>
          <w:sz w:val="16"/>
          <w:szCs w:val="16"/>
          <w:lang w:val="fr-FR"/>
        </w:rPr>
      </w:pPr>
      <w:r w:rsidRPr="00452E2E">
        <w:rPr>
          <w:b/>
          <w:sz w:val="16"/>
          <w:szCs w:val="16"/>
          <w:lang w:val="fr-FR"/>
        </w:rPr>
        <w:t>B.</w:t>
      </w:r>
      <w:r w:rsidRPr="00452E2E">
        <w:rPr>
          <w:b/>
          <w:sz w:val="16"/>
          <w:szCs w:val="16"/>
          <w:lang w:val="fr-FR"/>
        </w:rPr>
        <w:tab/>
        <w:t>HR ATTRIBUTION (Employee Participation)</w:t>
      </w:r>
    </w:p>
    <w:p w:rsidR="00D03A8E" w:rsidRPr="00452E2E" w:rsidRDefault="00D03A8E" w:rsidP="00D03A8E">
      <w:pPr>
        <w:jc w:val="both"/>
        <w:rPr>
          <w:sz w:val="16"/>
          <w:szCs w:val="16"/>
        </w:rPr>
      </w:pPr>
      <w:r w:rsidRPr="00452E2E">
        <w:rPr>
          <w:sz w:val="16"/>
          <w:szCs w:val="16"/>
        </w:rPr>
        <w:t>In this section, we would like to know your opinion on why your organization provides employees opportunity to participate in work-related decisions (employee participation). Please indicate the extent to which you agree with each statement using the scale provided. Circle the corresponding number beside each statement.</w:t>
      </w:r>
    </w:p>
    <w:p w:rsidR="00D03A8E" w:rsidRPr="00452E2E" w:rsidRDefault="00D03A8E" w:rsidP="00D03A8E">
      <w:pPr>
        <w:spacing w:line="240" w:lineRule="auto"/>
        <w:jc w:val="both"/>
        <w:rPr>
          <w:sz w:val="16"/>
          <w:szCs w:val="16"/>
        </w:rPr>
      </w:pPr>
      <w:r w:rsidRPr="00452E2E">
        <w:rPr>
          <w:sz w:val="16"/>
          <w:szCs w:val="16"/>
        </w:rPr>
        <w:t>1= strongly disagree 2= disagree   3= neither agree nor disagree 4= agree        5= strongly agree</w:t>
      </w:r>
    </w:p>
    <w:tbl>
      <w:tblPr>
        <w:tblStyle w:val="TableGrid"/>
        <w:tblW w:w="9606" w:type="dxa"/>
        <w:tblLayout w:type="fixed"/>
        <w:tblLook w:val="04A0" w:firstRow="1" w:lastRow="0" w:firstColumn="1" w:lastColumn="0" w:noHBand="0" w:noVBand="1"/>
      </w:tblPr>
      <w:tblGrid>
        <w:gridCol w:w="305"/>
        <w:gridCol w:w="7883"/>
        <w:gridCol w:w="284"/>
        <w:gridCol w:w="283"/>
        <w:gridCol w:w="284"/>
        <w:gridCol w:w="262"/>
        <w:gridCol w:w="305"/>
      </w:tblGrid>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opportunity to participate in work-related decisions in order to help employees deliver quality services to customers</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opportunity to participate in work-related decisions so that employees will feel valued and respected-to improve employee well-being</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opportunity to participate in work-related decisions in order to try to keep cost down</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opportunity to participate in work-related decisions in order to get the most out of workers</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D03A8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opportunity to participate in work-related decisions in order to comply with demands from trade unions</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bl>
    <w:p w:rsidR="00D03A8E" w:rsidRPr="00452E2E" w:rsidRDefault="00D03A8E" w:rsidP="00D03A8E">
      <w:pPr>
        <w:rPr>
          <w:b/>
          <w:sz w:val="16"/>
          <w:szCs w:val="16"/>
        </w:rPr>
      </w:pPr>
    </w:p>
    <w:p w:rsidR="00D03A8E" w:rsidRPr="00452E2E" w:rsidRDefault="00D03A8E" w:rsidP="00D03A8E">
      <w:pPr>
        <w:rPr>
          <w:b/>
          <w:sz w:val="16"/>
          <w:szCs w:val="16"/>
        </w:rPr>
      </w:pPr>
      <w:r w:rsidRPr="00452E2E">
        <w:rPr>
          <w:b/>
          <w:sz w:val="16"/>
          <w:szCs w:val="16"/>
        </w:rPr>
        <w:t>C.</w:t>
      </w:r>
      <w:r w:rsidRPr="00452E2E">
        <w:rPr>
          <w:b/>
          <w:sz w:val="16"/>
          <w:szCs w:val="16"/>
        </w:rPr>
        <w:tab/>
        <w:t>EMPLOYEE BENEFITS</w:t>
      </w:r>
    </w:p>
    <w:p w:rsidR="00D03A8E" w:rsidRPr="00452E2E" w:rsidRDefault="00D03A8E" w:rsidP="00D03A8E">
      <w:pPr>
        <w:spacing w:line="240" w:lineRule="auto"/>
        <w:jc w:val="both"/>
        <w:rPr>
          <w:sz w:val="16"/>
          <w:szCs w:val="16"/>
        </w:rPr>
      </w:pPr>
      <w:r w:rsidRPr="00452E2E">
        <w:rPr>
          <w:sz w:val="16"/>
          <w:szCs w:val="16"/>
        </w:rPr>
        <w:t>This section deals with the benefits you receive from your organization such as paid vacation, paid sick leave, health insurance, housing, employee assistance programmes, child care, etc. In your organization, you may call it 'fringe benefits', 'employment benefits' or 'benefits'.</w:t>
      </w:r>
    </w:p>
    <w:p w:rsidR="00D03A8E" w:rsidRPr="00452E2E" w:rsidRDefault="00D03A8E" w:rsidP="00D03A8E">
      <w:pPr>
        <w:spacing w:line="240" w:lineRule="auto"/>
        <w:jc w:val="both"/>
        <w:rPr>
          <w:sz w:val="16"/>
          <w:szCs w:val="16"/>
        </w:rPr>
      </w:pPr>
      <w:r w:rsidRPr="00452E2E">
        <w:rPr>
          <w:sz w:val="16"/>
          <w:szCs w:val="16"/>
        </w:rPr>
        <w:t>Please circle the number that most closely reflects your degree of agreement or disagreement with the following statements</w:t>
      </w:r>
    </w:p>
    <w:p w:rsidR="00D03A8E" w:rsidRPr="00452E2E" w:rsidRDefault="00D03A8E" w:rsidP="00D03A8E">
      <w:pPr>
        <w:spacing w:line="240" w:lineRule="auto"/>
        <w:jc w:val="both"/>
        <w:rPr>
          <w:sz w:val="16"/>
          <w:szCs w:val="16"/>
        </w:rPr>
      </w:pPr>
      <w:r w:rsidRPr="00452E2E">
        <w:rPr>
          <w:sz w:val="16"/>
          <w:szCs w:val="16"/>
        </w:rPr>
        <w:t>1= strongly disagree 2= moderately disagree 3= slightly disagree   4= neither agree nor disagree 5= slightly agree        6= moderately agree</w:t>
      </w:r>
    </w:p>
    <w:p w:rsidR="00D03A8E" w:rsidRPr="00452E2E" w:rsidRDefault="00D03A8E" w:rsidP="00D03A8E">
      <w:pPr>
        <w:spacing w:line="240" w:lineRule="auto"/>
        <w:jc w:val="both"/>
        <w:rPr>
          <w:sz w:val="16"/>
          <w:szCs w:val="16"/>
        </w:rPr>
      </w:pPr>
      <w:r w:rsidRPr="00452E2E">
        <w:rPr>
          <w:sz w:val="16"/>
          <w:szCs w:val="16"/>
        </w:rPr>
        <w:t>7= strongly agree</w:t>
      </w:r>
    </w:p>
    <w:tbl>
      <w:tblPr>
        <w:tblStyle w:val="TableGrid"/>
        <w:tblW w:w="0" w:type="auto"/>
        <w:tblLook w:val="04A0" w:firstRow="1" w:lastRow="0" w:firstColumn="1" w:lastColumn="0" w:noHBand="0" w:noVBand="1"/>
      </w:tblPr>
      <w:tblGrid>
        <w:gridCol w:w="6412"/>
        <w:gridCol w:w="222"/>
        <w:gridCol w:w="222"/>
        <w:gridCol w:w="222"/>
        <w:gridCol w:w="222"/>
        <w:gridCol w:w="222"/>
        <w:gridCol w:w="222"/>
        <w:gridCol w:w="222"/>
        <w:gridCol w:w="222"/>
      </w:tblGrid>
      <w:tr w:rsidR="00D03A8E" w:rsidRPr="00452E2E" w:rsidTr="00B57950">
        <w:tc>
          <w:tcPr>
            <w:tcW w:w="0" w:type="auto"/>
            <w:tcBorders>
              <w:top w:val="single" w:sz="4" w:space="0" w:color="FFFFFF"/>
              <w:left w:val="single" w:sz="4" w:space="0" w:color="FFFFFF"/>
              <w:bottom w:val="single" w:sz="4" w:space="0" w:color="FFFFFF" w:themeColor="background1"/>
              <w:right w:val="single" w:sz="4" w:space="0" w:color="FFFFFF"/>
            </w:tcBorders>
          </w:tcPr>
          <w:tbl>
            <w:tblPr>
              <w:tblStyle w:val="TableGrid"/>
              <w:tblW w:w="0" w:type="auto"/>
              <w:tblLook w:val="04A0" w:firstRow="1" w:lastRow="0" w:firstColumn="1" w:lastColumn="0" w:noHBand="0" w:noVBand="1"/>
            </w:tblPr>
            <w:tblGrid>
              <w:gridCol w:w="305"/>
              <w:gridCol w:w="3746"/>
              <w:gridCol w:w="305"/>
              <w:gridCol w:w="305"/>
              <w:gridCol w:w="305"/>
              <w:gridCol w:w="305"/>
              <w:gridCol w:w="305"/>
              <w:gridCol w:w="305"/>
              <w:gridCol w:w="305"/>
            </w:tblGrid>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am satisfied with the range of benefits my organization offers</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am satisfied with the amount or value of the benefits my organization offers</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am satisfied with the extent to which I choose my benefits</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think I have more choice about benefits at this organization compared to other similar organizations</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The benefits at my organization are much better than those at other similar organizations, in terms of value or amount</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In general, the benefits at my organization are much better than those at other similar organizations</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Please use the following scale to answer question 7 below:</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1=very dissatisfied 2=moderately dissatisfied 3=slightly dissatisfied 4=neutral 5=slightly satisfied 6=moderately satisfied 7=very satisfied</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Overall, how satisfied are you with your benefits compared to those you think are offered at other similar organizations?</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bl>
          <w:p w:rsidR="00D03A8E" w:rsidRPr="00452E2E" w:rsidRDefault="00D03A8E" w:rsidP="00B57950">
            <w:pPr>
              <w:rPr>
                <w:sz w:val="16"/>
                <w:szCs w:val="16"/>
              </w:rPr>
            </w:pPr>
          </w:p>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themeColor="background1"/>
              <w:right w:val="single" w:sz="4" w:space="0" w:color="FFFFFF"/>
            </w:tcBorders>
          </w:tcPr>
          <w:p w:rsidR="00D03A8E" w:rsidRPr="00452E2E" w:rsidRDefault="00D03A8E" w:rsidP="00B57950">
            <w:pPr>
              <w:rPr>
                <w:sz w:val="16"/>
                <w:szCs w:val="16"/>
              </w:rPr>
            </w:pPr>
          </w:p>
        </w:tc>
      </w:tr>
    </w:tbl>
    <w:p w:rsidR="00D03A8E" w:rsidRPr="00452E2E" w:rsidRDefault="00D03A8E" w:rsidP="00D03A8E">
      <w:pPr>
        <w:rPr>
          <w:b/>
          <w:sz w:val="16"/>
          <w:szCs w:val="16"/>
        </w:rPr>
      </w:pPr>
    </w:p>
    <w:p w:rsidR="00D03A8E" w:rsidRPr="00452E2E" w:rsidRDefault="00D03A8E" w:rsidP="00D03A8E">
      <w:pPr>
        <w:rPr>
          <w:sz w:val="16"/>
          <w:szCs w:val="16"/>
        </w:rPr>
      </w:pPr>
      <w:r w:rsidRPr="00452E2E">
        <w:rPr>
          <w:b/>
          <w:sz w:val="16"/>
          <w:szCs w:val="16"/>
        </w:rPr>
        <w:t>D.</w:t>
      </w:r>
      <w:r w:rsidRPr="00452E2E">
        <w:rPr>
          <w:b/>
          <w:sz w:val="16"/>
          <w:szCs w:val="16"/>
        </w:rPr>
        <w:tab/>
        <w:t>HR ATTRIBUTION (Employee Benefits)</w:t>
      </w:r>
      <w:r w:rsidRPr="00452E2E">
        <w:rPr>
          <w:sz w:val="16"/>
          <w:szCs w:val="16"/>
        </w:rPr>
        <w:t xml:space="preserve"> </w:t>
      </w:r>
    </w:p>
    <w:p w:rsidR="00D03A8E" w:rsidRPr="00452E2E" w:rsidRDefault="00D03A8E" w:rsidP="00D03A8E">
      <w:pPr>
        <w:rPr>
          <w:b/>
          <w:sz w:val="16"/>
          <w:szCs w:val="16"/>
        </w:rPr>
      </w:pPr>
      <w:r w:rsidRPr="00452E2E">
        <w:rPr>
          <w:sz w:val="16"/>
          <w:szCs w:val="16"/>
        </w:rPr>
        <w:t>In this section, we would like to know your opinion on why your organization provides employees with benefits such as medical care, housing, child care, employee assistance programmes, etc. Please indicate the extent to which you agree with each statement using the scale provided. Circle the corresponding number beside each statement</w:t>
      </w:r>
    </w:p>
    <w:p w:rsidR="00D03A8E" w:rsidRPr="00452E2E" w:rsidRDefault="00D03A8E" w:rsidP="00D03A8E">
      <w:pPr>
        <w:jc w:val="both"/>
        <w:rPr>
          <w:sz w:val="16"/>
          <w:szCs w:val="16"/>
        </w:rPr>
      </w:pPr>
      <w:r w:rsidRPr="00452E2E">
        <w:rPr>
          <w:sz w:val="16"/>
          <w:szCs w:val="16"/>
        </w:rPr>
        <w:t>1= strongly disagree 2= disagree   3= neither agree nor disagree 4= agree        5= strongly agree</w:t>
      </w:r>
    </w:p>
    <w:tbl>
      <w:tblPr>
        <w:tblStyle w:val="TableGrid"/>
        <w:tblW w:w="9606" w:type="dxa"/>
        <w:tblLayout w:type="fixed"/>
        <w:tblLook w:val="04A0" w:firstRow="1" w:lastRow="0" w:firstColumn="1" w:lastColumn="0" w:noHBand="0" w:noVBand="1"/>
      </w:tblPr>
      <w:tblGrid>
        <w:gridCol w:w="305"/>
        <w:gridCol w:w="7883"/>
        <w:gridCol w:w="284"/>
        <w:gridCol w:w="283"/>
        <w:gridCol w:w="284"/>
        <w:gridCol w:w="262"/>
        <w:gridCol w:w="305"/>
      </w:tblGrid>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benefits in order to help employees deliver quality services to customers</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benefits so that employees will feel valued and respected-to improve employee well-being</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benefits in order to try to keep cost down</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452E2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benefits in order to get the most out of workers</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D03A8E" w:rsidRPr="00452E2E" w:rsidTr="00BF0F8D">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78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benefits in order to comply with demands from trade unions</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8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84"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6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bl>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r w:rsidRPr="00452E2E">
        <w:rPr>
          <w:b/>
          <w:sz w:val="16"/>
          <w:szCs w:val="16"/>
        </w:rPr>
        <w:t>E.</w:t>
      </w:r>
      <w:r w:rsidRPr="00452E2E">
        <w:rPr>
          <w:b/>
          <w:sz w:val="16"/>
          <w:szCs w:val="16"/>
        </w:rPr>
        <w:tab/>
        <w:t>TRAINING</w:t>
      </w:r>
    </w:p>
    <w:p w:rsidR="00D03A8E" w:rsidRPr="00452E2E" w:rsidRDefault="00D03A8E" w:rsidP="00D03A8E">
      <w:pPr>
        <w:spacing w:line="240" w:lineRule="auto"/>
        <w:jc w:val="both"/>
        <w:rPr>
          <w:sz w:val="16"/>
          <w:szCs w:val="16"/>
        </w:rPr>
      </w:pPr>
      <w:r w:rsidRPr="00452E2E">
        <w:rPr>
          <w:sz w:val="16"/>
          <w:szCs w:val="16"/>
        </w:rPr>
        <w:t>This section relates to training provided within your organization or sponsored by your organization</w:t>
      </w:r>
    </w:p>
    <w:p w:rsidR="00D03A8E" w:rsidRPr="00452E2E" w:rsidRDefault="00D03A8E" w:rsidP="00D03A8E">
      <w:pPr>
        <w:spacing w:line="240" w:lineRule="auto"/>
        <w:jc w:val="both"/>
        <w:rPr>
          <w:sz w:val="16"/>
          <w:szCs w:val="16"/>
        </w:rPr>
      </w:pPr>
      <w:r w:rsidRPr="00452E2E">
        <w:rPr>
          <w:sz w:val="16"/>
          <w:szCs w:val="16"/>
        </w:rPr>
        <w:t>Please circle the number that most closely reflects your degree of agreement or disagreement with the following statements</w:t>
      </w:r>
    </w:p>
    <w:p w:rsidR="00D03A8E" w:rsidRPr="00452E2E" w:rsidRDefault="00D03A8E" w:rsidP="00D03A8E">
      <w:pPr>
        <w:spacing w:line="240" w:lineRule="auto"/>
        <w:jc w:val="both"/>
        <w:rPr>
          <w:sz w:val="16"/>
          <w:szCs w:val="16"/>
        </w:rPr>
      </w:pPr>
      <w:r w:rsidRPr="00452E2E">
        <w:rPr>
          <w:sz w:val="16"/>
          <w:szCs w:val="16"/>
        </w:rPr>
        <w:t>1= strongly disagree 2= moderately disagree 3= slightly disagree   4= neither agree nor disagree 5= slightly agree        6= moderately agree</w:t>
      </w:r>
    </w:p>
    <w:p w:rsidR="00D03A8E" w:rsidRPr="00452E2E" w:rsidRDefault="00D03A8E" w:rsidP="00D03A8E">
      <w:pPr>
        <w:spacing w:line="240" w:lineRule="auto"/>
        <w:jc w:val="both"/>
        <w:rPr>
          <w:sz w:val="16"/>
          <w:szCs w:val="16"/>
        </w:rPr>
      </w:pPr>
      <w:r w:rsidRPr="00452E2E">
        <w:rPr>
          <w:sz w:val="16"/>
          <w:szCs w:val="16"/>
        </w:rPr>
        <w:t>7= strongly agree</w:t>
      </w:r>
    </w:p>
    <w:tbl>
      <w:tblPr>
        <w:tblStyle w:val="TableGrid"/>
        <w:tblW w:w="0" w:type="auto"/>
        <w:shd w:val="clear" w:color="auto" w:fill="FFFFFF" w:themeFill="background1"/>
        <w:tblLook w:val="04A0" w:firstRow="1" w:lastRow="0" w:firstColumn="1" w:lastColumn="0" w:noHBand="0" w:noVBand="1"/>
      </w:tblPr>
      <w:tblGrid>
        <w:gridCol w:w="305"/>
        <w:gridCol w:w="5493"/>
        <w:gridCol w:w="305"/>
        <w:gridCol w:w="305"/>
        <w:gridCol w:w="455"/>
        <w:gridCol w:w="305"/>
        <w:gridCol w:w="305"/>
        <w:gridCol w:w="410"/>
        <w:gridCol w:w="305"/>
      </w:tblGrid>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Did you receive any training when you joined the organization?</w:t>
            </w:r>
          </w:p>
          <w:p w:rsidR="00D03A8E" w:rsidRPr="00452E2E" w:rsidRDefault="00D03A8E" w:rsidP="00B57950">
            <w:pPr>
              <w:rPr>
                <w:sz w:val="16"/>
                <w:szCs w:val="16"/>
              </w:rPr>
            </w:pPr>
            <w:r w:rsidRPr="00452E2E">
              <w:rPr>
                <w:sz w:val="16"/>
                <w:szCs w:val="16"/>
              </w:rPr>
              <w:t>If yes, please respond to the following statement</w:t>
            </w:r>
          </w:p>
          <w:p w:rsidR="00D03A8E" w:rsidRPr="00452E2E" w:rsidRDefault="00D03A8E" w:rsidP="00B57950">
            <w:pPr>
              <w:rPr>
                <w:sz w:val="16"/>
                <w:szCs w:val="16"/>
              </w:rPr>
            </w:pPr>
            <w:r w:rsidRPr="00452E2E">
              <w:rPr>
                <w:sz w:val="16"/>
                <w:szCs w:val="16"/>
              </w:rPr>
              <w:t>The training I received when I joined the organization was sufficient</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Yes</w:t>
            </w: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No</w:t>
            </w: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Did you receive further training later on?</w:t>
            </w:r>
          </w:p>
          <w:p w:rsidR="00D03A8E" w:rsidRPr="00452E2E" w:rsidRDefault="00D03A8E" w:rsidP="00B57950">
            <w:pPr>
              <w:rPr>
                <w:sz w:val="16"/>
                <w:szCs w:val="16"/>
              </w:rPr>
            </w:pPr>
            <w:r w:rsidRPr="00452E2E">
              <w:rPr>
                <w:sz w:val="16"/>
                <w:szCs w:val="16"/>
              </w:rPr>
              <w:t>If yes, please respond to the following statement</w:t>
            </w:r>
          </w:p>
          <w:p w:rsidR="00D03A8E" w:rsidRPr="00452E2E" w:rsidRDefault="00D03A8E" w:rsidP="00B57950">
            <w:pPr>
              <w:rPr>
                <w:sz w:val="16"/>
                <w:szCs w:val="16"/>
              </w:rPr>
            </w:pPr>
            <w:r w:rsidRPr="00452E2E">
              <w:rPr>
                <w:sz w:val="16"/>
                <w:szCs w:val="16"/>
              </w:rPr>
              <w:t>My further training was appropriate or sufficient for that time</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Yes</w:t>
            </w: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No</w:t>
            </w: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 think my organization places the right amount of emphasis or importance on training</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 am happy with the training opportunities provided for me in this organization</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My training was helpful or useful to me</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I am satisfied with the training I have received so far</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Please use the following scale to answer question 7 below:</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1=very dissatisfied 2=moderately dissatisfied 3=slightly dissatisfied 4=neutral 5=slightly satisfied 6=moderately satisfied 7=very satisfied</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7</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How satisfied are you with your training compared to the training you think you would receive at other similar organizations?</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Please use the following scale to answer question 8 below:</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1=much less 2=less 3=slightly less 4=the same 5=slightly more 6=more 7=much more</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tc>
      </w:tr>
      <w:tr w:rsidR="00452E2E" w:rsidRPr="00452E2E" w:rsidTr="00B57950">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8</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r w:rsidRPr="00452E2E">
              <w:rPr>
                <w:sz w:val="16"/>
                <w:szCs w:val="16"/>
              </w:rPr>
              <w:t>How did the amount of training you received compare to the amount you think you would receive at other similar organizations?</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shd w:val="clear" w:color="auto" w:fill="FFFFFF" w:themeFill="background1"/>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bl>
    <w:p w:rsidR="00D03A8E" w:rsidRPr="00452E2E" w:rsidRDefault="00D03A8E" w:rsidP="00D03A8E">
      <w:pPr>
        <w:spacing w:before="240"/>
        <w:jc w:val="both"/>
        <w:rPr>
          <w:sz w:val="16"/>
          <w:szCs w:val="16"/>
        </w:rPr>
      </w:pPr>
    </w:p>
    <w:p w:rsidR="00D03A8E" w:rsidRPr="00452E2E" w:rsidRDefault="00D03A8E" w:rsidP="00D03A8E">
      <w:pPr>
        <w:rPr>
          <w:b/>
          <w:sz w:val="16"/>
          <w:szCs w:val="16"/>
        </w:rPr>
      </w:pPr>
      <w:r w:rsidRPr="00452E2E">
        <w:rPr>
          <w:b/>
          <w:sz w:val="16"/>
          <w:szCs w:val="16"/>
        </w:rPr>
        <w:t>F.</w:t>
      </w:r>
      <w:r w:rsidRPr="00452E2E">
        <w:rPr>
          <w:b/>
          <w:sz w:val="16"/>
          <w:szCs w:val="16"/>
        </w:rPr>
        <w:tab/>
        <w:t>HR ATTRIBUTION (Training)</w:t>
      </w:r>
    </w:p>
    <w:p w:rsidR="00D03A8E" w:rsidRPr="00452E2E" w:rsidRDefault="00D03A8E" w:rsidP="00D03A8E">
      <w:pPr>
        <w:jc w:val="both"/>
        <w:rPr>
          <w:sz w:val="16"/>
          <w:szCs w:val="16"/>
        </w:rPr>
      </w:pPr>
      <w:r w:rsidRPr="00452E2E">
        <w:rPr>
          <w:sz w:val="16"/>
          <w:szCs w:val="16"/>
        </w:rPr>
        <w:t>In this section, we would like to know your opinion on why your organization provides employees with training. Please indicate the extent to which you agree with each statement using the scale provided. Circle the corresponding number beside each statement.</w:t>
      </w:r>
    </w:p>
    <w:p w:rsidR="00D03A8E" w:rsidRPr="00452E2E" w:rsidRDefault="00D03A8E" w:rsidP="00D03A8E">
      <w:pPr>
        <w:spacing w:line="240" w:lineRule="auto"/>
        <w:jc w:val="both"/>
        <w:rPr>
          <w:sz w:val="16"/>
          <w:szCs w:val="16"/>
        </w:rPr>
      </w:pPr>
      <w:r w:rsidRPr="00452E2E">
        <w:rPr>
          <w:sz w:val="16"/>
          <w:szCs w:val="16"/>
        </w:rPr>
        <w:t>1= strongly disagree 2= disagree   3= neither agree nor disagree 4= agree        5= strongly agree</w:t>
      </w:r>
    </w:p>
    <w:tbl>
      <w:tblPr>
        <w:tblStyle w:val="TableGrid"/>
        <w:tblW w:w="9525" w:type="dxa"/>
        <w:tblInd w:w="-5" w:type="dxa"/>
        <w:tblLayout w:type="fixed"/>
        <w:tblLook w:val="04A0" w:firstRow="1" w:lastRow="0" w:firstColumn="1" w:lastColumn="0" w:noHBand="0" w:noVBand="1"/>
      </w:tblPr>
      <w:tblGrid>
        <w:gridCol w:w="302"/>
        <w:gridCol w:w="7815"/>
        <w:gridCol w:w="281"/>
        <w:gridCol w:w="280"/>
        <w:gridCol w:w="281"/>
        <w:gridCol w:w="259"/>
        <w:gridCol w:w="307"/>
      </w:tblGrid>
      <w:tr w:rsidR="00452E2E" w:rsidRPr="00452E2E" w:rsidTr="00AE2756">
        <w:trPr>
          <w:trHeight w:val="383"/>
        </w:trPr>
        <w:tc>
          <w:tcPr>
            <w:tcW w:w="30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lastRenderedPageBreak/>
              <w:t>1</w:t>
            </w:r>
          </w:p>
        </w:tc>
        <w:tc>
          <w:tcPr>
            <w:tcW w:w="78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training in order to help employees deliver quality services to customers</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5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452E2E" w:rsidRPr="00452E2E" w:rsidTr="00AE2756">
        <w:trPr>
          <w:trHeight w:val="383"/>
        </w:trPr>
        <w:tc>
          <w:tcPr>
            <w:tcW w:w="30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78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training so that employees will feel valued and respected-to improve employee well-being</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28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25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30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r>
      <w:tr w:rsidR="00452E2E" w:rsidRPr="00452E2E" w:rsidTr="00AE2756">
        <w:trPr>
          <w:trHeight w:val="191"/>
        </w:trPr>
        <w:tc>
          <w:tcPr>
            <w:tcW w:w="30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78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training in order to try to keep cost down</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8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452E2E" w:rsidRPr="00452E2E" w:rsidTr="00AE2756">
        <w:trPr>
          <w:trHeight w:val="191"/>
        </w:trPr>
        <w:tc>
          <w:tcPr>
            <w:tcW w:w="30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78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training in order to get the most out of workers</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8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452E2E" w:rsidRPr="00452E2E" w:rsidTr="00AE2756">
        <w:trPr>
          <w:trHeight w:val="203"/>
        </w:trPr>
        <w:tc>
          <w:tcPr>
            <w:tcW w:w="30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78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provides employees with training in order to comply with demands from trade unions</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8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81"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bl>
    <w:p w:rsidR="00D03A8E" w:rsidRPr="00452E2E" w:rsidRDefault="00D03A8E" w:rsidP="00D03A8E">
      <w:pPr>
        <w:spacing w:before="240"/>
        <w:rPr>
          <w:sz w:val="16"/>
          <w:szCs w:val="16"/>
        </w:rPr>
      </w:pPr>
      <w:r w:rsidRPr="00452E2E">
        <w:rPr>
          <w:sz w:val="16"/>
          <w:szCs w:val="16"/>
        </w:rPr>
        <w:tab/>
      </w:r>
      <w:r w:rsidRPr="00452E2E">
        <w:rPr>
          <w:b/>
          <w:sz w:val="16"/>
          <w:szCs w:val="16"/>
        </w:rPr>
        <w:t>ORGANIZATIONAL COMMITMENT</w:t>
      </w:r>
    </w:p>
    <w:p w:rsidR="00D03A8E" w:rsidRPr="00452E2E" w:rsidRDefault="00D03A8E" w:rsidP="00D03A8E">
      <w:pPr>
        <w:spacing w:line="240" w:lineRule="auto"/>
        <w:jc w:val="both"/>
        <w:rPr>
          <w:sz w:val="16"/>
          <w:szCs w:val="16"/>
        </w:rPr>
      </w:pPr>
      <w:r w:rsidRPr="00452E2E">
        <w:rPr>
          <w:sz w:val="16"/>
          <w:szCs w:val="16"/>
        </w:rPr>
        <w:t>The following statements represent feelings that people might have about their organization. Please indicate how strongly you agree or disagree with each statement using the scale provided. Circle the corresponding number beside each statement.</w:t>
      </w:r>
    </w:p>
    <w:p w:rsidR="00D03A8E" w:rsidRPr="00452E2E" w:rsidRDefault="00D03A8E" w:rsidP="00D03A8E">
      <w:pPr>
        <w:spacing w:line="240" w:lineRule="auto"/>
        <w:jc w:val="both"/>
        <w:rPr>
          <w:sz w:val="16"/>
          <w:szCs w:val="16"/>
        </w:rPr>
      </w:pPr>
      <w:r w:rsidRPr="00452E2E">
        <w:rPr>
          <w:sz w:val="16"/>
          <w:szCs w:val="16"/>
        </w:rPr>
        <w:t>1= strongly disagree 2= moderately disagree 3= slightly disagree   4= neither agree nor disagree 5= slightly agree        6= moderately agree</w:t>
      </w:r>
    </w:p>
    <w:p w:rsidR="00D03A8E" w:rsidRPr="00452E2E" w:rsidRDefault="00D03A8E" w:rsidP="00D03A8E">
      <w:pPr>
        <w:spacing w:line="240" w:lineRule="auto"/>
        <w:jc w:val="both"/>
        <w:rPr>
          <w:sz w:val="16"/>
          <w:szCs w:val="16"/>
        </w:rPr>
      </w:pPr>
      <w:r w:rsidRPr="00452E2E">
        <w:rPr>
          <w:sz w:val="16"/>
          <w:szCs w:val="16"/>
        </w:rPr>
        <w:t>7= strongly agree</w:t>
      </w: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p>
    <w:p w:rsidR="00D03A8E" w:rsidRPr="00452E2E" w:rsidRDefault="00D03A8E" w:rsidP="00D03A8E">
      <w:pPr>
        <w:spacing w:line="240" w:lineRule="auto"/>
        <w:jc w:val="both"/>
        <w:rPr>
          <w:b/>
          <w:sz w:val="16"/>
          <w:szCs w:val="16"/>
        </w:rPr>
      </w:pPr>
      <w:r w:rsidRPr="00452E2E">
        <w:rPr>
          <w:b/>
          <w:sz w:val="16"/>
          <w:szCs w:val="16"/>
        </w:rPr>
        <w:t>G.</w:t>
      </w:r>
      <w:r w:rsidRPr="00452E2E">
        <w:rPr>
          <w:b/>
          <w:sz w:val="16"/>
          <w:szCs w:val="16"/>
        </w:rPr>
        <w:tab/>
        <w:t>Affective commitment</w:t>
      </w:r>
    </w:p>
    <w:tbl>
      <w:tblPr>
        <w:tblStyle w:val="TableGrid"/>
        <w:tblW w:w="9602" w:type="dxa"/>
        <w:tblLook w:val="04A0" w:firstRow="1" w:lastRow="0" w:firstColumn="1" w:lastColumn="0" w:noHBand="0" w:noVBand="1"/>
      </w:tblPr>
      <w:tblGrid>
        <w:gridCol w:w="305"/>
        <w:gridCol w:w="6503"/>
        <w:gridCol w:w="418"/>
        <w:gridCol w:w="418"/>
        <w:gridCol w:w="419"/>
        <w:gridCol w:w="397"/>
        <w:gridCol w:w="305"/>
        <w:gridCol w:w="419"/>
        <w:gridCol w:w="418"/>
      </w:tblGrid>
      <w:tr w:rsidR="00452E2E" w:rsidRPr="00452E2E" w:rsidTr="00AE2756">
        <w:trPr>
          <w:trHeight w:val="251"/>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651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would be happy to spend the rest of my career with this organization</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3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51"/>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651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really feel as if this organization’s problems are my own</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3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51"/>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651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do not feel a sense of belonging to my organization (R)</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3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51"/>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651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do not feel emotionally attached to this organization (R)</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3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33"/>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651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do not feel like part of the family at my organization (R)</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3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D03A8E" w:rsidRPr="00452E2E" w:rsidTr="00AE2756">
        <w:trPr>
          <w:trHeight w:val="267"/>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6513"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This organization has a great deal of personal meaning to me</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3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30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9"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bl>
    <w:p w:rsidR="00D03A8E" w:rsidRPr="00452E2E" w:rsidRDefault="00D03A8E" w:rsidP="00D03A8E">
      <w:pPr>
        <w:jc w:val="both"/>
        <w:rPr>
          <w:b/>
          <w:sz w:val="16"/>
          <w:szCs w:val="16"/>
        </w:rPr>
      </w:pPr>
    </w:p>
    <w:p w:rsidR="00D03A8E" w:rsidRPr="00452E2E" w:rsidRDefault="00D03A8E" w:rsidP="00D03A8E">
      <w:pPr>
        <w:jc w:val="both"/>
        <w:rPr>
          <w:b/>
          <w:sz w:val="16"/>
          <w:szCs w:val="16"/>
        </w:rPr>
      </w:pPr>
      <w:r w:rsidRPr="00452E2E">
        <w:rPr>
          <w:b/>
          <w:sz w:val="16"/>
          <w:szCs w:val="16"/>
        </w:rPr>
        <w:t>H.</w:t>
      </w:r>
      <w:r w:rsidRPr="00452E2E">
        <w:rPr>
          <w:b/>
          <w:sz w:val="16"/>
          <w:szCs w:val="16"/>
        </w:rPr>
        <w:tab/>
        <w:t>Normative Commitment</w:t>
      </w:r>
    </w:p>
    <w:tbl>
      <w:tblPr>
        <w:tblStyle w:val="TableGrid"/>
        <w:tblW w:w="9543" w:type="dxa"/>
        <w:tblLayout w:type="fixed"/>
        <w:tblLook w:val="04A0" w:firstRow="1" w:lastRow="0" w:firstColumn="1" w:lastColumn="0" w:noHBand="0" w:noVBand="1"/>
      </w:tblPr>
      <w:tblGrid>
        <w:gridCol w:w="415"/>
        <w:gridCol w:w="6402"/>
        <w:gridCol w:w="236"/>
        <w:gridCol w:w="415"/>
        <w:gridCol w:w="415"/>
        <w:gridCol w:w="415"/>
        <w:gridCol w:w="415"/>
        <w:gridCol w:w="415"/>
        <w:gridCol w:w="415"/>
      </w:tblGrid>
      <w:tr w:rsidR="00452E2E" w:rsidRPr="00452E2E" w:rsidTr="00AE2756">
        <w:trPr>
          <w:trHeight w:val="218"/>
        </w:trPr>
        <w:tc>
          <w:tcPr>
            <w:tcW w:w="41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64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do not feel any obligation to remain with my current organization (R)</w:t>
            </w:r>
          </w:p>
        </w:tc>
        <w:tc>
          <w:tcPr>
            <w:tcW w:w="2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18"/>
        </w:trPr>
        <w:tc>
          <w:tcPr>
            <w:tcW w:w="41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64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Even if it were to my advantage, I do not feel it would be right to leave my organization now</w:t>
            </w:r>
          </w:p>
        </w:tc>
        <w:tc>
          <w:tcPr>
            <w:tcW w:w="2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03"/>
        </w:trPr>
        <w:tc>
          <w:tcPr>
            <w:tcW w:w="41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64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would feel guilty if I left my organization now</w:t>
            </w:r>
          </w:p>
        </w:tc>
        <w:tc>
          <w:tcPr>
            <w:tcW w:w="2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18"/>
        </w:trPr>
        <w:tc>
          <w:tcPr>
            <w:tcW w:w="41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64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This organization deserves my loyalty</w:t>
            </w:r>
          </w:p>
        </w:tc>
        <w:tc>
          <w:tcPr>
            <w:tcW w:w="2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437"/>
        </w:trPr>
        <w:tc>
          <w:tcPr>
            <w:tcW w:w="41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64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would not leave my organization right now because I have a sense of obligation to people in it</w:t>
            </w:r>
          </w:p>
        </w:tc>
        <w:tc>
          <w:tcPr>
            <w:tcW w:w="2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D03A8E" w:rsidRPr="00452E2E" w:rsidTr="00AE2756">
        <w:trPr>
          <w:trHeight w:val="218"/>
        </w:trPr>
        <w:tc>
          <w:tcPr>
            <w:tcW w:w="41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640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owe a great deal to my organization</w:t>
            </w:r>
          </w:p>
        </w:tc>
        <w:tc>
          <w:tcPr>
            <w:tcW w:w="2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41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bl>
    <w:p w:rsidR="00D03A8E" w:rsidRPr="00452E2E" w:rsidRDefault="00D03A8E" w:rsidP="00D03A8E">
      <w:pPr>
        <w:jc w:val="both"/>
        <w:rPr>
          <w:b/>
          <w:sz w:val="16"/>
          <w:szCs w:val="16"/>
        </w:rPr>
      </w:pPr>
    </w:p>
    <w:p w:rsidR="00D03A8E" w:rsidRPr="00452E2E" w:rsidRDefault="00D03A8E" w:rsidP="00D03A8E">
      <w:pPr>
        <w:jc w:val="both"/>
        <w:rPr>
          <w:b/>
          <w:sz w:val="16"/>
          <w:szCs w:val="16"/>
        </w:rPr>
      </w:pPr>
      <w:r w:rsidRPr="00452E2E">
        <w:rPr>
          <w:b/>
          <w:sz w:val="16"/>
          <w:szCs w:val="16"/>
        </w:rPr>
        <w:t>I.</w:t>
      </w:r>
      <w:r w:rsidRPr="00452E2E">
        <w:rPr>
          <w:b/>
          <w:sz w:val="16"/>
          <w:szCs w:val="16"/>
        </w:rPr>
        <w:tab/>
        <w:t>Continuance Commitment</w:t>
      </w:r>
    </w:p>
    <w:tbl>
      <w:tblPr>
        <w:tblStyle w:val="TableGrid"/>
        <w:tblW w:w="9535" w:type="dxa"/>
        <w:tblLook w:val="04A0" w:firstRow="1" w:lastRow="0" w:firstColumn="1" w:lastColumn="0" w:noHBand="0" w:noVBand="1"/>
      </w:tblPr>
      <w:tblGrid>
        <w:gridCol w:w="411"/>
        <w:gridCol w:w="6332"/>
        <w:gridCol w:w="332"/>
        <w:gridCol w:w="410"/>
        <w:gridCol w:w="410"/>
        <w:gridCol w:w="410"/>
        <w:gridCol w:w="410"/>
        <w:gridCol w:w="410"/>
        <w:gridCol w:w="410"/>
      </w:tblGrid>
      <w:tr w:rsidR="00452E2E" w:rsidRPr="00452E2E" w:rsidTr="00AE2756">
        <w:trPr>
          <w:trHeight w:val="20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6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Right now staying with my organization is a matter of necessity as much as desire</w:t>
            </w:r>
          </w:p>
        </w:tc>
        <w:tc>
          <w:tcPr>
            <w:tcW w:w="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191"/>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6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It would be hard for me to leave my organization right now, even if I wanted to</w:t>
            </w:r>
          </w:p>
        </w:tc>
        <w:tc>
          <w:tcPr>
            <w:tcW w:w="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0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6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Too much of my life would be disrupted if I decided I wanted to leave my organization now</w:t>
            </w:r>
          </w:p>
        </w:tc>
        <w:tc>
          <w:tcPr>
            <w:tcW w:w="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20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6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feel that I have too few options to consider leaving this organization</w:t>
            </w:r>
          </w:p>
        </w:tc>
        <w:tc>
          <w:tcPr>
            <w:tcW w:w="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r>
      <w:tr w:rsidR="00452E2E" w:rsidRPr="00452E2E" w:rsidTr="00AE2756">
        <w:trPr>
          <w:trHeight w:val="412"/>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6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If I had not already put so much of myself into this organization, I might consider working elsewhere</w:t>
            </w:r>
          </w:p>
        </w:tc>
        <w:tc>
          <w:tcPr>
            <w:tcW w:w="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AE2756">
        <w:trPr>
          <w:trHeight w:val="412"/>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6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One of the few negative consequences of leaving this organization would be the scarcity of available alternatives</w:t>
            </w:r>
          </w:p>
        </w:tc>
        <w:tc>
          <w:tcPr>
            <w:tcW w:w="33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bl>
    <w:p w:rsidR="00D03A8E" w:rsidRPr="00452E2E" w:rsidRDefault="00D03A8E" w:rsidP="00D03A8E">
      <w:pPr>
        <w:spacing w:before="240"/>
        <w:rPr>
          <w:b/>
          <w:sz w:val="16"/>
          <w:szCs w:val="16"/>
        </w:rPr>
      </w:pPr>
      <w:r w:rsidRPr="00452E2E">
        <w:rPr>
          <w:b/>
          <w:sz w:val="16"/>
          <w:szCs w:val="16"/>
        </w:rPr>
        <w:t>J.</w:t>
      </w:r>
      <w:r w:rsidRPr="00452E2E">
        <w:rPr>
          <w:b/>
          <w:sz w:val="16"/>
          <w:szCs w:val="16"/>
        </w:rPr>
        <w:tab/>
        <w:t>JOB SATISFACTION</w:t>
      </w:r>
    </w:p>
    <w:p w:rsidR="00D03A8E" w:rsidRPr="00452E2E" w:rsidRDefault="00D03A8E" w:rsidP="00D03A8E">
      <w:pPr>
        <w:spacing w:before="240"/>
        <w:rPr>
          <w:sz w:val="16"/>
          <w:szCs w:val="16"/>
        </w:rPr>
      </w:pPr>
      <w:r w:rsidRPr="00452E2E">
        <w:rPr>
          <w:sz w:val="16"/>
          <w:szCs w:val="16"/>
        </w:rPr>
        <w:t>This relates to your feelings about the job that you do. Please indicate how strongly you agree or disagree with each statement using the scale provided. Circle the corresponding number beside each statement.</w:t>
      </w:r>
    </w:p>
    <w:p w:rsidR="00D03A8E" w:rsidRPr="00452E2E" w:rsidRDefault="00D03A8E" w:rsidP="00D03A8E">
      <w:pPr>
        <w:spacing w:line="240" w:lineRule="auto"/>
        <w:jc w:val="both"/>
        <w:rPr>
          <w:sz w:val="16"/>
          <w:szCs w:val="16"/>
        </w:rPr>
      </w:pPr>
      <w:r w:rsidRPr="00452E2E">
        <w:rPr>
          <w:sz w:val="16"/>
          <w:szCs w:val="16"/>
        </w:rPr>
        <w:t>1= strongly disagree   2= disagree 3= neither agree nor disagree 4= agree      5= strongly agree</w:t>
      </w:r>
    </w:p>
    <w:tbl>
      <w:tblPr>
        <w:tblStyle w:val="TableGrid"/>
        <w:tblW w:w="9377" w:type="dxa"/>
        <w:tblLayout w:type="fixed"/>
        <w:tblLook w:val="04A0" w:firstRow="1" w:lastRow="0" w:firstColumn="1" w:lastColumn="0" w:noHBand="0" w:noVBand="1"/>
      </w:tblPr>
      <w:tblGrid>
        <w:gridCol w:w="297"/>
        <w:gridCol w:w="7698"/>
        <w:gridCol w:w="277"/>
        <w:gridCol w:w="276"/>
        <w:gridCol w:w="277"/>
        <w:gridCol w:w="255"/>
        <w:gridCol w:w="297"/>
      </w:tblGrid>
      <w:tr w:rsidR="00452E2E" w:rsidRPr="00452E2E" w:rsidTr="00AE2756">
        <w:trPr>
          <w:trHeight w:val="237"/>
        </w:trPr>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769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feel fairly satisfied with my present work</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7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452E2E" w:rsidRPr="00452E2E" w:rsidTr="00AE2756">
        <w:trPr>
          <w:trHeight w:val="254"/>
        </w:trPr>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769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Most days I am enthusiastic about my work</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7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452E2E" w:rsidRPr="00452E2E" w:rsidTr="00AE2756">
        <w:trPr>
          <w:trHeight w:val="254"/>
        </w:trPr>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769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Each day at work seems like it will never end (R)</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7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452E2E" w:rsidRPr="00452E2E" w:rsidTr="00AE2756">
        <w:trPr>
          <w:trHeight w:val="254"/>
        </w:trPr>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769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find real enjoyment in work</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7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r w:rsidR="00D03A8E" w:rsidRPr="00452E2E" w:rsidTr="00AE2756">
        <w:trPr>
          <w:trHeight w:val="254"/>
        </w:trPr>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lastRenderedPageBreak/>
              <w:t>5</w:t>
            </w:r>
          </w:p>
        </w:tc>
        <w:tc>
          <w:tcPr>
            <w:tcW w:w="7698"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I consider my job rather unpleasant (R)</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276"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27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255"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297"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r>
    </w:tbl>
    <w:p w:rsidR="00D03A8E" w:rsidRPr="00452E2E" w:rsidRDefault="00D03A8E" w:rsidP="00D03A8E">
      <w:pPr>
        <w:spacing w:before="240" w:line="240" w:lineRule="auto"/>
        <w:rPr>
          <w:sz w:val="16"/>
          <w:szCs w:val="16"/>
        </w:rPr>
      </w:pPr>
    </w:p>
    <w:p w:rsidR="00F638B9" w:rsidRPr="00452E2E" w:rsidRDefault="00F638B9" w:rsidP="00D03A8E">
      <w:pPr>
        <w:jc w:val="both"/>
        <w:rPr>
          <w:b/>
          <w:sz w:val="16"/>
          <w:szCs w:val="16"/>
        </w:rPr>
      </w:pPr>
    </w:p>
    <w:p w:rsidR="00D03A8E" w:rsidRPr="00452E2E" w:rsidRDefault="00D03A8E" w:rsidP="00D03A8E">
      <w:pPr>
        <w:jc w:val="both"/>
        <w:rPr>
          <w:b/>
          <w:sz w:val="16"/>
          <w:szCs w:val="16"/>
        </w:rPr>
      </w:pPr>
      <w:r w:rsidRPr="00452E2E">
        <w:rPr>
          <w:b/>
          <w:sz w:val="16"/>
          <w:szCs w:val="16"/>
        </w:rPr>
        <w:t>K.</w:t>
      </w:r>
      <w:r w:rsidRPr="00452E2E">
        <w:rPr>
          <w:b/>
          <w:sz w:val="16"/>
          <w:szCs w:val="16"/>
        </w:rPr>
        <w:tab/>
        <w:t>PROCEDURAL JUSTICE</w:t>
      </w:r>
    </w:p>
    <w:p w:rsidR="00D03A8E" w:rsidRPr="00452E2E" w:rsidRDefault="00D03A8E" w:rsidP="00D03A8E">
      <w:pPr>
        <w:jc w:val="both"/>
        <w:rPr>
          <w:sz w:val="16"/>
          <w:szCs w:val="16"/>
        </w:rPr>
      </w:pPr>
      <w:r w:rsidRPr="00452E2E">
        <w:rPr>
          <w:sz w:val="16"/>
          <w:szCs w:val="16"/>
        </w:rPr>
        <w:t>The purpose of this section is to examine your perception about fairness at your workplace. In answering the following questions, think about the day to day decisions made about worker responsibilities, schedules, rewards, and general treatment. For each statement, please indicate your degree of agreement or disagreement by circling the appropriate response according to the following scale:</w:t>
      </w:r>
    </w:p>
    <w:p w:rsidR="00D03A8E" w:rsidRPr="00452E2E" w:rsidRDefault="00D03A8E" w:rsidP="00D03A8E">
      <w:pPr>
        <w:spacing w:line="240" w:lineRule="auto"/>
        <w:jc w:val="both"/>
        <w:rPr>
          <w:sz w:val="16"/>
          <w:szCs w:val="16"/>
        </w:rPr>
      </w:pPr>
      <w:r w:rsidRPr="00452E2E">
        <w:rPr>
          <w:sz w:val="16"/>
          <w:szCs w:val="16"/>
        </w:rPr>
        <w:t>1= strongly disagree 2= moderately disagree 3= slightly disagree   4= neither agree nor disagree 5= slightly agree        6= moderately agree</w:t>
      </w:r>
    </w:p>
    <w:p w:rsidR="00D03A8E" w:rsidRPr="00452E2E" w:rsidRDefault="00D03A8E" w:rsidP="00D03A8E">
      <w:pPr>
        <w:spacing w:before="240"/>
        <w:rPr>
          <w:sz w:val="16"/>
          <w:szCs w:val="16"/>
        </w:rPr>
      </w:pPr>
      <w:r w:rsidRPr="00452E2E">
        <w:rPr>
          <w:sz w:val="16"/>
          <w:szCs w:val="16"/>
        </w:rPr>
        <w:t>7= strongly agree</w:t>
      </w:r>
    </w:p>
    <w:tbl>
      <w:tblPr>
        <w:tblStyle w:val="TableGrid"/>
        <w:tblW w:w="9462" w:type="dxa"/>
        <w:tblLook w:val="04A0" w:firstRow="1" w:lastRow="0" w:firstColumn="1" w:lastColumn="0" w:noHBand="0" w:noVBand="1"/>
      </w:tblPr>
      <w:tblGrid>
        <w:gridCol w:w="408"/>
        <w:gridCol w:w="6282"/>
        <w:gridCol w:w="330"/>
        <w:gridCol w:w="407"/>
        <w:gridCol w:w="407"/>
        <w:gridCol w:w="407"/>
        <w:gridCol w:w="407"/>
        <w:gridCol w:w="407"/>
        <w:gridCol w:w="407"/>
      </w:tblGrid>
      <w:tr w:rsidR="00452E2E" w:rsidRPr="00452E2E" w:rsidTr="00AE2756">
        <w:trPr>
          <w:trHeight w:val="39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1</w:t>
            </w:r>
          </w:p>
        </w:tc>
        <w:tc>
          <w:tcPr>
            <w:tcW w:w="62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has procedures designed to collect accurate information necessary for making decisions</w:t>
            </w:r>
          </w:p>
        </w:tc>
        <w:tc>
          <w:tcPr>
            <w:tcW w:w="33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AE2756">
        <w:trPr>
          <w:trHeight w:val="39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2</w:t>
            </w:r>
          </w:p>
        </w:tc>
        <w:tc>
          <w:tcPr>
            <w:tcW w:w="62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has procedures designed to provide opportunities to appeal or challenge decisions</w:t>
            </w:r>
          </w:p>
        </w:tc>
        <w:tc>
          <w:tcPr>
            <w:tcW w:w="33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AE2756">
        <w:trPr>
          <w:trHeight w:val="39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3</w:t>
            </w:r>
          </w:p>
        </w:tc>
        <w:tc>
          <w:tcPr>
            <w:tcW w:w="62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has procedures designed to have all the sides affected by decisions represented</w:t>
            </w:r>
          </w:p>
        </w:tc>
        <w:tc>
          <w:tcPr>
            <w:tcW w:w="33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AE2756">
        <w:trPr>
          <w:trHeight w:val="383"/>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4</w:t>
            </w:r>
          </w:p>
        </w:tc>
        <w:tc>
          <w:tcPr>
            <w:tcW w:w="62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has procedures designed to generate standards so that decisions could be made with consistency</w:t>
            </w:r>
          </w:p>
        </w:tc>
        <w:tc>
          <w:tcPr>
            <w:tcW w:w="33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AE2756">
        <w:trPr>
          <w:trHeight w:val="39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5</w:t>
            </w:r>
          </w:p>
        </w:tc>
        <w:tc>
          <w:tcPr>
            <w:tcW w:w="62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has procedures designed to provide useful feedback regarding decisions and its implementation</w:t>
            </w:r>
          </w:p>
        </w:tc>
        <w:tc>
          <w:tcPr>
            <w:tcW w:w="33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452E2E" w:rsidRPr="00452E2E" w:rsidTr="00AE2756">
        <w:trPr>
          <w:trHeight w:val="396"/>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6</w:t>
            </w:r>
          </w:p>
        </w:tc>
        <w:tc>
          <w:tcPr>
            <w:tcW w:w="62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has procedures designed to hear the concerns of all those affected by decisions</w:t>
            </w:r>
          </w:p>
        </w:tc>
        <w:tc>
          <w:tcPr>
            <w:tcW w:w="33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r w:rsidR="00D03A8E" w:rsidRPr="00452E2E" w:rsidTr="00AE2756">
        <w:trPr>
          <w:trHeight w:val="409"/>
        </w:trPr>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7</w:t>
            </w:r>
          </w:p>
        </w:tc>
        <w:tc>
          <w:tcPr>
            <w:tcW w:w="6282"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r w:rsidRPr="00452E2E">
              <w:rPr>
                <w:sz w:val="16"/>
                <w:szCs w:val="16"/>
              </w:rPr>
              <w:t>My present organization has procedures designed to allow for requests for clarification or additional information about decisions</w:t>
            </w:r>
          </w:p>
        </w:tc>
        <w:tc>
          <w:tcPr>
            <w:tcW w:w="330" w:type="dxa"/>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1</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2</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3</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4</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5</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6</w:t>
            </w:r>
          </w:p>
        </w:tc>
        <w:tc>
          <w:tcPr>
            <w:tcW w:w="0" w:type="auto"/>
            <w:tcBorders>
              <w:top w:val="single" w:sz="4" w:space="0" w:color="FFFFFF"/>
              <w:left w:val="single" w:sz="4" w:space="0" w:color="FFFFFF"/>
              <w:bottom w:val="single" w:sz="4" w:space="0" w:color="FFFFFF"/>
              <w:right w:val="single" w:sz="4" w:space="0" w:color="FFFFFF"/>
            </w:tcBorders>
          </w:tcPr>
          <w:p w:rsidR="00D03A8E" w:rsidRPr="00452E2E" w:rsidRDefault="00D03A8E" w:rsidP="00B57950">
            <w:pPr>
              <w:rPr>
                <w:sz w:val="16"/>
                <w:szCs w:val="16"/>
              </w:rPr>
            </w:pPr>
          </w:p>
          <w:p w:rsidR="00D03A8E" w:rsidRPr="00452E2E" w:rsidRDefault="00D03A8E" w:rsidP="00B57950">
            <w:pPr>
              <w:rPr>
                <w:sz w:val="16"/>
                <w:szCs w:val="16"/>
              </w:rPr>
            </w:pPr>
            <w:r w:rsidRPr="00452E2E">
              <w:rPr>
                <w:sz w:val="16"/>
                <w:szCs w:val="16"/>
              </w:rPr>
              <w:t>7</w:t>
            </w:r>
          </w:p>
        </w:tc>
      </w:tr>
    </w:tbl>
    <w:p w:rsidR="00D03A8E" w:rsidRPr="00452E2E" w:rsidRDefault="00D03A8E" w:rsidP="00D03A8E">
      <w:pPr>
        <w:autoSpaceDE w:val="0"/>
        <w:autoSpaceDN w:val="0"/>
        <w:adjustRightInd w:val="0"/>
        <w:spacing w:after="0" w:line="240" w:lineRule="auto"/>
        <w:rPr>
          <w:b/>
          <w:sz w:val="18"/>
          <w:szCs w:val="18"/>
        </w:rPr>
      </w:pPr>
    </w:p>
    <w:p w:rsidR="00B00321" w:rsidRPr="00452E2E" w:rsidRDefault="00B00321" w:rsidP="00D03A8E">
      <w:pPr>
        <w:spacing w:after="200" w:line="276" w:lineRule="auto"/>
        <w:rPr>
          <w:b/>
          <w:sz w:val="18"/>
          <w:szCs w:val="18"/>
        </w:rPr>
        <w:sectPr w:rsidR="00B00321" w:rsidRPr="00452E2E" w:rsidSect="00B57950">
          <w:pgSz w:w="11906" w:h="16838"/>
          <w:pgMar w:top="1440" w:right="1440" w:bottom="1440" w:left="2268" w:header="709" w:footer="709" w:gutter="0"/>
          <w:cols w:space="708"/>
          <w:docGrid w:linePitch="360"/>
        </w:sectPr>
      </w:pPr>
    </w:p>
    <w:p w:rsidR="00D03A8E" w:rsidRPr="00452E2E" w:rsidRDefault="00D03A8E" w:rsidP="001D104C">
      <w:pPr>
        <w:pStyle w:val="Heading2"/>
      </w:pPr>
      <w:bookmarkStart w:id="258" w:name="_Toc465271233"/>
      <w:bookmarkStart w:id="259" w:name="_Toc473808225"/>
      <w:r w:rsidRPr="00452E2E">
        <w:lastRenderedPageBreak/>
        <w:t xml:space="preserve">Appendix </w:t>
      </w:r>
      <w:r w:rsidR="001D104C" w:rsidRPr="00452E2E">
        <w:t>9</w:t>
      </w:r>
      <w:r w:rsidRPr="00452E2E">
        <w:t>: Example of Regression Plots Showing Non-normality of Residuals</w:t>
      </w:r>
      <w:bookmarkEnd w:id="258"/>
      <w:bookmarkEnd w:id="259"/>
    </w:p>
    <w:p w:rsidR="00D03A8E" w:rsidRPr="00452E2E" w:rsidRDefault="00D03A8E" w:rsidP="00D03A8E">
      <w:pPr>
        <w:autoSpaceDE w:val="0"/>
        <w:autoSpaceDN w:val="0"/>
        <w:adjustRightInd w:val="0"/>
        <w:rPr>
          <w:noProof/>
          <w:lang w:eastAsia="en-GB"/>
        </w:rPr>
      </w:pPr>
    </w:p>
    <w:p w:rsidR="00D03A8E" w:rsidRPr="00452E2E" w:rsidRDefault="00D03A8E" w:rsidP="00D03A8E">
      <w:pPr>
        <w:autoSpaceDE w:val="0"/>
        <w:autoSpaceDN w:val="0"/>
        <w:adjustRightInd w:val="0"/>
      </w:pPr>
      <w:r w:rsidRPr="00452E2E">
        <w:rPr>
          <w:noProof/>
          <w:lang w:eastAsia="en-GB"/>
        </w:rPr>
        <w:drawing>
          <wp:inline distT="0" distB="0" distL="0" distR="0" wp14:anchorId="52C54778" wp14:editId="75539617">
            <wp:extent cx="5253692" cy="3028950"/>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5963" cy="3030259"/>
                    </a:xfrm>
                    <a:prstGeom prst="rect">
                      <a:avLst/>
                    </a:prstGeom>
                    <a:noFill/>
                    <a:ln>
                      <a:noFill/>
                    </a:ln>
                  </pic:spPr>
                </pic:pic>
              </a:graphicData>
            </a:graphic>
          </wp:inline>
        </w:drawing>
      </w:r>
    </w:p>
    <w:p w:rsidR="00D03A8E" w:rsidRPr="00452E2E" w:rsidRDefault="00D03A8E" w:rsidP="00D03A8E">
      <w:pPr>
        <w:autoSpaceDE w:val="0"/>
        <w:autoSpaceDN w:val="0"/>
        <w:adjustRightInd w:val="0"/>
      </w:pPr>
    </w:p>
    <w:p w:rsidR="00D03A8E" w:rsidRPr="00452E2E" w:rsidRDefault="00D03A8E" w:rsidP="00D03A8E">
      <w:pPr>
        <w:autoSpaceDE w:val="0"/>
        <w:autoSpaceDN w:val="0"/>
        <w:adjustRightInd w:val="0"/>
        <w:spacing w:line="400" w:lineRule="atLeast"/>
      </w:pPr>
    </w:p>
    <w:p w:rsidR="00D03A8E" w:rsidRPr="00452E2E" w:rsidRDefault="00D03A8E" w:rsidP="00D03A8E">
      <w:pPr>
        <w:autoSpaceDE w:val="0"/>
        <w:autoSpaceDN w:val="0"/>
        <w:adjustRightInd w:val="0"/>
      </w:pPr>
      <w:r w:rsidRPr="00452E2E">
        <w:rPr>
          <w:noProof/>
          <w:lang w:eastAsia="en-GB"/>
        </w:rPr>
        <w:drawing>
          <wp:inline distT="0" distB="0" distL="0" distR="0" wp14:anchorId="22B1E5D8" wp14:editId="1DCB621E">
            <wp:extent cx="4838700" cy="3042920"/>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6778" cy="3048000"/>
                    </a:xfrm>
                    <a:prstGeom prst="rect">
                      <a:avLst/>
                    </a:prstGeom>
                    <a:noFill/>
                    <a:ln>
                      <a:noFill/>
                    </a:ln>
                  </pic:spPr>
                </pic:pic>
              </a:graphicData>
            </a:graphic>
          </wp:inline>
        </w:drawing>
      </w:r>
    </w:p>
    <w:p w:rsidR="00D03A8E" w:rsidRPr="00452E2E" w:rsidRDefault="00D03A8E" w:rsidP="00D03A8E">
      <w:pPr>
        <w:autoSpaceDE w:val="0"/>
        <w:autoSpaceDN w:val="0"/>
        <w:adjustRightInd w:val="0"/>
      </w:pPr>
    </w:p>
    <w:p w:rsidR="00D03A8E" w:rsidRPr="00452E2E" w:rsidRDefault="00D03A8E" w:rsidP="00D03A8E">
      <w:pPr>
        <w:autoSpaceDE w:val="0"/>
        <w:autoSpaceDN w:val="0"/>
        <w:adjustRightInd w:val="0"/>
        <w:spacing w:line="400" w:lineRule="atLeast"/>
      </w:pPr>
    </w:p>
    <w:p w:rsidR="00D03A8E" w:rsidRPr="00452E2E" w:rsidRDefault="00D03A8E" w:rsidP="00D03A8E"/>
    <w:sectPr w:rsidR="00D03A8E" w:rsidRPr="00452E2E" w:rsidSect="00B57950">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6571" w:rsidRDefault="00B26571" w:rsidP="00D03A8E">
      <w:pPr>
        <w:spacing w:after="0" w:line="240" w:lineRule="auto"/>
      </w:pPr>
      <w:r>
        <w:separator/>
      </w:r>
    </w:p>
  </w:endnote>
  <w:endnote w:type="continuationSeparator" w:id="0">
    <w:p w:rsidR="00B26571" w:rsidRDefault="00B26571" w:rsidP="00D03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DengXian">
    <w:altName w:val="等线"/>
    <w:charset w:val="86"/>
    <w:family w:val="script"/>
    <w:pitch w:val="fixed"/>
    <w:sig w:usb0="800002BF" w:usb1="38CF7CFA" w:usb2="00000016" w:usb3="00000000" w:csb0="00040001" w:csb1="00000000"/>
  </w:font>
  <w:font w:name="Viner Hand ITC">
    <w:panose1 w:val="0307050203050202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toneSerifStd-MediumItalic">
    <w:panose1 w:val="00000000000000000000"/>
    <w:charset w:val="00"/>
    <w:family w:val="auto"/>
    <w:notTrueType/>
    <w:pitch w:val="default"/>
    <w:sig w:usb0="00000003" w:usb1="00000000" w:usb2="00000000" w:usb3="00000000" w:csb0="00000001" w:csb1="00000000"/>
  </w:font>
  <w:font w:name="StoneSerifStd-Medium">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639324"/>
      <w:docPartObj>
        <w:docPartGallery w:val="Page Numbers (Bottom of Page)"/>
        <w:docPartUnique/>
      </w:docPartObj>
    </w:sdtPr>
    <w:sdtEndPr>
      <w:rPr>
        <w:noProof/>
      </w:rPr>
    </w:sdtEndPr>
    <w:sdtContent>
      <w:p w:rsidR="00FD1596" w:rsidRDefault="00FD1596">
        <w:pPr>
          <w:pStyle w:val="Footer"/>
          <w:jc w:val="center"/>
        </w:pPr>
        <w:r>
          <w:fldChar w:fldCharType="begin"/>
        </w:r>
        <w:r w:rsidRPr="00A2662B">
          <w:instrText xml:space="preserve"> PAGE   \* MERGEFORMAT </w:instrText>
        </w:r>
        <w:r>
          <w:fldChar w:fldCharType="separate"/>
        </w:r>
        <w:r w:rsidR="00937762">
          <w:rPr>
            <w:noProof/>
          </w:rPr>
          <w:t>5</w:t>
        </w:r>
        <w:r>
          <w:rPr>
            <w:noProof/>
          </w:rPr>
          <w:fldChar w:fldCharType="end"/>
        </w:r>
      </w:p>
    </w:sdtContent>
  </w:sdt>
  <w:p w:rsidR="00FD1596" w:rsidRDefault="00FD1596" w:rsidP="00B57950">
    <w:pPr>
      <w:tabs>
        <w:tab w:val="left" w:pos="317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596" w:rsidRDefault="00FD1596">
    <w:pPr>
      <w:pStyle w:val="Footer"/>
      <w:jc w:val="center"/>
    </w:pPr>
  </w:p>
  <w:p w:rsidR="00FD1596" w:rsidRDefault="00FD159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892820"/>
      <w:docPartObj>
        <w:docPartGallery w:val="Page Numbers (Bottom of Page)"/>
        <w:docPartUnique/>
      </w:docPartObj>
    </w:sdtPr>
    <w:sdtEndPr>
      <w:rPr>
        <w:noProof/>
      </w:rPr>
    </w:sdtEndPr>
    <w:sdtContent>
      <w:p w:rsidR="00FD1596" w:rsidRDefault="00FD1596">
        <w:pPr>
          <w:pStyle w:val="Footer"/>
          <w:jc w:val="center"/>
        </w:pPr>
        <w:r>
          <w:fldChar w:fldCharType="begin"/>
        </w:r>
        <w:r>
          <w:instrText xml:space="preserve"> PAGE   \* MERGEFORMAT </w:instrText>
        </w:r>
        <w:r>
          <w:fldChar w:fldCharType="separate"/>
        </w:r>
        <w:r w:rsidR="00937762">
          <w:rPr>
            <w:noProof/>
          </w:rPr>
          <w:t>xi</w:t>
        </w:r>
        <w:r>
          <w:rPr>
            <w:noProof/>
          </w:rPr>
          <w:fldChar w:fldCharType="end"/>
        </w:r>
      </w:p>
    </w:sdtContent>
  </w:sdt>
  <w:p w:rsidR="00FD1596" w:rsidRDefault="00FD159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380859"/>
      <w:docPartObj>
        <w:docPartGallery w:val="Page Numbers (Bottom of Page)"/>
        <w:docPartUnique/>
      </w:docPartObj>
    </w:sdtPr>
    <w:sdtEndPr>
      <w:rPr>
        <w:noProof/>
      </w:rPr>
    </w:sdtEndPr>
    <w:sdtContent>
      <w:p w:rsidR="00FD1596" w:rsidRDefault="00FD1596">
        <w:pPr>
          <w:pStyle w:val="Footer"/>
          <w:jc w:val="center"/>
        </w:pPr>
        <w:r>
          <w:fldChar w:fldCharType="begin"/>
        </w:r>
        <w:r w:rsidRPr="00A2662B">
          <w:instrText xml:space="preserve"> PAGE   \* MERGEFORMAT </w:instrText>
        </w:r>
        <w:r>
          <w:fldChar w:fldCharType="separate"/>
        </w:r>
        <w:r w:rsidR="0093472A">
          <w:rPr>
            <w:noProof/>
          </w:rPr>
          <w:t>146</w:t>
        </w:r>
        <w:r>
          <w:rPr>
            <w:noProof/>
          </w:rPr>
          <w:fldChar w:fldCharType="end"/>
        </w:r>
      </w:p>
    </w:sdtContent>
  </w:sdt>
  <w:p w:rsidR="00FD1596" w:rsidRDefault="00FD1596" w:rsidP="00B57950">
    <w:pPr>
      <w:tabs>
        <w:tab w:val="left" w:pos="317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6571" w:rsidRDefault="00B26571" w:rsidP="00D03A8E">
      <w:pPr>
        <w:spacing w:after="0" w:line="240" w:lineRule="auto"/>
      </w:pPr>
      <w:r>
        <w:separator/>
      </w:r>
    </w:p>
  </w:footnote>
  <w:footnote w:type="continuationSeparator" w:id="0">
    <w:p w:rsidR="00B26571" w:rsidRDefault="00B26571" w:rsidP="00D03A8E">
      <w:pPr>
        <w:spacing w:after="0" w:line="240" w:lineRule="auto"/>
      </w:pPr>
      <w:r>
        <w:continuationSeparator/>
      </w:r>
    </w:p>
  </w:footnote>
  <w:footnote w:id="1">
    <w:p w:rsidR="00FD1596" w:rsidRDefault="00FD1596">
      <w:pPr>
        <w:pStyle w:val="FootnoteText"/>
      </w:pPr>
      <w:r w:rsidRPr="00BE5AF1">
        <w:rPr>
          <w:rStyle w:val="FootnoteReference"/>
        </w:rPr>
        <w:footnoteRef/>
      </w:r>
      <w:r>
        <w:t xml:space="preserve"> </w:t>
      </w:r>
      <w:r w:rsidRPr="00311620">
        <w:rPr>
          <w:color w:val="4472C4" w:themeColor="accent5"/>
          <w:sz w:val="16"/>
          <w:szCs w:val="16"/>
        </w:rPr>
        <w:t>Mexico, Indonesia, Nigeria and Turkey</w:t>
      </w:r>
    </w:p>
  </w:footnote>
  <w:footnote w:id="2">
    <w:p w:rsidR="00FD1596" w:rsidRPr="00C705FF" w:rsidRDefault="00FD1596">
      <w:pPr>
        <w:pStyle w:val="FootnoteText"/>
        <w:rPr>
          <w:sz w:val="16"/>
          <w:szCs w:val="16"/>
        </w:rPr>
      </w:pPr>
      <w:r w:rsidRPr="00BE5AF1">
        <w:rPr>
          <w:rStyle w:val="FootnoteReference"/>
        </w:rPr>
        <w:footnoteRef/>
      </w:r>
      <w:r>
        <w:t xml:space="preserve"> </w:t>
      </w:r>
      <w:r>
        <w:rPr>
          <w:sz w:val="16"/>
          <w:szCs w:val="16"/>
        </w:rPr>
        <w:t xml:space="preserve">These two models of HRM have been referred to either as ‘instrumental versus stakeholder models’or ‘control versus commitment models’ of HRM respectively. </w:t>
      </w:r>
    </w:p>
  </w:footnote>
  <w:footnote w:id="3">
    <w:p w:rsidR="00FD1596" w:rsidRPr="000373E6" w:rsidRDefault="00FD1596">
      <w:pPr>
        <w:pStyle w:val="FootnoteText"/>
        <w:rPr>
          <w:color w:val="4472C4" w:themeColor="accent5"/>
        </w:rPr>
      </w:pPr>
      <w:r w:rsidRPr="00BE5AF1">
        <w:rPr>
          <w:rStyle w:val="FootnoteReference"/>
        </w:rPr>
        <w:footnoteRef/>
      </w:r>
      <w:r>
        <w:t xml:space="preserve"> </w:t>
      </w:r>
      <w:r w:rsidRPr="000373E6">
        <w:rPr>
          <w:color w:val="4472C4" w:themeColor="accent5"/>
          <w:sz w:val="16"/>
          <w:szCs w:val="16"/>
        </w:rPr>
        <w:t>HIWS are a set of practices aimed at treating employees as partners in the organization through communication and involvement (Katou &amp; Budhwar, 2014).</w:t>
      </w:r>
    </w:p>
  </w:footnote>
  <w:footnote w:id="4">
    <w:p w:rsidR="00FD1596" w:rsidRDefault="00FD1596">
      <w:pPr>
        <w:pStyle w:val="FootnoteText"/>
      </w:pPr>
      <w:r w:rsidRPr="00BE5AF1">
        <w:rPr>
          <w:rStyle w:val="FootnoteReference"/>
        </w:rPr>
        <w:footnoteRef/>
      </w:r>
      <w:r w:rsidRPr="000373E6">
        <w:rPr>
          <w:color w:val="4472C4" w:themeColor="accent5"/>
        </w:rPr>
        <w:t xml:space="preserve"> </w:t>
      </w:r>
      <w:r w:rsidRPr="000373E6">
        <w:rPr>
          <w:color w:val="4472C4" w:themeColor="accent5"/>
          <w:sz w:val="16"/>
          <w:szCs w:val="16"/>
        </w:rPr>
        <w:t>HPWS are a set of interrelated HR practices that together improve organizational performance (Katou &amp; Budhwar, 2014)</w:t>
      </w:r>
      <w:r w:rsidRPr="00FB4142">
        <w:rPr>
          <w:sz w:val="16"/>
          <w:szCs w:val="16"/>
        </w:rPr>
        <w:t>.</w:t>
      </w:r>
    </w:p>
  </w:footnote>
  <w:footnote w:id="5">
    <w:p w:rsidR="00FD1596" w:rsidRDefault="00FD1596" w:rsidP="00D03A8E">
      <w:pPr>
        <w:pStyle w:val="FootnoteText"/>
        <w:jc w:val="both"/>
      </w:pPr>
      <w:r w:rsidRPr="00BE5AF1">
        <w:rPr>
          <w:rStyle w:val="FootnoteReference"/>
        </w:rPr>
        <w:footnoteRef/>
      </w:r>
      <w:r>
        <w:t xml:space="preserve"> </w:t>
      </w:r>
      <w:r>
        <w:rPr>
          <w:sz w:val="16"/>
          <w:szCs w:val="16"/>
        </w:rPr>
        <w:t xml:space="preserve">Perhaps, a caveat is necessary here: I do not claim to sample all organizations that are located in the 11 cities selected for this research. This is because whilst the phone numbers of organizations were obtained from a national directory of public and private organizations, I am aware that some organizations in these locations were not enlisted on the directory. However, there was no other way I could contact these organizations. Again, even those that were enlisted, not all had active telephone lines whilst in some cases, even when the phone was active, the calls to the phone were not answered after repeated calls. As a result, the only feasible approach was to study organizations that were accessible. This underscores some of the challenges of conducting research in a developing country context. </w:t>
      </w:r>
    </w:p>
  </w:footnote>
  <w:footnote w:id="6">
    <w:p w:rsidR="00FD1596" w:rsidRDefault="00FD1596" w:rsidP="00D03A8E">
      <w:pPr>
        <w:pStyle w:val="FootnoteText"/>
        <w:jc w:val="both"/>
      </w:pPr>
      <w:r w:rsidRPr="00BE5AF1">
        <w:rPr>
          <w:rStyle w:val="FootnoteReference"/>
        </w:rPr>
        <w:footnoteRef/>
      </w:r>
      <w:r>
        <w:t xml:space="preserve"> </w:t>
      </w:r>
      <w:r>
        <w:rPr>
          <w:sz w:val="16"/>
          <w:szCs w:val="16"/>
        </w:rPr>
        <w:t>Although the complete version of the questionnaire was not published in the research, the authors shared the questionnaire with me via an email communication with them.</w:t>
      </w:r>
    </w:p>
  </w:footnote>
  <w:footnote w:id="7">
    <w:p w:rsidR="00FD1596" w:rsidRDefault="00FD1596" w:rsidP="00D03A8E">
      <w:pPr>
        <w:pStyle w:val="FootnoteText"/>
      </w:pPr>
      <w:r w:rsidRPr="00BE5AF1">
        <w:rPr>
          <w:rStyle w:val="FootnoteReference"/>
        </w:rPr>
        <w:footnoteRef/>
      </w:r>
      <w:r>
        <w:t xml:space="preserve"> </w:t>
      </w:r>
      <w:r>
        <w:rPr>
          <w:sz w:val="16"/>
          <w:szCs w:val="16"/>
        </w:rPr>
        <w:t>A small research grant from Sheffield University Management School facilitated my accommodation and travel within Nigeria</w:t>
      </w:r>
    </w:p>
  </w:footnote>
  <w:footnote w:id="8">
    <w:p w:rsidR="00FD1596" w:rsidRDefault="00FD1596" w:rsidP="00D03A8E">
      <w:pPr>
        <w:pStyle w:val="FootnoteText"/>
        <w:jc w:val="both"/>
      </w:pPr>
      <w:r w:rsidRPr="00BE5AF1">
        <w:rPr>
          <w:rStyle w:val="FootnoteReference"/>
        </w:rPr>
        <w:footnoteRef/>
      </w:r>
      <w:r>
        <w:t xml:space="preserve"> </w:t>
      </w:r>
      <w:r>
        <w:rPr>
          <w:sz w:val="16"/>
          <w:szCs w:val="16"/>
        </w:rPr>
        <w:t>These public banks are also referred to as development financial institutions due to the kind of services they offer.</w:t>
      </w:r>
    </w:p>
  </w:footnote>
  <w:footnote w:id="9">
    <w:p w:rsidR="00FD1596" w:rsidRDefault="00FD1596" w:rsidP="00D03A8E">
      <w:pPr>
        <w:pStyle w:val="FootnoteText"/>
        <w:jc w:val="both"/>
      </w:pPr>
      <w:r w:rsidRPr="00BE5AF1">
        <w:rPr>
          <w:rStyle w:val="FootnoteReference"/>
        </w:rPr>
        <w:footnoteRef/>
      </w:r>
      <w:r>
        <w:t xml:space="preserve"> </w:t>
      </w:r>
      <w:r>
        <w:rPr>
          <w:sz w:val="16"/>
          <w:szCs w:val="16"/>
        </w:rPr>
        <w:t>The initial plan was to interview 3 HR managers in each category. However, because the employee surveys were to be administered in the organizations in which managers participated in the interviews, it was envisaged that it would be difficult to sample 250 respondents in only 3 private hospitals based on their size relative to other categories of organizations in this research. Therefore, the sample size for private hospitals was increased to 4 in order to accommodate the administration of employee surveys.</w:t>
      </w:r>
    </w:p>
  </w:footnote>
  <w:footnote w:id="10">
    <w:p w:rsidR="00FD1596" w:rsidRPr="00AC70FF" w:rsidRDefault="00FD1596">
      <w:pPr>
        <w:pStyle w:val="FootnoteText"/>
        <w:rPr>
          <w:sz w:val="16"/>
          <w:szCs w:val="16"/>
        </w:rPr>
      </w:pPr>
      <w:r w:rsidRPr="00BE5AF1">
        <w:rPr>
          <w:rStyle w:val="FootnoteReference"/>
        </w:rPr>
        <w:footnoteRef/>
      </w:r>
      <w:r>
        <w:t xml:space="preserve"> </w:t>
      </w:r>
      <w:r>
        <w:rPr>
          <w:sz w:val="16"/>
          <w:szCs w:val="16"/>
        </w:rPr>
        <w:t>The corresponding author shared the complete measures for this construct with me via email correspondence.</w:t>
      </w:r>
    </w:p>
  </w:footnote>
  <w:footnote w:id="11">
    <w:p w:rsidR="00FD1596" w:rsidRDefault="00FD1596">
      <w:pPr>
        <w:pStyle w:val="FootnoteText"/>
      </w:pPr>
      <w:r w:rsidRPr="00BE5AF1">
        <w:rPr>
          <w:rStyle w:val="FootnoteReference"/>
        </w:rPr>
        <w:footnoteRef/>
      </w:r>
      <w:r>
        <w:t xml:space="preserve"> </w:t>
      </w:r>
      <w:r w:rsidRPr="00AC70FF">
        <w:rPr>
          <w:sz w:val="16"/>
          <w:szCs w:val="16"/>
        </w:rPr>
        <w:t>Ibid</w:t>
      </w:r>
      <w:r>
        <w:rPr>
          <w:sz w:val="16"/>
          <w:szCs w:val="16"/>
        </w:rPr>
        <w:t>.</w:t>
      </w:r>
    </w:p>
  </w:footnote>
  <w:footnote w:id="12">
    <w:p w:rsidR="00FD1596" w:rsidRDefault="00FD1596" w:rsidP="00D03A8E">
      <w:pPr>
        <w:pStyle w:val="FootnoteText"/>
        <w:jc w:val="both"/>
      </w:pPr>
      <w:r w:rsidRPr="00BE5AF1">
        <w:rPr>
          <w:rStyle w:val="FootnoteReference"/>
        </w:rPr>
        <w:footnoteRef/>
      </w:r>
      <w:r>
        <w:t xml:space="preserve"> </w:t>
      </w:r>
      <w:r>
        <w:rPr>
          <w:sz w:val="16"/>
          <w:szCs w:val="16"/>
        </w:rPr>
        <w:t xml:space="preserve">The monthly pay is stated in </w:t>
      </w:r>
      <w:r w:rsidRPr="006922A8">
        <w:rPr>
          <w:sz w:val="16"/>
          <w:szCs w:val="16"/>
        </w:rPr>
        <w:t xml:space="preserve">Nigerian currency which is the Naira. Presently, £1 is exchanging for 407 Naira. The exchange rate however is unstable </w:t>
      </w:r>
      <w:r>
        <w:rPr>
          <w:sz w:val="16"/>
          <w:szCs w:val="16"/>
        </w:rPr>
        <w:t>and</w:t>
      </w:r>
      <w:r w:rsidRPr="006922A8">
        <w:rPr>
          <w:sz w:val="16"/>
          <w:szCs w:val="16"/>
        </w:rPr>
        <w:t xml:space="preserve"> continues to worsen against the local currency as a result of currency devaluation initiatives imposed on the country by the IMF.</w:t>
      </w:r>
      <w:r>
        <w:t xml:space="preserve"> </w:t>
      </w:r>
    </w:p>
  </w:footnote>
  <w:footnote w:id="13">
    <w:p w:rsidR="00FD1596" w:rsidRDefault="00FD1596" w:rsidP="007257AA">
      <w:pPr>
        <w:pStyle w:val="FootnoteText"/>
        <w:jc w:val="both"/>
      </w:pPr>
      <w:r w:rsidRPr="00BE5AF1">
        <w:rPr>
          <w:rStyle w:val="FootnoteReference"/>
        </w:rPr>
        <w:footnoteRef/>
      </w:r>
      <w:r w:rsidRPr="007B07CB">
        <w:rPr>
          <w:color w:val="4472C4" w:themeColor="accent5"/>
        </w:rPr>
        <w:t xml:space="preserve"> </w:t>
      </w:r>
      <w:r w:rsidRPr="007B07CB">
        <w:rPr>
          <w:color w:val="4472C4" w:themeColor="accent5"/>
          <w:sz w:val="16"/>
          <w:szCs w:val="16"/>
        </w:rPr>
        <w:t>Factor analysis was not conducted in study 1 because the items measuring the techniques of HRM were based on Yes/No responses therefore there was no question of unidimensionality or validity of the constructs. On the other hand, whilst the items measuring institutional variables in study 1 were based on Likert-type responses, each of the institutional variables were distinct, meaning that they were not intended to measure an underlying construct. Hence, it was not appropriate to conduct a factor analysis in study 1 (See Dawson, 2016).</w:t>
      </w:r>
      <w:r>
        <w:rPr>
          <w:sz w:val="16"/>
          <w:szCs w:val="16"/>
        </w:rPr>
        <w:t xml:space="preserve"> </w:t>
      </w:r>
    </w:p>
  </w:footnote>
  <w:footnote w:id="14">
    <w:p w:rsidR="00FD1596" w:rsidRDefault="00FD1596" w:rsidP="00D03A8E">
      <w:pPr>
        <w:pStyle w:val="FootnoteText"/>
      </w:pPr>
      <w:r w:rsidRPr="00BE5AF1">
        <w:rPr>
          <w:rStyle w:val="FootnoteReference"/>
        </w:rPr>
        <w:footnoteRef/>
      </w:r>
      <w:r>
        <w:t xml:space="preserve"> </w:t>
      </w:r>
      <w:r>
        <w:rPr>
          <w:sz w:val="16"/>
          <w:szCs w:val="16"/>
        </w:rPr>
        <w:t>C</w:t>
      </w:r>
      <w:r w:rsidRPr="00436558">
        <w:rPr>
          <w:sz w:val="16"/>
          <w:szCs w:val="16"/>
        </w:rPr>
        <w:t xml:space="preserve">omposite reliabilities </w:t>
      </w:r>
      <w:r>
        <w:rPr>
          <w:sz w:val="16"/>
          <w:szCs w:val="16"/>
        </w:rPr>
        <w:t>(CR) versus AVE can also be used as an indicator</w:t>
      </w:r>
      <w:r w:rsidRPr="00436558">
        <w:rPr>
          <w:sz w:val="16"/>
          <w:szCs w:val="16"/>
        </w:rPr>
        <w:t xml:space="preserve"> for convergent validity</w:t>
      </w:r>
      <w:r>
        <w:rPr>
          <w:sz w:val="16"/>
          <w:szCs w:val="16"/>
        </w:rPr>
        <w:t xml:space="preserve"> whereby </w:t>
      </w:r>
      <w:r w:rsidRPr="00436558">
        <w:rPr>
          <w:sz w:val="16"/>
          <w:szCs w:val="16"/>
        </w:rPr>
        <w:t xml:space="preserve"> </w:t>
      </w:r>
      <w:r>
        <w:rPr>
          <w:sz w:val="16"/>
          <w:szCs w:val="16"/>
        </w:rPr>
        <w:t xml:space="preserve">CR &gt; AVE </w:t>
      </w:r>
      <w:r w:rsidRPr="00436558">
        <w:rPr>
          <w:sz w:val="16"/>
          <w:szCs w:val="16"/>
        </w:rPr>
        <w:fldChar w:fldCharType="begin" w:fldLock="1"/>
      </w:r>
      <w:r w:rsidRPr="00436558">
        <w:rPr>
          <w:sz w:val="16"/>
          <w:szCs w:val="16"/>
        </w:rPr>
        <w:instrText>ADDIN CSL_CITATION { "citationItems" : [ { "id" : "ITEM-1", "itemData" : { "author" : [ { "dropping-particle" : "", "family" : "Malhotra", "given" : "N.K", "non-dropping-particle" : "", "parse-names" : false, "suffix" : "" }, { "dropping-particle" : "", "family" : "Dash", "given" : "S", "non-dropping-particle" : "", "parse-names" : false, "suffix" : "" } ], "id" : "ITEM-1", "issued" : { "date-parts" : [ [ "2011" ] ] }, "publisher" : "Pearson", "publisher-place" : "London", "title" : "Marketing research: an applied orientation", "type" : "book" }, "uris" : [ "http://www.mendeley.com/documents/?uuid=1514d9e6-b9c5-4742-b4d4-35319ca9a4fb" ] } ], "mendeley" : { "formattedCitation" : "(Malhotra &amp; Dash 2011)", "manualFormatting" : "(Malhotra &amp; Dash, 2011)", "plainTextFormattedCitation" : "(Malhotra &amp; Dash 2011)", "previouslyFormattedCitation" : "(Malhotra &amp; Dash 2011)" }, "properties" : { "noteIndex" : 0 }, "schema" : "https://github.com/citation-style-language/schema/raw/master/csl-citation.json" }</w:instrText>
      </w:r>
      <w:r w:rsidRPr="00436558">
        <w:rPr>
          <w:sz w:val="16"/>
          <w:szCs w:val="16"/>
        </w:rPr>
        <w:fldChar w:fldCharType="separate"/>
      </w:r>
      <w:r w:rsidRPr="00436558">
        <w:rPr>
          <w:noProof/>
          <w:sz w:val="16"/>
          <w:szCs w:val="16"/>
        </w:rPr>
        <w:t>(Malhotra &amp; Dash, 2011)</w:t>
      </w:r>
      <w:r w:rsidRPr="00436558">
        <w:rPr>
          <w:sz w:val="16"/>
          <w:szCs w:val="16"/>
        </w:rPr>
        <w:fldChar w:fldCharType="end"/>
      </w:r>
      <w:r>
        <w:rPr>
          <w:sz w:val="16"/>
          <w:szCs w:val="16"/>
        </w:rPr>
        <w:t>. Again, table 7.3</w:t>
      </w:r>
      <w:r w:rsidRPr="00436558">
        <w:rPr>
          <w:sz w:val="16"/>
          <w:szCs w:val="16"/>
        </w:rPr>
        <w:t xml:space="preserve"> shows that </w:t>
      </w:r>
      <w:r>
        <w:rPr>
          <w:sz w:val="16"/>
          <w:szCs w:val="16"/>
        </w:rPr>
        <w:t>CR &gt;AVE</w:t>
      </w:r>
      <w:r w:rsidRPr="00436558">
        <w:rPr>
          <w:sz w:val="16"/>
          <w:szCs w:val="16"/>
        </w:rPr>
        <w:t xml:space="preserve"> </w:t>
      </w:r>
      <w:r>
        <w:rPr>
          <w:sz w:val="16"/>
          <w:szCs w:val="16"/>
        </w:rPr>
        <w:t>for each construct</w:t>
      </w:r>
      <w:r w:rsidRPr="00436558">
        <w:rPr>
          <w:sz w:val="16"/>
          <w:szCs w:val="16"/>
        </w:rPr>
        <w:t xml:space="preserve"> which is a further </w:t>
      </w:r>
      <w:r>
        <w:rPr>
          <w:sz w:val="16"/>
          <w:szCs w:val="16"/>
        </w:rPr>
        <w:t>confirmation</w:t>
      </w:r>
      <w:r w:rsidRPr="00436558">
        <w:rPr>
          <w:sz w:val="16"/>
          <w:szCs w:val="16"/>
        </w:rPr>
        <w:t xml:space="preserve"> of convergent validity.</w:t>
      </w:r>
    </w:p>
  </w:footnote>
  <w:footnote w:id="15">
    <w:p w:rsidR="00FD1596" w:rsidRPr="00837246" w:rsidRDefault="00FD1596">
      <w:pPr>
        <w:pStyle w:val="FootnoteText"/>
        <w:rPr>
          <w:sz w:val="16"/>
          <w:szCs w:val="16"/>
        </w:rPr>
      </w:pPr>
      <w:r w:rsidRPr="00BE5AF1">
        <w:rPr>
          <w:rStyle w:val="FootnoteReference"/>
        </w:rPr>
        <w:footnoteRef/>
      </w:r>
      <w:r>
        <w:t xml:space="preserve"> </w:t>
      </w:r>
      <w:r>
        <w:rPr>
          <w:sz w:val="16"/>
          <w:szCs w:val="16"/>
        </w:rPr>
        <w:t xml:space="preserve">As expected, multicollinearity was not an issue in the data since the Variance Inflation Factors (VIF) for each of the HR practices were less than 2 whilst the values for tolerance were up to 0.9 in each case. This means that the VIF and tolerance values were within the recommended threshold of ≤ 10 and ≥ 0.1 respectively (Hair </w:t>
      </w:r>
      <w:r>
        <w:rPr>
          <w:i/>
          <w:sz w:val="16"/>
          <w:szCs w:val="16"/>
        </w:rPr>
        <w:t xml:space="preserve">et al., </w:t>
      </w:r>
      <w:r>
        <w:rPr>
          <w:sz w:val="16"/>
          <w:szCs w:val="16"/>
        </w:rPr>
        <w:t>2010).</w:t>
      </w:r>
    </w:p>
  </w:footnote>
  <w:footnote w:id="16">
    <w:p w:rsidR="00FD1596" w:rsidRPr="00C31918" w:rsidRDefault="00FD1596">
      <w:pPr>
        <w:pStyle w:val="FootnoteText"/>
        <w:rPr>
          <w:sz w:val="16"/>
          <w:szCs w:val="16"/>
        </w:rPr>
      </w:pPr>
      <w:r w:rsidRPr="00BE5AF1">
        <w:rPr>
          <w:rStyle w:val="FootnoteReference"/>
        </w:rPr>
        <w:footnoteRef/>
      </w:r>
      <w:r>
        <w:t xml:space="preserve"> </w:t>
      </w:r>
      <w:r>
        <w:rPr>
          <w:sz w:val="16"/>
          <w:szCs w:val="16"/>
        </w:rPr>
        <w:t xml:space="preserve">See </w:t>
      </w:r>
      <w:hyperlink r:id="rId1" w:history="1">
        <w:r w:rsidRPr="00305EBF">
          <w:rPr>
            <w:rStyle w:val="Hyperlink"/>
            <w:sz w:val="16"/>
            <w:szCs w:val="16"/>
          </w:rPr>
          <w:t>www.processmacro.org</w:t>
        </w:r>
      </w:hyperlink>
      <w:r>
        <w:rPr>
          <w:sz w:val="16"/>
          <w:szCs w:val="16"/>
        </w:rPr>
        <w:t xml:space="preserve"> for details.</w:t>
      </w:r>
    </w:p>
  </w:footnote>
  <w:footnote w:id="17">
    <w:p w:rsidR="00FD1596" w:rsidRPr="00A112FE" w:rsidRDefault="00FD1596">
      <w:pPr>
        <w:pStyle w:val="FootnoteText"/>
        <w:rPr>
          <w:sz w:val="16"/>
          <w:szCs w:val="16"/>
        </w:rPr>
      </w:pPr>
      <w:r w:rsidRPr="00BE5AF1">
        <w:rPr>
          <w:rStyle w:val="FootnoteReference"/>
        </w:rPr>
        <w:footnoteRef/>
      </w:r>
      <w:r>
        <w:t xml:space="preserve"> </w:t>
      </w:r>
      <w:r>
        <w:rPr>
          <w:sz w:val="16"/>
          <w:szCs w:val="16"/>
        </w:rPr>
        <w:t>Model 4 in the PROCESS model was used to run the mediation analyses (see Hayes, 2013).</w:t>
      </w:r>
    </w:p>
  </w:footnote>
  <w:footnote w:id="18">
    <w:p w:rsidR="00FD1596" w:rsidRPr="00F60A4D" w:rsidRDefault="00FD1596">
      <w:pPr>
        <w:pStyle w:val="FootnoteText"/>
        <w:rPr>
          <w:sz w:val="16"/>
          <w:szCs w:val="16"/>
        </w:rPr>
      </w:pPr>
      <w:r w:rsidRPr="00BE5AF1">
        <w:rPr>
          <w:rStyle w:val="FootnoteReference"/>
        </w:rPr>
        <w:footnoteRef/>
      </w:r>
      <w:r>
        <w:t xml:space="preserve"> </w:t>
      </w:r>
      <w:r>
        <w:rPr>
          <w:sz w:val="16"/>
          <w:szCs w:val="16"/>
        </w:rPr>
        <w:t>Model 14 in the PROCESS model was used to run the moderated mediation analyses (see Hayes, 2013).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A5F79"/>
    <w:multiLevelType w:val="hybridMultilevel"/>
    <w:tmpl w:val="0150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C0644"/>
    <w:multiLevelType w:val="multilevel"/>
    <w:tmpl w:val="26FCF62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6B5DD0"/>
    <w:multiLevelType w:val="hybridMultilevel"/>
    <w:tmpl w:val="A18CE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C0BEB"/>
    <w:multiLevelType w:val="hybridMultilevel"/>
    <w:tmpl w:val="E7B6EC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E3CBD"/>
    <w:multiLevelType w:val="hybridMultilevel"/>
    <w:tmpl w:val="F6F6CCCC"/>
    <w:lvl w:ilvl="0" w:tplc="88F81536">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3194BFE"/>
    <w:multiLevelType w:val="hybridMultilevel"/>
    <w:tmpl w:val="3FE4785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3B07DE1"/>
    <w:multiLevelType w:val="hybridMultilevel"/>
    <w:tmpl w:val="F6AEFF4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136D13"/>
    <w:multiLevelType w:val="hybridMultilevel"/>
    <w:tmpl w:val="630C5E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894D4B"/>
    <w:multiLevelType w:val="hybridMultilevel"/>
    <w:tmpl w:val="13AE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532472"/>
    <w:multiLevelType w:val="hybridMultilevel"/>
    <w:tmpl w:val="068EC97A"/>
    <w:lvl w:ilvl="0" w:tplc="58901BC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05324F8"/>
    <w:multiLevelType w:val="multilevel"/>
    <w:tmpl w:val="961A0050"/>
    <w:lvl w:ilvl="0">
      <w:start w:val="1"/>
      <w:numFmt w:val="none"/>
      <w:pStyle w:val="Heading1"/>
      <w:suff w:val="space"/>
      <w:lvlText w:val="Chapter %1"/>
      <w:lvlJc w:val="right"/>
      <w:pPr>
        <w:ind w:left="-288" w:firstLine="288"/>
      </w:pPr>
      <w:rPr>
        <w:rFonts w:ascii="Cambria" w:hAnsi="Cambria" w:hint="default"/>
      </w:rPr>
    </w:lvl>
    <w:lvl w:ilvl="1">
      <w:start w:val="1"/>
      <w:numFmt w:val="none"/>
      <w:pStyle w:val="Heading2"/>
      <w:suff w:val="nothing"/>
      <w:lvlText w:val=""/>
      <w:lvlJc w:val="left"/>
      <w:pPr>
        <w:ind w:left="-288" w:firstLine="0"/>
      </w:pPr>
      <w:rPr>
        <w:rFonts w:hint="default"/>
      </w:rPr>
    </w:lvl>
    <w:lvl w:ilvl="2">
      <w:start w:val="1"/>
      <w:numFmt w:val="none"/>
      <w:pStyle w:val="Heading3"/>
      <w:suff w:val="nothing"/>
      <w:lvlText w:val=""/>
      <w:lvlJc w:val="left"/>
      <w:pPr>
        <w:ind w:left="-288" w:firstLine="0"/>
      </w:pPr>
      <w:rPr>
        <w:rFonts w:hint="default"/>
      </w:rPr>
    </w:lvl>
    <w:lvl w:ilvl="3">
      <w:start w:val="1"/>
      <w:numFmt w:val="none"/>
      <w:pStyle w:val="Heading4"/>
      <w:suff w:val="nothing"/>
      <w:lvlText w:val=""/>
      <w:lvlJc w:val="left"/>
      <w:pPr>
        <w:ind w:left="-288" w:firstLine="0"/>
      </w:pPr>
      <w:rPr>
        <w:rFonts w:hint="default"/>
      </w:rPr>
    </w:lvl>
    <w:lvl w:ilvl="4">
      <w:start w:val="1"/>
      <w:numFmt w:val="none"/>
      <w:pStyle w:val="Heading5"/>
      <w:suff w:val="nothing"/>
      <w:lvlText w:val=""/>
      <w:lvlJc w:val="left"/>
      <w:pPr>
        <w:ind w:left="-288" w:firstLine="0"/>
      </w:pPr>
      <w:rPr>
        <w:rFonts w:hint="default"/>
      </w:rPr>
    </w:lvl>
    <w:lvl w:ilvl="5">
      <w:start w:val="1"/>
      <w:numFmt w:val="none"/>
      <w:pStyle w:val="Heading6"/>
      <w:suff w:val="nothing"/>
      <w:lvlText w:val=""/>
      <w:lvlJc w:val="left"/>
      <w:pPr>
        <w:ind w:left="-288" w:firstLine="0"/>
      </w:pPr>
      <w:rPr>
        <w:rFonts w:hint="default"/>
      </w:rPr>
    </w:lvl>
    <w:lvl w:ilvl="6">
      <w:start w:val="1"/>
      <w:numFmt w:val="none"/>
      <w:pStyle w:val="Heading7"/>
      <w:suff w:val="nothing"/>
      <w:lvlText w:val=""/>
      <w:lvlJc w:val="left"/>
      <w:pPr>
        <w:ind w:left="-288" w:firstLine="0"/>
      </w:pPr>
      <w:rPr>
        <w:rFonts w:hint="default"/>
      </w:rPr>
    </w:lvl>
    <w:lvl w:ilvl="7">
      <w:start w:val="1"/>
      <w:numFmt w:val="none"/>
      <w:pStyle w:val="Heading8"/>
      <w:suff w:val="nothing"/>
      <w:lvlText w:val=""/>
      <w:lvlJc w:val="left"/>
      <w:pPr>
        <w:ind w:left="-288" w:firstLine="0"/>
      </w:pPr>
      <w:rPr>
        <w:rFonts w:hint="default"/>
      </w:rPr>
    </w:lvl>
    <w:lvl w:ilvl="8">
      <w:start w:val="1"/>
      <w:numFmt w:val="none"/>
      <w:pStyle w:val="Heading9"/>
      <w:suff w:val="nothing"/>
      <w:lvlText w:val=""/>
      <w:lvlJc w:val="left"/>
      <w:pPr>
        <w:ind w:left="-288" w:firstLine="0"/>
      </w:pPr>
      <w:rPr>
        <w:rFonts w:hint="default"/>
      </w:rPr>
    </w:lvl>
  </w:abstractNum>
  <w:abstractNum w:abstractNumId="11" w15:restartNumberingAfterBreak="0">
    <w:nsid w:val="38EF6211"/>
    <w:multiLevelType w:val="hybridMultilevel"/>
    <w:tmpl w:val="E144A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D0F2F"/>
    <w:multiLevelType w:val="hybridMultilevel"/>
    <w:tmpl w:val="553E9E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0555C0"/>
    <w:multiLevelType w:val="hybridMultilevel"/>
    <w:tmpl w:val="C5A4BBD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560BC"/>
    <w:multiLevelType w:val="hybridMultilevel"/>
    <w:tmpl w:val="404CF1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F33372"/>
    <w:multiLevelType w:val="hybridMultilevel"/>
    <w:tmpl w:val="97225CFE"/>
    <w:lvl w:ilvl="0" w:tplc="9D3C98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84C1B"/>
    <w:multiLevelType w:val="hybridMultilevel"/>
    <w:tmpl w:val="F43414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3D566E"/>
    <w:multiLevelType w:val="hybridMultilevel"/>
    <w:tmpl w:val="E19CDDA8"/>
    <w:lvl w:ilvl="0" w:tplc="183C26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5B5F03"/>
    <w:multiLevelType w:val="hybridMultilevel"/>
    <w:tmpl w:val="A56210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C836E4"/>
    <w:multiLevelType w:val="hybridMultilevel"/>
    <w:tmpl w:val="FA94B36C"/>
    <w:lvl w:ilvl="0" w:tplc="32EAB792">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DE676B"/>
    <w:multiLevelType w:val="hybridMultilevel"/>
    <w:tmpl w:val="6FCA19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704F8B"/>
    <w:multiLevelType w:val="hybridMultilevel"/>
    <w:tmpl w:val="7FF2F5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AD5783"/>
    <w:multiLevelType w:val="hybridMultilevel"/>
    <w:tmpl w:val="22905952"/>
    <w:lvl w:ilvl="0" w:tplc="0809000F">
      <w:start w:val="1"/>
      <w:numFmt w:val="decimal"/>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15:restartNumberingAfterBreak="0">
    <w:nsid w:val="682A5041"/>
    <w:multiLevelType w:val="hybridMultilevel"/>
    <w:tmpl w:val="15A22B88"/>
    <w:lvl w:ilvl="0" w:tplc="08090019">
      <w:start w:val="1"/>
      <w:numFmt w:val="lowerLetter"/>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4" w15:restartNumberingAfterBreak="0">
    <w:nsid w:val="6D89714C"/>
    <w:multiLevelType w:val="hybridMultilevel"/>
    <w:tmpl w:val="87A42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150A00"/>
    <w:multiLevelType w:val="hybridMultilevel"/>
    <w:tmpl w:val="CF06BCD2"/>
    <w:lvl w:ilvl="0" w:tplc="A664C9A2">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750D4C06"/>
    <w:multiLevelType w:val="multilevel"/>
    <w:tmpl w:val="92C2AA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
  </w:num>
  <w:num w:numId="2">
    <w:abstractNumId w:val="10"/>
  </w:num>
  <w:num w:numId="3">
    <w:abstractNumId w:val="24"/>
  </w:num>
  <w:num w:numId="4">
    <w:abstractNumId w:val="1"/>
  </w:num>
  <w:num w:numId="5">
    <w:abstractNumId w:val="18"/>
  </w:num>
  <w:num w:numId="6">
    <w:abstractNumId w:val="16"/>
  </w:num>
  <w:num w:numId="7">
    <w:abstractNumId w:val="0"/>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2"/>
  </w:num>
  <w:num w:numId="13">
    <w:abstractNumId w:val="7"/>
  </w:num>
  <w:num w:numId="14">
    <w:abstractNumId w:val="17"/>
  </w:num>
  <w:num w:numId="15">
    <w:abstractNumId w:val="5"/>
  </w:num>
  <w:num w:numId="16">
    <w:abstractNumId w:val="14"/>
  </w:num>
  <w:num w:numId="17">
    <w:abstractNumId w:val="3"/>
  </w:num>
  <w:num w:numId="18">
    <w:abstractNumId w:val="19"/>
  </w:num>
  <w:num w:numId="19">
    <w:abstractNumId w:val="23"/>
  </w:num>
  <w:num w:numId="20">
    <w:abstractNumId w:val="6"/>
  </w:num>
  <w:num w:numId="21">
    <w:abstractNumId w:val="20"/>
  </w:num>
  <w:num w:numId="22">
    <w:abstractNumId w:val="2"/>
  </w:num>
  <w:num w:numId="23">
    <w:abstractNumId w:val="11"/>
  </w:num>
  <w:num w:numId="24">
    <w:abstractNumId w:val="12"/>
  </w:num>
  <w:num w:numId="25">
    <w:abstractNumId w:val="1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8"/>
  </w:num>
  <w:num w:numId="29">
    <w:abstractNumId w:val="10"/>
  </w:num>
  <w:num w:numId="30">
    <w:abstractNumId w:val="1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A8E"/>
    <w:rsid w:val="00000E5A"/>
    <w:rsid w:val="00001AD3"/>
    <w:rsid w:val="00003623"/>
    <w:rsid w:val="000062A6"/>
    <w:rsid w:val="00010D11"/>
    <w:rsid w:val="000167C7"/>
    <w:rsid w:val="000200A3"/>
    <w:rsid w:val="00020141"/>
    <w:rsid w:val="000218C4"/>
    <w:rsid w:val="0002297D"/>
    <w:rsid w:val="00023574"/>
    <w:rsid w:val="00023855"/>
    <w:rsid w:val="00024F45"/>
    <w:rsid w:val="000269DC"/>
    <w:rsid w:val="00027877"/>
    <w:rsid w:val="00027DE3"/>
    <w:rsid w:val="00030F1F"/>
    <w:rsid w:val="00031BE5"/>
    <w:rsid w:val="00033B18"/>
    <w:rsid w:val="00033FF7"/>
    <w:rsid w:val="0003678E"/>
    <w:rsid w:val="000373E6"/>
    <w:rsid w:val="00041331"/>
    <w:rsid w:val="00043ED6"/>
    <w:rsid w:val="00044ABD"/>
    <w:rsid w:val="000466F8"/>
    <w:rsid w:val="00050296"/>
    <w:rsid w:val="00050631"/>
    <w:rsid w:val="0005081F"/>
    <w:rsid w:val="00050972"/>
    <w:rsid w:val="00051857"/>
    <w:rsid w:val="00051E58"/>
    <w:rsid w:val="00052110"/>
    <w:rsid w:val="00052B7E"/>
    <w:rsid w:val="00052E45"/>
    <w:rsid w:val="000544A0"/>
    <w:rsid w:val="00054966"/>
    <w:rsid w:val="000558FB"/>
    <w:rsid w:val="00056C56"/>
    <w:rsid w:val="000616AD"/>
    <w:rsid w:val="00064F9D"/>
    <w:rsid w:val="00066758"/>
    <w:rsid w:val="00067DDA"/>
    <w:rsid w:val="00070B09"/>
    <w:rsid w:val="0007147C"/>
    <w:rsid w:val="000733B2"/>
    <w:rsid w:val="00073ABB"/>
    <w:rsid w:val="00073C35"/>
    <w:rsid w:val="00076329"/>
    <w:rsid w:val="000805BF"/>
    <w:rsid w:val="0008139E"/>
    <w:rsid w:val="00082204"/>
    <w:rsid w:val="000838AF"/>
    <w:rsid w:val="00084246"/>
    <w:rsid w:val="0008539C"/>
    <w:rsid w:val="0008593B"/>
    <w:rsid w:val="00086553"/>
    <w:rsid w:val="000911E2"/>
    <w:rsid w:val="000925CD"/>
    <w:rsid w:val="000929B6"/>
    <w:rsid w:val="00093685"/>
    <w:rsid w:val="0009374D"/>
    <w:rsid w:val="00094796"/>
    <w:rsid w:val="00095B61"/>
    <w:rsid w:val="000968C8"/>
    <w:rsid w:val="00096F3A"/>
    <w:rsid w:val="000A000B"/>
    <w:rsid w:val="000A0C4A"/>
    <w:rsid w:val="000A12C3"/>
    <w:rsid w:val="000A31F2"/>
    <w:rsid w:val="000A33AD"/>
    <w:rsid w:val="000A3550"/>
    <w:rsid w:val="000A46FD"/>
    <w:rsid w:val="000A4B2A"/>
    <w:rsid w:val="000A7FA5"/>
    <w:rsid w:val="000B7A1B"/>
    <w:rsid w:val="000C0448"/>
    <w:rsid w:val="000C39D7"/>
    <w:rsid w:val="000C3A1B"/>
    <w:rsid w:val="000C3D1C"/>
    <w:rsid w:val="000C4939"/>
    <w:rsid w:val="000C4994"/>
    <w:rsid w:val="000C6CB4"/>
    <w:rsid w:val="000C7330"/>
    <w:rsid w:val="000D061B"/>
    <w:rsid w:val="000D095D"/>
    <w:rsid w:val="000D0BBB"/>
    <w:rsid w:val="000D2E15"/>
    <w:rsid w:val="000D335C"/>
    <w:rsid w:val="000D4848"/>
    <w:rsid w:val="000D6570"/>
    <w:rsid w:val="000D6909"/>
    <w:rsid w:val="000D7AB9"/>
    <w:rsid w:val="000E03C7"/>
    <w:rsid w:val="000E0FFD"/>
    <w:rsid w:val="000E11DD"/>
    <w:rsid w:val="000E38B5"/>
    <w:rsid w:val="000E3B9D"/>
    <w:rsid w:val="000E4598"/>
    <w:rsid w:val="000E5293"/>
    <w:rsid w:val="000E56C4"/>
    <w:rsid w:val="000E5E65"/>
    <w:rsid w:val="000E5F3A"/>
    <w:rsid w:val="000E6C36"/>
    <w:rsid w:val="000E7283"/>
    <w:rsid w:val="000F02C5"/>
    <w:rsid w:val="000F1FA5"/>
    <w:rsid w:val="000F388F"/>
    <w:rsid w:val="000F53D5"/>
    <w:rsid w:val="000F6034"/>
    <w:rsid w:val="000F7CD7"/>
    <w:rsid w:val="00100F46"/>
    <w:rsid w:val="00101018"/>
    <w:rsid w:val="00101FCA"/>
    <w:rsid w:val="0010285E"/>
    <w:rsid w:val="00103FD4"/>
    <w:rsid w:val="00105608"/>
    <w:rsid w:val="001072F7"/>
    <w:rsid w:val="0010788F"/>
    <w:rsid w:val="00111E30"/>
    <w:rsid w:val="00112496"/>
    <w:rsid w:val="001134AE"/>
    <w:rsid w:val="00116BDB"/>
    <w:rsid w:val="0012096F"/>
    <w:rsid w:val="00123C61"/>
    <w:rsid w:val="00125137"/>
    <w:rsid w:val="001303F2"/>
    <w:rsid w:val="001315F0"/>
    <w:rsid w:val="00133056"/>
    <w:rsid w:val="001346E0"/>
    <w:rsid w:val="00135350"/>
    <w:rsid w:val="00135E51"/>
    <w:rsid w:val="00136328"/>
    <w:rsid w:val="00136FF1"/>
    <w:rsid w:val="001406CB"/>
    <w:rsid w:val="001432D1"/>
    <w:rsid w:val="00144687"/>
    <w:rsid w:val="00145867"/>
    <w:rsid w:val="00151AC5"/>
    <w:rsid w:val="00153DD9"/>
    <w:rsid w:val="001562FC"/>
    <w:rsid w:val="001566B7"/>
    <w:rsid w:val="00156C4A"/>
    <w:rsid w:val="00157FB4"/>
    <w:rsid w:val="001611AE"/>
    <w:rsid w:val="001623C6"/>
    <w:rsid w:val="00162478"/>
    <w:rsid w:val="00162E4E"/>
    <w:rsid w:val="00164E10"/>
    <w:rsid w:val="00167349"/>
    <w:rsid w:val="00170224"/>
    <w:rsid w:val="0017162E"/>
    <w:rsid w:val="001718AD"/>
    <w:rsid w:val="00171D99"/>
    <w:rsid w:val="001723E8"/>
    <w:rsid w:val="00172C4F"/>
    <w:rsid w:val="001737CA"/>
    <w:rsid w:val="00173FA8"/>
    <w:rsid w:val="001742EB"/>
    <w:rsid w:val="00174A02"/>
    <w:rsid w:val="00175283"/>
    <w:rsid w:val="00175F24"/>
    <w:rsid w:val="00180243"/>
    <w:rsid w:val="001816D5"/>
    <w:rsid w:val="00181DA4"/>
    <w:rsid w:val="00182339"/>
    <w:rsid w:val="00183728"/>
    <w:rsid w:val="00184EBB"/>
    <w:rsid w:val="0019232E"/>
    <w:rsid w:val="0019338B"/>
    <w:rsid w:val="00194C32"/>
    <w:rsid w:val="00195434"/>
    <w:rsid w:val="001A4087"/>
    <w:rsid w:val="001A4796"/>
    <w:rsid w:val="001A48EE"/>
    <w:rsid w:val="001A53B0"/>
    <w:rsid w:val="001A57E0"/>
    <w:rsid w:val="001A59DD"/>
    <w:rsid w:val="001A713D"/>
    <w:rsid w:val="001B09E0"/>
    <w:rsid w:val="001B23BA"/>
    <w:rsid w:val="001B2889"/>
    <w:rsid w:val="001B3EC0"/>
    <w:rsid w:val="001B4B29"/>
    <w:rsid w:val="001B4C27"/>
    <w:rsid w:val="001B4D8E"/>
    <w:rsid w:val="001B517C"/>
    <w:rsid w:val="001B6772"/>
    <w:rsid w:val="001C04E3"/>
    <w:rsid w:val="001C0763"/>
    <w:rsid w:val="001C3369"/>
    <w:rsid w:val="001C5488"/>
    <w:rsid w:val="001C5EEC"/>
    <w:rsid w:val="001D0196"/>
    <w:rsid w:val="001D104C"/>
    <w:rsid w:val="001D12F9"/>
    <w:rsid w:val="001D2210"/>
    <w:rsid w:val="001D255D"/>
    <w:rsid w:val="001D6461"/>
    <w:rsid w:val="001D6F32"/>
    <w:rsid w:val="001D7332"/>
    <w:rsid w:val="001E0106"/>
    <w:rsid w:val="001E1153"/>
    <w:rsid w:val="001E2F80"/>
    <w:rsid w:val="001E3B90"/>
    <w:rsid w:val="001E3D21"/>
    <w:rsid w:val="001E43FB"/>
    <w:rsid w:val="001E5E63"/>
    <w:rsid w:val="001E5F68"/>
    <w:rsid w:val="001E7BA7"/>
    <w:rsid w:val="001F094C"/>
    <w:rsid w:val="001F1236"/>
    <w:rsid w:val="001F2594"/>
    <w:rsid w:val="001F2C63"/>
    <w:rsid w:val="001F2E03"/>
    <w:rsid w:val="001F3F22"/>
    <w:rsid w:val="001F4EA7"/>
    <w:rsid w:val="001F6EB9"/>
    <w:rsid w:val="001F7665"/>
    <w:rsid w:val="001F79F4"/>
    <w:rsid w:val="001F7B99"/>
    <w:rsid w:val="00202267"/>
    <w:rsid w:val="002022A7"/>
    <w:rsid w:val="00203B9E"/>
    <w:rsid w:val="00204DB7"/>
    <w:rsid w:val="00205306"/>
    <w:rsid w:val="002054D0"/>
    <w:rsid w:val="00206296"/>
    <w:rsid w:val="00207896"/>
    <w:rsid w:val="00212663"/>
    <w:rsid w:val="00214959"/>
    <w:rsid w:val="00216316"/>
    <w:rsid w:val="002177EB"/>
    <w:rsid w:val="00217B41"/>
    <w:rsid w:val="002211CF"/>
    <w:rsid w:val="0022214D"/>
    <w:rsid w:val="002222F9"/>
    <w:rsid w:val="00224623"/>
    <w:rsid w:val="0022522D"/>
    <w:rsid w:val="00225286"/>
    <w:rsid w:val="0022593A"/>
    <w:rsid w:val="00231F76"/>
    <w:rsid w:val="0023271D"/>
    <w:rsid w:val="00232869"/>
    <w:rsid w:val="00232A89"/>
    <w:rsid w:val="002337BB"/>
    <w:rsid w:val="002337DA"/>
    <w:rsid w:val="00234A9C"/>
    <w:rsid w:val="00235BAB"/>
    <w:rsid w:val="00236089"/>
    <w:rsid w:val="0023679B"/>
    <w:rsid w:val="002405A0"/>
    <w:rsid w:val="00240EF6"/>
    <w:rsid w:val="0024294D"/>
    <w:rsid w:val="0024325B"/>
    <w:rsid w:val="0024735B"/>
    <w:rsid w:val="002523C3"/>
    <w:rsid w:val="00252945"/>
    <w:rsid w:val="0025426E"/>
    <w:rsid w:val="00255578"/>
    <w:rsid w:val="002559B3"/>
    <w:rsid w:val="00256AA5"/>
    <w:rsid w:val="00256C3E"/>
    <w:rsid w:val="002575BB"/>
    <w:rsid w:val="002601DD"/>
    <w:rsid w:val="00260B8F"/>
    <w:rsid w:val="00260F49"/>
    <w:rsid w:val="002631E4"/>
    <w:rsid w:val="00263283"/>
    <w:rsid w:val="00265D57"/>
    <w:rsid w:val="00266AF1"/>
    <w:rsid w:val="002675A4"/>
    <w:rsid w:val="00267ABD"/>
    <w:rsid w:val="00267EEB"/>
    <w:rsid w:val="00270896"/>
    <w:rsid w:val="00271017"/>
    <w:rsid w:val="0027199C"/>
    <w:rsid w:val="00273167"/>
    <w:rsid w:val="00276530"/>
    <w:rsid w:val="0028206F"/>
    <w:rsid w:val="002871AE"/>
    <w:rsid w:val="00290EBE"/>
    <w:rsid w:val="00294258"/>
    <w:rsid w:val="00294BAC"/>
    <w:rsid w:val="00295C88"/>
    <w:rsid w:val="00296CC7"/>
    <w:rsid w:val="002A091E"/>
    <w:rsid w:val="002A0C00"/>
    <w:rsid w:val="002A17C8"/>
    <w:rsid w:val="002A4428"/>
    <w:rsid w:val="002A7185"/>
    <w:rsid w:val="002B11E7"/>
    <w:rsid w:val="002B1EF9"/>
    <w:rsid w:val="002B22E8"/>
    <w:rsid w:val="002B3909"/>
    <w:rsid w:val="002B3EC8"/>
    <w:rsid w:val="002B504E"/>
    <w:rsid w:val="002B68E7"/>
    <w:rsid w:val="002C09E6"/>
    <w:rsid w:val="002C1D63"/>
    <w:rsid w:val="002C3534"/>
    <w:rsid w:val="002C35D9"/>
    <w:rsid w:val="002C3C04"/>
    <w:rsid w:val="002C3F33"/>
    <w:rsid w:val="002C403A"/>
    <w:rsid w:val="002C4201"/>
    <w:rsid w:val="002C4E16"/>
    <w:rsid w:val="002C53BE"/>
    <w:rsid w:val="002C7C8A"/>
    <w:rsid w:val="002D2396"/>
    <w:rsid w:val="002D2E09"/>
    <w:rsid w:val="002D3B6F"/>
    <w:rsid w:val="002D4411"/>
    <w:rsid w:val="002D4984"/>
    <w:rsid w:val="002D4F5D"/>
    <w:rsid w:val="002D5060"/>
    <w:rsid w:val="002D605D"/>
    <w:rsid w:val="002D68FA"/>
    <w:rsid w:val="002D7573"/>
    <w:rsid w:val="002E1A9B"/>
    <w:rsid w:val="002E2D92"/>
    <w:rsid w:val="002E5563"/>
    <w:rsid w:val="002F3785"/>
    <w:rsid w:val="002F481D"/>
    <w:rsid w:val="002F4B5E"/>
    <w:rsid w:val="002F5EBB"/>
    <w:rsid w:val="002F7F33"/>
    <w:rsid w:val="00300F02"/>
    <w:rsid w:val="00304CFD"/>
    <w:rsid w:val="003052E4"/>
    <w:rsid w:val="0030565B"/>
    <w:rsid w:val="00305947"/>
    <w:rsid w:val="003064F3"/>
    <w:rsid w:val="0030739A"/>
    <w:rsid w:val="00307EFC"/>
    <w:rsid w:val="0031011E"/>
    <w:rsid w:val="00311620"/>
    <w:rsid w:val="00311E08"/>
    <w:rsid w:val="003123B8"/>
    <w:rsid w:val="0031256A"/>
    <w:rsid w:val="00313EDE"/>
    <w:rsid w:val="00314098"/>
    <w:rsid w:val="0031683A"/>
    <w:rsid w:val="00316ED9"/>
    <w:rsid w:val="00317068"/>
    <w:rsid w:val="00317D1D"/>
    <w:rsid w:val="0032018C"/>
    <w:rsid w:val="00321C75"/>
    <w:rsid w:val="00321DB9"/>
    <w:rsid w:val="00323820"/>
    <w:rsid w:val="003243DA"/>
    <w:rsid w:val="003327AE"/>
    <w:rsid w:val="003327D7"/>
    <w:rsid w:val="0033399B"/>
    <w:rsid w:val="0033492D"/>
    <w:rsid w:val="003363AB"/>
    <w:rsid w:val="00336696"/>
    <w:rsid w:val="00337335"/>
    <w:rsid w:val="00340425"/>
    <w:rsid w:val="003418CD"/>
    <w:rsid w:val="00342BDF"/>
    <w:rsid w:val="00343E33"/>
    <w:rsid w:val="00344AD5"/>
    <w:rsid w:val="00346575"/>
    <w:rsid w:val="00346741"/>
    <w:rsid w:val="003501C0"/>
    <w:rsid w:val="00350913"/>
    <w:rsid w:val="00350D62"/>
    <w:rsid w:val="00351A07"/>
    <w:rsid w:val="00352144"/>
    <w:rsid w:val="0035377C"/>
    <w:rsid w:val="003552A5"/>
    <w:rsid w:val="003560FE"/>
    <w:rsid w:val="00356CD3"/>
    <w:rsid w:val="003617FB"/>
    <w:rsid w:val="003633A9"/>
    <w:rsid w:val="003637E8"/>
    <w:rsid w:val="00363F93"/>
    <w:rsid w:val="00364415"/>
    <w:rsid w:val="003665F0"/>
    <w:rsid w:val="00366C7E"/>
    <w:rsid w:val="00366DE1"/>
    <w:rsid w:val="003673B8"/>
    <w:rsid w:val="00371AF6"/>
    <w:rsid w:val="00372718"/>
    <w:rsid w:val="0037393C"/>
    <w:rsid w:val="00376868"/>
    <w:rsid w:val="00381484"/>
    <w:rsid w:val="00381D7D"/>
    <w:rsid w:val="003822C7"/>
    <w:rsid w:val="003839EE"/>
    <w:rsid w:val="0038468B"/>
    <w:rsid w:val="0038468C"/>
    <w:rsid w:val="00384A35"/>
    <w:rsid w:val="0038603D"/>
    <w:rsid w:val="0038614F"/>
    <w:rsid w:val="003866E1"/>
    <w:rsid w:val="00386C29"/>
    <w:rsid w:val="00386CB4"/>
    <w:rsid w:val="00391759"/>
    <w:rsid w:val="00391EAC"/>
    <w:rsid w:val="00391FED"/>
    <w:rsid w:val="00392819"/>
    <w:rsid w:val="00392963"/>
    <w:rsid w:val="003942C4"/>
    <w:rsid w:val="00396397"/>
    <w:rsid w:val="003963F4"/>
    <w:rsid w:val="00396A15"/>
    <w:rsid w:val="00396ABE"/>
    <w:rsid w:val="00397581"/>
    <w:rsid w:val="003A2413"/>
    <w:rsid w:val="003A2B1A"/>
    <w:rsid w:val="003A5794"/>
    <w:rsid w:val="003A5F38"/>
    <w:rsid w:val="003A613F"/>
    <w:rsid w:val="003A61E2"/>
    <w:rsid w:val="003A7ACC"/>
    <w:rsid w:val="003B058B"/>
    <w:rsid w:val="003B119A"/>
    <w:rsid w:val="003B5CFC"/>
    <w:rsid w:val="003B69AC"/>
    <w:rsid w:val="003B7F46"/>
    <w:rsid w:val="003C21B2"/>
    <w:rsid w:val="003C2ACD"/>
    <w:rsid w:val="003C2C04"/>
    <w:rsid w:val="003C6AD0"/>
    <w:rsid w:val="003C6F80"/>
    <w:rsid w:val="003C750B"/>
    <w:rsid w:val="003D17FC"/>
    <w:rsid w:val="003D2279"/>
    <w:rsid w:val="003D31ED"/>
    <w:rsid w:val="003D33B2"/>
    <w:rsid w:val="003D3911"/>
    <w:rsid w:val="003D5137"/>
    <w:rsid w:val="003D517B"/>
    <w:rsid w:val="003D5710"/>
    <w:rsid w:val="003D5CE9"/>
    <w:rsid w:val="003D5FD1"/>
    <w:rsid w:val="003D6659"/>
    <w:rsid w:val="003D6683"/>
    <w:rsid w:val="003D6E06"/>
    <w:rsid w:val="003D765A"/>
    <w:rsid w:val="003E3429"/>
    <w:rsid w:val="003E3D64"/>
    <w:rsid w:val="003E4250"/>
    <w:rsid w:val="003E4BB1"/>
    <w:rsid w:val="003E593E"/>
    <w:rsid w:val="003E6D0E"/>
    <w:rsid w:val="003E753C"/>
    <w:rsid w:val="003E7BE5"/>
    <w:rsid w:val="003E7C2B"/>
    <w:rsid w:val="003F081E"/>
    <w:rsid w:val="003F098A"/>
    <w:rsid w:val="003F0A50"/>
    <w:rsid w:val="003F2557"/>
    <w:rsid w:val="003F27E3"/>
    <w:rsid w:val="003F2E5F"/>
    <w:rsid w:val="003F302A"/>
    <w:rsid w:val="003F3070"/>
    <w:rsid w:val="003F4777"/>
    <w:rsid w:val="003F54EC"/>
    <w:rsid w:val="003F658A"/>
    <w:rsid w:val="003F7430"/>
    <w:rsid w:val="0040078D"/>
    <w:rsid w:val="00400AED"/>
    <w:rsid w:val="00400BB5"/>
    <w:rsid w:val="00400F09"/>
    <w:rsid w:val="00401FF2"/>
    <w:rsid w:val="00402463"/>
    <w:rsid w:val="0040275C"/>
    <w:rsid w:val="00402A29"/>
    <w:rsid w:val="00402C3A"/>
    <w:rsid w:val="00404359"/>
    <w:rsid w:val="00405DD4"/>
    <w:rsid w:val="0041068C"/>
    <w:rsid w:val="004109BF"/>
    <w:rsid w:val="00410F34"/>
    <w:rsid w:val="00413750"/>
    <w:rsid w:val="0041590B"/>
    <w:rsid w:val="004169FF"/>
    <w:rsid w:val="00416C51"/>
    <w:rsid w:val="0041730F"/>
    <w:rsid w:val="0041745F"/>
    <w:rsid w:val="00417532"/>
    <w:rsid w:val="00420143"/>
    <w:rsid w:val="00420DB7"/>
    <w:rsid w:val="00420FA8"/>
    <w:rsid w:val="00421186"/>
    <w:rsid w:val="00421A3D"/>
    <w:rsid w:val="00421D26"/>
    <w:rsid w:val="0042413F"/>
    <w:rsid w:val="0042607A"/>
    <w:rsid w:val="0042607F"/>
    <w:rsid w:val="004266BE"/>
    <w:rsid w:val="00426AEE"/>
    <w:rsid w:val="00427D8C"/>
    <w:rsid w:val="0043493D"/>
    <w:rsid w:val="00434AC6"/>
    <w:rsid w:val="00435840"/>
    <w:rsid w:val="00435E8E"/>
    <w:rsid w:val="004405E4"/>
    <w:rsid w:val="00440DB8"/>
    <w:rsid w:val="004415C2"/>
    <w:rsid w:val="0044165C"/>
    <w:rsid w:val="00442542"/>
    <w:rsid w:val="00443606"/>
    <w:rsid w:val="00443AE3"/>
    <w:rsid w:val="00447233"/>
    <w:rsid w:val="004500C8"/>
    <w:rsid w:val="00450DB8"/>
    <w:rsid w:val="00450F88"/>
    <w:rsid w:val="00451026"/>
    <w:rsid w:val="0045167B"/>
    <w:rsid w:val="004520DF"/>
    <w:rsid w:val="00452E2E"/>
    <w:rsid w:val="00453036"/>
    <w:rsid w:val="00453BBF"/>
    <w:rsid w:val="0045457D"/>
    <w:rsid w:val="00454679"/>
    <w:rsid w:val="00456A7C"/>
    <w:rsid w:val="004572B4"/>
    <w:rsid w:val="00460C23"/>
    <w:rsid w:val="00461E58"/>
    <w:rsid w:val="00463428"/>
    <w:rsid w:val="004634B1"/>
    <w:rsid w:val="0046388C"/>
    <w:rsid w:val="004640DA"/>
    <w:rsid w:val="004653A5"/>
    <w:rsid w:val="0046653C"/>
    <w:rsid w:val="00475E5C"/>
    <w:rsid w:val="0048034D"/>
    <w:rsid w:val="004815A9"/>
    <w:rsid w:val="00481B97"/>
    <w:rsid w:val="0048227A"/>
    <w:rsid w:val="004841B7"/>
    <w:rsid w:val="00484D7E"/>
    <w:rsid w:val="0049019A"/>
    <w:rsid w:val="0049091A"/>
    <w:rsid w:val="004918CB"/>
    <w:rsid w:val="004921E7"/>
    <w:rsid w:val="00495407"/>
    <w:rsid w:val="004957CF"/>
    <w:rsid w:val="004A1DC0"/>
    <w:rsid w:val="004A24B6"/>
    <w:rsid w:val="004A37AC"/>
    <w:rsid w:val="004A39C6"/>
    <w:rsid w:val="004A400E"/>
    <w:rsid w:val="004A4234"/>
    <w:rsid w:val="004A5066"/>
    <w:rsid w:val="004A6D76"/>
    <w:rsid w:val="004A7736"/>
    <w:rsid w:val="004B07A2"/>
    <w:rsid w:val="004B38F4"/>
    <w:rsid w:val="004B63D0"/>
    <w:rsid w:val="004B7106"/>
    <w:rsid w:val="004B7662"/>
    <w:rsid w:val="004B7E4F"/>
    <w:rsid w:val="004C0FB5"/>
    <w:rsid w:val="004C106E"/>
    <w:rsid w:val="004C1B2D"/>
    <w:rsid w:val="004C3A54"/>
    <w:rsid w:val="004C4B07"/>
    <w:rsid w:val="004C56F8"/>
    <w:rsid w:val="004C715C"/>
    <w:rsid w:val="004D1B33"/>
    <w:rsid w:val="004D22AD"/>
    <w:rsid w:val="004D2595"/>
    <w:rsid w:val="004D2BD6"/>
    <w:rsid w:val="004D3726"/>
    <w:rsid w:val="004D4289"/>
    <w:rsid w:val="004D653D"/>
    <w:rsid w:val="004D756A"/>
    <w:rsid w:val="004E1286"/>
    <w:rsid w:val="004E1F01"/>
    <w:rsid w:val="004E2270"/>
    <w:rsid w:val="004E5350"/>
    <w:rsid w:val="004E7EC0"/>
    <w:rsid w:val="004F034C"/>
    <w:rsid w:val="004F0624"/>
    <w:rsid w:val="004F3959"/>
    <w:rsid w:val="004F46A5"/>
    <w:rsid w:val="004F485F"/>
    <w:rsid w:val="004F654B"/>
    <w:rsid w:val="005010B9"/>
    <w:rsid w:val="00501BA6"/>
    <w:rsid w:val="005021EA"/>
    <w:rsid w:val="00503166"/>
    <w:rsid w:val="005034BD"/>
    <w:rsid w:val="0050429F"/>
    <w:rsid w:val="005049B6"/>
    <w:rsid w:val="005107E5"/>
    <w:rsid w:val="005149EE"/>
    <w:rsid w:val="00514AE6"/>
    <w:rsid w:val="00516272"/>
    <w:rsid w:val="00516410"/>
    <w:rsid w:val="00520191"/>
    <w:rsid w:val="00521F6A"/>
    <w:rsid w:val="0052333A"/>
    <w:rsid w:val="005247FC"/>
    <w:rsid w:val="00525345"/>
    <w:rsid w:val="00526BD2"/>
    <w:rsid w:val="00526DA0"/>
    <w:rsid w:val="00526FCB"/>
    <w:rsid w:val="0052739C"/>
    <w:rsid w:val="00530904"/>
    <w:rsid w:val="005309D5"/>
    <w:rsid w:val="005318EB"/>
    <w:rsid w:val="00533527"/>
    <w:rsid w:val="00534231"/>
    <w:rsid w:val="00534903"/>
    <w:rsid w:val="00535592"/>
    <w:rsid w:val="0053561C"/>
    <w:rsid w:val="005356EE"/>
    <w:rsid w:val="00536BF0"/>
    <w:rsid w:val="005374AA"/>
    <w:rsid w:val="00537913"/>
    <w:rsid w:val="00540EC6"/>
    <w:rsid w:val="00541908"/>
    <w:rsid w:val="00543BA4"/>
    <w:rsid w:val="005452D8"/>
    <w:rsid w:val="00545AE6"/>
    <w:rsid w:val="00546DD4"/>
    <w:rsid w:val="005476D4"/>
    <w:rsid w:val="00547954"/>
    <w:rsid w:val="0055106F"/>
    <w:rsid w:val="00553F4C"/>
    <w:rsid w:val="00554018"/>
    <w:rsid w:val="0055431F"/>
    <w:rsid w:val="00556DA2"/>
    <w:rsid w:val="00557324"/>
    <w:rsid w:val="005574E3"/>
    <w:rsid w:val="00557B58"/>
    <w:rsid w:val="005629B3"/>
    <w:rsid w:val="0056372B"/>
    <w:rsid w:val="005638CE"/>
    <w:rsid w:val="00566FFC"/>
    <w:rsid w:val="00567F57"/>
    <w:rsid w:val="005705FC"/>
    <w:rsid w:val="00572570"/>
    <w:rsid w:val="00573F2C"/>
    <w:rsid w:val="005742D0"/>
    <w:rsid w:val="00575443"/>
    <w:rsid w:val="00575580"/>
    <w:rsid w:val="00575E88"/>
    <w:rsid w:val="00580451"/>
    <w:rsid w:val="00581BEB"/>
    <w:rsid w:val="005823AD"/>
    <w:rsid w:val="005825DC"/>
    <w:rsid w:val="005830AE"/>
    <w:rsid w:val="005852D4"/>
    <w:rsid w:val="00585BD2"/>
    <w:rsid w:val="00586C10"/>
    <w:rsid w:val="00590DB2"/>
    <w:rsid w:val="0059111F"/>
    <w:rsid w:val="00591294"/>
    <w:rsid w:val="0059155E"/>
    <w:rsid w:val="0059203B"/>
    <w:rsid w:val="00592ABC"/>
    <w:rsid w:val="005938FB"/>
    <w:rsid w:val="00595641"/>
    <w:rsid w:val="00596D2F"/>
    <w:rsid w:val="00597466"/>
    <w:rsid w:val="005A1871"/>
    <w:rsid w:val="005A1992"/>
    <w:rsid w:val="005A1AD8"/>
    <w:rsid w:val="005A1C75"/>
    <w:rsid w:val="005A4B4F"/>
    <w:rsid w:val="005A650F"/>
    <w:rsid w:val="005A6EDD"/>
    <w:rsid w:val="005A7C73"/>
    <w:rsid w:val="005A7ED0"/>
    <w:rsid w:val="005B2748"/>
    <w:rsid w:val="005B291B"/>
    <w:rsid w:val="005B4273"/>
    <w:rsid w:val="005B4B2D"/>
    <w:rsid w:val="005B5AA2"/>
    <w:rsid w:val="005B6F5B"/>
    <w:rsid w:val="005B72B2"/>
    <w:rsid w:val="005C1D0D"/>
    <w:rsid w:val="005C33F0"/>
    <w:rsid w:val="005C3496"/>
    <w:rsid w:val="005C4AAD"/>
    <w:rsid w:val="005C74A5"/>
    <w:rsid w:val="005C7E1D"/>
    <w:rsid w:val="005D107A"/>
    <w:rsid w:val="005D19A7"/>
    <w:rsid w:val="005D1B19"/>
    <w:rsid w:val="005D2172"/>
    <w:rsid w:val="005D21B4"/>
    <w:rsid w:val="005D27DF"/>
    <w:rsid w:val="005D2AAE"/>
    <w:rsid w:val="005D2D73"/>
    <w:rsid w:val="005D3D56"/>
    <w:rsid w:val="005D48B6"/>
    <w:rsid w:val="005D496B"/>
    <w:rsid w:val="005D4A30"/>
    <w:rsid w:val="005D6403"/>
    <w:rsid w:val="005D69DE"/>
    <w:rsid w:val="005D69E5"/>
    <w:rsid w:val="005E07A0"/>
    <w:rsid w:val="005E205A"/>
    <w:rsid w:val="005E25BB"/>
    <w:rsid w:val="005F1BB8"/>
    <w:rsid w:val="005F27D9"/>
    <w:rsid w:val="005F3741"/>
    <w:rsid w:val="005F63A3"/>
    <w:rsid w:val="006025CD"/>
    <w:rsid w:val="00604DCF"/>
    <w:rsid w:val="00604F58"/>
    <w:rsid w:val="00606368"/>
    <w:rsid w:val="00606BDC"/>
    <w:rsid w:val="00607FF4"/>
    <w:rsid w:val="00610D6E"/>
    <w:rsid w:val="0061195F"/>
    <w:rsid w:val="00615B93"/>
    <w:rsid w:val="00616145"/>
    <w:rsid w:val="006205AB"/>
    <w:rsid w:val="00621699"/>
    <w:rsid w:val="0062253E"/>
    <w:rsid w:val="0062329E"/>
    <w:rsid w:val="006240E7"/>
    <w:rsid w:val="0062413C"/>
    <w:rsid w:val="0062544E"/>
    <w:rsid w:val="00627F92"/>
    <w:rsid w:val="00630607"/>
    <w:rsid w:val="006307B4"/>
    <w:rsid w:val="00631225"/>
    <w:rsid w:val="0063131F"/>
    <w:rsid w:val="006314BF"/>
    <w:rsid w:val="00631E5E"/>
    <w:rsid w:val="00631F01"/>
    <w:rsid w:val="00632C95"/>
    <w:rsid w:val="00633460"/>
    <w:rsid w:val="00633A37"/>
    <w:rsid w:val="006340FF"/>
    <w:rsid w:val="00635248"/>
    <w:rsid w:val="00635311"/>
    <w:rsid w:val="006356EC"/>
    <w:rsid w:val="0063748B"/>
    <w:rsid w:val="00637635"/>
    <w:rsid w:val="0063771E"/>
    <w:rsid w:val="0063774C"/>
    <w:rsid w:val="006379AD"/>
    <w:rsid w:val="006403C1"/>
    <w:rsid w:val="006405FB"/>
    <w:rsid w:val="00641FB4"/>
    <w:rsid w:val="006426AE"/>
    <w:rsid w:val="006426BD"/>
    <w:rsid w:val="00643AF9"/>
    <w:rsid w:val="00643E3F"/>
    <w:rsid w:val="00646608"/>
    <w:rsid w:val="0064763C"/>
    <w:rsid w:val="0065013C"/>
    <w:rsid w:val="0065169E"/>
    <w:rsid w:val="00652A57"/>
    <w:rsid w:val="00652CD2"/>
    <w:rsid w:val="00652FCC"/>
    <w:rsid w:val="00653419"/>
    <w:rsid w:val="00653734"/>
    <w:rsid w:val="00653C2E"/>
    <w:rsid w:val="00653EFA"/>
    <w:rsid w:val="00654E2D"/>
    <w:rsid w:val="00654EC5"/>
    <w:rsid w:val="00665A88"/>
    <w:rsid w:val="00665F95"/>
    <w:rsid w:val="00666BE9"/>
    <w:rsid w:val="006718D9"/>
    <w:rsid w:val="006727C2"/>
    <w:rsid w:val="00673782"/>
    <w:rsid w:val="00674451"/>
    <w:rsid w:val="00674B80"/>
    <w:rsid w:val="00674CE4"/>
    <w:rsid w:val="006759A4"/>
    <w:rsid w:val="00675C16"/>
    <w:rsid w:val="00680BF8"/>
    <w:rsid w:val="00681316"/>
    <w:rsid w:val="0068254E"/>
    <w:rsid w:val="006856E0"/>
    <w:rsid w:val="00685E24"/>
    <w:rsid w:val="00685F05"/>
    <w:rsid w:val="00690781"/>
    <w:rsid w:val="006919C4"/>
    <w:rsid w:val="00692117"/>
    <w:rsid w:val="00697323"/>
    <w:rsid w:val="00697CC6"/>
    <w:rsid w:val="006A050A"/>
    <w:rsid w:val="006A07A7"/>
    <w:rsid w:val="006A16E8"/>
    <w:rsid w:val="006A44A7"/>
    <w:rsid w:val="006A534F"/>
    <w:rsid w:val="006A696B"/>
    <w:rsid w:val="006A75EF"/>
    <w:rsid w:val="006A7D73"/>
    <w:rsid w:val="006B189C"/>
    <w:rsid w:val="006B2F54"/>
    <w:rsid w:val="006B4B55"/>
    <w:rsid w:val="006B503B"/>
    <w:rsid w:val="006B616D"/>
    <w:rsid w:val="006C15D4"/>
    <w:rsid w:val="006C16BE"/>
    <w:rsid w:val="006C1721"/>
    <w:rsid w:val="006C1A06"/>
    <w:rsid w:val="006C33F6"/>
    <w:rsid w:val="006C4996"/>
    <w:rsid w:val="006C4D05"/>
    <w:rsid w:val="006C5315"/>
    <w:rsid w:val="006C5B2E"/>
    <w:rsid w:val="006D51B8"/>
    <w:rsid w:val="006D73C0"/>
    <w:rsid w:val="006D7E79"/>
    <w:rsid w:val="006D7F24"/>
    <w:rsid w:val="006E09D4"/>
    <w:rsid w:val="006E1C29"/>
    <w:rsid w:val="006E333D"/>
    <w:rsid w:val="006E3790"/>
    <w:rsid w:val="006E51B8"/>
    <w:rsid w:val="006E6C3B"/>
    <w:rsid w:val="006E7A85"/>
    <w:rsid w:val="006E7D21"/>
    <w:rsid w:val="006F01EE"/>
    <w:rsid w:val="006F3587"/>
    <w:rsid w:val="006F4241"/>
    <w:rsid w:val="006F4361"/>
    <w:rsid w:val="006F46DB"/>
    <w:rsid w:val="006F500C"/>
    <w:rsid w:val="00705696"/>
    <w:rsid w:val="00705B36"/>
    <w:rsid w:val="007130B4"/>
    <w:rsid w:val="00713F86"/>
    <w:rsid w:val="007155C6"/>
    <w:rsid w:val="00717B2D"/>
    <w:rsid w:val="00721C78"/>
    <w:rsid w:val="00722DC9"/>
    <w:rsid w:val="007237DD"/>
    <w:rsid w:val="007237FD"/>
    <w:rsid w:val="00723F2B"/>
    <w:rsid w:val="00724D51"/>
    <w:rsid w:val="007257AA"/>
    <w:rsid w:val="0073238C"/>
    <w:rsid w:val="00733083"/>
    <w:rsid w:val="007332F1"/>
    <w:rsid w:val="00733354"/>
    <w:rsid w:val="00734A0A"/>
    <w:rsid w:val="00734EEE"/>
    <w:rsid w:val="007366FA"/>
    <w:rsid w:val="00737A37"/>
    <w:rsid w:val="007407CC"/>
    <w:rsid w:val="00744381"/>
    <w:rsid w:val="00745228"/>
    <w:rsid w:val="0074570D"/>
    <w:rsid w:val="00752A77"/>
    <w:rsid w:val="00753471"/>
    <w:rsid w:val="00754FB7"/>
    <w:rsid w:val="00755785"/>
    <w:rsid w:val="007564A1"/>
    <w:rsid w:val="00757C97"/>
    <w:rsid w:val="0076222A"/>
    <w:rsid w:val="00762750"/>
    <w:rsid w:val="0076325D"/>
    <w:rsid w:val="00765516"/>
    <w:rsid w:val="00765F77"/>
    <w:rsid w:val="0076606E"/>
    <w:rsid w:val="00766525"/>
    <w:rsid w:val="00772B0F"/>
    <w:rsid w:val="00776243"/>
    <w:rsid w:val="00782238"/>
    <w:rsid w:val="00783A65"/>
    <w:rsid w:val="0078506B"/>
    <w:rsid w:val="00786C50"/>
    <w:rsid w:val="00786EAD"/>
    <w:rsid w:val="00792E5F"/>
    <w:rsid w:val="00793850"/>
    <w:rsid w:val="00793CED"/>
    <w:rsid w:val="0079638B"/>
    <w:rsid w:val="007A0632"/>
    <w:rsid w:val="007A10C0"/>
    <w:rsid w:val="007A20B2"/>
    <w:rsid w:val="007A269A"/>
    <w:rsid w:val="007A29A1"/>
    <w:rsid w:val="007A5B19"/>
    <w:rsid w:val="007A7715"/>
    <w:rsid w:val="007B07CB"/>
    <w:rsid w:val="007B1AAD"/>
    <w:rsid w:val="007B28B8"/>
    <w:rsid w:val="007B2D31"/>
    <w:rsid w:val="007B414F"/>
    <w:rsid w:val="007B41B2"/>
    <w:rsid w:val="007B4845"/>
    <w:rsid w:val="007B4B18"/>
    <w:rsid w:val="007B5ADC"/>
    <w:rsid w:val="007B650A"/>
    <w:rsid w:val="007B6BC2"/>
    <w:rsid w:val="007B6EFA"/>
    <w:rsid w:val="007B77FD"/>
    <w:rsid w:val="007C02A2"/>
    <w:rsid w:val="007C0FD6"/>
    <w:rsid w:val="007C2920"/>
    <w:rsid w:val="007C4113"/>
    <w:rsid w:val="007C57CA"/>
    <w:rsid w:val="007C7108"/>
    <w:rsid w:val="007D0C97"/>
    <w:rsid w:val="007D3207"/>
    <w:rsid w:val="007D3FF0"/>
    <w:rsid w:val="007D7295"/>
    <w:rsid w:val="007E07F5"/>
    <w:rsid w:val="007E14E2"/>
    <w:rsid w:val="007E1CD3"/>
    <w:rsid w:val="007E2132"/>
    <w:rsid w:val="007E2444"/>
    <w:rsid w:val="007E2562"/>
    <w:rsid w:val="007E2998"/>
    <w:rsid w:val="007E2F72"/>
    <w:rsid w:val="007E2FE7"/>
    <w:rsid w:val="007F0BD3"/>
    <w:rsid w:val="007F2A11"/>
    <w:rsid w:val="007F2AB3"/>
    <w:rsid w:val="007F3B15"/>
    <w:rsid w:val="007F43D7"/>
    <w:rsid w:val="007F5B76"/>
    <w:rsid w:val="008000E6"/>
    <w:rsid w:val="008001E7"/>
    <w:rsid w:val="00800349"/>
    <w:rsid w:val="0080153F"/>
    <w:rsid w:val="00802387"/>
    <w:rsid w:val="00803B6F"/>
    <w:rsid w:val="00805927"/>
    <w:rsid w:val="00811219"/>
    <w:rsid w:val="00811D22"/>
    <w:rsid w:val="00812FA9"/>
    <w:rsid w:val="0081468E"/>
    <w:rsid w:val="00816E98"/>
    <w:rsid w:val="0081743C"/>
    <w:rsid w:val="0081751C"/>
    <w:rsid w:val="008225C1"/>
    <w:rsid w:val="00822701"/>
    <w:rsid w:val="00822BD4"/>
    <w:rsid w:val="008250E2"/>
    <w:rsid w:val="008272DC"/>
    <w:rsid w:val="00827CAD"/>
    <w:rsid w:val="00831B9C"/>
    <w:rsid w:val="0083639B"/>
    <w:rsid w:val="008366BB"/>
    <w:rsid w:val="00837246"/>
    <w:rsid w:val="00840F41"/>
    <w:rsid w:val="00842450"/>
    <w:rsid w:val="008428D0"/>
    <w:rsid w:val="00843EDD"/>
    <w:rsid w:val="00844E9E"/>
    <w:rsid w:val="008478D9"/>
    <w:rsid w:val="0085020B"/>
    <w:rsid w:val="008502F2"/>
    <w:rsid w:val="008524A5"/>
    <w:rsid w:val="00852792"/>
    <w:rsid w:val="00852F22"/>
    <w:rsid w:val="00854058"/>
    <w:rsid w:val="00854FEC"/>
    <w:rsid w:val="0085557F"/>
    <w:rsid w:val="008556A8"/>
    <w:rsid w:val="0085594C"/>
    <w:rsid w:val="00856A85"/>
    <w:rsid w:val="008609E0"/>
    <w:rsid w:val="008613DB"/>
    <w:rsid w:val="00861C67"/>
    <w:rsid w:val="00861CCC"/>
    <w:rsid w:val="008640C2"/>
    <w:rsid w:val="008700D5"/>
    <w:rsid w:val="00870D1F"/>
    <w:rsid w:val="0087127C"/>
    <w:rsid w:val="00873810"/>
    <w:rsid w:val="00873918"/>
    <w:rsid w:val="008740FF"/>
    <w:rsid w:val="008744B6"/>
    <w:rsid w:val="008760D5"/>
    <w:rsid w:val="00880783"/>
    <w:rsid w:val="00880C89"/>
    <w:rsid w:val="00880D9E"/>
    <w:rsid w:val="00881D57"/>
    <w:rsid w:val="00881E92"/>
    <w:rsid w:val="00886483"/>
    <w:rsid w:val="008922FD"/>
    <w:rsid w:val="00893BF3"/>
    <w:rsid w:val="008948DB"/>
    <w:rsid w:val="00894CA9"/>
    <w:rsid w:val="00895D86"/>
    <w:rsid w:val="00896EB0"/>
    <w:rsid w:val="00897280"/>
    <w:rsid w:val="008A10AF"/>
    <w:rsid w:val="008A1F21"/>
    <w:rsid w:val="008A2FBC"/>
    <w:rsid w:val="008A4D5E"/>
    <w:rsid w:val="008B036C"/>
    <w:rsid w:val="008B065B"/>
    <w:rsid w:val="008B10CC"/>
    <w:rsid w:val="008B1873"/>
    <w:rsid w:val="008B35BD"/>
    <w:rsid w:val="008B41C7"/>
    <w:rsid w:val="008B4761"/>
    <w:rsid w:val="008B715F"/>
    <w:rsid w:val="008B75A2"/>
    <w:rsid w:val="008B75F6"/>
    <w:rsid w:val="008C176C"/>
    <w:rsid w:val="008C2283"/>
    <w:rsid w:val="008C24B7"/>
    <w:rsid w:val="008C29C6"/>
    <w:rsid w:val="008C2D20"/>
    <w:rsid w:val="008C3D77"/>
    <w:rsid w:val="008C3E8D"/>
    <w:rsid w:val="008C4DBB"/>
    <w:rsid w:val="008C528D"/>
    <w:rsid w:val="008C5A62"/>
    <w:rsid w:val="008C6844"/>
    <w:rsid w:val="008C693C"/>
    <w:rsid w:val="008C7F9E"/>
    <w:rsid w:val="008C7FAC"/>
    <w:rsid w:val="008D01D2"/>
    <w:rsid w:val="008D0A3B"/>
    <w:rsid w:val="008D29D1"/>
    <w:rsid w:val="008D3FA2"/>
    <w:rsid w:val="008D4E2E"/>
    <w:rsid w:val="008D4F6C"/>
    <w:rsid w:val="008D7CFC"/>
    <w:rsid w:val="008E1C21"/>
    <w:rsid w:val="008E31E6"/>
    <w:rsid w:val="008E42B8"/>
    <w:rsid w:val="008E4998"/>
    <w:rsid w:val="008E50A1"/>
    <w:rsid w:val="008E5B86"/>
    <w:rsid w:val="008E6926"/>
    <w:rsid w:val="008E7BB9"/>
    <w:rsid w:val="008E7E8A"/>
    <w:rsid w:val="008F0237"/>
    <w:rsid w:val="008F0422"/>
    <w:rsid w:val="008F2A6A"/>
    <w:rsid w:val="008F36A1"/>
    <w:rsid w:val="008F3891"/>
    <w:rsid w:val="008F502B"/>
    <w:rsid w:val="008F66AA"/>
    <w:rsid w:val="00902A8E"/>
    <w:rsid w:val="00903437"/>
    <w:rsid w:val="00903C5D"/>
    <w:rsid w:val="0090470F"/>
    <w:rsid w:val="00904C23"/>
    <w:rsid w:val="00904F46"/>
    <w:rsid w:val="00905133"/>
    <w:rsid w:val="00907CB0"/>
    <w:rsid w:val="00911C9A"/>
    <w:rsid w:val="00912789"/>
    <w:rsid w:val="00912D00"/>
    <w:rsid w:val="00913DAC"/>
    <w:rsid w:val="00915CF3"/>
    <w:rsid w:val="00920CA8"/>
    <w:rsid w:val="009220EB"/>
    <w:rsid w:val="0092307E"/>
    <w:rsid w:val="0092373A"/>
    <w:rsid w:val="00923988"/>
    <w:rsid w:val="00924B83"/>
    <w:rsid w:val="009262A4"/>
    <w:rsid w:val="009272A5"/>
    <w:rsid w:val="00932099"/>
    <w:rsid w:val="00932EF1"/>
    <w:rsid w:val="00933136"/>
    <w:rsid w:val="009332A5"/>
    <w:rsid w:val="0093472A"/>
    <w:rsid w:val="00934F0C"/>
    <w:rsid w:val="0093640A"/>
    <w:rsid w:val="00937762"/>
    <w:rsid w:val="00937BF7"/>
    <w:rsid w:val="00937C84"/>
    <w:rsid w:val="00940EBC"/>
    <w:rsid w:val="00941CBD"/>
    <w:rsid w:val="0094209D"/>
    <w:rsid w:val="00942580"/>
    <w:rsid w:val="00943570"/>
    <w:rsid w:val="00944346"/>
    <w:rsid w:val="0094486A"/>
    <w:rsid w:val="009448E9"/>
    <w:rsid w:val="009475AF"/>
    <w:rsid w:val="00950DAA"/>
    <w:rsid w:val="009516C2"/>
    <w:rsid w:val="00953978"/>
    <w:rsid w:val="00953CD8"/>
    <w:rsid w:val="00955650"/>
    <w:rsid w:val="00960B31"/>
    <w:rsid w:val="00964198"/>
    <w:rsid w:val="009651C4"/>
    <w:rsid w:val="0096582A"/>
    <w:rsid w:val="0096666C"/>
    <w:rsid w:val="00967B96"/>
    <w:rsid w:val="00967BA5"/>
    <w:rsid w:val="00972C59"/>
    <w:rsid w:val="00972E98"/>
    <w:rsid w:val="009739AD"/>
    <w:rsid w:val="009739E9"/>
    <w:rsid w:val="00974B48"/>
    <w:rsid w:val="00975822"/>
    <w:rsid w:val="0097741B"/>
    <w:rsid w:val="00977CE2"/>
    <w:rsid w:val="00977F2D"/>
    <w:rsid w:val="00980DA1"/>
    <w:rsid w:val="00982CF9"/>
    <w:rsid w:val="009849B6"/>
    <w:rsid w:val="00986280"/>
    <w:rsid w:val="00986467"/>
    <w:rsid w:val="0099146A"/>
    <w:rsid w:val="00991AC0"/>
    <w:rsid w:val="00992088"/>
    <w:rsid w:val="009923E0"/>
    <w:rsid w:val="009929E1"/>
    <w:rsid w:val="00992B73"/>
    <w:rsid w:val="00994CEA"/>
    <w:rsid w:val="00996032"/>
    <w:rsid w:val="009963CE"/>
    <w:rsid w:val="009971C6"/>
    <w:rsid w:val="00997E97"/>
    <w:rsid w:val="009A2555"/>
    <w:rsid w:val="009A5110"/>
    <w:rsid w:val="009A538E"/>
    <w:rsid w:val="009A6DD6"/>
    <w:rsid w:val="009B2D2A"/>
    <w:rsid w:val="009B65B9"/>
    <w:rsid w:val="009B6F51"/>
    <w:rsid w:val="009C0701"/>
    <w:rsid w:val="009C17FA"/>
    <w:rsid w:val="009C4B8E"/>
    <w:rsid w:val="009C5651"/>
    <w:rsid w:val="009C5E93"/>
    <w:rsid w:val="009C6050"/>
    <w:rsid w:val="009C6349"/>
    <w:rsid w:val="009C6E95"/>
    <w:rsid w:val="009D0758"/>
    <w:rsid w:val="009D232D"/>
    <w:rsid w:val="009D260A"/>
    <w:rsid w:val="009D2727"/>
    <w:rsid w:val="009D2768"/>
    <w:rsid w:val="009D2B75"/>
    <w:rsid w:val="009E0402"/>
    <w:rsid w:val="009E135F"/>
    <w:rsid w:val="009E1561"/>
    <w:rsid w:val="009E349B"/>
    <w:rsid w:val="009E5F2D"/>
    <w:rsid w:val="009E67F8"/>
    <w:rsid w:val="009E721F"/>
    <w:rsid w:val="009E7940"/>
    <w:rsid w:val="009F0030"/>
    <w:rsid w:val="009F300D"/>
    <w:rsid w:val="009F441A"/>
    <w:rsid w:val="009F597D"/>
    <w:rsid w:val="009F6B0C"/>
    <w:rsid w:val="00A00272"/>
    <w:rsid w:val="00A0212B"/>
    <w:rsid w:val="00A05E8E"/>
    <w:rsid w:val="00A063A1"/>
    <w:rsid w:val="00A106EC"/>
    <w:rsid w:val="00A112FE"/>
    <w:rsid w:val="00A1158E"/>
    <w:rsid w:val="00A11944"/>
    <w:rsid w:val="00A135B8"/>
    <w:rsid w:val="00A154D6"/>
    <w:rsid w:val="00A156AB"/>
    <w:rsid w:val="00A172AE"/>
    <w:rsid w:val="00A174FF"/>
    <w:rsid w:val="00A1798E"/>
    <w:rsid w:val="00A2271B"/>
    <w:rsid w:val="00A23FEB"/>
    <w:rsid w:val="00A2535F"/>
    <w:rsid w:val="00A2662B"/>
    <w:rsid w:val="00A27484"/>
    <w:rsid w:val="00A31FC1"/>
    <w:rsid w:val="00A34FC3"/>
    <w:rsid w:val="00A372D5"/>
    <w:rsid w:val="00A40A1E"/>
    <w:rsid w:val="00A40E73"/>
    <w:rsid w:val="00A4149D"/>
    <w:rsid w:val="00A421CC"/>
    <w:rsid w:val="00A421D2"/>
    <w:rsid w:val="00A42326"/>
    <w:rsid w:val="00A42474"/>
    <w:rsid w:val="00A4249D"/>
    <w:rsid w:val="00A4318B"/>
    <w:rsid w:val="00A4325C"/>
    <w:rsid w:val="00A47692"/>
    <w:rsid w:val="00A47D4B"/>
    <w:rsid w:val="00A53231"/>
    <w:rsid w:val="00A53742"/>
    <w:rsid w:val="00A546EA"/>
    <w:rsid w:val="00A54D22"/>
    <w:rsid w:val="00A54FA1"/>
    <w:rsid w:val="00A55699"/>
    <w:rsid w:val="00A55B10"/>
    <w:rsid w:val="00A55CD3"/>
    <w:rsid w:val="00A623A8"/>
    <w:rsid w:val="00A62F7F"/>
    <w:rsid w:val="00A630FC"/>
    <w:rsid w:val="00A63754"/>
    <w:rsid w:val="00A64265"/>
    <w:rsid w:val="00A65561"/>
    <w:rsid w:val="00A6619B"/>
    <w:rsid w:val="00A66ED5"/>
    <w:rsid w:val="00A66FB0"/>
    <w:rsid w:val="00A67267"/>
    <w:rsid w:val="00A6747B"/>
    <w:rsid w:val="00A67BFE"/>
    <w:rsid w:val="00A70622"/>
    <w:rsid w:val="00A7207A"/>
    <w:rsid w:val="00A72518"/>
    <w:rsid w:val="00A73850"/>
    <w:rsid w:val="00A744E1"/>
    <w:rsid w:val="00A74BFC"/>
    <w:rsid w:val="00A75EA0"/>
    <w:rsid w:val="00A80283"/>
    <w:rsid w:val="00A8297C"/>
    <w:rsid w:val="00A83681"/>
    <w:rsid w:val="00A840FD"/>
    <w:rsid w:val="00A84D2F"/>
    <w:rsid w:val="00A90885"/>
    <w:rsid w:val="00A91F0E"/>
    <w:rsid w:val="00A92C5E"/>
    <w:rsid w:val="00A92D5E"/>
    <w:rsid w:val="00A93151"/>
    <w:rsid w:val="00A94C5E"/>
    <w:rsid w:val="00A955C8"/>
    <w:rsid w:val="00A974A4"/>
    <w:rsid w:val="00A97A94"/>
    <w:rsid w:val="00AA083C"/>
    <w:rsid w:val="00AA2D44"/>
    <w:rsid w:val="00AA3A49"/>
    <w:rsid w:val="00AA3B61"/>
    <w:rsid w:val="00AA405D"/>
    <w:rsid w:val="00AA4E6A"/>
    <w:rsid w:val="00AA5287"/>
    <w:rsid w:val="00AA75A4"/>
    <w:rsid w:val="00AA77B4"/>
    <w:rsid w:val="00AB2FB8"/>
    <w:rsid w:val="00AB42C7"/>
    <w:rsid w:val="00AB56A6"/>
    <w:rsid w:val="00AB77E9"/>
    <w:rsid w:val="00AC1A2C"/>
    <w:rsid w:val="00AC1CBD"/>
    <w:rsid w:val="00AC4EB5"/>
    <w:rsid w:val="00AC5D25"/>
    <w:rsid w:val="00AC70FF"/>
    <w:rsid w:val="00AD011D"/>
    <w:rsid w:val="00AD1082"/>
    <w:rsid w:val="00AD16E8"/>
    <w:rsid w:val="00AD3DF8"/>
    <w:rsid w:val="00AD4853"/>
    <w:rsid w:val="00AD5605"/>
    <w:rsid w:val="00AD562A"/>
    <w:rsid w:val="00AD58B2"/>
    <w:rsid w:val="00AD6C8F"/>
    <w:rsid w:val="00AD7015"/>
    <w:rsid w:val="00AD77C8"/>
    <w:rsid w:val="00AD7A19"/>
    <w:rsid w:val="00AE204E"/>
    <w:rsid w:val="00AE2756"/>
    <w:rsid w:val="00AE2C50"/>
    <w:rsid w:val="00AE4E8E"/>
    <w:rsid w:val="00AE6240"/>
    <w:rsid w:val="00AE65A2"/>
    <w:rsid w:val="00AE69A9"/>
    <w:rsid w:val="00AE6E97"/>
    <w:rsid w:val="00AF18E1"/>
    <w:rsid w:val="00AF279E"/>
    <w:rsid w:val="00AF3C00"/>
    <w:rsid w:val="00AF5562"/>
    <w:rsid w:val="00AF66E5"/>
    <w:rsid w:val="00AF7252"/>
    <w:rsid w:val="00AF7262"/>
    <w:rsid w:val="00B00321"/>
    <w:rsid w:val="00B00A4F"/>
    <w:rsid w:val="00B018CF"/>
    <w:rsid w:val="00B01902"/>
    <w:rsid w:val="00B03529"/>
    <w:rsid w:val="00B11E27"/>
    <w:rsid w:val="00B1243A"/>
    <w:rsid w:val="00B13ABA"/>
    <w:rsid w:val="00B15458"/>
    <w:rsid w:val="00B15A76"/>
    <w:rsid w:val="00B15C8D"/>
    <w:rsid w:val="00B1775F"/>
    <w:rsid w:val="00B2043B"/>
    <w:rsid w:val="00B21171"/>
    <w:rsid w:val="00B211A3"/>
    <w:rsid w:val="00B21255"/>
    <w:rsid w:val="00B22E41"/>
    <w:rsid w:val="00B22F4B"/>
    <w:rsid w:val="00B23CD3"/>
    <w:rsid w:val="00B24830"/>
    <w:rsid w:val="00B25467"/>
    <w:rsid w:val="00B25875"/>
    <w:rsid w:val="00B25C3D"/>
    <w:rsid w:val="00B26571"/>
    <w:rsid w:val="00B2697B"/>
    <w:rsid w:val="00B270E8"/>
    <w:rsid w:val="00B279C6"/>
    <w:rsid w:val="00B3167A"/>
    <w:rsid w:val="00B31BAB"/>
    <w:rsid w:val="00B31FC2"/>
    <w:rsid w:val="00B33319"/>
    <w:rsid w:val="00B3395E"/>
    <w:rsid w:val="00B3670D"/>
    <w:rsid w:val="00B36FBC"/>
    <w:rsid w:val="00B3770C"/>
    <w:rsid w:val="00B43E89"/>
    <w:rsid w:val="00B45052"/>
    <w:rsid w:val="00B5104F"/>
    <w:rsid w:val="00B51BD9"/>
    <w:rsid w:val="00B52515"/>
    <w:rsid w:val="00B56D21"/>
    <w:rsid w:val="00B57950"/>
    <w:rsid w:val="00B60C45"/>
    <w:rsid w:val="00B615D1"/>
    <w:rsid w:val="00B61C2A"/>
    <w:rsid w:val="00B626D7"/>
    <w:rsid w:val="00B62B61"/>
    <w:rsid w:val="00B63134"/>
    <w:rsid w:val="00B64559"/>
    <w:rsid w:val="00B7056D"/>
    <w:rsid w:val="00B71832"/>
    <w:rsid w:val="00B71C05"/>
    <w:rsid w:val="00B73238"/>
    <w:rsid w:val="00B7349E"/>
    <w:rsid w:val="00B761D9"/>
    <w:rsid w:val="00B7784A"/>
    <w:rsid w:val="00B77A24"/>
    <w:rsid w:val="00B80332"/>
    <w:rsid w:val="00B8067C"/>
    <w:rsid w:val="00B821F5"/>
    <w:rsid w:val="00B82C8F"/>
    <w:rsid w:val="00B8366E"/>
    <w:rsid w:val="00B845E8"/>
    <w:rsid w:val="00B87CB6"/>
    <w:rsid w:val="00B87EF2"/>
    <w:rsid w:val="00B9047D"/>
    <w:rsid w:val="00B93927"/>
    <w:rsid w:val="00B93F0B"/>
    <w:rsid w:val="00B95605"/>
    <w:rsid w:val="00B962F1"/>
    <w:rsid w:val="00B97139"/>
    <w:rsid w:val="00B9729B"/>
    <w:rsid w:val="00BA37C1"/>
    <w:rsid w:val="00BA439C"/>
    <w:rsid w:val="00BA4C48"/>
    <w:rsid w:val="00BA5692"/>
    <w:rsid w:val="00BB0A73"/>
    <w:rsid w:val="00BB16EA"/>
    <w:rsid w:val="00BB2A10"/>
    <w:rsid w:val="00BB4AB4"/>
    <w:rsid w:val="00BB615A"/>
    <w:rsid w:val="00BB6A17"/>
    <w:rsid w:val="00BB774A"/>
    <w:rsid w:val="00BB7B27"/>
    <w:rsid w:val="00BB7B74"/>
    <w:rsid w:val="00BB7E5B"/>
    <w:rsid w:val="00BC051F"/>
    <w:rsid w:val="00BC0BD9"/>
    <w:rsid w:val="00BC1007"/>
    <w:rsid w:val="00BC250E"/>
    <w:rsid w:val="00BC27F4"/>
    <w:rsid w:val="00BC38C8"/>
    <w:rsid w:val="00BC4BA5"/>
    <w:rsid w:val="00BC51DF"/>
    <w:rsid w:val="00BC62D1"/>
    <w:rsid w:val="00BD1472"/>
    <w:rsid w:val="00BD2774"/>
    <w:rsid w:val="00BD4F36"/>
    <w:rsid w:val="00BD616C"/>
    <w:rsid w:val="00BD65CB"/>
    <w:rsid w:val="00BE02F9"/>
    <w:rsid w:val="00BE18AE"/>
    <w:rsid w:val="00BE31F1"/>
    <w:rsid w:val="00BE35B2"/>
    <w:rsid w:val="00BE5411"/>
    <w:rsid w:val="00BE5AF1"/>
    <w:rsid w:val="00BE7B60"/>
    <w:rsid w:val="00BF0EFC"/>
    <w:rsid w:val="00BF0F8D"/>
    <w:rsid w:val="00BF1B08"/>
    <w:rsid w:val="00BF25DC"/>
    <w:rsid w:val="00BF2CA9"/>
    <w:rsid w:val="00BF35DD"/>
    <w:rsid w:val="00BF45D1"/>
    <w:rsid w:val="00BF46F8"/>
    <w:rsid w:val="00BF4B49"/>
    <w:rsid w:val="00BF6538"/>
    <w:rsid w:val="00BF7225"/>
    <w:rsid w:val="00C02728"/>
    <w:rsid w:val="00C031D6"/>
    <w:rsid w:val="00C036B7"/>
    <w:rsid w:val="00C036E3"/>
    <w:rsid w:val="00C05DE2"/>
    <w:rsid w:val="00C06620"/>
    <w:rsid w:val="00C0776A"/>
    <w:rsid w:val="00C1181F"/>
    <w:rsid w:val="00C12CFF"/>
    <w:rsid w:val="00C137B7"/>
    <w:rsid w:val="00C13E52"/>
    <w:rsid w:val="00C15893"/>
    <w:rsid w:val="00C15C8A"/>
    <w:rsid w:val="00C16038"/>
    <w:rsid w:val="00C203DD"/>
    <w:rsid w:val="00C303D9"/>
    <w:rsid w:val="00C30E2D"/>
    <w:rsid w:val="00C31918"/>
    <w:rsid w:val="00C32043"/>
    <w:rsid w:val="00C3291B"/>
    <w:rsid w:val="00C32E0D"/>
    <w:rsid w:val="00C33513"/>
    <w:rsid w:val="00C34A05"/>
    <w:rsid w:val="00C35BEB"/>
    <w:rsid w:val="00C37651"/>
    <w:rsid w:val="00C41678"/>
    <w:rsid w:val="00C41799"/>
    <w:rsid w:val="00C418A8"/>
    <w:rsid w:val="00C446D0"/>
    <w:rsid w:val="00C453CE"/>
    <w:rsid w:val="00C5206E"/>
    <w:rsid w:val="00C52727"/>
    <w:rsid w:val="00C52EA4"/>
    <w:rsid w:val="00C55410"/>
    <w:rsid w:val="00C56DCB"/>
    <w:rsid w:val="00C571A0"/>
    <w:rsid w:val="00C573AA"/>
    <w:rsid w:val="00C6143E"/>
    <w:rsid w:val="00C61B24"/>
    <w:rsid w:val="00C61B79"/>
    <w:rsid w:val="00C625A0"/>
    <w:rsid w:val="00C626CB"/>
    <w:rsid w:val="00C62F15"/>
    <w:rsid w:val="00C63ED6"/>
    <w:rsid w:val="00C66222"/>
    <w:rsid w:val="00C705FF"/>
    <w:rsid w:val="00C716F8"/>
    <w:rsid w:val="00C7312B"/>
    <w:rsid w:val="00C733DD"/>
    <w:rsid w:val="00C7417E"/>
    <w:rsid w:val="00C74778"/>
    <w:rsid w:val="00C74B53"/>
    <w:rsid w:val="00C77107"/>
    <w:rsid w:val="00C81DE4"/>
    <w:rsid w:val="00C8366E"/>
    <w:rsid w:val="00C83AC3"/>
    <w:rsid w:val="00C847AA"/>
    <w:rsid w:val="00C867A9"/>
    <w:rsid w:val="00C903AC"/>
    <w:rsid w:val="00C90ACE"/>
    <w:rsid w:val="00C93133"/>
    <w:rsid w:val="00C951BA"/>
    <w:rsid w:val="00C96CBD"/>
    <w:rsid w:val="00CA4E13"/>
    <w:rsid w:val="00CA5849"/>
    <w:rsid w:val="00CA6666"/>
    <w:rsid w:val="00CA670B"/>
    <w:rsid w:val="00CB01AE"/>
    <w:rsid w:val="00CB423B"/>
    <w:rsid w:val="00CB47DD"/>
    <w:rsid w:val="00CB70E1"/>
    <w:rsid w:val="00CB71CA"/>
    <w:rsid w:val="00CC1CD8"/>
    <w:rsid w:val="00CC41D5"/>
    <w:rsid w:val="00CC4C7F"/>
    <w:rsid w:val="00CC518C"/>
    <w:rsid w:val="00CC5AB4"/>
    <w:rsid w:val="00CC5BDD"/>
    <w:rsid w:val="00CD201E"/>
    <w:rsid w:val="00CD318A"/>
    <w:rsid w:val="00CD3C82"/>
    <w:rsid w:val="00CD526C"/>
    <w:rsid w:val="00CD5D98"/>
    <w:rsid w:val="00CD5E9F"/>
    <w:rsid w:val="00CD7423"/>
    <w:rsid w:val="00CE088F"/>
    <w:rsid w:val="00CE0DDD"/>
    <w:rsid w:val="00CE1C03"/>
    <w:rsid w:val="00CE6207"/>
    <w:rsid w:val="00CE71AA"/>
    <w:rsid w:val="00CE79E7"/>
    <w:rsid w:val="00CF042F"/>
    <w:rsid w:val="00CF12F9"/>
    <w:rsid w:val="00CF3285"/>
    <w:rsid w:val="00CF4922"/>
    <w:rsid w:val="00CF5A9A"/>
    <w:rsid w:val="00CF5B51"/>
    <w:rsid w:val="00D0026A"/>
    <w:rsid w:val="00D00DAA"/>
    <w:rsid w:val="00D00F32"/>
    <w:rsid w:val="00D02314"/>
    <w:rsid w:val="00D02860"/>
    <w:rsid w:val="00D02D91"/>
    <w:rsid w:val="00D03A8E"/>
    <w:rsid w:val="00D072FE"/>
    <w:rsid w:val="00D07432"/>
    <w:rsid w:val="00D07D22"/>
    <w:rsid w:val="00D101CA"/>
    <w:rsid w:val="00D11D8F"/>
    <w:rsid w:val="00D12330"/>
    <w:rsid w:val="00D130D1"/>
    <w:rsid w:val="00D142EC"/>
    <w:rsid w:val="00D1566B"/>
    <w:rsid w:val="00D159EE"/>
    <w:rsid w:val="00D16F78"/>
    <w:rsid w:val="00D17A9F"/>
    <w:rsid w:val="00D17B25"/>
    <w:rsid w:val="00D20C6F"/>
    <w:rsid w:val="00D21F45"/>
    <w:rsid w:val="00D22C45"/>
    <w:rsid w:val="00D24D5A"/>
    <w:rsid w:val="00D27D20"/>
    <w:rsid w:val="00D31AEA"/>
    <w:rsid w:val="00D323D3"/>
    <w:rsid w:val="00D32D96"/>
    <w:rsid w:val="00D33283"/>
    <w:rsid w:val="00D33296"/>
    <w:rsid w:val="00D34D79"/>
    <w:rsid w:val="00D351D8"/>
    <w:rsid w:val="00D37913"/>
    <w:rsid w:val="00D42373"/>
    <w:rsid w:val="00D43207"/>
    <w:rsid w:val="00D44C8F"/>
    <w:rsid w:val="00D46CAE"/>
    <w:rsid w:val="00D46F4F"/>
    <w:rsid w:val="00D479C0"/>
    <w:rsid w:val="00D50ADA"/>
    <w:rsid w:val="00D50EFA"/>
    <w:rsid w:val="00D51CF7"/>
    <w:rsid w:val="00D54210"/>
    <w:rsid w:val="00D5453A"/>
    <w:rsid w:val="00D5490A"/>
    <w:rsid w:val="00D54B1B"/>
    <w:rsid w:val="00D54B7D"/>
    <w:rsid w:val="00D56E5F"/>
    <w:rsid w:val="00D605CE"/>
    <w:rsid w:val="00D62548"/>
    <w:rsid w:val="00D62FD4"/>
    <w:rsid w:val="00D63537"/>
    <w:rsid w:val="00D65A2F"/>
    <w:rsid w:val="00D66E9F"/>
    <w:rsid w:val="00D6701C"/>
    <w:rsid w:val="00D700DD"/>
    <w:rsid w:val="00D705BF"/>
    <w:rsid w:val="00D70619"/>
    <w:rsid w:val="00D74D53"/>
    <w:rsid w:val="00D75F2C"/>
    <w:rsid w:val="00D80BC0"/>
    <w:rsid w:val="00D81011"/>
    <w:rsid w:val="00D81E9F"/>
    <w:rsid w:val="00D82C7C"/>
    <w:rsid w:val="00D84F2B"/>
    <w:rsid w:val="00D85050"/>
    <w:rsid w:val="00D864D5"/>
    <w:rsid w:val="00D86FD4"/>
    <w:rsid w:val="00D8711E"/>
    <w:rsid w:val="00D87711"/>
    <w:rsid w:val="00D900EB"/>
    <w:rsid w:val="00D90F50"/>
    <w:rsid w:val="00D91229"/>
    <w:rsid w:val="00D92715"/>
    <w:rsid w:val="00D930C3"/>
    <w:rsid w:val="00D94B19"/>
    <w:rsid w:val="00D9532F"/>
    <w:rsid w:val="00D95C97"/>
    <w:rsid w:val="00D9632A"/>
    <w:rsid w:val="00D9661D"/>
    <w:rsid w:val="00D972E4"/>
    <w:rsid w:val="00D97A42"/>
    <w:rsid w:val="00D97C1B"/>
    <w:rsid w:val="00DA2FF6"/>
    <w:rsid w:val="00DA41C3"/>
    <w:rsid w:val="00DA5329"/>
    <w:rsid w:val="00DA6AA7"/>
    <w:rsid w:val="00DA6CA4"/>
    <w:rsid w:val="00DA7A79"/>
    <w:rsid w:val="00DB0888"/>
    <w:rsid w:val="00DB26DF"/>
    <w:rsid w:val="00DB2812"/>
    <w:rsid w:val="00DB2CEE"/>
    <w:rsid w:val="00DB3630"/>
    <w:rsid w:val="00DB3E4F"/>
    <w:rsid w:val="00DB42A6"/>
    <w:rsid w:val="00DB54AC"/>
    <w:rsid w:val="00DB6B07"/>
    <w:rsid w:val="00DB74E8"/>
    <w:rsid w:val="00DC2762"/>
    <w:rsid w:val="00DC2F35"/>
    <w:rsid w:val="00DC46BD"/>
    <w:rsid w:val="00DC4914"/>
    <w:rsid w:val="00DC506B"/>
    <w:rsid w:val="00DC5235"/>
    <w:rsid w:val="00DC5AC6"/>
    <w:rsid w:val="00DC5D07"/>
    <w:rsid w:val="00DC6DC4"/>
    <w:rsid w:val="00DD199E"/>
    <w:rsid w:val="00DD226F"/>
    <w:rsid w:val="00DD31BC"/>
    <w:rsid w:val="00DD3411"/>
    <w:rsid w:val="00DD3975"/>
    <w:rsid w:val="00DD3CBB"/>
    <w:rsid w:val="00DD5D48"/>
    <w:rsid w:val="00DD6F01"/>
    <w:rsid w:val="00DD7795"/>
    <w:rsid w:val="00DD7883"/>
    <w:rsid w:val="00DD7B4A"/>
    <w:rsid w:val="00DD7D67"/>
    <w:rsid w:val="00DD7F13"/>
    <w:rsid w:val="00DE12BA"/>
    <w:rsid w:val="00DE32F2"/>
    <w:rsid w:val="00DE3598"/>
    <w:rsid w:val="00DE3B20"/>
    <w:rsid w:val="00DE42F9"/>
    <w:rsid w:val="00DE45C4"/>
    <w:rsid w:val="00DE5161"/>
    <w:rsid w:val="00DE617F"/>
    <w:rsid w:val="00DE6507"/>
    <w:rsid w:val="00DE684E"/>
    <w:rsid w:val="00DE6E0B"/>
    <w:rsid w:val="00DF0150"/>
    <w:rsid w:val="00DF14D8"/>
    <w:rsid w:val="00DF1917"/>
    <w:rsid w:val="00DF1D6E"/>
    <w:rsid w:val="00DF4B57"/>
    <w:rsid w:val="00DF56E3"/>
    <w:rsid w:val="00DF5CA3"/>
    <w:rsid w:val="00DF6A05"/>
    <w:rsid w:val="00E00CB5"/>
    <w:rsid w:val="00E01B9D"/>
    <w:rsid w:val="00E02CE1"/>
    <w:rsid w:val="00E04328"/>
    <w:rsid w:val="00E05458"/>
    <w:rsid w:val="00E05EB5"/>
    <w:rsid w:val="00E0664C"/>
    <w:rsid w:val="00E07CF6"/>
    <w:rsid w:val="00E10AD8"/>
    <w:rsid w:val="00E1221A"/>
    <w:rsid w:val="00E12716"/>
    <w:rsid w:val="00E1289F"/>
    <w:rsid w:val="00E13BDE"/>
    <w:rsid w:val="00E14747"/>
    <w:rsid w:val="00E1722E"/>
    <w:rsid w:val="00E215A5"/>
    <w:rsid w:val="00E22DC7"/>
    <w:rsid w:val="00E23B8D"/>
    <w:rsid w:val="00E240A7"/>
    <w:rsid w:val="00E259B8"/>
    <w:rsid w:val="00E25AFC"/>
    <w:rsid w:val="00E27580"/>
    <w:rsid w:val="00E36346"/>
    <w:rsid w:val="00E37420"/>
    <w:rsid w:val="00E37FB6"/>
    <w:rsid w:val="00E41AAA"/>
    <w:rsid w:val="00E41B10"/>
    <w:rsid w:val="00E42607"/>
    <w:rsid w:val="00E44E07"/>
    <w:rsid w:val="00E45B9D"/>
    <w:rsid w:val="00E465F5"/>
    <w:rsid w:val="00E46D8B"/>
    <w:rsid w:val="00E508BD"/>
    <w:rsid w:val="00E510B0"/>
    <w:rsid w:val="00E52B60"/>
    <w:rsid w:val="00E53102"/>
    <w:rsid w:val="00E5323A"/>
    <w:rsid w:val="00E5572C"/>
    <w:rsid w:val="00E56200"/>
    <w:rsid w:val="00E565E9"/>
    <w:rsid w:val="00E56899"/>
    <w:rsid w:val="00E62B73"/>
    <w:rsid w:val="00E62C5F"/>
    <w:rsid w:val="00E62C86"/>
    <w:rsid w:val="00E63905"/>
    <w:rsid w:val="00E6412D"/>
    <w:rsid w:val="00E64E73"/>
    <w:rsid w:val="00E658DA"/>
    <w:rsid w:val="00E66BFE"/>
    <w:rsid w:val="00E67283"/>
    <w:rsid w:val="00E6728A"/>
    <w:rsid w:val="00E70BC3"/>
    <w:rsid w:val="00E7144A"/>
    <w:rsid w:val="00E7155B"/>
    <w:rsid w:val="00E716C3"/>
    <w:rsid w:val="00E7174B"/>
    <w:rsid w:val="00E727D8"/>
    <w:rsid w:val="00E72FF3"/>
    <w:rsid w:val="00E74AD7"/>
    <w:rsid w:val="00E74C4C"/>
    <w:rsid w:val="00E75B87"/>
    <w:rsid w:val="00E76567"/>
    <w:rsid w:val="00E769B3"/>
    <w:rsid w:val="00E77552"/>
    <w:rsid w:val="00E80091"/>
    <w:rsid w:val="00E80C75"/>
    <w:rsid w:val="00E81871"/>
    <w:rsid w:val="00E84108"/>
    <w:rsid w:val="00E84383"/>
    <w:rsid w:val="00E85031"/>
    <w:rsid w:val="00E85720"/>
    <w:rsid w:val="00E85E2B"/>
    <w:rsid w:val="00E86596"/>
    <w:rsid w:val="00E87196"/>
    <w:rsid w:val="00E87303"/>
    <w:rsid w:val="00E87C53"/>
    <w:rsid w:val="00E91ABE"/>
    <w:rsid w:val="00E91E5A"/>
    <w:rsid w:val="00E941E7"/>
    <w:rsid w:val="00E944BF"/>
    <w:rsid w:val="00E949B7"/>
    <w:rsid w:val="00E95586"/>
    <w:rsid w:val="00E96659"/>
    <w:rsid w:val="00EA1B44"/>
    <w:rsid w:val="00EA1B70"/>
    <w:rsid w:val="00EA1BA7"/>
    <w:rsid w:val="00EA28AC"/>
    <w:rsid w:val="00EA2D95"/>
    <w:rsid w:val="00EA6A11"/>
    <w:rsid w:val="00EA7169"/>
    <w:rsid w:val="00EA79F5"/>
    <w:rsid w:val="00EB11D0"/>
    <w:rsid w:val="00EB1E06"/>
    <w:rsid w:val="00EB34C3"/>
    <w:rsid w:val="00EB3792"/>
    <w:rsid w:val="00EB4865"/>
    <w:rsid w:val="00EB5AF1"/>
    <w:rsid w:val="00EB5C7A"/>
    <w:rsid w:val="00EB6900"/>
    <w:rsid w:val="00EB76B7"/>
    <w:rsid w:val="00EB787C"/>
    <w:rsid w:val="00EC01CD"/>
    <w:rsid w:val="00EC2261"/>
    <w:rsid w:val="00EC3A1A"/>
    <w:rsid w:val="00EC50D7"/>
    <w:rsid w:val="00EC582C"/>
    <w:rsid w:val="00EC6E35"/>
    <w:rsid w:val="00EC6E6F"/>
    <w:rsid w:val="00EC7770"/>
    <w:rsid w:val="00ED02A6"/>
    <w:rsid w:val="00ED1CDE"/>
    <w:rsid w:val="00ED2BA5"/>
    <w:rsid w:val="00ED3CFC"/>
    <w:rsid w:val="00ED4A00"/>
    <w:rsid w:val="00ED4D60"/>
    <w:rsid w:val="00ED5001"/>
    <w:rsid w:val="00ED5D10"/>
    <w:rsid w:val="00EE0519"/>
    <w:rsid w:val="00EE19BA"/>
    <w:rsid w:val="00EE2222"/>
    <w:rsid w:val="00EE3682"/>
    <w:rsid w:val="00EE546F"/>
    <w:rsid w:val="00EE5486"/>
    <w:rsid w:val="00EE633B"/>
    <w:rsid w:val="00EE7290"/>
    <w:rsid w:val="00EF0201"/>
    <w:rsid w:val="00EF0FEB"/>
    <w:rsid w:val="00EF1325"/>
    <w:rsid w:val="00EF1F3C"/>
    <w:rsid w:val="00EF1F5F"/>
    <w:rsid w:val="00EF2A6C"/>
    <w:rsid w:val="00EF5033"/>
    <w:rsid w:val="00EF50FA"/>
    <w:rsid w:val="00EF5AA8"/>
    <w:rsid w:val="00F00F43"/>
    <w:rsid w:val="00F016AA"/>
    <w:rsid w:val="00F020BB"/>
    <w:rsid w:val="00F020F3"/>
    <w:rsid w:val="00F03524"/>
    <w:rsid w:val="00F06B5F"/>
    <w:rsid w:val="00F106AD"/>
    <w:rsid w:val="00F115F8"/>
    <w:rsid w:val="00F12443"/>
    <w:rsid w:val="00F12B28"/>
    <w:rsid w:val="00F14350"/>
    <w:rsid w:val="00F1447B"/>
    <w:rsid w:val="00F16D9F"/>
    <w:rsid w:val="00F20108"/>
    <w:rsid w:val="00F20928"/>
    <w:rsid w:val="00F21480"/>
    <w:rsid w:val="00F22FD2"/>
    <w:rsid w:val="00F23F91"/>
    <w:rsid w:val="00F24AE5"/>
    <w:rsid w:val="00F26027"/>
    <w:rsid w:val="00F272A2"/>
    <w:rsid w:val="00F27A48"/>
    <w:rsid w:val="00F27D78"/>
    <w:rsid w:val="00F30EAB"/>
    <w:rsid w:val="00F312D4"/>
    <w:rsid w:val="00F32DF3"/>
    <w:rsid w:val="00F332B4"/>
    <w:rsid w:val="00F348B5"/>
    <w:rsid w:val="00F34BB6"/>
    <w:rsid w:val="00F37467"/>
    <w:rsid w:val="00F42BFC"/>
    <w:rsid w:val="00F43528"/>
    <w:rsid w:val="00F44715"/>
    <w:rsid w:val="00F44716"/>
    <w:rsid w:val="00F44DD6"/>
    <w:rsid w:val="00F46096"/>
    <w:rsid w:val="00F46337"/>
    <w:rsid w:val="00F46875"/>
    <w:rsid w:val="00F473CF"/>
    <w:rsid w:val="00F474B9"/>
    <w:rsid w:val="00F47FE1"/>
    <w:rsid w:val="00F51068"/>
    <w:rsid w:val="00F536D8"/>
    <w:rsid w:val="00F53EC5"/>
    <w:rsid w:val="00F563E5"/>
    <w:rsid w:val="00F574B9"/>
    <w:rsid w:val="00F57C5A"/>
    <w:rsid w:val="00F60A4D"/>
    <w:rsid w:val="00F61223"/>
    <w:rsid w:val="00F6154A"/>
    <w:rsid w:val="00F638B9"/>
    <w:rsid w:val="00F63B9D"/>
    <w:rsid w:val="00F646D4"/>
    <w:rsid w:val="00F66AF1"/>
    <w:rsid w:val="00F66D19"/>
    <w:rsid w:val="00F66F1A"/>
    <w:rsid w:val="00F677E1"/>
    <w:rsid w:val="00F67B63"/>
    <w:rsid w:val="00F7457B"/>
    <w:rsid w:val="00F75649"/>
    <w:rsid w:val="00F75925"/>
    <w:rsid w:val="00F7613F"/>
    <w:rsid w:val="00F80DCE"/>
    <w:rsid w:val="00F829CF"/>
    <w:rsid w:val="00F831A4"/>
    <w:rsid w:val="00F83C35"/>
    <w:rsid w:val="00F86AB0"/>
    <w:rsid w:val="00F86ACE"/>
    <w:rsid w:val="00F86FB9"/>
    <w:rsid w:val="00F87D4F"/>
    <w:rsid w:val="00F90D6D"/>
    <w:rsid w:val="00F90FA3"/>
    <w:rsid w:val="00F915CA"/>
    <w:rsid w:val="00F95E2A"/>
    <w:rsid w:val="00F95F17"/>
    <w:rsid w:val="00FA0478"/>
    <w:rsid w:val="00FA0A89"/>
    <w:rsid w:val="00FA123F"/>
    <w:rsid w:val="00FA2972"/>
    <w:rsid w:val="00FA2BE1"/>
    <w:rsid w:val="00FA2C8F"/>
    <w:rsid w:val="00FA3EAF"/>
    <w:rsid w:val="00FA44FB"/>
    <w:rsid w:val="00FA532D"/>
    <w:rsid w:val="00FA5FE1"/>
    <w:rsid w:val="00FB1FD5"/>
    <w:rsid w:val="00FB31C7"/>
    <w:rsid w:val="00FB4142"/>
    <w:rsid w:val="00FB4C02"/>
    <w:rsid w:val="00FB64D1"/>
    <w:rsid w:val="00FB65BD"/>
    <w:rsid w:val="00FB72B2"/>
    <w:rsid w:val="00FC2E9A"/>
    <w:rsid w:val="00FC338E"/>
    <w:rsid w:val="00FC415B"/>
    <w:rsid w:val="00FC4425"/>
    <w:rsid w:val="00FC59DF"/>
    <w:rsid w:val="00FD1596"/>
    <w:rsid w:val="00FD30F1"/>
    <w:rsid w:val="00FD3587"/>
    <w:rsid w:val="00FD39C6"/>
    <w:rsid w:val="00FD3BA9"/>
    <w:rsid w:val="00FD3DF2"/>
    <w:rsid w:val="00FD4A90"/>
    <w:rsid w:val="00FE01A8"/>
    <w:rsid w:val="00FE0869"/>
    <w:rsid w:val="00FE1167"/>
    <w:rsid w:val="00FE332B"/>
    <w:rsid w:val="00FE34EE"/>
    <w:rsid w:val="00FE34F3"/>
    <w:rsid w:val="00FE354E"/>
    <w:rsid w:val="00FE3999"/>
    <w:rsid w:val="00FE3D94"/>
    <w:rsid w:val="00FE4207"/>
    <w:rsid w:val="00FE4603"/>
    <w:rsid w:val="00FE5A1F"/>
    <w:rsid w:val="00FE6248"/>
    <w:rsid w:val="00FE6388"/>
    <w:rsid w:val="00FE7D5F"/>
    <w:rsid w:val="00FF0373"/>
    <w:rsid w:val="00FF0B4A"/>
    <w:rsid w:val="00FF2361"/>
    <w:rsid w:val="00FF4E10"/>
    <w:rsid w:val="00FF572C"/>
    <w:rsid w:val="00FF5FF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BC0CE6-42D1-4A4D-B1EF-DAD7A8EA2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A8E"/>
    <w:rPr>
      <w:rFonts w:ascii="Cambria" w:hAnsi="Cambria"/>
      <w:sz w:val="24"/>
    </w:rPr>
  </w:style>
  <w:style w:type="paragraph" w:styleId="Heading1">
    <w:name w:val="heading 1"/>
    <w:basedOn w:val="Normal"/>
    <w:next w:val="Normal"/>
    <w:link w:val="Heading1Char"/>
    <w:uiPriority w:val="9"/>
    <w:qFormat/>
    <w:rsid w:val="00D03A8E"/>
    <w:pPr>
      <w:keepNext/>
      <w:keepLines/>
      <w:numPr>
        <w:numId w:val="2"/>
      </w:numPr>
      <w:spacing w:before="240" w:after="0"/>
      <w:jc w:val="center"/>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D03A8E"/>
    <w:pPr>
      <w:keepNext/>
      <w:keepLines/>
      <w:numPr>
        <w:ilvl w:val="1"/>
        <w:numId w:val="2"/>
      </w:numPr>
      <w:spacing w:before="40" w:after="0"/>
      <w:ind w:left="0"/>
      <w:jc w:val="center"/>
      <w:outlineLvl w:val="1"/>
    </w:pPr>
    <w:rPr>
      <w:rFonts w:eastAsiaTheme="majorEastAsia" w:cstheme="majorBidi"/>
      <w:b/>
      <w:sz w:val="26"/>
      <w:szCs w:val="26"/>
    </w:rPr>
  </w:style>
  <w:style w:type="paragraph" w:styleId="Heading3">
    <w:name w:val="heading 3"/>
    <w:basedOn w:val="Normal"/>
    <w:next w:val="Normal"/>
    <w:link w:val="Heading3Char"/>
    <w:autoRedefine/>
    <w:uiPriority w:val="9"/>
    <w:unhideWhenUsed/>
    <w:qFormat/>
    <w:rsid w:val="00170224"/>
    <w:pPr>
      <w:keepNext/>
      <w:keepLines/>
      <w:numPr>
        <w:ilvl w:val="2"/>
        <w:numId w:val="2"/>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03A8E"/>
    <w:pPr>
      <w:keepNext/>
      <w:keepLines/>
      <w:numPr>
        <w:ilvl w:val="3"/>
        <w:numId w:val="2"/>
      </w:numPr>
      <w:spacing w:before="40"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D03A8E"/>
    <w:pPr>
      <w:keepNext/>
      <w:keepLines/>
      <w:numPr>
        <w:ilvl w:val="4"/>
        <w:numId w:val="2"/>
      </w:numPr>
      <w:spacing w:before="40" w:after="0"/>
      <w:ind w:left="0"/>
      <w:outlineLvl w:val="4"/>
    </w:pPr>
    <w:rPr>
      <w:rFonts w:eastAsiaTheme="majorEastAsia" w:cstheme="majorBidi"/>
      <w:b/>
    </w:rPr>
  </w:style>
  <w:style w:type="paragraph" w:styleId="Heading6">
    <w:name w:val="heading 6"/>
    <w:basedOn w:val="Normal"/>
    <w:next w:val="Normal"/>
    <w:link w:val="Heading6Char"/>
    <w:uiPriority w:val="9"/>
    <w:unhideWhenUsed/>
    <w:qFormat/>
    <w:rsid w:val="00D03A8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03A8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03A8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03A8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A8E"/>
    <w:rPr>
      <w:rFonts w:ascii="Cambria" w:eastAsiaTheme="majorEastAsia" w:hAnsi="Cambria" w:cstheme="majorBidi"/>
      <w:sz w:val="32"/>
      <w:szCs w:val="32"/>
    </w:rPr>
  </w:style>
  <w:style w:type="character" w:customStyle="1" w:styleId="Heading2Char">
    <w:name w:val="Heading 2 Char"/>
    <w:basedOn w:val="DefaultParagraphFont"/>
    <w:link w:val="Heading2"/>
    <w:uiPriority w:val="9"/>
    <w:rsid w:val="00D03A8E"/>
    <w:rPr>
      <w:rFonts w:ascii="Cambria" w:eastAsiaTheme="majorEastAsia" w:hAnsi="Cambria" w:cstheme="majorBidi"/>
      <w:b/>
      <w:sz w:val="26"/>
      <w:szCs w:val="26"/>
    </w:rPr>
  </w:style>
  <w:style w:type="character" w:customStyle="1" w:styleId="Heading3Char">
    <w:name w:val="Heading 3 Char"/>
    <w:basedOn w:val="DefaultParagraphFont"/>
    <w:link w:val="Heading3"/>
    <w:uiPriority w:val="9"/>
    <w:rsid w:val="00170224"/>
    <w:rPr>
      <w:rFonts w:ascii="Cambria" w:eastAsiaTheme="majorEastAsia" w:hAnsi="Cambria" w:cstheme="majorBidi"/>
      <w:b/>
      <w:sz w:val="24"/>
      <w:szCs w:val="24"/>
    </w:rPr>
  </w:style>
  <w:style w:type="character" w:customStyle="1" w:styleId="Heading4Char">
    <w:name w:val="Heading 4 Char"/>
    <w:basedOn w:val="DefaultParagraphFont"/>
    <w:link w:val="Heading4"/>
    <w:uiPriority w:val="9"/>
    <w:rsid w:val="00D03A8E"/>
    <w:rPr>
      <w:rFonts w:ascii="Cambria" w:eastAsiaTheme="majorEastAsia" w:hAnsi="Cambria" w:cstheme="majorBidi"/>
      <w:b/>
      <w:iCs/>
      <w:sz w:val="24"/>
    </w:rPr>
  </w:style>
  <w:style w:type="character" w:customStyle="1" w:styleId="Heading5Char">
    <w:name w:val="Heading 5 Char"/>
    <w:basedOn w:val="DefaultParagraphFont"/>
    <w:link w:val="Heading5"/>
    <w:uiPriority w:val="9"/>
    <w:rsid w:val="00D03A8E"/>
    <w:rPr>
      <w:rFonts w:ascii="Cambria" w:eastAsiaTheme="majorEastAsia" w:hAnsi="Cambria" w:cstheme="majorBidi"/>
      <w:b/>
      <w:sz w:val="24"/>
    </w:rPr>
  </w:style>
  <w:style w:type="character" w:customStyle="1" w:styleId="Heading6Char">
    <w:name w:val="Heading 6 Char"/>
    <w:basedOn w:val="DefaultParagraphFont"/>
    <w:link w:val="Heading6"/>
    <w:uiPriority w:val="9"/>
    <w:rsid w:val="00D03A8E"/>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D03A8E"/>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D03A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03A8E"/>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D03A8E"/>
    <w:pPr>
      <w:spacing w:after="0" w:line="240" w:lineRule="auto"/>
    </w:pPr>
    <w:rPr>
      <w:rFonts w:ascii="Cambria" w:hAnsi="Cambri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D03A8E"/>
    <w:pPr>
      <w:ind w:left="720"/>
      <w:contextualSpacing/>
    </w:pPr>
  </w:style>
  <w:style w:type="paragraph" w:styleId="Header">
    <w:name w:val="header"/>
    <w:basedOn w:val="Normal"/>
    <w:link w:val="HeaderChar"/>
    <w:uiPriority w:val="99"/>
    <w:unhideWhenUsed/>
    <w:rsid w:val="00D03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A8E"/>
    <w:rPr>
      <w:rFonts w:ascii="Cambria" w:hAnsi="Cambria"/>
      <w:sz w:val="24"/>
    </w:rPr>
  </w:style>
  <w:style w:type="paragraph" w:styleId="Footer">
    <w:name w:val="footer"/>
    <w:basedOn w:val="Normal"/>
    <w:link w:val="FooterChar"/>
    <w:uiPriority w:val="99"/>
    <w:unhideWhenUsed/>
    <w:rsid w:val="00D03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A8E"/>
    <w:rPr>
      <w:rFonts w:ascii="Cambria" w:hAnsi="Cambria"/>
      <w:sz w:val="24"/>
    </w:rPr>
  </w:style>
  <w:style w:type="paragraph" w:styleId="Caption">
    <w:name w:val="caption"/>
    <w:basedOn w:val="Normal"/>
    <w:next w:val="Normal"/>
    <w:uiPriority w:val="35"/>
    <w:unhideWhenUsed/>
    <w:qFormat/>
    <w:rsid w:val="00D03A8E"/>
    <w:pPr>
      <w:spacing w:after="200" w:line="240" w:lineRule="auto"/>
      <w:jc w:val="both"/>
    </w:pPr>
    <w:rPr>
      <w:b/>
      <w:iCs/>
      <w:sz w:val="18"/>
      <w:szCs w:val="18"/>
    </w:rPr>
  </w:style>
  <w:style w:type="paragraph" w:styleId="TOCHeading">
    <w:name w:val="TOC Heading"/>
    <w:basedOn w:val="Heading1"/>
    <w:next w:val="Normal"/>
    <w:uiPriority w:val="39"/>
    <w:unhideWhenUsed/>
    <w:qFormat/>
    <w:rsid w:val="00D03A8E"/>
    <w:pPr>
      <w:numPr>
        <w:numId w:val="0"/>
      </w:numPr>
      <w:outlineLvl w:val="9"/>
    </w:pPr>
    <w:rPr>
      <w:rFonts w:asciiTheme="majorHAnsi" w:hAnsiTheme="majorHAnsi"/>
      <w:color w:val="2E74B5" w:themeColor="accent1" w:themeShade="BF"/>
      <w:lang w:val="en-US"/>
    </w:rPr>
  </w:style>
  <w:style w:type="paragraph" w:styleId="TOC1">
    <w:name w:val="toc 1"/>
    <w:basedOn w:val="Normal"/>
    <w:next w:val="Normal"/>
    <w:autoRedefine/>
    <w:uiPriority w:val="39"/>
    <w:unhideWhenUsed/>
    <w:rsid w:val="00D03A8E"/>
    <w:pPr>
      <w:tabs>
        <w:tab w:val="right" w:leader="dot" w:pos="9016"/>
      </w:tabs>
      <w:spacing w:before="240" w:after="100"/>
      <w:jc w:val="both"/>
    </w:pPr>
  </w:style>
  <w:style w:type="paragraph" w:styleId="TOC2">
    <w:name w:val="toc 2"/>
    <w:basedOn w:val="Normal"/>
    <w:next w:val="Normal"/>
    <w:autoRedefine/>
    <w:uiPriority w:val="39"/>
    <w:unhideWhenUsed/>
    <w:rsid w:val="00D03A8E"/>
    <w:pPr>
      <w:spacing w:after="100"/>
      <w:ind w:left="240"/>
    </w:pPr>
  </w:style>
  <w:style w:type="paragraph" w:styleId="TOC3">
    <w:name w:val="toc 3"/>
    <w:basedOn w:val="Normal"/>
    <w:next w:val="Normal"/>
    <w:autoRedefine/>
    <w:uiPriority w:val="39"/>
    <w:unhideWhenUsed/>
    <w:rsid w:val="00D03A8E"/>
    <w:pPr>
      <w:spacing w:after="100"/>
      <w:ind w:left="480"/>
    </w:pPr>
  </w:style>
  <w:style w:type="character" w:styleId="Hyperlink">
    <w:name w:val="Hyperlink"/>
    <w:basedOn w:val="DefaultParagraphFont"/>
    <w:uiPriority w:val="99"/>
    <w:unhideWhenUsed/>
    <w:rsid w:val="00D03A8E"/>
    <w:rPr>
      <w:color w:val="0563C1" w:themeColor="hyperlink"/>
      <w:u w:val="single"/>
    </w:rPr>
  </w:style>
  <w:style w:type="paragraph" w:styleId="TableofFigures">
    <w:name w:val="table of figures"/>
    <w:basedOn w:val="Normal"/>
    <w:next w:val="Normal"/>
    <w:uiPriority w:val="99"/>
    <w:unhideWhenUsed/>
    <w:rsid w:val="00D03A8E"/>
    <w:pPr>
      <w:spacing w:after="0"/>
    </w:pPr>
  </w:style>
  <w:style w:type="paragraph" w:styleId="FootnoteText">
    <w:name w:val="footnote text"/>
    <w:basedOn w:val="Normal"/>
    <w:link w:val="FootnoteTextChar"/>
    <w:uiPriority w:val="99"/>
    <w:semiHidden/>
    <w:unhideWhenUsed/>
    <w:rsid w:val="00D03A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3A8E"/>
    <w:rPr>
      <w:rFonts w:ascii="Cambria" w:hAnsi="Cambria"/>
      <w:sz w:val="20"/>
      <w:szCs w:val="20"/>
    </w:rPr>
  </w:style>
  <w:style w:type="character" w:styleId="FootnoteReference">
    <w:name w:val="footnote reference"/>
    <w:basedOn w:val="DefaultParagraphFont"/>
    <w:uiPriority w:val="99"/>
    <w:semiHidden/>
    <w:unhideWhenUsed/>
    <w:rsid w:val="00D03A8E"/>
    <w:rPr>
      <w:vertAlign w:val="superscript"/>
    </w:rPr>
  </w:style>
  <w:style w:type="paragraph" w:customStyle="1" w:styleId="NoSpacing1">
    <w:name w:val="No Spacing1"/>
    <w:next w:val="NoSpacing"/>
    <w:uiPriority w:val="1"/>
    <w:qFormat/>
    <w:rsid w:val="00D03A8E"/>
    <w:pPr>
      <w:spacing w:after="0" w:line="240" w:lineRule="auto"/>
    </w:pPr>
    <w:rPr>
      <w:rFonts w:ascii="Calibri" w:eastAsia="SimSun" w:hAnsi="Calibri"/>
      <w:lang w:eastAsia="zh-CN"/>
    </w:rPr>
  </w:style>
  <w:style w:type="paragraph" w:styleId="NoSpacing">
    <w:name w:val="No Spacing"/>
    <w:uiPriority w:val="1"/>
    <w:qFormat/>
    <w:rsid w:val="00D03A8E"/>
    <w:pPr>
      <w:spacing w:after="0" w:line="240" w:lineRule="auto"/>
    </w:pPr>
    <w:rPr>
      <w:rFonts w:ascii="Cambria" w:hAnsi="Cambria"/>
      <w:sz w:val="24"/>
    </w:rPr>
  </w:style>
  <w:style w:type="paragraph" w:styleId="CommentText">
    <w:name w:val="annotation text"/>
    <w:basedOn w:val="Normal"/>
    <w:link w:val="CommentTextChar"/>
    <w:uiPriority w:val="99"/>
    <w:semiHidden/>
    <w:unhideWhenUsed/>
    <w:rsid w:val="00D03A8E"/>
    <w:pPr>
      <w:spacing w:line="240" w:lineRule="auto"/>
    </w:pPr>
    <w:rPr>
      <w:sz w:val="20"/>
      <w:szCs w:val="20"/>
    </w:rPr>
  </w:style>
  <w:style w:type="character" w:customStyle="1" w:styleId="CommentTextChar">
    <w:name w:val="Comment Text Char"/>
    <w:basedOn w:val="DefaultParagraphFont"/>
    <w:link w:val="CommentText"/>
    <w:uiPriority w:val="99"/>
    <w:semiHidden/>
    <w:rsid w:val="00D03A8E"/>
    <w:rPr>
      <w:rFonts w:ascii="Cambria" w:hAnsi="Cambria"/>
      <w:sz w:val="20"/>
      <w:szCs w:val="20"/>
    </w:rPr>
  </w:style>
  <w:style w:type="paragraph" w:styleId="BalloonText">
    <w:name w:val="Balloon Text"/>
    <w:basedOn w:val="Normal"/>
    <w:link w:val="BalloonTextChar"/>
    <w:uiPriority w:val="99"/>
    <w:semiHidden/>
    <w:unhideWhenUsed/>
    <w:rsid w:val="00D03A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A8E"/>
    <w:rPr>
      <w:rFonts w:ascii="Segoe UI" w:hAnsi="Segoe UI" w:cs="Segoe UI"/>
      <w:sz w:val="18"/>
      <w:szCs w:val="18"/>
    </w:rPr>
  </w:style>
  <w:style w:type="character" w:customStyle="1" w:styleId="CommentTextChar1">
    <w:name w:val="Comment Text Char1"/>
    <w:basedOn w:val="DefaultParagraphFont"/>
    <w:uiPriority w:val="99"/>
    <w:semiHidden/>
    <w:rsid w:val="00D03A8E"/>
    <w:rPr>
      <w:sz w:val="20"/>
      <w:szCs w:val="20"/>
    </w:rPr>
  </w:style>
  <w:style w:type="character" w:customStyle="1" w:styleId="BalloonTextChar1">
    <w:name w:val="Balloon Text Char1"/>
    <w:basedOn w:val="DefaultParagraphFont"/>
    <w:uiPriority w:val="99"/>
    <w:semiHidden/>
    <w:rsid w:val="00D03A8E"/>
    <w:rPr>
      <w:rFonts w:ascii="Tahoma" w:hAnsi="Tahoma" w:cs="Tahoma" w:hint="default"/>
      <w:sz w:val="16"/>
      <w:szCs w:val="16"/>
    </w:rPr>
  </w:style>
  <w:style w:type="numbering" w:customStyle="1" w:styleId="NoList1">
    <w:name w:val="No List1"/>
    <w:next w:val="NoList"/>
    <w:uiPriority w:val="99"/>
    <w:semiHidden/>
    <w:unhideWhenUsed/>
    <w:rsid w:val="00D03A8E"/>
  </w:style>
  <w:style w:type="table" w:customStyle="1" w:styleId="TableGrid1">
    <w:name w:val="Table Grid1"/>
    <w:basedOn w:val="TableNormal"/>
    <w:next w:val="TableGrid"/>
    <w:uiPriority w:val="39"/>
    <w:rsid w:val="00D03A8E"/>
    <w:pPr>
      <w:spacing w:after="0" w:line="240" w:lineRule="auto"/>
    </w:pPr>
    <w:rPr>
      <w:rFonts w:ascii="Cambria" w:eastAsia="Calibri" w:hAnsi="Cambria" w:cs="Arial"/>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3A8E"/>
    <w:pPr>
      <w:spacing w:after="0" w:line="240" w:lineRule="auto"/>
    </w:pPr>
    <w:rPr>
      <w:rFonts w:ascii="Cambria" w:eastAsia="Calibri" w:hAnsi="Cambria" w:cs="Arial"/>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03A8E"/>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Body">
    <w:name w:val="Body"/>
    <w:rsid w:val="00D03A8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zh-CN"/>
    </w:rPr>
  </w:style>
  <w:style w:type="paragraph" w:customStyle="1" w:styleId="Default">
    <w:name w:val="Default"/>
    <w:rsid w:val="00D03A8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zh-CN"/>
    </w:rPr>
  </w:style>
  <w:style w:type="table" w:styleId="LightShading">
    <w:name w:val="Light Shading"/>
    <w:basedOn w:val="TableNormal"/>
    <w:uiPriority w:val="60"/>
    <w:rsid w:val="00D03A8E"/>
    <w:pPr>
      <w:spacing w:after="0" w:line="240" w:lineRule="auto"/>
    </w:pPr>
    <w:rPr>
      <w:rFonts w:eastAsiaTheme="minorEastAsia"/>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3C2ACD"/>
    <w:pPr>
      <w:spacing w:after="100"/>
      <w:ind w:left="720"/>
    </w:pPr>
  </w:style>
  <w:style w:type="paragraph" w:styleId="TOC5">
    <w:name w:val="toc 5"/>
    <w:basedOn w:val="Normal"/>
    <w:next w:val="Normal"/>
    <w:autoRedefine/>
    <w:uiPriority w:val="39"/>
    <w:unhideWhenUsed/>
    <w:rsid w:val="003C2ACD"/>
    <w:pPr>
      <w:spacing w:after="100"/>
      <w:ind w:left="960"/>
    </w:pPr>
  </w:style>
  <w:style w:type="paragraph" w:styleId="TOC6">
    <w:name w:val="toc 6"/>
    <w:basedOn w:val="Normal"/>
    <w:next w:val="Normal"/>
    <w:autoRedefine/>
    <w:uiPriority w:val="39"/>
    <w:unhideWhenUsed/>
    <w:rsid w:val="003C2ACD"/>
    <w:pPr>
      <w:spacing w:after="100"/>
      <w:ind w:left="1200"/>
    </w:pPr>
  </w:style>
  <w:style w:type="paragraph" w:styleId="TOC7">
    <w:name w:val="toc 7"/>
    <w:basedOn w:val="Normal"/>
    <w:next w:val="Normal"/>
    <w:autoRedefine/>
    <w:uiPriority w:val="39"/>
    <w:unhideWhenUsed/>
    <w:rsid w:val="003C2ACD"/>
    <w:pPr>
      <w:spacing w:after="100" w:line="276" w:lineRule="auto"/>
      <w:ind w:left="1320"/>
    </w:pPr>
    <w:rPr>
      <w:rFonts w:asciiTheme="minorHAnsi" w:eastAsiaTheme="minorEastAsia" w:hAnsiTheme="minorHAnsi"/>
      <w:sz w:val="22"/>
      <w:lang w:eastAsia="zh-CN"/>
    </w:rPr>
  </w:style>
  <w:style w:type="paragraph" w:styleId="TOC8">
    <w:name w:val="toc 8"/>
    <w:basedOn w:val="Normal"/>
    <w:next w:val="Normal"/>
    <w:autoRedefine/>
    <w:uiPriority w:val="39"/>
    <w:unhideWhenUsed/>
    <w:rsid w:val="003C2ACD"/>
    <w:pPr>
      <w:spacing w:after="100" w:line="276" w:lineRule="auto"/>
      <w:ind w:left="1540"/>
    </w:pPr>
    <w:rPr>
      <w:rFonts w:asciiTheme="minorHAnsi" w:eastAsiaTheme="minorEastAsia" w:hAnsiTheme="minorHAnsi"/>
      <w:sz w:val="22"/>
      <w:lang w:eastAsia="zh-CN"/>
    </w:rPr>
  </w:style>
  <w:style w:type="paragraph" w:styleId="TOC9">
    <w:name w:val="toc 9"/>
    <w:basedOn w:val="Normal"/>
    <w:next w:val="Normal"/>
    <w:autoRedefine/>
    <w:uiPriority w:val="39"/>
    <w:unhideWhenUsed/>
    <w:rsid w:val="003C2ACD"/>
    <w:pPr>
      <w:spacing w:after="100" w:line="276" w:lineRule="auto"/>
      <w:ind w:left="1760"/>
    </w:pPr>
    <w:rPr>
      <w:rFonts w:asciiTheme="minorHAnsi" w:eastAsiaTheme="minorEastAsia" w:hAnsiTheme="minorHAnsi"/>
      <w:sz w:val="22"/>
      <w:lang w:eastAsia="zh-CN"/>
    </w:rPr>
  </w:style>
  <w:style w:type="paragraph" w:styleId="EndnoteText">
    <w:name w:val="endnote text"/>
    <w:basedOn w:val="Normal"/>
    <w:link w:val="EndnoteTextChar"/>
    <w:uiPriority w:val="99"/>
    <w:semiHidden/>
    <w:unhideWhenUsed/>
    <w:rsid w:val="00A75E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75EA0"/>
    <w:rPr>
      <w:rFonts w:ascii="Cambria" w:hAnsi="Cambria"/>
      <w:sz w:val="20"/>
      <w:szCs w:val="20"/>
    </w:rPr>
  </w:style>
  <w:style w:type="character" w:styleId="EndnoteReference">
    <w:name w:val="endnote reference"/>
    <w:basedOn w:val="DefaultParagraphFont"/>
    <w:uiPriority w:val="99"/>
    <w:semiHidden/>
    <w:unhideWhenUsed/>
    <w:rsid w:val="00A75E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mailto:dnikyanyon1@sheffield.ac.uk" TargetMode="External"/><Relationship Id="rId26" Type="http://schemas.openxmlformats.org/officeDocument/2006/relationships/hyperlink" Target="mailto:phil.johnson@sheffield.ac.uk" TargetMode="External"/><Relationship Id="rId3" Type="http://schemas.openxmlformats.org/officeDocument/2006/relationships/styles" Target="styles.xml"/><Relationship Id="rId21" Type="http://schemas.openxmlformats.org/officeDocument/2006/relationships/hyperlink" Target="mailto:dnikyanyon1@sheffield.ac.uk" TargetMode="Externa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hyperlink" Target="mailto:dnikyanyon1@sheffield.ac.uk" TargetMode="External"/><Relationship Id="rId2" Type="http://schemas.openxmlformats.org/officeDocument/2006/relationships/numbering" Target="numbering.xml"/><Relationship Id="rId16" Type="http://schemas.openxmlformats.org/officeDocument/2006/relationships/hyperlink" Target="https://www.shef.ac.uk/ris/other/gov-ethics/ethicspolicy/approval-procedure/review-procedure/changes-made-after-approval" TargetMode="External"/><Relationship Id="rId20" Type="http://schemas.openxmlformats.org/officeDocument/2006/relationships/hyperlink" Target="mailto:j.f.dawson@sheffield.ac.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j.f.dawson@sheffield.ac.uk" TargetMode="External"/><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mailto:phil.johnson@sheffield.ac.u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mailto:phil.johnson@sheffield.ac.uk" TargetMode="External"/><Relationship Id="rId27" Type="http://schemas.openxmlformats.org/officeDocument/2006/relationships/hyperlink" Target="mailto:j.f.dawson@sheffield.ac.u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rocessmac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E0F4C-C0AA-486A-AB79-AFB5A2B5C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353</Pages>
  <Words>620178</Words>
  <Characters>3535021</Characters>
  <Application>Microsoft Office Word</Application>
  <DocSecurity>0</DocSecurity>
  <Lines>29458</Lines>
  <Paragraphs>8293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Abiye and Nicola</dc:creator>
  <cp:keywords/>
  <dc:description/>
  <cp:lastModifiedBy>Darius Ikyanyon</cp:lastModifiedBy>
  <cp:revision>6</cp:revision>
  <cp:lastPrinted>2016-11-01T15:47:00Z</cp:lastPrinted>
  <dcterms:created xsi:type="dcterms:W3CDTF">2017-03-09T12:30:00Z</dcterms:created>
  <dcterms:modified xsi:type="dcterms:W3CDTF">2017-03-09T12:34:00Z</dcterms:modified>
</cp:coreProperties>
</file>