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7CB" w:rsidRDefault="005947CB" w:rsidP="005947CB">
      <w:pPr>
        <w:jc w:val="center"/>
        <w:rPr>
          <w:b/>
          <w:sz w:val="44"/>
          <w:szCs w:val="44"/>
        </w:rPr>
      </w:pPr>
      <w:bookmarkStart w:id="0" w:name="_GoBack"/>
      <w:bookmarkEnd w:id="0"/>
      <w:r>
        <w:rPr>
          <w:noProof/>
          <w:lang w:eastAsia="en-GB"/>
        </w:rPr>
        <w:drawing>
          <wp:anchor distT="0" distB="0" distL="114300" distR="114300" simplePos="0" relativeHeight="251698176" behindDoc="1" locked="0" layoutInCell="1" allowOverlap="1">
            <wp:simplePos x="0" y="0"/>
            <wp:positionH relativeFrom="column">
              <wp:posOffset>-55880</wp:posOffset>
            </wp:positionH>
            <wp:positionV relativeFrom="paragraph">
              <wp:posOffset>73660</wp:posOffset>
            </wp:positionV>
            <wp:extent cx="5731510" cy="2468880"/>
            <wp:effectExtent l="0" t="0" r="2540" b="7620"/>
            <wp:wrapTight wrapText="bothSides">
              <wp:wrapPolygon edited="0">
                <wp:start x="3015" y="0"/>
                <wp:lineTo x="1508" y="167"/>
                <wp:lineTo x="862" y="1000"/>
                <wp:lineTo x="862" y="5333"/>
                <wp:lineTo x="1005" y="10667"/>
                <wp:lineTo x="144" y="13333"/>
                <wp:lineTo x="0" y="14667"/>
                <wp:lineTo x="0" y="16500"/>
                <wp:lineTo x="1795" y="18667"/>
                <wp:lineTo x="2154" y="18667"/>
                <wp:lineTo x="2082" y="19500"/>
                <wp:lineTo x="2728" y="21000"/>
                <wp:lineTo x="3661" y="21500"/>
                <wp:lineTo x="5672" y="21500"/>
                <wp:lineTo x="20317" y="21333"/>
                <wp:lineTo x="20820" y="21000"/>
                <wp:lineTo x="19958" y="18667"/>
                <wp:lineTo x="20102" y="17000"/>
                <wp:lineTo x="19528" y="16833"/>
                <wp:lineTo x="9333" y="16000"/>
                <wp:lineTo x="12851" y="16000"/>
                <wp:lineTo x="13497" y="15667"/>
                <wp:lineTo x="13353" y="13333"/>
                <wp:lineTo x="15579" y="13333"/>
                <wp:lineTo x="21107" y="11500"/>
                <wp:lineTo x="21035" y="10667"/>
                <wp:lineTo x="21538" y="8000"/>
                <wp:lineTo x="21538" y="6333"/>
                <wp:lineTo x="8400" y="5333"/>
                <wp:lineTo x="13641" y="5333"/>
                <wp:lineTo x="15005" y="4833"/>
                <wp:lineTo x="14933" y="1667"/>
                <wp:lineTo x="12564" y="833"/>
                <wp:lineTo x="6246" y="0"/>
                <wp:lineTo x="3015" y="0"/>
              </wp:wrapPolygon>
            </wp:wrapTight>
            <wp:docPr id="4" name="Picture 4" descr="http://remarkable.group.shef.ac.uk/wp-content/uploads/2016/02/Tu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markable.group.shef.ac.uk/wp-content/uploads/2016/02/Tuo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68880"/>
                    </a:xfrm>
                    <a:prstGeom prst="rect">
                      <a:avLst/>
                    </a:prstGeom>
                    <a:noFill/>
                  </pic:spPr>
                </pic:pic>
              </a:graphicData>
            </a:graphic>
            <wp14:sizeRelH relativeFrom="page">
              <wp14:pctWidth>0</wp14:pctWidth>
            </wp14:sizeRelH>
            <wp14:sizeRelV relativeFrom="page">
              <wp14:pctHeight>0</wp14:pctHeight>
            </wp14:sizeRelV>
          </wp:anchor>
        </w:drawing>
      </w:r>
    </w:p>
    <w:p w:rsidR="005947CB" w:rsidRDefault="005947CB" w:rsidP="005947CB">
      <w:pPr>
        <w:jc w:val="center"/>
        <w:rPr>
          <w:b/>
          <w:sz w:val="44"/>
          <w:szCs w:val="44"/>
        </w:rPr>
      </w:pPr>
    </w:p>
    <w:p w:rsidR="005947CB" w:rsidRDefault="005947CB" w:rsidP="005947CB">
      <w:pPr>
        <w:jc w:val="center"/>
        <w:rPr>
          <w:b/>
          <w:sz w:val="44"/>
          <w:szCs w:val="44"/>
        </w:rPr>
      </w:pPr>
    </w:p>
    <w:p w:rsidR="005947CB" w:rsidRDefault="005947CB" w:rsidP="005947CB">
      <w:pPr>
        <w:jc w:val="center"/>
        <w:rPr>
          <w:b/>
          <w:sz w:val="44"/>
          <w:szCs w:val="44"/>
        </w:rPr>
      </w:pPr>
    </w:p>
    <w:p w:rsidR="005947CB" w:rsidRDefault="005947CB" w:rsidP="005947CB">
      <w:pPr>
        <w:jc w:val="center"/>
        <w:rPr>
          <w:b/>
          <w:sz w:val="44"/>
          <w:szCs w:val="44"/>
        </w:rPr>
      </w:pPr>
      <w:r>
        <w:rPr>
          <w:b/>
          <w:sz w:val="44"/>
          <w:szCs w:val="44"/>
        </w:rPr>
        <w:t xml:space="preserve">“Cataloguing the Empire”: The </w:t>
      </w:r>
      <w:r>
        <w:rPr>
          <w:b/>
          <w:i/>
          <w:sz w:val="44"/>
          <w:szCs w:val="44"/>
        </w:rPr>
        <w:t>Regionary Catalogues</w:t>
      </w:r>
      <w:r>
        <w:rPr>
          <w:b/>
          <w:sz w:val="44"/>
          <w:szCs w:val="44"/>
        </w:rPr>
        <w:t xml:space="preserve"> and the Role and Purpose of Bureaucratic Inventories</w:t>
      </w:r>
    </w:p>
    <w:p w:rsidR="005947CB" w:rsidRDefault="005947CB" w:rsidP="005947CB">
      <w:pPr>
        <w:jc w:val="center"/>
        <w:rPr>
          <w:b/>
          <w:sz w:val="32"/>
          <w:szCs w:val="32"/>
        </w:rPr>
      </w:pPr>
    </w:p>
    <w:p w:rsidR="005947CB" w:rsidRDefault="005947CB" w:rsidP="005947CB">
      <w:pPr>
        <w:jc w:val="center"/>
        <w:rPr>
          <w:b/>
        </w:rPr>
      </w:pPr>
      <w:r>
        <w:rPr>
          <w:b/>
        </w:rPr>
        <w:t>By:</w:t>
      </w:r>
    </w:p>
    <w:p w:rsidR="005947CB" w:rsidRDefault="005947CB" w:rsidP="005947CB">
      <w:pPr>
        <w:jc w:val="center"/>
        <w:rPr>
          <w:sz w:val="28"/>
          <w:szCs w:val="28"/>
        </w:rPr>
      </w:pPr>
      <w:r>
        <w:rPr>
          <w:sz w:val="28"/>
          <w:szCs w:val="28"/>
        </w:rPr>
        <w:t>Simon Alistair Hosie</w:t>
      </w:r>
    </w:p>
    <w:p w:rsidR="005947CB" w:rsidRDefault="005947CB" w:rsidP="005947CB">
      <w:pPr>
        <w:jc w:val="center"/>
        <w:rPr>
          <w:sz w:val="28"/>
          <w:szCs w:val="28"/>
        </w:rPr>
      </w:pPr>
    </w:p>
    <w:p w:rsidR="005947CB" w:rsidRDefault="005947CB" w:rsidP="005947CB">
      <w:pPr>
        <w:jc w:val="center"/>
        <w:rPr>
          <w:sz w:val="28"/>
          <w:szCs w:val="28"/>
        </w:rPr>
      </w:pPr>
    </w:p>
    <w:p w:rsidR="005947CB" w:rsidRDefault="005947CB" w:rsidP="005947CB">
      <w:pPr>
        <w:jc w:val="center"/>
        <w:rPr>
          <w:sz w:val="28"/>
          <w:szCs w:val="28"/>
        </w:rPr>
      </w:pPr>
      <w:r>
        <w:rPr>
          <w:sz w:val="28"/>
          <w:szCs w:val="28"/>
        </w:rPr>
        <w:t>A thesis submitted in partial fulfilment of the requirements for the degree of Master of Philosophy</w:t>
      </w:r>
    </w:p>
    <w:p w:rsidR="005947CB" w:rsidRDefault="005947CB" w:rsidP="005947CB">
      <w:pPr>
        <w:jc w:val="center"/>
        <w:rPr>
          <w:sz w:val="28"/>
          <w:szCs w:val="28"/>
        </w:rPr>
      </w:pPr>
    </w:p>
    <w:p w:rsidR="005947CB" w:rsidRDefault="005947CB" w:rsidP="005947CB">
      <w:pPr>
        <w:rPr>
          <w:sz w:val="28"/>
          <w:szCs w:val="28"/>
        </w:rPr>
      </w:pPr>
    </w:p>
    <w:p w:rsidR="005947CB" w:rsidRDefault="005947CB" w:rsidP="005947CB">
      <w:pPr>
        <w:jc w:val="center"/>
        <w:rPr>
          <w:sz w:val="28"/>
          <w:szCs w:val="28"/>
        </w:rPr>
      </w:pPr>
      <w:r>
        <w:rPr>
          <w:sz w:val="28"/>
          <w:szCs w:val="28"/>
        </w:rPr>
        <w:t>The University of Sheffield,</w:t>
      </w:r>
    </w:p>
    <w:p w:rsidR="005947CB" w:rsidRDefault="005947CB" w:rsidP="005947CB">
      <w:pPr>
        <w:jc w:val="center"/>
        <w:rPr>
          <w:sz w:val="28"/>
          <w:szCs w:val="28"/>
        </w:rPr>
      </w:pPr>
      <w:r>
        <w:rPr>
          <w:sz w:val="28"/>
          <w:szCs w:val="28"/>
        </w:rPr>
        <w:t>Faculty of Arts and Humanities,</w:t>
      </w:r>
    </w:p>
    <w:p w:rsidR="005947CB" w:rsidRDefault="005947CB" w:rsidP="005947CB">
      <w:pPr>
        <w:jc w:val="center"/>
        <w:rPr>
          <w:sz w:val="28"/>
          <w:szCs w:val="28"/>
        </w:rPr>
      </w:pPr>
      <w:r>
        <w:rPr>
          <w:sz w:val="28"/>
          <w:szCs w:val="28"/>
        </w:rPr>
        <w:t>Department of History</w:t>
      </w:r>
    </w:p>
    <w:p w:rsidR="005947CB" w:rsidRDefault="005947CB" w:rsidP="005947CB">
      <w:pPr>
        <w:jc w:val="center"/>
        <w:rPr>
          <w:i/>
          <w:sz w:val="56"/>
          <w:szCs w:val="56"/>
        </w:rPr>
      </w:pPr>
    </w:p>
    <w:p w:rsidR="005947CB" w:rsidRDefault="005947CB" w:rsidP="005947CB">
      <w:pPr>
        <w:jc w:val="center"/>
        <w:rPr>
          <w:i/>
          <w:sz w:val="56"/>
          <w:szCs w:val="56"/>
        </w:rPr>
      </w:pPr>
    </w:p>
    <w:p w:rsidR="005947CB" w:rsidRDefault="005947CB" w:rsidP="005947CB">
      <w:pPr>
        <w:jc w:val="center"/>
        <w:rPr>
          <w:i/>
          <w:sz w:val="56"/>
          <w:szCs w:val="56"/>
        </w:rPr>
      </w:pPr>
    </w:p>
    <w:p w:rsidR="005947CB" w:rsidRDefault="005947CB" w:rsidP="005947CB">
      <w:pPr>
        <w:jc w:val="center"/>
        <w:rPr>
          <w:i/>
          <w:sz w:val="56"/>
          <w:szCs w:val="56"/>
        </w:rPr>
      </w:pPr>
    </w:p>
    <w:p w:rsidR="005947CB" w:rsidRDefault="005947CB" w:rsidP="005947CB">
      <w:pPr>
        <w:jc w:val="center"/>
        <w:rPr>
          <w:i/>
          <w:sz w:val="56"/>
          <w:szCs w:val="56"/>
        </w:rPr>
      </w:pPr>
    </w:p>
    <w:p w:rsidR="005947CB" w:rsidRDefault="005947CB" w:rsidP="005947CB">
      <w:pPr>
        <w:jc w:val="center"/>
        <w:rPr>
          <w:i/>
          <w:sz w:val="56"/>
          <w:szCs w:val="56"/>
        </w:rPr>
      </w:pPr>
      <w:r>
        <w:rPr>
          <w:i/>
          <w:sz w:val="56"/>
          <w:szCs w:val="56"/>
        </w:rPr>
        <w:t>To all those who were involved with the making of this,</w:t>
      </w:r>
    </w:p>
    <w:p w:rsidR="005947CB" w:rsidRDefault="005947CB" w:rsidP="005947CB">
      <w:pPr>
        <w:jc w:val="center"/>
        <w:rPr>
          <w:i/>
          <w:sz w:val="56"/>
          <w:szCs w:val="56"/>
        </w:rPr>
      </w:pPr>
      <w:r>
        <w:rPr>
          <w:i/>
          <w:sz w:val="56"/>
          <w:szCs w:val="56"/>
        </w:rPr>
        <w:t>Thank-you,</w:t>
      </w:r>
    </w:p>
    <w:p w:rsidR="005947CB" w:rsidRDefault="005947CB" w:rsidP="005947CB">
      <w:pPr>
        <w:jc w:val="center"/>
        <w:rPr>
          <w:sz w:val="56"/>
          <w:szCs w:val="56"/>
        </w:rPr>
      </w:pPr>
      <w:r>
        <w:rPr>
          <w:i/>
          <w:sz w:val="56"/>
          <w:szCs w:val="56"/>
        </w:rPr>
        <w:t>I won’t forget this.</w:t>
      </w:r>
    </w:p>
    <w:p w:rsidR="005947CB" w:rsidRDefault="005947CB" w:rsidP="005947CB">
      <w:pPr>
        <w:jc w:val="center"/>
        <w:rPr>
          <w:i/>
          <w:sz w:val="56"/>
          <w:szCs w:val="56"/>
        </w:rPr>
      </w:pPr>
    </w:p>
    <w:p w:rsidR="005947CB" w:rsidRDefault="005947CB" w:rsidP="005947CB">
      <w:pPr>
        <w:jc w:val="center"/>
        <w:rPr>
          <w:i/>
          <w:sz w:val="56"/>
          <w:szCs w:val="56"/>
        </w:rPr>
      </w:pPr>
    </w:p>
    <w:p w:rsidR="005947CB" w:rsidRDefault="005947CB" w:rsidP="005947CB">
      <w:pPr>
        <w:jc w:val="center"/>
        <w:rPr>
          <w:i/>
          <w:sz w:val="56"/>
          <w:szCs w:val="56"/>
        </w:rPr>
      </w:pPr>
    </w:p>
    <w:p w:rsidR="005947CB" w:rsidRDefault="005947CB" w:rsidP="005947CB">
      <w:pPr>
        <w:jc w:val="center"/>
        <w:rPr>
          <w:i/>
          <w:sz w:val="56"/>
          <w:szCs w:val="56"/>
        </w:rPr>
      </w:pPr>
    </w:p>
    <w:p w:rsidR="005947CB" w:rsidRDefault="005947CB" w:rsidP="005947CB">
      <w:pPr>
        <w:jc w:val="center"/>
        <w:rPr>
          <w:i/>
          <w:sz w:val="56"/>
          <w:szCs w:val="56"/>
        </w:rPr>
      </w:pPr>
    </w:p>
    <w:p w:rsidR="00866823" w:rsidRPr="00866823" w:rsidRDefault="00866823" w:rsidP="005947CB">
      <w:pPr>
        <w:jc w:val="center"/>
        <w:rPr>
          <w:i/>
          <w:sz w:val="24"/>
          <w:szCs w:val="24"/>
        </w:rPr>
      </w:pPr>
    </w:p>
    <w:p w:rsidR="00866823" w:rsidRDefault="00877C4D" w:rsidP="005947CB">
      <w:pPr>
        <w:jc w:val="center"/>
        <w:rPr>
          <w:rFonts w:cstheme="minorHAnsi"/>
          <w:sz w:val="24"/>
          <w:szCs w:val="24"/>
          <w:u w:val="single"/>
        </w:rPr>
      </w:pPr>
      <w:r w:rsidRPr="00877C4D">
        <w:rPr>
          <w:rFonts w:cstheme="minorHAnsi"/>
          <w:b/>
          <w:sz w:val="24"/>
          <w:szCs w:val="24"/>
          <w:u w:val="single"/>
        </w:rPr>
        <w:lastRenderedPageBreak/>
        <w:t>Abstract:</w:t>
      </w:r>
      <w:r>
        <w:rPr>
          <w:rFonts w:cstheme="minorHAnsi"/>
          <w:sz w:val="24"/>
          <w:szCs w:val="24"/>
          <w:u w:val="single"/>
        </w:rPr>
        <w:t xml:space="preserve">  </w:t>
      </w:r>
    </w:p>
    <w:p w:rsidR="005947CB" w:rsidRDefault="005947CB" w:rsidP="005947CB">
      <w:pPr>
        <w:jc w:val="center"/>
        <w:rPr>
          <w:rFonts w:cstheme="minorHAnsi"/>
          <w:sz w:val="24"/>
          <w:szCs w:val="24"/>
          <w:u w:val="single"/>
        </w:rPr>
      </w:pPr>
      <w:r>
        <w:rPr>
          <w:rFonts w:cstheme="minorHAnsi"/>
          <w:sz w:val="24"/>
          <w:szCs w:val="24"/>
          <w:u w:val="single"/>
        </w:rPr>
        <w:t xml:space="preserve">“Cataloguing the Empire”: The </w:t>
      </w:r>
      <w:r>
        <w:rPr>
          <w:rFonts w:cstheme="minorHAnsi"/>
          <w:i/>
          <w:sz w:val="24"/>
          <w:szCs w:val="24"/>
          <w:u w:val="single"/>
        </w:rPr>
        <w:t xml:space="preserve">Regionary Catalogues </w:t>
      </w:r>
      <w:r>
        <w:rPr>
          <w:rFonts w:cstheme="minorHAnsi"/>
          <w:sz w:val="24"/>
          <w:szCs w:val="24"/>
          <w:u w:val="single"/>
        </w:rPr>
        <w:t>and the Role and Purpose of Bureaucratic Catalogues</w:t>
      </w:r>
    </w:p>
    <w:p w:rsidR="005947CB" w:rsidRDefault="005947CB" w:rsidP="005947CB">
      <w:pPr>
        <w:rPr>
          <w:rFonts w:cstheme="minorHAnsi"/>
          <w:sz w:val="24"/>
          <w:szCs w:val="24"/>
        </w:rPr>
      </w:pPr>
    </w:p>
    <w:p w:rsidR="005947CB" w:rsidRDefault="005947CB" w:rsidP="005947CB">
      <w:pPr>
        <w:spacing w:line="360" w:lineRule="auto"/>
        <w:jc w:val="both"/>
        <w:rPr>
          <w:rFonts w:cstheme="minorHAnsi"/>
          <w:sz w:val="24"/>
          <w:szCs w:val="24"/>
        </w:rPr>
      </w:pPr>
      <w:r>
        <w:rPr>
          <w:rFonts w:cstheme="minorHAnsi"/>
          <w:sz w:val="24"/>
          <w:szCs w:val="24"/>
        </w:rPr>
        <w:t xml:space="preserve">The previous historiography of the </w:t>
      </w:r>
      <w:r>
        <w:rPr>
          <w:rFonts w:cstheme="minorHAnsi"/>
          <w:i/>
          <w:sz w:val="24"/>
          <w:szCs w:val="24"/>
        </w:rPr>
        <w:t xml:space="preserve">Regionaries </w:t>
      </w:r>
      <w:r>
        <w:rPr>
          <w:rFonts w:cstheme="minorHAnsi"/>
          <w:sz w:val="24"/>
          <w:szCs w:val="24"/>
        </w:rPr>
        <w:t xml:space="preserve">is extremely limited and provides few answers as to their origins or purpose. Whereas previous works have discarded documents like the </w:t>
      </w:r>
      <w:r>
        <w:rPr>
          <w:rFonts w:cstheme="minorHAnsi"/>
          <w:i/>
          <w:sz w:val="24"/>
          <w:szCs w:val="24"/>
        </w:rPr>
        <w:t>Regionaries</w:t>
      </w:r>
      <w:r>
        <w:rPr>
          <w:rFonts w:cstheme="minorHAnsi"/>
          <w:sz w:val="24"/>
          <w:szCs w:val="24"/>
        </w:rPr>
        <w:t xml:space="preserve"> as unsuitable for administration, this thesis will provide a new potential production context for the </w:t>
      </w:r>
      <w:r>
        <w:rPr>
          <w:rFonts w:cstheme="minorHAnsi"/>
          <w:i/>
          <w:sz w:val="24"/>
          <w:szCs w:val="24"/>
        </w:rPr>
        <w:t xml:space="preserve">Regionaries </w:t>
      </w:r>
      <w:r w:rsidR="00DA2946">
        <w:rPr>
          <w:rFonts w:cstheme="minorHAnsi"/>
          <w:sz w:val="24"/>
          <w:szCs w:val="24"/>
        </w:rPr>
        <w:t>due to the Roman</w:t>
      </w:r>
      <w:r>
        <w:rPr>
          <w:rFonts w:cstheme="minorHAnsi"/>
          <w:sz w:val="24"/>
          <w:szCs w:val="24"/>
        </w:rPr>
        <w:t>s unique conception of administrative “usefulness”. Furthermore, with the methodology I have created, this thesis will challenge traditional historiographical notions of administrative “usefulness” as having been based on anachronistic modern values.</w:t>
      </w:r>
    </w:p>
    <w:p w:rsidR="005947CB" w:rsidRDefault="005947CB" w:rsidP="005947CB">
      <w:pPr>
        <w:spacing w:line="360" w:lineRule="auto"/>
        <w:jc w:val="both"/>
        <w:rPr>
          <w:rFonts w:cstheme="minorHAnsi"/>
          <w:sz w:val="24"/>
          <w:szCs w:val="24"/>
        </w:rPr>
      </w:pPr>
      <w:r>
        <w:rPr>
          <w:rFonts w:cstheme="minorHAnsi"/>
          <w:sz w:val="24"/>
          <w:szCs w:val="24"/>
        </w:rPr>
        <w:t xml:space="preserve">To do this I will be exploring what the </w:t>
      </w:r>
      <w:r>
        <w:rPr>
          <w:rFonts w:cstheme="minorHAnsi"/>
          <w:i/>
          <w:sz w:val="24"/>
          <w:szCs w:val="24"/>
        </w:rPr>
        <w:t>Regionary Catalogues</w:t>
      </w:r>
      <w:r>
        <w:rPr>
          <w:rFonts w:cstheme="minorHAnsi"/>
          <w:sz w:val="24"/>
          <w:szCs w:val="24"/>
        </w:rPr>
        <w:t xml:space="preserve"> can</w:t>
      </w:r>
      <w:r>
        <w:rPr>
          <w:rFonts w:cstheme="minorHAnsi"/>
          <w:i/>
          <w:sz w:val="24"/>
          <w:szCs w:val="24"/>
        </w:rPr>
        <w:t xml:space="preserve"> </w:t>
      </w:r>
      <w:r>
        <w:rPr>
          <w:rFonts w:cstheme="minorHAnsi"/>
          <w:sz w:val="24"/>
          <w:szCs w:val="24"/>
        </w:rPr>
        <w:t>tell us about government of the city of Rome in Late Antiquity. Whereas previous study has focused</w:t>
      </w:r>
      <w:r w:rsidR="00DA2946">
        <w:rPr>
          <w:rFonts w:cstheme="minorHAnsi"/>
          <w:sz w:val="24"/>
          <w:szCs w:val="24"/>
        </w:rPr>
        <w:t xml:space="preserve"> on</w:t>
      </w:r>
      <w:r>
        <w:rPr>
          <w:rFonts w:cstheme="minorHAnsi"/>
          <w:sz w:val="24"/>
          <w:szCs w:val="24"/>
        </w:rPr>
        <w:t xml:space="preserve"> the practical data the </w:t>
      </w:r>
      <w:r>
        <w:rPr>
          <w:rFonts w:cstheme="minorHAnsi"/>
          <w:i/>
          <w:sz w:val="24"/>
          <w:szCs w:val="24"/>
        </w:rPr>
        <w:t>Regionaries</w:t>
      </w:r>
      <w:r>
        <w:rPr>
          <w:rFonts w:cstheme="minorHAnsi"/>
          <w:sz w:val="24"/>
          <w:szCs w:val="24"/>
        </w:rPr>
        <w:t xml:space="preserve"> can provide about the urban administration. I propose that we should instead focus on how the </w:t>
      </w:r>
      <w:r>
        <w:rPr>
          <w:rFonts w:cstheme="minorHAnsi"/>
          <w:i/>
          <w:sz w:val="24"/>
          <w:szCs w:val="24"/>
        </w:rPr>
        <w:t>Regionaries</w:t>
      </w:r>
      <w:r>
        <w:rPr>
          <w:rFonts w:cstheme="minorHAnsi"/>
          <w:sz w:val="24"/>
          <w:szCs w:val="24"/>
        </w:rPr>
        <w:t xml:space="preserve"> represent Roman conceptions of the administration. My methodology has therefore involved synthesising a new approach from Clifford Ando and Jon Lendon, whose work focused on the methods the imperial government used to represent itself to its subjects. Ando explored the complex representations of imperial authority, whilst Lendon investigated the culture of the aristocrats who governed. This allows us to explore how an aristocratic culture that emphasises tradition and glory amongst its semi-professional administrators, could construct a complex, socio-political hierarchy that would ensure a reasonable form of administrative effectiveness. </w:t>
      </w:r>
    </w:p>
    <w:p w:rsidR="00866823" w:rsidRDefault="005947CB" w:rsidP="00866823">
      <w:pPr>
        <w:spacing w:line="360" w:lineRule="auto"/>
        <w:jc w:val="both"/>
        <w:rPr>
          <w:rFonts w:cstheme="minorHAnsi"/>
          <w:sz w:val="24"/>
          <w:szCs w:val="24"/>
        </w:rPr>
      </w:pPr>
      <w:r>
        <w:rPr>
          <w:rFonts w:cstheme="minorHAnsi"/>
          <w:sz w:val="24"/>
          <w:szCs w:val="24"/>
        </w:rPr>
        <w:t xml:space="preserve">To provide context for these explorations, I have examined a monumental document similar to the </w:t>
      </w:r>
      <w:r>
        <w:rPr>
          <w:rFonts w:cstheme="minorHAnsi"/>
          <w:i/>
          <w:sz w:val="24"/>
          <w:szCs w:val="24"/>
        </w:rPr>
        <w:t>Regionaries</w:t>
      </w:r>
      <w:r>
        <w:rPr>
          <w:rFonts w:cstheme="minorHAnsi"/>
          <w:sz w:val="24"/>
          <w:szCs w:val="24"/>
        </w:rPr>
        <w:t xml:space="preserve">. The Severan Marble Plan shares a number of similarities in content, including an author the Emperor Septimius Severus. </w:t>
      </w:r>
      <w:r>
        <w:rPr>
          <w:sz w:val="24"/>
          <w:szCs w:val="24"/>
        </w:rPr>
        <w:t xml:space="preserve">When the factors behind the creation of the Marble Plan are considered and applied to the </w:t>
      </w:r>
      <w:r>
        <w:rPr>
          <w:i/>
          <w:sz w:val="24"/>
          <w:szCs w:val="24"/>
        </w:rPr>
        <w:t>Regionary Catalogues</w:t>
      </w:r>
      <w:r>
        <w:rPr>
          <w:sz w:val="24"/>
          <w:szCs w:val="24"/>
        </w:rPr>
        <w:t xml:space="preserve"> we are able to provide a potential new origin for the </w:t>
      </w:r>
      <w:r>
        <w:rPr>
          <w:i/>
          <w:sz w:val="24"/>
          <w:szCs w:val="24"/>
        </w:rPr>
        <w:t>Regionaries</w:t>
      </w:r>
      <w:r>
        <w:rPr>
          <w:sz w:val="24"/>
          <w:szCs w:val="24"/>
        </w:rPr>
        <w:t>, the Emperor Aurelian and his urban reforms.</w:t>
      </w:r>
    </w:p>
    <w:p w:rsidR="00866823" w:rsidRPr="00866823" w:rsidRDefault="00866823" w:rsidP="00866823">
      <w:pPr>
        <w:spacing w:line="360" w:lineRule="auto"/>
        <w:jc w:val="both"/>
        <w:rPr>
          <w:rFonts w:cstheme="minorHAnsi"/>
          <w:sz w:val="24"/>
          <w:szCs w:val="24"/>
        </w:rPr>
      </w:pPr>
    </w:p>
    <w:p w:rsidR="005947CB" w:rsidRDefault="005947CB" w:rsidP="001D0129">
      <w:pPr>
        <w:jc w:val="center"/>
        <w:rPr>
          <w:b/>
          <w:sz w:val="32"/>
          <w:szCs w:val="32"/>
          <w:u w:val="single"/>
        </w:rPr>
      </w:pPr>
      <w:r>
        <w:rPr>
          <w:b/>
          <w:sz w:val="32"/>
          <w:szCs w:val="32"/>
          <w:u w:val="single"/>
        </w:rPr>
        <w:lastRenderedPageBreak/>
        <w:t>Contents:</w:t>
      </w:r>
    </w:p>
    <w:p w:rsidR="005947CB" w:rsidRDefault="005947CB" w:rsidP="005947CB">
      <w:pPr>
        <w:jc w:val="center"/>
        <w:rPr>
          <w:b/>
          <w:sz w:val="32"/>
          <w:szCs w:val="32"/>
          <w:u w:val="single"/>
        </w:rPr>
      </w:pPr>
    </w:p>
    <w:p w:rsidR="005947CB" w:rsidRDefault="005947CB" w:rsidP="005947CB">
      <w:pPr>
        <w:jc w:val="center"/>
        <w:rPr>
          <w:b/>
          <w:sz w:val="24"/>
          <w:szCs w:val="24"/>
        </w:rPr>
      </w:pPr>
      <w:r>
        <w:rPr>
          <w:b/>
          <w:sz w:val="24"/>
          <w:szCs w:val="24"/>
        </w:rPr>
        <w:t xml:space="preserve">Introduction: </w:t>
      </w:r>
    </w:p>
    <w:p w:rsidR="005947CB" w:rsidRDefault="005947CB" w:rsidP="005947CB">
      <w:pPr>
        <w:jc w:val="center"/>
        <w:rPr>
          <w:b/>
          <w:i/>
          <w:sz w:val="24"/>
          <w:szCs w:val="24"/>
        </w:rPr>
      </w:pPr>
      <w:r>
        <w:rPr>
          <w:b/>
          <w:sz w:val="24"/>
          <w:szCs w:val="24"/>
        </w:rPr>
        <w:t xml:space="preserve">“Lists, lists, lists”, The Rome of the </w:t>
      </w:r>
      <w:r>
        <w:rPr>
          <w:b/>
          <w:i/>
          <w:sz w:val="24"/>
          <w:szCs w:val="24"/>
        </w:rPr>
        <w:t>Regionary Catalogues</w:t>
      </w:r>
    </w:p>
    <w:p w:rsidR="005947CB" w:rsidRDefault="005947CB" w:rsidP="005947CB">
      <w:pPr>
        <w:jc w:val="center"/>
        <w:rPr>
          <w:b/>
          <w:sz w:val="24"/>
          <w:szCs w:val="24"/>
        </w:rPr>
      </w:pPr>
      <w:r>
        <w:rPr>
          <w:b/>
          <w:sz w:val="24"/>
          <w:szCs w:val="24"/>
        </w:rPr>
        <w:t>PP. 1-23</w:t>
      </w:r>
    </w:p>
    <w:p w:rsidR="005947CB" w:rsidRDefault="005947CB" w:rsidP="005947CB">
      <w:pPr>
        <w:jc w:val="center"/>
        <w:rPr>
          <w:b/>
          <w:sz w:val="24"/>
          <w:szCs w:val="24"/>
        </w:rPr>
      </w:pPr>
    </w:p>
    <w:p w:rsidR="005947CB" w:rsidRDefault="005947CB" w:rsidP="005947CB">
      <w:pPr>
        <w:jc w:val="center"/>
        <w:rPr>
          <w:b/>
          <w:sz w:val="24"/>
          <w:szCs w:val="24"/>
        </w:rPr>
      </w:pPr>
      <w:r>
        <w:rPr>
          <w:b/>
          <w:sz w:val="24"/>
          <w:szCs w:val="24"/>
        </w:rPr>
        <w:t xml:space="preserve">Chapter One: </w:t>
      </w:r>
    </w:p>
    <w:p w:rsidR="005947CB" w:rsidRDefault="005947CB" w:rsidP="005947CB">
      <w:pPr>
        <w:jc w:val="center"/>
        <w:rPr>
          <w:b/>
          <w:i/>
          <w:sz w:val="24"/>
          <w:szCs w:val="24"/>
        </w:rPr>
      </w:pPr>
      <w:r>
        <w:rPr>
          <w:b/>
          <w:sz w:val="24"/>
          <w:szCs w:val="24"/>
        </w:rPr>
        <w:t xml:space="preserve">“To you perceptive Reader, My History” The Implications of the Different Receptions of the </w:t>
      </w:r>
      <w:r>
        <w:rPr>
          <w:b/>
          <w:i/>
          <w:sz w:val="24"/>
          <w:szCs w:val="24"/>
        </w:rPr>
        <w:t>Regionary Catalogues</w:t>
      </w:r>
    </w:p>
    <w:p w:rsidR="005947CB" w:rsidRDefault="005947CB" w:rsidP="005947CB">
      <w:pPr>
        <w:jc w:val="center"/>
        <w:rPr>
          <w:b/>
          <w:sz w:val="24"/>
          <w:szCs w:val="24"/>
        </w:rPr>
      </w:pPr>
      <w:r>
        <w:rPr>
          <w:b/>
          <w:sz w:val="24"/>
          <w:szCs w:val="24"/>
        </w:rPr>
        <w:t>PP. 24-51</w:t>
      </w:r>
    </w:p>
    <w:p w:rsidR="005947CB" w:rsidRDefault="005947CB" w:rsidP="005947CB">
      <w:pPr>
        <w:rPr>
          <w:sz w:val="24"/>
          <w:szCs w:val="24"/>
        </w:rPr>
      </w:pPr>
      <w:r>
        <w:rPr>
          <w:sz w:val="24"/>
          <w:szCs w:val="24"/>
        </w:rPr>
        <w:t xml:space="preserve">Sub-Chapter: The Manuscripts of the </w:t>
      </w:r>
      <w:r>
        <w:rPr>
          <w:i/>
          <w:sz w:val="24"/>
          <w:szCs w:val="24"/>
        </w:rPr>
        <w:t>Regionary Catalogues</w:t>
      </w:r>
      <w:r>
        <w:rPr>
          <w:sz w:val="24"/>
          <w:szCs w:val="24"/>
        </w:rPr>
        <w:t xml:space="preserve"> PP. 31-44</w:t>
      </w:r>
    </w:p>
    <w:p w:rsidR="005947CB" w:rsidRDefault="005947CB" w:rsidP="005947CB">
      <w:pPr>
        <w:rPr>
          <w:sz w:val="24"/>
          <w:szCs w:val="24"/>
        </w:rPr>
      </w:pPr>
      <w:r>
        <w:rPr>
          <w:sz w:val="24"/>
          <w:szCs w:val="24"/>
        </w:rPr>
        <w:t xml:space="preserve">Sub-Chapter: The Different Production Contexts of the </w:t>
      </w:r>
      <w:r>
        <w:rPr>
          <w:i/>
          <w:sz w:val="24"/>
          <w:szCs w:val="24"/>
        </w:rPr>
        <w:t>Regionary Catalogues</w:t>
      </w:r>
      <w:r>
        <w:rPr>
          <w:sz w:val="24"/>
          <w:szCs w:val="24"/>
        </w:rPr>
        <w:t xml:space="preserve"> PP. 44-50</w:t>
      </w:r>
    </w:p>
    <w:p w:rsidR="005947CB" w:rsidRDefault="005947CB" w:rsidP="005947CB">
      <w:pPr>
        <w:rPr>
          <w:sz w:val="24"/>
          <w:szCs w:val="24"/>
        </w:rPr>
      </w:pPr>
    </w:p>
    <w:p w:rsidR="005947CB" w:rsidRDefault="005947CB" w:rsidP="005947CB">
      <w:pPr>
        <w:jc w:val="center"/>
        <w:rPr>
          <w:b/>
          <w:sz w:val="24"/>
          <w:szCs w:val="24"/>
        </w:rPr>
      </w:pPr>
      <w:r>
        <w:rPr>
          <w:b/>
          <w:sz w:val="24"/>
          <w:szCs w:val="24"/>
        </w:rPr>
        <w:t>Chapter Two:</w:t>
      </w:r>
    </w:p>
    <w:p w:rsidR="005947CB" w:rsidRDefault="005947CB" w:rsidP="005947CB">
      <w:pPr>
        <w:jc w:val="center"/>
        <w:rPr>
          <w:b/>
          <w:sz w:val="24"/>
          <w:szCs w:val="24"/>
        </w:rPr>
      </w:pPr>
      <w:r>
        <w:rPr>
          <w:b/>
          <w:sz w:val="24"/>
          <w:szCs w:val="24"/>
        </w:rPr>
        <w:t xml:space="preserve">“A City of Bricks, Marble, and Ink” The </w:t>
      </w:r>
      <w:r>
        <w:rPr>
          <w:b/>
          <w:i/>
          <w:sz w:val="24"/>
          <w:szCs w:val="24"/>
        </w:rPr>
        <w:t>Forma Urbis Romae</w:t>
      </w:r>
      <w:r>
        <w:rPr>
          <w:b/>
          <w:sz w:val="24"/>
          <w:szCs w:val="24"/>
        </w:rPr>
        <w:t xml:space="preserve"> and the </w:t>
      </w:r>
      <w:r>
        <w:rPr>
          <w:b/>
          <w:i/>
          <w:sz w:val="24"/>
          <w:szCs w:val="24"/>
        </w:rPr>
        <w:t>Regionary Catalogues</w:t>
      </w:r>
    </w:p>
    <w:p w:rsidR="005947CB" w:rsidRDefault="005947CB" w:rsidP="005947CB">
      <w:pPr>
        <w:jc w:val="center"/>
        <w:rPr>
          <w:b/>
          <w:sz w:val="24"/>
          <w:szCs w:val="24"/>
        </w:rPr>
      </w:pPr>
      <w:r>
        <w:rPr>
          <w:b/>
          <w:sz w:val="24"/>
          <w:szCs w:val="24"/>
        </w:rPr>
        <w:t>PP. 52-97</w:t>
      </w:r>
    </w:p>
    <w:p w:rsidR="005947CB" w:rsidRDefault="005947CB" w:rsidP="005947CB">
      <w:pPr>
        <w:rPr>
          <w:sz w:val="24"/>
          <w:szCs w:val="24"/>
        </w:rPr>
      </w:pPr>
      <w:r>
        <w:rPr>
          <w:sz w:val="24"/>
          <w:szCs w:val="24"/>
        </w:rPr>
        <w:t xml:space="preserve">Sub-Chapter: Why we can’t use the </w:t>
      </w:r>
      <w:r>
        <w:rPr>
          <w:i/>
          <w:sz w:val="24"/>
          <w:szCs w:val="24"/>
        </w:rPr>
        <w:t>Regionary Catalogues</w:t>
      </w:r>
      <w:r>
        <w:rPr>
          <w:sz w:val="24"/>
          <w:szCs w:val="24"/>
        </w:rPr>
        <w:t xml:space="preserve"> to locate “things”? </w:t>
      </w:r>
    </w:p>
    <w:p w:rsidR="005947CB" w:rsidRDefault="005947CB" w:rsidP="005947CB">
      <w:pPr>
        <w:jc w:val="center"/>
        <w:rPr>
          <w:sz w:val="24"/>
          <w:szCs w:val="24"/>
        </w:rPr>
      </w:pPr>
      <w:r>
        <w:rPr>
          <w:sz w:val="24"/>
          <w:szCs w:val="24"/>
        </w:rPr>
        <w:t>PP. 57-64</w:t>
      </w:r>
    </w:p>
    <w:p w:rsidR="005947CB" w:rsidRDefault="005947CB" w:rsidP="005947CB">
      <w:pPr>
        <w:rPr>
          <w:sz w:val="24"/>
          <w:szCs w:val="24"/>
        </w:rPr>
      </w:pPr>
      <w:r>
        <w:rPr>
          <w:sz w:val="24"/>
          <w:szCs w:val="24"/>
        </w:rPr>
        <w:t xml:space="preserve">Sub-Chapter: The Date and Purpose of the Marble Plan </w:t>
      </w:r>
    </w:p>
    <w:p w:rsidR="005947CB" w:rsidRDefault="005947CB" w:rsidP="005947CB">
      <w:pPr>
        <w:jc w:val="center"/>
        <w:rPr>
          <w:sz w:val="24"/>
          <w:szCs w:val="24"/>
        </w:rPr>
      </w:pPr>
      <w:r>
        <w:rPr>
          <w:sz w:val="24"/>
          <w:szCs w:val="24"/>
        </w:rPr>
        <w:t>PP. 64-69</w:t>
      </w:r>
    </w:p>
    <w:p w:rsidR="005947CB" w:rsidRDefault="005947CB" w:rsidP="005947CB">
      <w:pPr>
        <w:rPr>
          <w:sz w:val="24"/>
          <w:szCs w:val="24"/>
        </w:rPr>
      </w:pPr>
      <w:r>
        <w:rPr>
          <w:sz w:val="24"/>
          <w:szCs w:val="24"/>
        </w:rPr>
        <w:t xml:space="preserve">Sub-Chapter: A Comparison between the </w:t>
      </w:r>
      <w:r>
        <w:rPr>
          <w:i/>
          <w:sz w:val="24"/>
          <w:szCs w:val="24"/>
        </w:rPr>
        <w:t>Regionary Catalogues</w:t>
      </w:r>
      <w:r>
        <w:rPr>
          <w:sz w:val="24"/>
          <w:szCs w:val="24"/>
        </w:rPr>
        <w:t xml:space="preserve"> and the Marble Plan </w:t>
      </w:r>
    </w:p>
    <w:p w:rsidR="005947CB" w:rsidRDefault="005947CB" w:rsidP="005947CB">
      <w:pPr>
        <w:jc w:val="center"/>
        <w:rPr>
          <w:sz w:val="24"/>
          <w:szCs w:val="24"/>
        </w:rPr>
      </w:pPr>
      <w:r>
        <w:rPr>
          <w:sz w:val="24"/>
          <w:szCs w:val="24"/>
        </w:rPr>
        <w:t>PP. 69-76.</w:t>
      </w:r>
    </w:p>
    <w:p w:rsidR="005947CB" w:rsidRDefault="005947CB" w:rsidP="005947CB">
      <w:pPr>
        <w:rPr>
          <w:sz w:val="24"/>
          <w:szCs w:val="24"/>
        </w:rPr>
      </w:pPr>
      <w:r>
        <w:rPr>
          <w:sz w:val="24"/>
          <w:szCs w:val="24"/>
        </w:rPr>
        <w:t xml:space="preserve">Sub-Chapter: Who commissioned the </w:t>
      </w:r>
      <w:r>
        <w:rPr>
          <w:i/>
          <w:sz w:val="24"/>
          <w:szCs w:val="24"/>
        </w:rPr>
        <w:t>Regionary Catalogues</w:t>
      </w:r>
      <w:r>
        <w:rPr>
          <w:sz w:val="24"/>
          <w:szCs w:val="24"/>
        </w:rPr>
        <w:t xml:space="preserve">? </w:t>
      </w:r>
    </w:p>
    <w:p w:rsidR="005947CB" w:rsidRDefault="005947CB" w:rsidP="005947CB">
      <w:pPr>
        <w:jc w:val="center"/>
        <w:rPr>
          <w:sz w:val="24"/>
          <w:szCs w:val="24"/>
        </w:rPr>
      </w:pPr>
      <w:r>
        <w:rPr>
          <w:sz w:val="24"/>
          <w:szCs w:val="24"/>
        </w:rPr>
        <w:t>PP. 76-79</w:t>
      </w:r>
    </w:p>
    <w:p w:rsidR="005947CB" w:rsidRDefault="005947CB" w:rsidP="005947CB">
      <w:pPr>
        <w:rPr>
          <w:sz w:val="24"/>
          <w:szCs w:val="24"/>
        </w:rPr>
      </w:pPr>
      <w:r>
        <w:rPr>
          <w:sz w:val="24"/>
          <w:szCs w:val="24"/>
        </w:rPr>
        <w:t xml:space="preserve">Sub-Chapter: Aurelian’s Engagement with the City of Rome </w:t>
      </w:r>
    </w:p>
    <w:p w:rsidR="005947CB" w:rsidRDefault="005947CB" w:rsidP="005947CB">
      <w:pPr>
        <w:jc w:val="center"/>
        <w:rPr>
          <w:sz w:val="24"/>
          <w:szCs w:val="24"/>
        </w:rPr>
      </w:pPr>
      <w:r>
        <w:rPr>
          <w:sz w:val="24"/>
          <w:szCs w:val="24"/>
        </w:rPr>
        <w:t>PP. 79-88</w:t>
      </w:r>
    </w:p>
    <w:p w:rsidR="005947CB" w:rsidRDefault="005947CB" w:rsidP="005947CB">
      <w:pPr>
        <w:rPr>
          <w:sz w:val="24"/>
          <w:szCs w:val="24"/>
        </w:rPr>
      </w:pPr>
      <w:r>
        <w:rPr>
          <w:sz w:val="24"/>
          <w:szCs w:val="24"/>
        </w:rPr>
        <w:lastRenderedPageBreak/>
        <w:t>Sub-Chapter: “A Monumental Issue” Imperial Power, Culture, and Administrative Practice</w:t>
      </w:r>
    </w:p>
    <w:p w:rsidR="005947CB" w:rsidRDefault="005947CB" w:rsidP="005947CB">
      <w:pPr>
        <w:jc w:val="center"/>
        <w:rPr>
          <w:sz w:val="24"/>
          <w:szCs w:val="24"/>
        </w:rPr>
      </w:pPr>
      <w:r>
        <w:rPr>
          <w:sz w:val="24"/>
          <w:szCs w:val="24"/>
        </w:rPr>
        <w:t>PP. 89-97</w:t>
      </w:r>
    </w:p>
    <w:p w:rsidR="005947CB" w:rsidRDefault="005947CB" w:rsidP="005947CB">
      <w:pPr>
        <w:rPr>
          <w:sz w:val="24"/>
          <w:szCs w:val="24"/>
        </w:rPr>
      </w:pPr>
    </w:p>
    <w:p w:rsidR="005947CB" w:rsidRDefault="005947CB" w:rsidP="005947CB">
      <w:pPr>
        <w:jc w:val="center"/>
        <w:rPr>
          <w:b/>
          <w:sz w:val="24"/>
          <w:szCs w:val="24"/>
        </w:rPr>
      </w:pPr>
      <w:r>
        <w:rPr>
          <w:b/>
          <w:sz w:val="24"/>
          <w:szCs w:val="24"/>
        </w:rPr>
        <w:t>Chapter Three:</w:t>
      </w:r>
    </w:p>
    <w:p w:rsidR="005947CB" w:rsidRDefault="005947CB" w:rsidP="005947CB">
      <w:pPr>
        <w:jc w:val="center"/>
        <w:rPr>
          <w:b/>
          <w:sz w:val="24"/>
          <w:szCs w:val="24"/>
        </w:rPr>
      </w:pPr>
      <w:r>
        <w:rPr>
          <w:b/>
          <w:sz w:val="24"/>
          <w:szCs w:val="24"/>
        </w:rPr>
        <w:t>“Is Government not an art?” Roman Cartographical and Topographical Representations of the Administration</w:t>
      </w:r>
    </w:p>
    <w:p w:rsidR="005947CB" w:rsidRDefault="005947CB" w:rsidP="005947CB">
      <w:pPr>
        <w:jc w:val="center"/>
        <w:rPr>
          <w:b/>
          <w:sz w:val="24"/>
          <w:szCs w:val="24"/>
        </w:rPr>
      </w:pPr>
      <w:r>
        <w:rPr>
          <w:b/>
          <w:sz w:val="24"/>
          <w:szCs w:val="24"/>
        </w:rPr>
        <w:t>PP. 98-132</w:t>
      </w:r>
    </w:p>
    <w:p w:rsidR="005947CB" w:rsidRDefault="005947CB" w:rsidP="005947CB">
      <w:pPr>
        <w:rPr>
          <w:sz w:val="24"/>
          <w:szCs w:val="24"/>
        </w:rPr>
      </w:pPr>
      <w:r>
        <w:rPr>
          <w:sz w:val="24"/>
          <w:szCs w:val="24"/>
        </w:rPr>
        <w:t xml:space="preserve">Sub-Chapter: “A History without distinctions” Ando, Lendon and the Theory of Late Antique Roman Government </w:t>
      </w:r>
    </w:p>
    <w:p w:rsidR="005947CB" w:rsidRDefault="005947CB" w:rsidP="005947CB">
      <w:pPr>
        <w:jc w:val="center"/>
        <w:rPr>
          <w:sz w:val="24"/>
          <w:szCs w:val="24"/>
        </w:rPr>
      </w:pPr>
      <w:r>
        <w:rPr>
          <w:sz w:val="24"/>
          <w:szCs w:val="24"/>
        </w:rPr>
        <w:t>PP. 103-111</w:t>
      </w:r>
    </w:p>
    <w:p w:rsidR="005947CB" w:rsidRDefault="005947CB" w:rsidP="005947CB">
      <w:pPr>
        <w:rPr>
          <w:sz w:val="24"/>
          <w:szCs w:val="24"/>
        </w:rPr>
      </w:pPr>
      <w:r>
        <w:rPr>
          <w:sz w:val="24"/>
          <w:szCs w:val="24"/>
        </w:rPr>
        <w:t xml:space="preserve">Sub-Chapter: “An Elegant and Complicated Simplicity” The </w:t>
      </w:r>
      <w:r>
        <w:rPr>
          <w:i/>
          <w:sz w:val="24"/>
          <w:szCs w:val="24"/>
        </w:rPr>
        <w:t xml:space="preserve">Notitia Dignitatum </w:t>
      </w:r>
      <w:r>
        <w:rPr>
          <w:sz w:val="24"/>
          <w:szCs w:val="24"/>
        </w:rPr>
        <w:t xml:space="preserve">and the </w:t>
      </w:r>
      <w:r>
        <w:rPr>
          <w:i/>
          <w:sz w:val="24"/>
          <w:szCs w:val="24"/>
        </w:rPr>
        <w:t>Laterculus Veronensis</w:t>
      </w:r>
    </w:p>
    <w:p w:rsidR="005947CB" w:rsidRDefault="005947CB" w:rsidP="005947CB">
      <w:pPr>
        <w:jc w:val="center"/>
        <w:rPr>
          <w:sz w:val="24"/>
          <w:szCs w:val="24"/>
        </w:rPr>
      </w:pPr>
      <w:r>
        <w:rPr>
          <w:sz w:val="24"/>
          <w:szCs w:val="24"/>
        </w:rPr>
        <w:t>PP. 112-119</w:t>
      </w:r>
    </w:p>
    <w:p w:rsidR="005947CB" w:rsidRDefault="005947CB" w:rsidP="005947CB">
      <w:pPr>
        <w:rPr>
          <w:i/>
          <w:sz w:val="24"/>
          <w:szCs w:val="24"/>
        </w:rPr>
      </w:pPr>
      <w:r>
        <w:rPr>
          <w:sz w:val="24"/>
          <w:szCs w:val="24"/>
        </w:rPr>
        <w:t xml:space="preserve">Sub-Chapter: “Who has got the biggest Obelisk?” Prestige, Perceptions and the </w:t>
      </w:r>
      <w:r>
        <w:rPr>
          <w:i/>
          <w:sz w:val="24"/>
          <w:szCs w:val="24"/>
        </w:rPr>
        <w:t>Regionary Catalogues</w:t>
      </w:r>
    </w:p>
    <w:p w:rsidR="005947CB" w:rsidRDefault="005947CB" w:rsidP="005947CB">
      <w:pPr>
        <w:jc w:val="center"/>
        <w:rPr>
          <w:sz w:val="24"/>
          <w:szCs w:val="24"/>
        </w:rPr>
      </w:pPr>
      <w:r>
        <w:rPr>
          <w:sz w:val="24"/>
          <w:szCs w:val="24"/>
        </w:rPr>
        <w:t>PP. 119-131</w:t>
      </w:r>
    </w:p>
    <w:p w:rsidR="005947CB" w:rsidRDefault="005947CB" w:rsidP="005947CB">
      <w:pPr>
        <w:jc w:val="center"/>
        <w:rPr>
          <w:sz w:val="24"/>
          <w:szCs w:val="24"/>
        </w:rPr>
      </w:pPr>
    </w:p>
    <w:p w:rsidR="005947CB" w:rsidRDefault="005947CB" w:rsidP="005947CB">
      <w:pPr>
        <w:jc w:val="center"/>
        <w:rPr>
          <w:b/>
          <w:sz w:val="24"/>
          <w:szCs w:val="24"/>
        </w:rPr>
      </w:pPr>
      <w:r>
        <w:rPr>
          <w:b/>
          <w:sz w:val="24"/>
          <w:szCs w:val="24"/>
        </w:rPr>
        <w:t>Conclusion:</w:t>
      </w:r>
    </w:p>
    <w:p w:rsidR="005947CB" w:rsidRDefault="005947CB" w:rsidP="005947CB">
      <w:pPr>
        <w:jc w:val="center"/>
        <w:rPr>
          <w:b/>
          <w:sz w:val="24"/>
          <w:szCs w:val="24"/>
        </w:rPr>
      </w:pPr>
      <w:r>
        <w:rPr>
          <w:b/>
          <w:sz w:val="24"/>
          <w:szCs w:val="24"/>
        </w:rPr>
        <w:t>“Musing amidst the ruins of the Capitol”</w:t>
      </w:r>
    </w:p>
    <w:p w:rsidR="005947CB" w:rsidRDefault="005947CB" w:rsidP="005947CB">
      <w:pPr>
        <w:jc w:val="center"/>
        <w:rPr>
          <w:b/>
          <w:sz w:val="24"/>
          <w:szCs w:val="24"/>
        </w:rPr>
      </w:pPr>
      <w:r>
        <w:rPr>
          <w:b/>
          <w:sz w:val="24"/>
          <w:szCs w:val="24"/>
        </w:rPr>
        <w:t>PP. 133-141</w:t>
      </w:r>
    </w:p>
    <w:p w:rsidR="005947CB" w:rsidRDefault="005947CB" w:rsidP="005947CB">
      <w:pPr>
        <w:jc w:val="center"/>
        <w:rPr>
          <w:b/>
          <w:sz w:val="24"/>
          <w:szCs w:val="24"/>
        </w:rPr>
      </w:pPr>
    </w:p>
    <w:p w:rsidR="005947CB" w:rsidRDefault="005947CB" w:rsidP="005947CB">
      <w:pPr>
        <w:jc w:val="center"/>
        <w:rPr>
          <w:b/>
          <w:sz w:val="24"/>
          <w:szCs w:val="24"/>
        </w:rPr>
      </w:pPr>
      <w:r>
        <w:rPr>
          <w:b/>
          <w:sz w:val="24"/>
          <w:szCs w:val="24"/>
        </w:rPr>
        <w:t>Appendix One:</w:t>
      </w:r>
    </w:p>
    <w:p w:rsidR="005947CB" w:rsidRDefault="005947CB" w:rsidP="005947CB">
      <w:pPr>
        <w:jc w:val="center"/>
        <w:rPr>
          <w:b/>
          <w:sz w:val="24"/>
          <w:szCs w:val="24"/>
        </w:rPr>
      </w:pPr>
      <w:r>
        <w:rPr>
          <w:b/>
          <w:i/>
          <w:sz w:val="24"/>
          <w:szCs w:val="24"/>
        </w:rPr>
        <w:t>A Table of the Differences between the Curiosum and the Notitia</w:t>
      </w:r>
    </w:p>
    <w:p w:rsidR="005947CB" w:rsidRDefault="005947CB" w:rsidP="005947CB">
      <w:pPr>
        <w:jc w:val="center"/>
        <w:rPr>
          <w:b/>
          <w:sz w:val="24"/>
          <w:szCs w:val="24"/>
        </w:rPr>
      </w:pPr>
      <w:r>
        <w:rPr>
          <w:b/>
          <w:sz w:val="24"/>
          <w:szCs w:val="24"/>
        </w:rPr>
        <w:t>PP. 142-146</w:t>
      </w:r>
    </w:p>
    <w:p w:rsidR="005947CB" w:rsidRDefault="005947CB" w:rsidP="005947CB">
      <w:pPr>
        <w:jc w:val="center"/>
        <w:rPr>
          <w:b/>
          <w:sz w:val="24"/>
          <w:szCs w:val="24"/>
        </w:rPr>
      </w:pPr>
      <w:r>
        <w:rPr>
          <w:b/>
          <w:sz w:val="24"/>
          <w:szCs w:val="24"/>
        </w:rPr>
        <w:t>Appendix Two:</w:t>
      </w:r>
    </w:p>
    <w:p w:rsidR="005947CB" w:rsidRDefault="005947CB" w:rsidP="005947CB">
      <w:pPr>
        <w:jc w:val="center"/>
        <w:rPr>
          <w:b/>
          <w:i/>
          <w:sz w:val="24"/>
          <w:szCs w:val="24"/>
        </w:rPr>
      </w:pPr>
      <w:r>
        <w:rPr>
          <w:b/>
          <w:sz w:val="24"/>
          <w:szCs w:val="24"/>
        </w:rPr>
        <w:t xml:space="preserve">A Comparison between the </w:t>
      </w:r>
      <w:r>
        <w:rPr>
          <w:b/>
          <w:i/>
          <w:sz w:val="24"/>
          <w:szCs w:val="24"/>
        </w:rPr>
        <w:t xml:space="preserve">Marble Plan </w:t>
      </w:r>
      <w:r>
        <w:rPr>
          <w:b/>
          <w:sz w:val="24"/>
          <w:szCs w:val="24"/>
        </w:rPr>
        <w:t xml:space="preserve">and the </w:t>
      </w:r>
      <w:r>
        <w:rPr>
          <w:b/>
          <w:i/>
          <w:sz w:val="24"/>
          <w:szCs w:val="24"/>
        </w:rPr>
        <w:t>Regionary Catalogues</w:t>
      </w:r>
    </w:p>
    <w:p w:rsidR="005947CB" w:rsidRDefault="005947CB" w:rsidP="005947CB">
      <w:pPr>
        <w:jc w:val="center"/>
        <w:rPr>
          <w:b/>
          <w:sz w:val="24"/>
          <w:szCs w:val="24"/>
        </w:rPr>
      </w:pPr>
      <w:r>
        <w:rPr>
          <w:b/>
          <w:sz w:val="24"/>
          <w:szCs w:val="24"/>
        </w:rPr>
        <w:t>PP. 147-</w:t>
      </w:r>
    </w:p>
    <w:p w:rsidR="001D0129" w:rsidRDefault="001D0129" w:rsidP="005947CB">
      <w:pPr>
        <w:jc w:val="center"/>
        <w:rPr>
          <w:b/>
          <w:sz w:val="24"/>
          <w:szCs w:val="24"/>
        </w:rPr>
      </w:pPr>
    </w:p>
    <w:p w:rsidR="005947CB" w:rsidRDefault="005947CB" w:rsidP="005947CB">
      <w:pPr>
        <w:jc w:val="center"/>
        <w:rPr>
          <w:b/>
          <w:sz w:val="24"/>
          <w:szCs w:val="24"/>
        </w:rPr>
      </w:pPr>
      <w:r>
        <w:rPr>
          <w:b/>
          <w:sz w:val="24"/>
          <w:szCs w:val="24"/>
        </w:rPr>
        <w:t>Bibliography:</w:t>
      </w:r>
    </w:p>
    <w:p w:rsidR="005947CB" w:rsidRDefault="005947CB" w:rsidP="005947CB">
      <w:pPr>
        <w:jc w:val="center"/>
        <w:rPr>
          <w:b/>
          <w:sz w:val="24"/>
          <w:szCs w:val="24"/>
        </w:rPr>
      </w:pPr>
      <w:r>
        <w:rPr>
          <w:b/>
          <w:sz w:val="24"/>
          <w:szCs w:val="24"/>
        </w:rPr>
        <w:t>PP. 169-198</w:t>
      </w:r>
    </w:p>
    <w:p w:rsidR="005947CB" w:rsidRDefault="005947CB" w:rsidP="005947CB">
      <w:pPr>
        <w:jc w:val="center"/>
        <w:rPr>
          <w:sz w:val="24"/>
          <w:szCs w:val="24"/>
        </w:rPr>
      </w:pPr>
      <w:r>
        <w:rPr>
          <w:sz w:val="24"/>
          <w:szCs w:val="24"/>
        </w:rPr>
        <w:t>Primary Sources</w:t>
      </w:r>
    </w:p>
    <w:p w:rsidR="005947CB" w:rsidRDefault="005947CB" w:rsidP="005947CB">
      <w:pPr>
        <w:jc w:val="center"/>
        <w:rPr>
          <w:sz w:val="24"/>
          <w:szCs w:val="24"/>
        </w:rPr>
      </w:pPr>
      <w:r>
        <w:rPr>
          <w:sz w:val="24"/>
          <w:szCs w:val="24"/>
        </w:rPr>
        <w:t>PP. 169-170</w:t>
      </w:r>
    </w:p>
    <w:p w:rsidR="005947CB" w:rsidRDefault="005947CB" w:rsidP="005947CB">
      <w:pPr>
        <w:jc w:val="center"/>
        <w:rPr>
          <w:sz w:val="24"/>
          <w:szCs w:val="24"/>
        </w:rPr>
      </w:pPr>
      <w:r>
        <w:rPr>
          <w:sz w:val="24"/>
          <w:szCs w:val="24"/>
        </w:rPr>
        <w:t>Secondary Sources: Books</w:t>
      </w:r>
    </w:p>
    <w:p w:rsidR="005947CB" w:rsidRDefault="005947CB" w:rsidP="005947CB">
      <w:pPr>
        <w:jc w:val="center"/>
        <w:rPr>
          <w:sz w:val="24"/>
          <w:szCs w:val="24"/>
        </w:rPr>
      </w:pPr>
      <w:r>
        <w:rPr>
          <w:sz w:val="24"/>
          <w:szCs w:val="24"/>
        </w:rPr>
        <w:t xml:space="preserve"> PP. 170-77</w:t>
      </w:r>
    </w:p>
    <w:p w:rsidR="005947CB" w:rsidRDefault="005947CB" w:rsidP="005947CB">
      <w:pPr>
        <w:jc w:val="center"/>
        <w:rPr>
          <w:sz w:val="24"/>
          <w:szCs w:val="24"/>
        </w:rPr>
      </w:pPr>
      <w:r>
        <w:rPr>
          <w:sz w:val="24"/>
          <w:szCs w:val="24"/>
        </w:rPr>
        <w:t>Secondary Sources: Articles</w:t>
      </w:r>
    </w:p>
    <w:p w:rsidR="005947CB" w:rsidRDefault="005947CB" w:rsidP="005947CB">
      <w:pPr>
        <w:jc w:val="center"/>
        <w:rPr>
          <w:sz w:val="24"/>
          <w:szCs w:val="24"/>
        </w:rPr>
      </w:pPr>
      <w:r>
        <w:rPr>
          <w:sz w:val="24"/>
          <w:szCs w:val="24"/>
        </w:rPr>
        <w:t xml:space="preserve"> PP. 178-198</w:t>
      </w:r>
    </w:p>
    <w:p w:rsidR="005947CB" w:rsidRDefault="005947CB" w:rsidP="005947CB">
      <w:pPr>
        <w:jc w:val="center"/>
        <w:rPr>
          <w:sz w:val="24"/>
          <w:szCs w:val="24"/>
        </w:rPr>
      </w:pPr>
      <w:r>
        <w:rPr>
          <w:sz w:val="24"/>
          <w:szCs w:val="24"/>
        </w:rPr>
        <w:t>Internet Sources</w:t>
      </w:r>
    </w:p>
    <w:p w:rsidR="005947CB" w:rsidRDefault="005947CB" w:rsidP="005947CB">
      <w:pPr>
        <w:jc w:val="center"/>
        <w:rPr>
          <w:sz w:val="24"/>
          <w:szCs w:val="24"/>
        </w:rPr>
      </w:pPr>
      <w:r>
        <w:rPr>
          <w:sz w:val="24"/>
          <w:szCs w:val="24"/>
        </w:rPr>
        <w:t xml:space="preserve"> P. 198</w:t>
      </w:r>
    </w:p>
    <w:p w:rsidR="005947CB" w:rsidRDefault="005947CB" w:rsidP="005947CB">
      <w:pPr>
        <w:jc w:val="center"/>
        <w:rPr>
          <w:b/>
          <w:sz w:val="24"/>
          <w:szCs w:val="24"/>
        </w:rPr>
      </w:pPr>
      <w:r>
        <w:rPr>
          <w:b/>
          <w:sz w:val="24"/>
          <w:szCs w:val="24"/>
        </w:rPr>
        <w:t>PP. 169-198</w:t>
      </w: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jc w:val="center"/>
        <w:rPr>
          <w:sz w:val="24"/>
          <w:szCs w:val="24"/>
          <w:u w:val="single"/>
        </w:rPr>
      </w:pPr>
    </w:p>
    <w:p w:rsidR="005947CB" w:rsidRDefault="005947CB" w:rsidP="005947CB">
      <w:pPr>
        <w:rPr>
          <w:sz w:val="24"/>
          <w:szCs w:val="24"/>
          <w:u w:val="single"/>
        </w:rPr>
      </w:pPr>
    </w:p>
    <w:p w:rsidR="005947CB" w:rsidRDefault="005947CB" w:rsidP="005947CB">
      <w:pPr>
        <w:jc w:val="center"/>
        <w:rPr>
          <w:sz w:val="24"/>
          <w:szCs w:val="24"/>
        </w:rPr>
      </w:pPr>
      <w:r>
        <w:rPr>
          <w:sz w:val="24"/>
          <w:szCs w:val="24"/>
          <w:u w:val="single"/>
        </w:rPr>
        <w:t>Abbreviations</w:t>
      </w:r>
    </w:p>
    <w:p w:rsidR="005947CB" w:rsidRDefault="005947CB" w:rsidP="005947CB">
      <w:pPr>
        <w:spacing w:line="360" w:lineRule="auto"/>
        <w:jc w:val="center"/>
        <w:rPr>
          <w:sz w:val="24"/>
          <w:szCs w:val="24"/>
        </w:rPr>
      </w:pPr>
      <w:r>
        <w:rPr>
          <w:i/>
        </w:rPr>
        <w:t>Arvast Nordh</w:t>
      </w:r>
      <w:r>
        <w:t xml:space="preserve">’s </w:t>
      </w:r>
      <w:r>
        <w:rPr>
          <w:i/>
        </w:rPr>
        <w:t>Libellus de Regionibus Urbis Romae</w:t>
      </w:r>
      <w:r>
        <w:t xml:space="preserve"> LRUR</w:t>
      </w:r>
    </w:p>
    <w:p w:rsidR="005947CB" w:rsidRDefault="005947CB" w:rsidP="005947CB">
      <w:pPr>
        <w:spacing w:line="360" w:lineRule="auto"/>
        <w:jc w:val="center"/>
        <w:rPr>
          <w:sz w:val="24"/>
          <w:szCs w:val="24"/>
        </w:rPr>
      </w:pPr>
      <w:r>
        <w:rPr>
          <w:i/>
          <w:sz w:val="24"/>
          <w:szCs w:val="24"/>
        </w:rPr>
        <w:t>Aurelius</w:t>
      </w:r>
      <w:r>
        <w:rPr>
          <w:sz w:val="24"/>
          <w:szCs w:val="24"/>
        </w:rPr>
        <w:t xml:space="preserve"> </w:t>
      </w:r>
      <w:r>
        <w:rPr>
          <w:i/>
          <w:sz w:val="24"/>
          <w:szCs w:val="24"/>
        </w:rPr>
        <w:t>Victor’s</w:t>
      </w:r>
      <w:r>
        <w:rPr>
          <w:sz w:val="24"/>
          <w:szCs w:val="24"/>
        </w:rPr>
        <w:t xml:space="preserve"> </w:t>
      </w:r>
      <w:r>
        <w:rPr>
          <w:i/>
          <w:sz w:val="24"/>
          <w:szCs w:val="24"/>
        </w:rPr>
        <w:t>Liber de Caesaribus</w:t>
      </w:r>
      <w:r>
        <w:rPr>
          <w:sz w:val="24"/>
          <w:szCs w:val="24"/>
        </w:rPr>
        <w:t xml:space="preserve"> LC</w:t>
      </w:r>
    </w:p>
    <w:p w:rsidR="005947CB" w:rsidRDefault="005947CB" w:rsidP="005947CB">
      <w:pPr>
        <w:spacing w:line="360" w:lineRule="auto"/>
        <w:jc w:val="center"/>
        <w:rPr>
          <w:sz w:val="24"/>
          <w:szCs w:val="24"/>
        </w:rPr>
      </w:pPr>
      <w:r>
        <w:rPr>
          <w:i/>
          <w:sz w:val="24"/>
          <w:szCs w:val="24"/>
        </w:rPr>
        <w:t>Cassius Dio’s Roman History RH</w:t>
      </w:r>
    </w:p>
    <w:p w:rsidR="005947CB" w:rsidRDefault="005947CB" w:rsidP="005947CB">
      <w:pPr>
        <w:spacing w:line="360" w:lineRule="auto"/>
        <w:jc w:val="center"/>
        <w:rPr>
          <w:sz w:val="24"/>
          <w:szCs w:val="24"/>
        </w:rPr>
      </w:pPr>
      <w:r>
        <w:rPr>
          <w:i/>
          <w:sz w:val="24"/>
          <w:szCs w:val="24"/>
        </w:rPr>
        <w:t xml:space="preserve">Corpus Inscriptionum </w:t>
      </w:r>
      <w:proofErr w:type="gramStart"/>
      <w:r>
        <w:rPr>
          <w:i/>
          <w:sz w:val="24"/>
          <w:szCs w:val="24"/>
        </w:rPr>
        <w:t xml:space="preserve">Latinarum </w:t>
      </w:r>
      <w:r>
        <w:rPr>
          <w:sz w:val="24"/>
          <w:szCs w:val="24"/>
        </w:rPr>
        <w:t xml:space="preserve"> CIL</w:t>
      </w:r>
      <w:proofErr w:type="gramEnd"/>
    </w:p>
    <w:p w:rsidR="005947CB" w:rsidRDefault="005947CB" w:rsidP="005947CB">
      <w:pPr>
        <w:spacing w:line="360" w:lineRule="auto"/>
        <w:jc w:val="center"/>
        <w:rPr>
          <w:sz w:val="24"/>
          <w:szCs w:val="24"/>
        </w:rPr>
      </w:pPr>
      <w:r>
        <w:rPr>
          <w:bCs/>
          <w:i/>
          <w:iCs/>
          <w:sz w:val="24"/>
          <w:szCs w:val="24"/>
        </w:rPr>
        <w:t xml:space="preserve">Historia: Zeitschrift für Alte Geschichte </w:t>
      </w:r>
      <w:r>
        <w:rPr>
          <w:bCs/>
          <w:iCs/>
          <w:sz w:val="24"/>
          <w:szCs w:val="24"/>
        </w:rPr>
        <w:t>HZAG</w:t>
      </w:r>
    </w:p>
    <w:p w:rsidR="005947CB" w:rsidRDefault="005947CB" w:rsidP="005947CB">
      <w:pPr>
        <w:spacing w:line="360" w:lineRule="auto"/>
        <w:jc w:val="center"/>
        <w:rPr>
          <w:sz w:val="24"/>
          <w:szCs w:val="24"/>
        </w:rPr>
      </w:pPr>
      <w:r>
        <w:rPr>
          <w:rFonts w:cstheme="minorHAnsi"/>
          <w:i/>
          <w:sz w:val="24"/>
          <w:szCs w:val="24"/>
        </w:rPr>
        <w:t>Journal of Late Antiquity</w:t>
      </w:r>
      <w:r>
        <w:rPr>
          <w:rFonts w:cstheme="minorHAnsi"/>
          <w:sz w:val="24"/>
          <w:szCs w:val="24"/>
        </w:rPr>
        <w:t xml:space="preserve"> JLA</w:t>
      </w:r>
    </w:p>
    <w:p w:rsidR="005947CB" w:rsidRDefault="005947CB" w:rsidP="005947CB">
      <w:pPr>
        <w:spacing w:line="360" w:lineRule="auto"/>
        <w:jc w:val="center"/>
        <w:rPr>
          <w:sz w:val="24"/>
          <w:szCs w:val="24"/>
        </w:rPr>
      </w:pPr>
      <w:r>
        <w:rPr>
          <w:i/>
          <w:sz w:val="24"/>
          <w:szCs w:val="24"/>
        </w:rPr>
        <w:t xml:space="preserve">Monumenta Germaniae Historica </w:t>
      </w:r>
      <w:r>
        <w:rPr>
          <w:sz w:val="24"/>
          <w:szCs w:val="24"/>
        </w:rPr>
        <w:t>MGH</w:t>
      </w:r>
    </w:p>
    <w:p w:rsidR="005947CB" w:rsidRDefault="005947CB" w:rsidP="005947CB">
      <w:pPr>
        <w:spacing w:line="360" w:lineRule="auto"/>
        <w:jc w:val="center"/>
        <w:rPr>
          <w:sz w:val="24"/>
          <w:szCs w:val="24"/>
        </w:rPr>
      </w:pPr>
      <w:r>
        <w:rPr>
          <w:i/>
          <w:sz w:val="24"/>
          <w:szCs w:val="24"/>
        </w:rPr>
        <w:t xml:space="preserve">Notitia Dignitatum </w:t>
      </w:r>
      <w:r>
        <w:rPr>
          <w:sz w:val="24"/>
          <w:szCs w:val="24"/>
        </w:rPr>
        <w:t>ND</w:t>
      </w:r>
    </w:p>
    <w:p w:rsidR="005947CB" w:rsidRDefault="005947CB" w:rsidP="005947CB">
      <w:pPr>
        <w:spacing w:line="360" w:lineRule="auto"/>
        <w:jc w:val="center"/>
        <w:rPr>
          <w:sz w:val="24"/>
          <w:szCs w:val="24"/>
        </w:rPr>
      </w:pPr>
      <w:r>
        <w:rPr>
          <w:i/>
          <w:sz w:val="24"/>
          <w:szCs w:val="24"/>
        </w:rPr>
        <w:t>Papers of the British School at Rome</w:t>
      </w:r>
      <w:r>
        <w:rPr>
          <w:sz w:val="24"/>
          <w:szCs w:val="24"/>
        </w:rPr>
        <w:t xml:space="preserve"> PBSR</w:t>
      </w:r>
    </w:p>
    <w:p w:rsidR="005947CB" w:rsidRDefault="005947CB" w:rsidP="005947CB">
      <w:pPr>
        <w:spacing w:line="360" w:lineRule="auto"/>
        <w:jc w:val="center"/>
        <w:rPr>
          <w:rFonts w:eastAsia="Arial Unicode MS" w:cstheme="minorHAnsi"/>
          <w:sz w:val="24"/>
          <w:szCs w:val="24"/>
          <w:lang w:eastAsia="en-GB"/>
        </w:rPr>
      </w:pPr>
      <w:r>
        <w:rPr>
          <w:rFonts w:eastAsia="Arial Unicode MS" w:cstheme="minorHAnsi"/>
          <w:i/>
          <w:sz w:val="24"/>
          <w:szCs w:val="24"/>
          <w:lang w:eastAsia="en-GB"/>
        </w:rPr>
        <w:t xml:space="preserve">Regionary Catalogues </w:t>
      </w:r>
      <w:r>
        <w:rPr>
          <w:rFonts w:eastAsia="Arial Unicode MS" w:cstheme="minorHAnsi"/>
          <w:sz w:val="24"/>
          <w:szCs w:val="24"/>
          <w:lang w:eastAsia="en-GB"/>
        </w:rPr>
        <w:t>RC</w:t>
      </w:r>
    </w:p>
    <w:p w:rsidR="005947CB" w:rsidRDefault="005947CB" w:rsidP="005947CB">
      <w:pPr>
        <w:spacing w:line="360" w:lineRule="auto"/>
        <w:jc w:val="center"/>
        <w:rPr>
          <w:rFonts w:eastAsiaTheme="minorHAnsi"/>
        </w:rPr>
      </w:pPr>
      <w:r>
        <w:rPr>
          <w:rFonts w:eastAsia="Arial Unicode MS" w:cstheme="minorHAnsi"/>
          <w:i/>
          <w:sz w:val="24"/>
          <w:szCs w:val="24"/>
          <w:lang w:eastAsia="en-GB"/>
        </w:rPr>
        <w:t>The Cambridge Ancient History</w:t>
      </w:r>
      <w:r>
        <w:rPr>
          <w:rFonts w:eastAsia="Arial Unicode MS" w:cstheme="minorHAnsi"/>
          <w:sz w:val="24"/>
          <w:szCs w:val="24"/>
          <w:lang w:eastAsia="en-GB"/>
        </w:rPr>
        <w:t xml:space="preserve"> CAH</w:t>
      </w:r>
    </w:p>
    <w:p w:rsidR="005947CB" w:rsidRDefault="005947CB" w:rsidP="005947CB">
      <w:pPr>
        <w:spacing w:line="360" w:lineRule="auto"/>
        <w:jc w:val="center"/>
        <w:rPr>
          <w:sz w:val="24"/>
          <w:szCs w:val="24"/>
        </w:rPr>
      </w:pPr>
      <w:r>
        <w:rPr>
          <w:i/>
        </w:rPr>
        <w:t>The Cambridge Companion to Ancient Rome</w:t>
      </w:r>
      <w:r>
        <w:t xml:space="preserve"> CCAR</w:t>
      </w:r>
    </w:p>
    <w:p w:rsidR="005947CB" w:rsidRDefault="005947CB" w:rsidP="005947CB">
      <w:pPr>
        <w:spacing w:line="360" w:lineRule="auto"/>
        <w:jc w:val="center"/>
        <w:rPr>
          <w:sz w:val="24"/>
          <w:szCs w:val="24"/>
        </w:rPr>
      </w:pPr>
      <w:r>
        <w:rPr>
          <w:rFonts w:eastAsiaTheme="majorEastAsia"/>
          <w:i/>
          <w:iCs/>
        </w:rPr>
        <w:t>The Cambridge Companion to the Age of Constantine</w:t>
      </w:r>
      <w:r>
        <w:rPr>
          <w:rFonts w:eastAsiaTheme="majorEastAsia"/>
          <w:iCs/>
        </w:rPr>
        <w:t xml:space="preserve"> CCAC</w:t>
      </w:r>
    </w:p>
    <w:p w:rsidR="005947CB" w:rsidRDefault="005947CB" w:rsidP="005947CB">
      <w:pPr>
        <w:spacing w:line="360" w:lineRule="auto"/>
        <w:jc w:val="center"/>
        <w:rPr>
          <w:sz w:val="24"/>
          <w:szCs w:val="24"/>
        </w:rPr>
      </w:pPr>
      <w:r>
        <w:rPr>
          <w:i/>
          <w:sz w:val="24"/>
          <w:szCs w:val="24"/>
        </w:rPr>
        <w:t>The Journal of Roman Studies</w:t>
      </w:r>
      <w:r>
        <w:rPr>
          <w:sz w:val="24"/>
          <w:szCs w:val="24"/>
        </w:rPr>
        <w:t xml:space="preserve"> JRS</w:t>
      </w:r>
    </w:p>
    <w:p w:rsidR="005947CB" w:rsidRDefault="005947CB" w:rsidP="005947CB">
      <w:pPr>
        <w:spacing w:line="360" w:lineRule="auto"/>
        <w:jc w:val="center"/>
        <w:rPr>
          <w:sz w:val="24"/>
          <w:szCs w:val="24"/>
        </w:rPr>
      </w:pPr>
      <w:r>
        <w:rPr>
          <w:i/>
          <w:sz w:val="24"/>
          <w:szCs w:val="24"/>
        </w:rPr>
        <w:t xml:space="preserve">The Scriptores Historia Augusta </w:t>
      </w:r>
      <w:r>
        <w:rPr>
          <w:sz w:val="24"/>
          <w:szCs w:val="24"/>
        </w:rPr>
        <w:t>SHA</w:t>
      </w:r>
    </w:p>
    <w:p w:rsidR="00523ECB" w:rsidRPr="00523ECB" w:rsidRDefault="00523ECB" w:rsidP="005947CB">
      <w:pPr>
        <w:spacing w:line="360" w:lineRule="auto"/>
        <w:jc w:val="center"/>
        <w:rPr>
          <w:sz w:val="24"/>
          <w:szCs w:val="24"/>
        </w:rPr>
      </w:pPr>
      <w:r>
        <w:rPr>
          <w:i/>
          <w:sz w:val="24"/>
          <w:szCs w:val="24"/>
        </w:rPr>
        <w:t>Lexicon Topographicum Urbis Romae</w:t>
      </w:r>
      <w:r>
        <w:rPr>
          <w:sz w:val="24"/>
          <w:szCs w:val="24"/>
        </w:rPr>
        <w:t xml:space="preserve"> LTUR</w:t>
      </w:r>
    </w:p>
    <w:p w:rsidR="005947CB" w:rsidRPr="00523ECB" w:rsidRDefault="005947CB" w:rsidP="005947CB">
      <w:pPr>
        <w:jc w:val="center"/>
        <w:rPr>
          <w:sz w:val="32"/>
          <w:szCs w:val="32"/>
        </w:rPr>
      </w:pPr>
    </w:p>
    <w:p w:rsidR="005947CB" w:rsidRDefault="005947CB" w:rsidP="005947CB">
      <w:pPr>
        <w:rPr>
          <w:b/>
          <w:sz w:val="32"/>
          <w:szCs w:val="32"/>
        </w:rPr>
      </w:pPr>
    </w:p>
    <w:p w:rsidR="005947CB" w:rsidRDefault="005947CB" w:rsidP="005947CB">
      <w:pPr>
        <w:rPr>
          <w:b/>
          <w:sz w:val="32"/>
          <w:szCs w:val="32"/>
        </w:rPr>
      </w:pPr>
    </w:p>
    <w:p w:rsidR="005947CB" w:rsidRDefault="005947CB" w:rsidP="001D0129">
      <w:pPr>
        <w:spacing w:line="480" w:lineRule="auto"/>
        <w:rPr>
          <w:sz w:val="48"/>
          <w:szCs w:val="48"/>
          <w:u w:val="single"/>
        </w:rPr>
        <w:sectPr w:rsidR="005947CB">
          <w:pgSz w:w="11906" w:h="16838"/>
          <w:pgMar w:top="1440" w:right="1440" w:bottom="1440" w:left="1440" w:header="708" w:footer="708" w:gutter="0"/>
          <w:cols w:space="708"/>
          <w:docGrid w:linePitch="360"/>
        </w:sectPr>
      </w:pPr>
    </w:p>
    <w:p w:rsidR="009867D2" w:rsidRDefault="006E1E5C" w:rsidP="00667627">
      <w:pPr>
        <w:spacing w:line="480" w:lineRule="auto"/>
        <w:jc w:val="center"/>
        <w:rPr>
          <w:sz w:val="24"/>
          <w:szCs w:val="24"/>
          <w:u w:val="single"/>
        </w:rPr>
      </w:pPr>
      <w:r w:rsidRPr="0040314F">
        <w:rPr>
          <w:sz w:val="48"/>
          <w:szCs w:val="48"/>
          <w:u w:val="single"/>
        </w:rPr>
        <w:lastRenderedPageBreak/>
        <w:t xml:space="preserve">Introduction: “Lists, lists, lists”, The Rome of the </w:t>
      </w:r>
      <w:r w:rsidRPr="0040314F">
        <w:rPr>
          <w:i/>
          <w:sz w:val="48"/>
          <w:szCs w:val="48"/>
          <w:u w:val="single"/>
        </w:rPr>
        <w:t>Regionary Catalogues</w:t>
      </w:r>
      <w:r w:rsidR="00667627">
        <w:rPr>
          <w:sz w:val="24"/>
          <w:szCs w:val="24"/>
          <w:u w:val="single"/>
        </w:rPr>
        <w:t>:</w:t>
      </w: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64E59" w:rsidRDefault="00364E59" w:rsidP="00667627">
      <w:pPr>
        <w:spacing w:line="480" w:lineRule="auto"/>
        <w:jc w:val="both"/>
        <w:rPr>
          <w:sz w:val="24"/>
          <w:szCs w:val="24"/>
        </w:rPr>
      </w:pPr>
    </w:p>
    <w:p w:rsidR="0030130A" w:rsidRDefault="0030130A" w:rsidP="00667627">
      <w:pPr>
        <w:spacing w:line="480" w:lineRule="auto"/>
        <w:jc w:val="both"/>
        <w:rPr>
          <w:sz w:val="24"/>
          <w:szCs w:val="24"/>
        </w:rPr>
      </w:pPr>
    </w:p>
    <w:p w:rsidR="001F63D2" w:rsidRDefault="001F63D2" w:rsidP="001F63D2">
      <w:pPr>
        <w:spacing w:line="480" w:lineRule="auto"/>
        <w:ind w:firstLine="720"/>
        <w:jc w:val="both"/>
        <w:rPr>
          <w:sz w:val="24"/>
          <w:szCs w:val="24"/>
        </w:rPr>
      </w:pPr>
    </w:p>
    <w:p w:rsidR="001F63D2" w:rsidRDefault="001F63D2" w:rsidP="001F63D2">
      <w:pPr>
        <w:spacing w:line="480" w:lineRule="auto"/>
        <w:ind w:firstLine="720"/>
        <w:jc w:val="both"/>
        <w:rPr>
          <w:sz w:val="24"/>
          <w:szCs w:val="24"/>
        </w:rPr>
      </w:pPr>
      <w:r w:rsidRPr="0030130A">
        <w:rPr>
          <w:sz w:val="24"/>
          <w:szCs w:val="24"/>
        </w:rPr>
        <w:lastRenderedPageBreak/>
        <w:t>As a rhetorical device, compiling lists was (and still is) a forceful means of expressing the sheer weight of power and</w:t>
      </w:r>
      <w:r>
        <w:rPr>
          <w:sz w:val="24"/>
          <w:szCs w:val="24"/>
        </w:rPr>
        <w:t xml:space="preserve"> the</w:t>
      </w:r>
      <w:r w:rsidRPr="0030130A">
        <w:rPr>
          <w:sz w:val="24"/>
          <w:szCs w:val="24"/>
        </w:rPr>
        <w:t xml:space="preserve"> complexity of a given individual or an organisation. From the tax lists of the Sumerians to the medieval catalogues of miracles, lists have lent themselves to both practical and literary uses. The Romans found list-making a laudable activity too and it</w:t>
      </w:r>
      <w:r>
        <w:rPr>
          <w:sz w:val="24"/>
          <w:szCs w:val="24"/>
        </w:rPr>
        <w:t xml:space="preserve"> soon</w:t>
      </w:r>
      <w:r w:rsidRPr="0030130A">
        <w:rPr>
          <w:sz w:val="24"/>
          <w:szCs w:val="24"/>
        </w:rPr>
        <w:t xml:space="preserve"> became a popular literary device. </w:t>
      </w:r>
    </w:p>
    <w:p w:rsidR="00E6660B" w:rsidRDefault="006E1E5C" w:rsidP="00AC6F00">
      <w:pPr>
        <w:tabs>
          <w:tab w:val="left" w:pos="1418"/>
        </w:tabs>
        <w:spacing w:line="480" w:lineRule="auto"/>
        <w:ind w:firstLine="720"/>
        <w:jc w:val="both"/>
        <w:rPr>
          <w:sz w:val="24"/>
          <w:szCs w:val="24"/>
        </w:rPr>
      </w:pPr>
      <w:r>
        <w:rPr>
          <w:sz w:val="24"/>
          <w:szCs w:val="24"/>
        </w:rPr>
        <w:t>The</w:t>
      </w:r>
      <w:r w:rsidR="001F63D2">
        <w:rPr>
          <w:sz w:val="24"/>
          <w:szCs w:val="24"/>
        </w:rPr>
        <w:t xml:space="preserve"> </w:t>
      </w:r>
      <w:r w:rsidR="00AC6F00">
        <w:rPr>
          <w:sz w:val="24"/>
          <w:szCs w:val="24"/>
        </w:rPr>
        <w:t xml:space="preserve">lists of </w:t>
      </w:r>
      <w:r w:rsidR="007D570B">
        <w:rPr>
          <w:sz w:val="24"/>
          <w:szCs w:val="24"/>
        </w:rPr>
        <w:t>fourth-</w:t>
      </w:r>
      <w:r w:rsidR="001F63D2">
        <w:rPr>
          <w:sz w:val="24"/>
          <w:szCs w:val="24"/>
        </w:rPr>
        <w:t>century</w:t>
      </w:r>
      <w:r w:rsidR="00AC6F00">
        <w:rPr>
          <w:sz w:val="24"/>
          <w:szCs w:val="24"/>
        </w:rPr>
        <w:t xml:space="preserve"> Rome,</w:t>
      </w:r>
      <w:r w:rsidR="001F63D2">
        <w:rPr>
          <w:sz w:val="24"/>
          <w:szCs w:val="24"/>
        </w:rPr>
        <w:t xml:space="preserve"> known as the</w:t>
      </w:r>
      <w:r>
        <w:rPr>
          <w:sz w:val="24"/>
          <w:szCs w:val="24"/>
        </w:rPr>
        <w:t xml:space="preserve"> </w:t>
      </w:r>
      <w:r w:rsidRPr="0030130A">
        <w:rPr>
          <w:i/>
          <w:sz w:val="24"/>
          <w:szCs w:val="24"/>
        </w:rPr>
        <w:t>Regionary Catalogues</w:t>
      </w:r>
      <w:r w:rsidR="00AC6F00">
        <w:rPr>
          <w:i/>
          <w:sz w:val="24"/>
          <w:szCs w:val="24"/>
        </w:rPr>
        <w:t>,</w:t>
      </w:r>
      <w:r w:rsidR="00D55C25">
        <w:rPr>
          <w:sz w:val="24"/>
          <w:szCs w:val="24"/>
        </w:rPr>
        <w:t xml:space="preserve"> are our most co</w:t>
      </w:r>
      <w:r w:rsidR="00A604F4">
        <w:rPr>
          <w:sz w:val="24"/>
          <w:szCs w:val="24"/>
        </w:rPr>
        <w:t xml:space="preserve">mprehensive source for </w:t>
      </w:r>
      <w:r w:rsidR="00016E3E">
        <w:rPr>
          <w:sz w:val="24"/>
          <w:szCs w:val="24"/>
        </w:rPr>
        <w:t>the physical and administrative topography of Late Antique Rome</w:t>
      </w:r>
      <w:r w:rsidR="00A604F4">
        <w:rPr>
          <w:sz w:val="24"/>
          <w:szCs w:val="24"/>
        </w:rPr>
        <w:t>.</w:t>
      </w:r>
      <w:r w:rsidR="00016E3E">
        <w:rPr>
          <w:sz w:val="24"/>
          <w:szCs w:val="24"/>
        </w:rPr>
        <w:t xml:space="preserve"> Organised according</w:t>
      </w:r>
      <w:r w:rsidR="00AC6F00">
        <w:rPr>
          <w:sz w:val="24"/>
          <w:szCs w:val="24"/>
        </w:rPr>
        <w:t xml:space="preserve"> to</w:t>
      </w:r>
      <w:r w:rsidR="00016E3E">
        <w:rPr>
          <w:sz w:val="24"/>
          <w:szCs w:val="24"/>
        </w:rPr>
        <w:t xml:space="preserve"> the Augustan system of 14 </w:t>
      </w:r>
      <w:r w:rsidR="00AC6F00">
        <w:rPr>
          <w:sz w:val="24"/>
          <w:szCs w:val="24"/>
        </w:rPr>
        <w:t>administrative regions</w:t>
      </w:r>
      <w:r w:rsidR="00016E3E">
        <w:rPr>
          <w:sz w:val="24"/>
          <w:szCs w:val="24"/>
        </w:rPr>
        <w:t>, t</w:t>
      </w:r>
      <w:r w:rsidR="00A604F4">
        <w:rPr>
          <w:sz w:val="24"/>
          <w:szCs w:val="24"/>
        </w:rPr>
        <w:t xml:space="preserve">hey serve as a form of “architectural census”, listing the palaces of the Emperors, the houses of famous Senators, and the great Imperial structures such as the </w:t>
      </w:r>
      <w:r w:rsidR="00B06566">
        <w:rPr>
          <w:i/>
          <w:sz w:val="24"/>
          <w:szCs w:val="24"/>
        </w:rPr>
        <w:t xml:space="preserve">thermae </w:t>
      </w:r>
      <w:r w:rsidR="00B06566">
        <w:rPr>
          <w:sz w:val="24"/>
          <w:szCs w:val="24"/>
        </w:rPr>
        <w:t xml:space="preserve">of Diocletian and Caracalla, the </w:t>
      </w:r>
      <w:r w:rsidR="00B06566">
        <w:rPr>
          <w:i/>
          <w:sz w:val="24"/>
          <w:szCs w:val="24"/>
        </w:rPr>
        <w:t>Circus Maximus</w:t>
      </w:r>
      <w:r w:rsidR="00AC6F00">
        <w:rPr>
          <w:sz w:val="24"/>
          <w:szCs w:val="24"/>
        </w:rPr>
        <w:t xml:space="preserve"> and the Flavian Amphitheatre</w:t>
      </w:r>
      <w:r w:rsidR="00A604F4">
        <w:rPr>
          <w:sz w:val="24"/>
          <w:szCs w:val="24"/>
        </w:rPr>
        <w:t>.</w:t>
      </w:r>
      <w:r w:rsidR="00A604F4">
        <w:rPr>
          <w:rStyle w:val="FootnoteReference"/>
          <w:sz w:val="24"/>
          <w:szCs w:val="24"/>
        </w:rPr>
        <w:footnoteReference w:id="1"/>
      </w:r>
      <w:r w:rsidR="00B06566">
        <w:rPr>
          <w:sz w:val="24"/>
          <w:szCs w:val="24"/>
        </w:rPr>
        <w:t xml:space="preserve"> They</w:t>
      </w:r>
      <w:r w:rsidR="00016E3E">
        <w:rPr>
          <w:sz w:val="24"/>
          <w:szCs w:val="24"/>
        </w:rPr>
        <w:t xml:space="preserve"> could be a simple panegyric </w:t>
      </w:r>
      <w:r w:rsidR="00016E3E" w:rsidRPr="0030130A">
        <w:rPr>
          <w:sz w:val="24"/>
          <w:szCs w:val="24"/>
        </w:rPr>
        <w:t>(a document</w:t>
      </w:r>
      <w:r w:rsidR="00016E3E">
        <w:rPr>
          <w:sz w:val="24"/>
          <w:szCs w:val="24"/>
        </w:rPr>
        <w:t>, usually a poem,</w:t>
      </w:r>
      <w:r w:rsidR="00016E3E" w:rsidRPr="0030130A">
        <w:rPr>
          <w:sz w:val="24"/>
          <w:szCs w:val="24"/>
        </w:rPr>
        <w:t xml:space="preserve"> produced to lavish praise upon the history and culture of the city)</w:t>
      </w:r>
      <w:r w:rsidR="00016E3E">
        <w:rPr>
          <w:sz w:val="24"/>
          <w:szCs w:val="24"/>
        </w:rPr>
        <w:t xml:space="preserve"> to Rome’s history and magnificence</w:t>
      </w:r>
      <w:r w:rsidR="00B06566">
        <w:rPr>
          <w:sz w:val="24"/>
          <w:szCs w:val="24"/>
        </w:rPr>
        <w:t xml:space="preserve">, if not for their intermingling of monumental glorification with administrative facts and data. </w:t>
      </w:r>
      <w:r w:rsidR="00016E3E">
        <w:rPr>
          <w:sz w:val="24"/>
          <w:szCs w:val="24"/>
        </w:rPr>
        <w:t>Seemingly mundane items such as the number of houses, flats, bakeries and cisterns are combined with the circumference of any given region</w:t>
      </w:r>
      <w:r w:rsidR="00784C52">
        <w:rPr>
          <w:sz w:val="24"/>
          <w:szCs w:val="24"/>
        </w:rPr>
        <w:t xml:space="preserve">, alongside incidental information for the monuments such as the height of Trajan’s columns or the number of seats in the </w:t>
      </w:r>
      <w:r w:rsidR="00784C52">
        <w:rPr>
          <w:i/>
          <w:sz w:val="24"/>
          <w:szCs w:val="24"/>
        </w:rPr>
        <w:t>Circus Maximus</w:t>
      </w:r>
      <w:r w:rsidR="00016E3E">
        <w:rPr>
          <w:sz w:val="24"/>
          <w:szCs w:val="24"/>
        </w:rPr>
        <w:t>. Because of this i</w:t>
      </w:r>
      <w:r w:rsidR="004068C3" w:rsidRPr="0030130A">
        <w:rPr>
          <w:sz w:val="24"/>
          <w:szCs w:val="24"/>
        </w:rPr>
        <w:t>t is a</w:t>
      </w:r>
      <w:r w:rsidRPr="0030130A">
        <w:rPr>
          <w:sz w:val="24"/>
          <w:szCs w:val="24"/>
        </w:rPr>
        <w:t xml:space="preserve"> document that has been valued</w:t>
      </w:r>
      <w:r w:rsidR="00301134" w:rsidRPr="0030130A">
        <w:rPr>
          <w:sz w:val="24"/>
          <w:szCs w:val="24"/>
        </w:rPr>
        <w:t xml:space="preserve"> by historians across the ages</w:t>
      </w:r>
      <w:r w:rsidRPr="0030130A">
        <w:rPr>
          <w:sz w:val="24"/>
          <w:szCs w:val="24"/>
        </w:rPr>
        <w:t xml:space="preserve"> as</w:t>
      </w:r>
      <w:r w:rsidR="00DF75BC" w:rsidRPr="0030130A">
        <w:rPr>
          <w:sz w:val="24"/>
          <w:szCs w:val="24"/>
        </w:rPr>
        <w:t xml:space="preserve"> both</w:t>
      </w:r>
      <w:r w:rsidRPr="0030130A">
        <w:rPr>
          <w:sz w:val="24"/>
          <w:szCs w:val="24"/>
        </w:rPr>
        <w:t xml:space="preserve"> an important administrative source</w:t>
      </w:r>
      <w:r w:rsidR="00B0500A" w:rsidRPr="0030130A">
        <w:rPr>
          <w:sz w:val="24"/>
          <w:szCs w:val="24"/>
        </w:rPr>
        <w:t xml:space="preserve"> and</w:t>
      </w:r>
      <w:r w:rsidR="001F63D2">
        <w:rPr>
          <w:sz w:val="24"/>
          <w:szCs w:val="24"/>
        </w:rPr>
        <w:t>/or</w:t>
      </w:r>
      <w:r w:rsidR="00B0500A" w:rsidRPr="0030130A">
        <w:rPr>
          <w:sz w:val="24"/>
          <w:szCs w:val="24"/>
        </w:rPr>
        <w:t xml:space="preserve"> as a panegyric to “traditional” Rome</w:t>
      </w:r>
      <w:r w:rsidR="004068C3" w:rsidRPr="0030130A">
        <w:rPr>
          <w:sz w:val="24"/>
          <w:szCs w:val="24"/>
        </w:rPr>
        <w:t xml:space="preserve">. </w:t>
      </w:r>
      <w:r w:rsidR="001F63D2">
        <w:rPr>
          <w:sz w:val="24"/>
          <w:szCs w:val="24"/>
        </w:rPr>
        <w:t xml:space="preserve">This has made their purpose a subject of considerable debate amongst historians, exacerbated by the fact that they are </w:t>
      </w:r>
      <w:r w:rsidR="001F63D2" w:rsidRPr="0030130A">
        <w:rPr>
          <w:sz w:val="24"/>
          <w:szCs w:val="24"/>
        </w:rPr>
        <w:t xml:space="preserve">transmitted to us in two versions called the </w:t>
      </w:r>
      <w:r w:rsidR="001F63D2" w:rsidRPr="0030130A">
        <w:rPr>
          <w:i/>
          <w:sz w:val="24"/>
          <w:szCs w:val="24"/>
        </w:rPr>
        <w:t>Notitia urbis Romae</w:t>
      </w:r>
      <w:r w:rsidR="001F63D2" w:rsidRPr="0030130A">
        <w:rPr>
          <w:sz w:val="24"/>
          <w:szCs w:val="24"/>
        </w:rPr>
        <w:t xml:space="preserve"> (written in 354 at the latest) and the </w:t>
      </w:r>
      <w:r w:rsidR="001F63D2" w:rsidRPr="0030130A">
        <w:rPr>
          <w:i/>
          <w:sz w:val="24"/>
          <w:szCs w:val="24"/>
        </w:rPr>
        <w:t>Curiosum Urbis Romae Regionum XIIII</w:t>
      </w:r>
      <w:r w:rsidR="001F63D2" w:rsidRPr="0030130A">
        <w:rPr>
          <w:sz w:val="24"/>
          <w:szCs w:val="24"/>
        </w:rPr>
        <w:t xml:space="preserve"> (date unknown)</w:t>
      </w:r>
      <w:r w:rsidR="001F63D2">
        <w:rPr>
          <w:sz w:val="24"/>
          <w:szCs w:val="24"/>
        </w:rPr>
        <w:t xml:space="preserve">, </w:t>
      </w:r>
      <w:r w:rsidR="007D570B">
        <w:rPr>
          <w:sz w:val="24"/>
          <w:szCs w:val="24"/>
        </w:rPr>
        <w:lastRenderedPageBreak/>
        <w:t>with, ‘a history va</w:t>
      </w:r>
      <w:r w:rsidR="001F63D2">
        <w:rPr>
          <w:sz w:val="24"/>
          <w:szCs w:val="24"/>
        </w:rPr>
        <w:t>r</w:t>
      </w:r>
      <w:r w:rsidR="007D570B">
        <w:rPr>
          <w:sz w:val="24"/>
          <w:szCs w:val="24"/>
        </w:rPr>
        <w:t>i</w:t>
      </w:r>
      <w:r w:rsidR="001F63D2">
        <w:rPr>
          <w:sz w:val="24"/>
          <w:szCs w:val="24"/>
        </w:rPr>
        <w:t>ed and interesting enough to furnish the plot for a novel of adventure.’</w:t>
      </w:r>
      <w:r w:rsidR="001F63D2">
        <w:rPr>
          <w:rStyle w:val="FootnoteReference"/>
          <w:sz w:val="24"/>
          <w:szCs w:val="24"/>
        </w:rPr>
        <w:footnoteReference w:id="2"/>
      </w:r>
      <w:r w:rsidR="001F63D2">
        <w:rPr>
          <w:sz w:val="24"/>
          <w:szCs w:val="24"/>
        </w:rPr>
        <w:t xml:space="preserve"> Both documents are considered incomplete due to the discrepancies present in both. Certain items appear in only one manuscript tradition, whilst certain statistical information </w:t>
      </w:r>
      <w:r w:rsidR="0012393E">
        <w:rPr>
          <w:sz w:val="24"/>
          <w:szCs w:val="24"/>
        </w:rPr>
        <w:t>appears</w:t>
      </w:r>
      <w:r w:rsidR="001F63D2">
        <w:rPr>
          <w:sz w:val="24"/>
          <w:szCs w:val="24"/>
        </w:rPr>
        <w:t xml:space="preserve"> highly fanciful (the </w:t>
      </w:r>
      <w:r w:rsidR="001F63D2">
        <w:rPr>
          <w:i/>
          <w:sz w:val="24"/>
          <w:szCs w:val="24"/>
        </w:rPr>
        <w:t xml:space="preserve">Circus Maximus </w:t>
      </w:r>
      <w:r w:rsidR="001F63D2">
        <w:rPr>
          <w:sz w:val="24"/>
          <w:szCs w:val="24"/>
        </w:rPr>
        <w:t>has a seating capacity of 480,000, the modern world’s largest sporting venue, the Indian</w:t>
      </w:r>
      <w:r w:rsidR="007D570B">
        <w:rPr>
          <w:sz w:val="24"/>
          <w:szCs w:val="24"/>
        </w:rPr>
        <w:t>a</w:t>
      </w:r>
      <w:r w:rsidR="001F63D2">
        <w:rPr>
          <w:sz w:val="24"/>
          <w:szCs w:val="24"/>
        </w:rPr>
        <w:t>p</w:t>
      </w:r>
      <w:r w:rsidR="007D570B">
        <w:rPr>
          <w:sz w:val="24"/>
          <w:szCs w:val="24"/>
        </w:rPr>
        <w:t>o</w:t>
      </w:r>
      <w:r w:rsidR="001F63D2">
        <w:rPr>
          <w:sz w:val="24"/>
          <w:szCs w:val="24"/>
        </w:rPr>
        <w:t xml:space="preserve">lis Speedway seats 257,325). </w:t>
      </w:r>
      <w:r w:rsidR="001F63D2" w:rsidRPr="0030130A">
        <w:rPr>
          <w:sz w:val="24"/>
          <w:szCs w:val="24"/>
        </w:rPr>
        <w:t>Often it has been hard for modern historians to distinguish between the</w:t>
      </w:r>
      <w:r w:rsidR="001F63D2">
        <w:rPr>
          <w:sz w:val="24"/>
          <w:szCs w:val="24"/>
        </w:rPr>
        <w:t xml:space="preserve"> different</w:t>
      </w:r>
      <w:r w:rsidR="001F63D2" w:rsidRPr="0030130A">
        <w:rPr>
          <w:sz w:val="24"/>
          <w:szCs w:val="24"/>
        </w:rPr>
        <w:t xml:space="preserve"> possible uses of</w:t>
      </w:r>
      <w:r w:rsidR="001F63D2">
        <w:rPr>
          <w:sz w:val="24"/>
          <w:szCs w:val="24"/>
        </w:rPr>
        <w:t xml:space="preserve"> the</w:t>
      </w:r>
      <w:r w:rsidR="001F63D2" w:rsidRPr="0030130A">
        <w:rPr>
          <w:sz w:val="24"/>
          <w:szCs w:val="24"/>
        </w:rPr>
        <w:t xml:space="preserve"> lists. This confusion has led to the </w:t>
      </w:r>
      <w:r w:rsidR="001F63D2" w:rsidRPr="0030130A">
        <w:rPr>
          <w:i/>
          <w:sz w:val="24"/>
          <w:szCs w:val="24"/>
        </w:rPr>
        <w:t>Regionary Catalogues</w:t>
      </w:r>
      <w:r w:rsidR="001F63D2">
        <w:rPr>
          <w:sz w:val="24"/>
          <w:szCs w:val="24"/>
        </w:rPr>
        <w:t xml:space="preserve"> being,</w:t>
      </w:r>
      <w:r w:rsidR="001F63D2" w:rsidRPr="0030130A">
        <w:rPr>
          <w:sz w:val="24"/>
          <w:szCs w:val="24"/>
        </w:rPr>
        <w:t xml:space="preserve"> alternately and exclusively</w:t>
      </w:r>
      <w:r w:rsidR="001F63D2">
        <w:rPr>
          <w:sz w:val="24"/>
          <w:szCs w:val="24"/>
        </w:rPr>
        <w:t>,</w:t>
      </w:r>
      <w:r w:rsidR="001F63D2" w:rsidRPr="0030130A">
        <w:rPr>
          <w:sz w:val="24"/>
          <w:szCs w:val="24"/>
        </w:rPr>
        <w:t xml:space="preserve"> treated as either an administrative document produced by Rome’s urban administration or as a panegyric. </w:t>
      </w:r>
    </w:p>
    <w:p w:rsidR="00E6660B" w:rsidRDefault="00E6660B" w:rsidP="00E6660B">
      <w:pPr>
        <w:spacing w:line="480" w:lineRule="auto"/>
        <w:ind w:firstLine="720"/>
        <w:jc w:val="both"/>
        <w:rPr>
          <w:sz w:val="24"/>
          <w:szCs w:val="24"/>
        </w:rPr>
      </w:pPr>
      <w:r>
        <w:rPr>
          <w:sz w:val="24"/>
          <w:szCs w:val="24"/>
        </w:rPr>
        <w:t xml:space="preserve">This confusion is, in part, due to the fact that there </w:t>
      </w:r>
      <w:r w:rsidRPr="00444DA7">
        <w:rPr>
          <w:sz w:val="24"/>
          <w:szCs w:val="24"/>
        </w:rPr>
        <w:t>is only</w:t>
      </w:r>
      <w:r>
        <w:rPr>
          <w:sz w:val="24"/>
          <w:szCs w:val="24"/>
        </w:rPr>
        <w:t xml:space="preserve"> one</w:t>
      </w:r>
      <w:r w:rsidRPr="00444DA7">
        <w:rPr>
          <w:sz w:val="24"/>
          <w:szCs w:val="24"/>
        </w:rPr>
        <w:t xml:space="preserve"> text </w:t>
      </w:r>
      <w:r w:rsidR="0012393E">
        <w:rPr>
          <w:sz w:val="24"/>
          <w:szCs w:val="24"/>
        </w:rPr>
        <w:t xml:space="preserve">comparable </w:t>
      </w:r>
      <w:r w:rsidRPr="00444DA7">
        <w:rPr>
          <w:sz w:val="24"/>
          <w:szCs w:val="24"/>
        </w:rPr>
        <w:t xml:space="preserve">to the </w:t>
      </w:r>
      <w:r>
        <w:rPr>
          <w:i/>
          <w:sz w:val="24"/>
          <w:szCs w:val="24"/>
        </w:rPr>
        <w:t xml:space="preserve">Regionaries. </w:t>
      </w:r>
      <w:r>
        <w:rPr>
          <w:sz w:val="24"/>
          <w:szCs w:val="24"/>
        </w:rPr>
        <w:t>This is t</w:t>
      </w:r>
      <w:r w:rsidRPr="00444DA7">
        <w:rPr>
          <w:sz w:val="24"/>
          <w:szCs w:val="24"/>
        </w:rPr>
        <w:t xml:space="preserve">he </w:t>
      </w:r>
      <w:r w:rsidRPr="00444DA7">
        <w:rPr>
          <w:i/>
          <w:sz w:val="24"/>
          <w:szCs w:val="24"/>
        </w:rPr>
        <w:t>Notitia</w:t>
      </w:r>
      <w:r>
        <w:rPr>
          <w:sz w:val="24"/>
          <w:szCs w:val="24"/>
        </w:rPr>
        <w:t xml:space="preserve"> of Constantinople, more </w:t>
      </w:r>
      <w:r w:rsidRPr="00444DA7">
        <w:rPr>
          <w:sz w:val="24"/>
          <w:szCs w:val="24"/>
        </w:rPr>
        <w:t xml:space="preserve">properly known as the </w:t>
      </w:r>
      <w:r w:rsidRPr="00444DA7">
        <w:rPr>
          <w:i/>
          <w:sz w:val="24"/>
          <w:szCs w:val="24"/>
        </w:rPr>
        <w:t>Notitia Urbis Constantinopolitanae</w:t>
      </w:r>
      <w:r>
        <w:rPr>
          <w:sz w:val="24"/>
          <w:szCs w:val="24"/>
        </w:rPr>
        <w:t>.</w:t>
      </w:r>
      <w:r w:rsidRPr="00444DA7">
        <w:rPr>
          <w:i/>
          <w:sz w:val="24"/>
          <w:szCs w:val="24"/>
        </w:rPr>
        <w:t xml:space="preserve"> </w:t>
      </w:r>
      <w:r w:rsidRPr="00444DA7">
        <w:rPr>
          <w:sz w:val="24"/>
          <w:szCs w:val="24"/>
        </w:rPr>
        <w:t xml:space="preserve">Similar to the </w:t>
      </w:r>
      <w:r w:rsidRPr="00444DA7">
        <w:rPr>
          <w:i/>
          <w:sz w:val="24"/>
          <w:szCs w:val="24"/>
        </w:rPr>
        <w:t>Regionary Catalogues</w:t>
      </w:r>
      <w:r w:rsidRPr="00444DA7">
        <w:rPr>
          <w:sz w:val="24"/>
          <w:szCs w:val="24"/>
        </w:rPr>
        <w:t xml:space="preserve">, the </w:t>
      </w:r>
      <w:r w:rsidRPr="00444DA7">
        <w:rPr>
          <w:i/>
          <w:sz w:val="24"/>
          <w:szCs w:val="24"/>
        </w:rPr>
        <w:t>Notitia</w:t>
      </w:r>
      <w:r w:rsidRPr="00444DA7">
        <w:rPr>
          <w:sz w:val="24"/>
          <w:szCs w:val="24"/>
        </w:rPr>
        <w:t xml:space="preserve"> of Constantinople identifies more human and physical resources, buildings and institution of the city than any other single source</w:t>
      </w:r>
      <w:r>
        <w:rPr>
          <w:sz w:val="24"/>
          <w:szCs w:val="24"/>
        </w:rPr>
        <w:t xml:space="preserve"> and </w:t>
      </w:r>
      <w:r w:rsidRPr="00444DA7">
        <w:rPr>
          <w:sz w:val="24"/>
          <w:szCs w:val="24"/>
        </w:rPr>
        <w:t xml:space="preserve">is transmitted alongside the </w:t>
      </w:r>
      <w:r w:rsidRPr="00444DA7">
        <w:rPr>
          <w:i/>
          <w:sz w:val="24"/>
          <w:szCs w:val="24"/>
        </w:rPr>
        <w:t>Regionary Catalogues</w:t>
      </w:r>
      <w:r w:rsidRPr="00444DA7">
        <w:rPr>
          <w:sz w:val="24"/>
          <w:szCs w:val="24"/>
        </w:rPr>
        <w:t xml:space="preserve"> </w:t>
      </w:r>
      <w:r w:rsidR="0012393E">
        <w:rPr>
          <w:sz w:val="24"/>
          <w:szCs w:val="24"/>
        </w:rPr>
        <w:t>with</w:t>
      </w:r>
      <w:r w:rsidRPr="00444DA7">
        <w:rPr>
          <w:sz w:val="24"/>
          <w:szCs w:val="24"/>
        </w:rPr>
        <w:t xml:space="preserve"> other texts that are administrative and/or technical in na</w:t>
      </w:r>
      <w:r>
        <w:rPr>
          <w:sz w:val="24"/>
          <w:szCs w:val="24"/>
        </w:rPr>
        <w:t xml:space="preserve">ture. </w:t>
      </w:r>
      <w:r w:rsidR="0048561F">
        <w:rPr>
          <w:sz w:val="24"/>
          <w:szCs w:val="24"/>
        </w:rPr>
        <w:t>I</w:t>
      </w:r>
      <w:r w:rsidR="0048561F" w:rsidRPr="00444DA7">
        <w:rPr>
          <w:sz w:val="24"/>
          <w:szCs w:val="24"/>
        </w:rPr>
        <w:t xml:space="preserve">nformation contained within the text </w:t>
      </w:r>
      <w:r w:rsidR="0048561F">
        <w:rPr>
          <w:sz w:val="24"/>
          <w:szCs w:val="24"/>
        </w:rPr>
        <w:t>and dedicatory preface,</w:t>
      </w:r>
      <w:r w:rsidR="0048561F" w:rsidRPr="00444DA7">
        <w:rPr>
          <w:sz w:val="24"/>
          <w:szCs w:val="24"/>
        </w:rPr>
        <w:t xml:space="preserve"> such as the number of </w:t>
      </w:r>
      <w:r w:rsidR="0048561F" w:rsidRPr="00444DA7">
        <w:rPr>
          <w:i/>
          <w:sz w:val="24"/>
          <w:szCs w:val="24"/>
        </w:rPr>
        <w:t>domus</w:t>
      </w:r>
      <w:r w:rsidR="0048561F" w:rsidRPr="00444DA7">
        <w:rPr>
          <w:sz w:val="24"/>
          <w:szCs w:val="24"/>
        </w:rPr>
        <w:t xml:space="preserve"> and</w:t>
      </w:r>
      <w:r w:rsidR="0048561F" w:rsidRPr="00444DA7">
        <w:rPr>
          <w:i/>
          <w:sz w:val="24"/>
          <w:szCs w:val="24"/>
        </w:rPr>
        <w:t xml:space="preserve"> vicomagistri</w:t>
      </w:r>
      <w:r w:rsidR="0048561F" w:rsidRPr="00444DA7">
        <w:rPr>
          <w:sz w:val="24"/>
          <w:szCs w:val="24"/>
        </w:rPr>
        <w:t xml:space="preserve">, suggests that the </w:t>
      </w:r>
      <w:r w:rsidR="0048561F" w:rsidRPr="00444DA7">
        <w:rPr>
          <w:i/>
          <w:sz w:val="24"/>
          <w:szCs w:val="24"/>
        </w:rPr>
        <w:t xml:space="preserve">Notitia </w:t>
      </w:r>
      <w:r w:rsidR="0048561F" w:rsidRPr="00444DA7">
        <w:rPr>
          <w:sz w:val="24"/>
          <w:szCs w:val="24"/>
        </w:rPr>
        <w:t xml:space="preserve">of Constantinople, just like the </w:t>
      </w:r>
      <w:r w:rsidR="0048561F" w:rsidRPr="00444DA7">
        <w:rPr>
          <w:i/>
          <w:sz w:val="24"/>
          <w:szCs w:val="24"/>
        </w:rPr>
        <w:t>Regionaries</w:t>
      </w:r>
      <w:r w:rsidR="0048561F" w:rsidRPr="00444DA7">
        <w:rPr>
          <w:sz w:val="24"/>
          <w:szCs w:val="24"/>
        </w:rPr>
        <w:t xml:space="preserve">, is drawn from or connected to the </w:t>
      </w:r>
      <w:r w:rsidR="0048561F" w:rsidRPr="00444DA7">
        <w:rPr>
          <w:i/>
          <w:sz w:val="24"/>
          <w:szCs w:val="24"/>
        </w:rPr>
        <w:t xml:space="preserve">officium </w:t>
      </w:r>
      <w:r w:rsidR="0048561F" w:rsidRPr="00444DA7">
        <w:rPr>
          <w:sz w:val="24"/>
          <w:szCs w:val="24"/>
        </w:rPr>
        <w:t xml:space="preserve">of the </w:t>
      </w:r>
      <w:r w:rsidR="0048561F" w:rsidRPr="00444DA7">
        <w:rPr>
          <w:i/>
          <w:sz w:val="24"/>
          <w:szCs w:val="24"/>
        </w:rPr>
        <w:t>praefectus urbis</w:t>
      </w:r>
      <w:r w:rsidR="0048561F" w:rsidRPr="00444DA7">
        <w:rPr>
          <w:sz w:val="24"/>
          <w:szCs w:val="24"/>
        </w:rPr>
        <w:t>.</w:t>
      </w:r>
      <w:r w:rsidR="0048561F" w:rsidRPr="00444DA7">
        <w:rPr>
          <w:rStyle w:val="FootnoteReference"/>
          <w:sz w:val="24"/>
          <w:szCs w:val="24"/>
        </w:rPr>
        <w:footnoteReference w:id="3"/>
      </w:r>
      <w:r w:rsidR="0048561F">
        <w:rPr>
          <w:sz w:val="24"/>
          <w:szCs w:val="24"/>
        </w:rPr>
        <w:t xml:space="preserve"> And</w:t>
      </w:r>
      <w:r w:rsidR="00B13918">
        <w:rPr>
          <w:sz w:val="24"/>
          <w:szCs w:val="24"/>
        </w:rPr>
        <w:t xml:space="preserve">, like </w:t>
      </w:r>
      <w:r w:rsidR="00B13918">
        <w:rPr>
          <w:i/>
          <w:sz w:val="24"/>
          <w:szCs w:val="24"/>
        </w:rPr>
        <w:t>Regionaries</w:t>
      </w:r>
      <w:r w:rsidR="00B13918">
        <w:rPr>
          <w:sz w:val="24"/>
          <w:szCs w:val="24"/>
        </w:rPr>
        <w:t>,</w:t>
      </w:r>
      <w:r w:rsidR="0048561F">
        <w:rPr>
          <w:sz w:val="24"/>
          <w:szCs w:val="24"/>
        </w:rPr>
        <w:t xml:space="preserve"> r</w:t>
      </w:r>
      <w:r>
        <w:rPr>
          <w:sz w:val="24"/>
          <w:szCs w:val="24"/>
        </w:rPr>
        <w:t xml:space="preserve">ather than being critically examined in its own right, the </w:t>
      </w:r>
      <w:r>
        <w:rPr>
          <w:i/>
          <w:sz w:val="24"/>
          <w:szCs w:val="24"/>
        </w:rPr>
        <w:t xml:space="preserve">Notitia </w:t>
      </w:r>
      <w:r>
        <w:rPr>
          <w:sz w:val="24"/>
          <w:szCs w:val="24"/>
        </w:rPr>
        <w:t xml:space="preserve">of Constantinople </w:t>
      </w:r>
      <w:r w:rsidR="00B13918">
        <w:rPr>
          <w:sz w:val="24"/>
          <w:szCs w:val="24"/>
        </w:rPr>
        <w:t>has</w:t>
      </w:r>
      <w:r>
        <w:rPr>
          <w:sz w:val="24"/>
          <w:szCs w:val="24"/>
        </w:rPr>
        <w:t xml:space="preserve"> more often</w:t>
      </w:r>
      <w:r w:rsidR="00B13918">
        <w:rPr>
          <w:sz w:val="24"/>
          <w:szCs w:val="24"/>
        </w:rPr>
        <w:t xml:space="preserve"> been</w:t>
      </w:r>
      <w:r>
        <w:rPr>
          <w:sz w:val="24"/>
          <w:szCs w:val="24"/>
        </w:rPr>
        <w:t xml:space="preserve"> referred to in passing for the information </w:t>
      </w:r>
      <w:r w:rsidR="00B13918">
        <w:rPr>
          <w:sz w:val="24"/>
          <w:szCs w:val="24"/>
        </w:rPr>
        <w:t>it</w:t>
      </w:r>
      <w:r>
        <w:rPr>
          <w:sz w:val="24"/>
          <w:szCs w:val="24"/>
        </w:rPr>
        <w:t xml:space="preserve"> provide</w:t>
      </w:r>
      <w:r w:rsidR="00B13918">
        <w:rPr>
          <w:sz w:val="24"/>
          <w:szCs w:val="24"/>
        </w:rPr>
        <w:t>s or the topography it</w:t>
      </w:r>
      <w:r>
        <w:rPr>
          <w:sz w:val="24"/>
          <w:szCs w:val="24"/>
        </w:rPr>
        <w:t xml:space="preserve"> </w:t>
      </w:r>
      <w:r w:rsidR="0048561F">
        <w:rPr>
          <w:sz w:val="24"/>
          <w:szCs w:val="24"/>
        </w:rPr>
        <w:t>can illustrate</w:t>
      </w:r>
      <w:r w:rsidRPr="00444DA7">
        <w:rPr>
          <w:sz w:val="24"/>
          <w:szCs w:val="24"/>
        </w:rPr>
        <w:t>.</w:t>
      </w:r>
      <w:r w:rsidRPr="00281D3C">
        <w:rPr>
          <w:sz w:val="24"/>
          <w:szCs w:val="24"/>
        </w:rPr>
        <w:t xml:space="preserve"> </w:t>
      </w:r>
    </w:p>
    <w:p w:rsidR="00E6660B" w:rsidRDefault="00E6660B" w:rsidP="00E6660B">
      <w:pPr>
        <w:spacing w:line="480" w:lineRule="auto"/>
        <w:ind w:firstLine="720"/>
        <w:jc w:val="both"/>
        <w:rPr>
          <w:sz w:val="24"/>
          <w:szCs w:val="24"/>
        </w:rPr>
      </w:pPr>
      <w:r>
        <w:rPr>
          <w:sz w:val="24"/>
          <w:szCs w:val="24"/>
        </w:rPr>
        <w:t xml:space="preserve">However there are difficulties utilising the </w:t>
      </w:r>
      <w:r>
        <w:rPr>
          <w:i/>
          <w:sz w:val="24"/>
          <w:szCs w:val="24"/>
        </w:rPr>
        <w:t>Notitia</w:t>
      </w:r>
      <w:r>
        <w:rPr>
          <w:sz w:val="24"/>
          <w:szCs w:val="24"/>
        </w:rPr>
        <w:t xml:space="preserve"> of Constantinople as a comparative context for the </w:t>
      </w:r>
      <w:r>
        <w:rPr>
          <w:i/>
          <w:sz w:val="24"/>
          <w:szCs w:val="24"/>
        </w:rPr>
        <w:t>Regionary Catalogues</w:t>
      </w:r>
      <w:r>
        <w:rPr>
          <w:sz w:val="24"/>
          <w:szCs w:val="24"/>
        </w:rPr>
        <w:t>.</w:t>
      </w:r>
      <w:r w:rsidRPr="00B67595">
        <w:rPr>
          <w:sz w:val="24"/>
          <w:szCs w:val="24"/>
        </w:rPr>
        <w:t xml:space="preserve"> </w:t>
      </w:r>
      <w:r>
        <w:rPr>
          <w:sz w:val="24"/>
          <w:szCs w:val="24"/>
        </w:rPr>
        <w:t xml:space="preserve">A particular point of textual difference is </w:t>
      </w:r>
      <w:r>
        <w:rPr>
          <w:sz w:val="24"/>
          <w:szCs w:val="24"/>
        </w:rPr>
        <w:lastRenderedPageBreak/>
        <w:t>that t</w:t>
      </w:r>
      <w:r w:rsidRPr="00444DA7">
        <w:rPr>
          <w:sz w:val="24"/>
          <w:szCs w:val="24"/>
        </w:rPr>
        <w:t xml:space="preserve">he </w:t>
      </w:r>
      <w:r w:rsidRPr="00444DA7">
        <w:rPr>
          <w:i/>
          <w:sz w:val="24"/>
          <w:szCs w:val="24"/>
        </w:rPr>
        <w:t>Notitia</w:t>
      </w:r>
      <w:r w:rsidRPr="00444DA7">
        <w:rPr>
          <w:sz w:val="24"/>
          <w:szCs w:val="24"/>
        </w:rPr>
        <w:t xml:space="preserve"> of Constantinople</w:t>
      </w:r>
      <w:r>
        <w:rPr>
          <w:sz w:val="24"/>
          <w:szCs w:val="24"/>
        </w:rPr>
        <w:t xml:space="preserve"> also depicts a firmly Christian city and</w:t>
      </w:r>
      <w:r w:rsidRPr="00444DA7">
        <w:rPr>
          <w:sz w:val="24"/>
          <w:szCs w:val="24"/>
        </w:rPr>
        <w:t xml:space="preserve"> contains multiple Churches and no pagan temples of shrines, </w:t>
      </w:r>
      <w:r>
        <w:rPr>
          <w:sz w:val="24"/>
          <w:szCs w:val="24"/>
        </w:rPr>
        <w:t>in contrast to the</w:t>
      </w:r>
      <w:r w:rsidRPr="00444DA7">
        <w:rPr>
          <w:sz w:val="24"/>
          <w:szCs w:val="24"/>
        </w:rPr>
        <w:t xml:space="preserve"> </w:t>
      </w:r>
      <w:r w:rsidRPr="00444DA7">
        <w:rPr>
          <w:i/>
          <w:sz w:val="24"/>
          <w:szCs w:val="24"/>
        </w:rPr>
        <w:t>Regionaries</w:t>
      </w:r>
      <w:r>
        <w:rPr>
          <w:i/>
          <w:sz w:val="24"/>
          <w:szCs w:val="24"/>
        </w:rPr>
        <w:t>’</w:t>
      </w:r>
      <w:r>
        <w:rPr>
          <w:sz w:val="24"/>
          <w:szCs w:val="24"/>
        </w:rPr>
        <w:t xml:space="preserve"> abundance of shrines and pagan ritual sites but no Christian Churches. And whilst it would be</w:t>
      </w:r>
      <w:r w:rsidR="007D570B">
        <w:rPr>
          <w:sz w:val="24"/>
          <w:szCs w:val="24"/>
        </w:rPr>
        <w:t xml:space="preserve"> going</w:t>
      </w:r>
      <w:r>
        <w:rPr>
          <w:sz w:val="24"/>
          <w:szCs w:val="24"/>
        </w:rPr>
        <w:t xml:space="preserve"> too far to say that the figures of the </w:t>
      </w:r>
      <w:r>
        <w:rPr>
          <w:i/>
          <w:sz w:val="24"/>
          <w:szCs w:val="24"/>
        </w:rPr>
        <w:t xml:space="preserve">Notitia </w:t>
      </w:r>
      <w:r>
        <w:rPr>
          <w:sz w:val="24"/>
          <w:szCs w:val="24"/>
        </w:rPr>
        <w:t xml:space="preserve">of Constantinople are completely reliable (the numbers of </w:t>
      </w:r>
      <w:r>
        <w:rPr>
          <w:i/>
          <w:sz w:val="24"/>
          <w:szCs w:val="24"/>
        </w:rPr>
        <w:t>domus</w:t>
      </w:r>
      <w:r>
        <w:rPr>
          <w:sz w:val="24"/>
          <w:szCs w:val="24"/>
        </w:rPr>
        <w:t xml:space="preserve"> cause similar problems to the </w:t>
      </w:r>
      <w:r>
        <w:rPr>
          <w:i/>
          <w:sz w:val="24"/>
          <w:szCs w:val="24"/>
        </w:rPr>
        <w:t>Regionaries</w:t>
      </w:r>
      <w:r>
        <w:rPr>
          <w:sz w:val="24"/>
          <w:szCs w:val="24"/>
        </w:rPr>
        <w:t xml:space="preserve"> number of </w:t>
      </w:r>
      <w:r>
        <w:rPr>
          <w:i/>
          <w:sz w:val="24"/>
          <w:szCs w:val="24"/>
        </w:rPr>
        <w:t xml:space="preserve">domus </w:t>
      </w:r>
      <w:r>
        <w:rPr>
          <w:sz w:val="24"/>
          <w:szCs w:val="24"/>
        </w:rPr>
        <w:t xml:space="preserve">and </w:t>
      </w:r>
      <w:r>
        <w:rPr>
          <w:i/>
          <w:sz w:val="24"/>
          <w:szCs w:val="24"/>
        </w:rPr>
        <w:t>insulae</w:t>
      </w:r>
      <w:r>
        <w:rPr>
          <w:sz w:val="24"/>
          <w:szCs w:val="24"/>
        </w:rPr>
        <w:t xml:space="preserve">), they are more consistent and verifiable than the apparently erratic and inconsistent numbers in the </w:t>
      </w:r>
      <w:r>
        <w:rPr>
          <w:i/>
          <w:sz w:val="24"/>
          <w:szCs w:val="24"/>
        </w:rPr>
        <w:t>Regionaries</w:t>
      </w:r>
      <w:r>
        <w:rPr>
          <w:sz w:val="24"/>
          <w:szCs w:val="24"/>
        </w:rPr>
        <w:t>.</w:t>
      </w:r>
      <w:r w:rsidR="00B13918">
        <w:rPr>
          <w:rStyle w:val="FootnoteReference"/>
          <w:sz w:val="24"/>
          <w:szCs w:val="24"/>
        </w:rPr>
        <w:footnoteReference w:id="4"/>
      </w:r>
      <w:r>
        <w:rPr>
          <w:sz w:val="24"/>
          <w:szCs w:val="24"/>
        </w:rPr>
        <w:t xml:space="preserve"> The combination of the dedicatory preface, which provides us of a firm dating to the reign of Theodosius II, and the topographical introduction to each region means it is possible to make a relatively accurate survey of the </w:t>
      </w:r>
      <w:r>
        <w:rPr>
          <w:i/>
          <w:sz w:val="24"/>
          <w:szCs w:val="24"/>
        </w:rPr>
        <w:t xml:space="preserve">Regio </w:t>
      </w:r>
      <w:r>
        <w:rPr>
          <w:sz w:val="24"/>
          <w:szCs w:val="24"/>
        </w:rPr>
        <w:t>of Constantinople.</w:t>
      </w:r>
      <w:r>
        <w:rPr>
          <w:rStyle w:val="FootnoteReference"/>
          <w:sz w:val="24"/>
          <w:szCs w:val="24"/>
        </w:rPr>
        <w:footnoteReference w:id="5"/>
      </w:r>
      <w:r>
        <w:rPr>
          <w:sz w:val="24"/>
          <w:szCs w:val="24"/>
        </w:rPr>
        <w:t xml:space="preserve"> The length of the city given in the text is a remarkably accurate, based on an east-to-west measurement from the </w:t>
      </w:r>
      <w:r>
        <w:rPr>
          <w:i/>
          <w:sz w:val="24"/>
          <w:szCs w:val="24"/>
        </w:rPr>
        <w:t>Porta Aurea</w:t>
      </w:r>
      <w:r>
        <w:rPr>
          <w:sz w:val="24"/>
          <w:szCs w:val="24"/>
        </w:rPr>
        <w:t xml:space="preserve"> in the south-west to the far-eastern end of the promontory, 14,075 Roman feet.</w:t>
      </w:r>
      <w:r>
        <w:rPr>
          <w:rStyle w:val="FootnoteReference"/>
          <w:sz w:val="24"/>
          <w:szCs w:val="24"/>
        </w:rPr>
        <w:footnoteReference w:id="6"/>
      </w:r>
      <w:r w:rsidRPr="00444DA7">
        <w:rPr>
          <w:sz w:val="24"/>
          <w:szCs w:val="24"/>
        </w:rPr>
        <w:t xml:space="preserve"> </w:t>
      </w:r>
      <w:r>
        <w:rPr>
          <w:sz w:val="24"/>
          <w:szCs w:val="24"/>
        </w:rPr>
        <w:t>We also know significantly more about the</w:t>
      </w:r>
      <w:r w:rsidRPr="00444DA7">
        <w:rPr>
          <w:sz w:val="24"/>
          <w:szCs w:val="24"/>
        </w:rPr>
        <w:t xml:space="preserve"> author</w:t>
      </w:r>
      <w:r>
        <w:rPr>
          <w:sz w:val="24"/>
          <w:szCs w:val="24"/>
        </w:rPr>
        <w:t xml:space="preserve"> of the </w:t>
      </w:r>
      <w:r>
        <w:rPr>
          <w:i/>
          <w:sz w:val="24"/>
          <w:szCs w:val="24"/>
        </w:rPr>
        <w:t>Notitia</w:t>
      </w:r>
      <w:r>
        <w:rPr>
          <w:sz w:val="24"/>
          <w:szCs w:val="24"/>
        </w:rPr>
        <w:t xml:space="preserve"> of Constantinople</w:t>
      </w:r>
      <w:r w:rsidRPr="00444DA7">
        <w:rPr>
          <w:sz w:val="24"/>
          <w:szCs w:val="24"/>
        </w:rPr>
        <w:t xml:space="preserve"> </w:t>
      </w:r>
      <w:r>
        <w:rPr>
          <w:sz w:val="24"/>
          <w:szCs w:val="24"/>
        </w:rPr>
        <w:t xml:space="preserve">in contrast to our complete absence of information of the </w:t>
      </w:r>
      <w:r>
        <w:rPr>
          <w:i/>
          <w:sz w:val="24"/>
          <w:szCs w:val="24"/>
        </w:rPr>
        <w:t>Regionaries</w:t>
      </w:r>
      <w:r>
        <w:rPr>
          <w:sz w:val="24"/>
          <w:szCs w:val="24"/>
        </w:rPr>
        <w:t xml:space="preserve"> thanks to its dedicatory preface. The dossier of texts that the </w:t>
      </w:r>
      <w:r>
        <w:rPr>
          <w:i/>
          <w:sz w:val="24"/>
          <w:szCs w:val="24"/>
        </w:rPr>
        <w:t>Notitia</w:t>
      </w:r>
      <w:r>
        <w:rPr>
          <w:sz w:val="24"/>
          <w:szCs w:val="24"/>
        </w:rPr>
        <w:t xml:space="preserve"> of Constantinople appears in (kno</w:t>
      </w:r>
      <w:r w:rsidR="009A303B">
        <w:rPr>
          <w:sz w:val="24"/>
          <w:szCs w:val="24"/>
        </w:rPr>
        <w:t>wn as the Speyer Codex) contain</w:t>
      </w:r>
      <w:r>
        <w:rPr>
          <w:sz w:val="24"/>
          <w:szCs w:val="24"/>
        </w:rPr>
        <w:t xml:space="preserve"> a front piece illustration for a parallel te</w:t>
      </w:r>
      <w:r w:rsidR="009A303B">
        <w:rPr>
          <w:sz w:val="24"/>
          <w:szCs w:val="24"/>
        </w:rPr>
        <w:t>xt relating to the city of Rome</w:t>
      </w:r>
      <w:r>
        <w:rPr>
          <w:sz w:val="24"/>
          <w:szCs w:val="24"/>
        </w:rPr>
        <w:t xml:space="preserve"> but the text itself is lost</w:t>
      </w:r>
      <w:r w:rsidR="009A303B">
        <w:rPr>
          <w:sz w:val="24"/>
          <w:szCs w:val="24"/>
        </w:rPr>
        <w:t>,</w:t>
      </w:r>
      <w:r>
        <w:rPr>
          <w:sz w:val="24"/>
          <w:szCs w:val="24"/>
        </w:rPr>
        <w:t xml:space="preserve"> whilst the </w:t>
      </w:r>
      <w:r>
        <w:rPr>
          <w:i/>
          <w:sz w:val="24"/>
          <w:szCs w:val="24"/>
        </w:rPr>
        <w:t>Notitia</w:t>
      </w:r>
      <w:r>
        <w:rPr>
          <w:sz w:val="24"/>
          <w:szCs w:val="24"/>
        </w:rPr>
        <w:t xml:space="preserve"> version of the </w:t>
      </w:r>
      <w:r>
        <w:rPr>
          <w:i/>
          <w:sz w:val="24"/>
          <w:szCs w:val="24"/>
        </w:rPr>
        <w:t>Regionary Catalogues</w:t>
      </w:r>
      <w:r>
        <w:rPr>
          <w:sz w:val="24"/>
          <w:szCs w:val="24"/>
        </w:rPr>
        <w:t xml:space="preserve"> are also contained within the Codex.</w:t>
      </w:r>
      <w:r>
        <w:rPr>
          <w:rStyle w:val="FootnoteReference"/>
          <w:sz w:val="24"/>
          <w:szCs w:val="24"/>
        </w:rPr>
        <w:footnoteReference w:id="7"/>
      </w:r>
      <w:r>
        <w:rPr>
          <w:sz w:val="24"/>
          <w:szCs w:val="24"/>
        </w:rPr>
        <w:t xml:space="preserve"> This would at least suggest that the creator/s of the codex considered the </w:t>
      </w:r>
      <w:r>
        <w:rPr>
          <w:i/>
          <w:sz w:val="24"/>
          <w:szCs w:val="24"/>
        </w:rPr>
        <w:t>Regionary Catalogues</w:t>
      </w:r>
      <w:r>
        <w:rPr>
          <w:sz w:val="24"/>
          <w:szCs w:val="24"/>
        </w:rPr>
        <w:t xml:space="preserve"> an independent text, whilst the </w:t>
      </w:r>
      <w:r>
        <w:rPr>
          <w:i/>
          <w:sz w:val="24"/>
          <w:szCs w:val="24"/>
        </w:rPr>
        <w:t>Notitia</w:t>
      </w:r>
      <w:r>
        <w:rPr>
          <w:sz w:val="24"/>
          <w:szCs w:val="24"/>
        </w:rPr>
        <w:t xml:space="preserve"> of Constantinople was meant to be paired with and matched to something more comparable.</w:t>
      </w:r>
    </w:p>
    <w:p w:rsidR="00E61F1A" w:rsidRDefault="00E6660B" w:rsidP="00E61F1A">
      <w:pPr>
        <w:spacing w:line="480" w:lineRule="auto"/>
        <w:ind w:firstLine="720"/>
        <w:jc w:val="both"/>
        <w:rPr>
          <w:sz w:val="24"/>
          <w:szCs w:val="24"/>
        </w:rPr>
      </w:pPr>
      <w:r>
        <w:rPr>
          <w:sz w:val="24"/>
          <w:szCs w:val="24"/>
        </w:rPr>
        <w:lastRenderedPageBreak/>
        <w:t>In the absence of an appropriate comparative context, t</w:t>
      </w:r>
      <w:r w:rsidR="001F63D2" w:rsidRPr="0030130A">
        <w:rPr>
          <w:sz w:val="24"/>
          <w:szCs w:val="24"/>
        </w:rPr>
        <w:t>o address t</w:t>
      </w:r>
      <w:r>
        <w:rPr>
          <w:sz w:val="24"/>
          <w:szCs w:val="24"/>
        </w:rPr>
        <w:t xml:space="preserve">he </w:t>
      </w:r>
      <w:r w:rsidR="001F63D2" w:rsidRPr="0030130A">
        <w:rPr>
          <w:sz w:val="24"/>
          <w:szCs w:val="24"/>
        </w:rPr>
        <w:t>confusion</w:t>
      </w:r>
      <w:r>
        <w:rPr>
          <w:sz w:val="24"/>
          <w:szCs w:val="24"/>
        </w:rPr>
        <w:t xml:space="preserve"> surrounding the </w:t>
      </w:r>
      <w:r>
        <w:rPr>
          <w:i/>
          <w:sz w:val="24"/>
          <w:szCs w:val="24"/>
        </w:rPr>
        <w:t>Regionaries</w:t>
      </w:r>
      <w:r w:rsidR="001F63D2" w:rsidRPr="0030130A">
        <w:rPr>
          <w:sz w:val="24"/>
          <w:szCs w:val="24"/>
        </w:rPr>
        <w:t xml:space="preserve"> we must recognise that the issues facing any study of the </w:t>
      </w:r>
      <w:r w:rsidR="001F63D2" w:rsidRPr="0030130A">
        <w:rPr>
          <w:i/>
          <w:sz w:val="24"/>
          <w:szCs w:val="24"/>
        </w:rPr>
        <w:t>Regionary Catalogues</w:t>
      </w:r>
      <w:r w:rsidR="001F63D2" w:rsidRPr="0030130A">
        <w:rPr>
          <w:sz w:val="24"/>
          <w:szCs w:val="24"/>
        </w:rPr>
        <w:t xml:space="preserve"> are intimately tied to the </w:t>
      </w:r>
      <w:r w:rsidR="001F63D2">
        <w:rPr>
          <w:sz w:val="24"/>
          <w:szCs w:val="24"/>
        </w:rPr>
        <w:t>immense</w:t>
      </w:r>
      <w:r w:rsidR="001F63D2" w:rsidRPr="0030130A">
        <w:rPr>
          <w:sz w:val="24"/>
          <w:szCs w:val="24"/>
        </w:rPr>
        <w:t xml:space="preserve"> cultural and political changes that faced the Roman Empire in the third and fourth centuries. </w:t>
      </w:r>
      <w:r w:rsidR="006E1E5C" w:rsidRPr="0030130A">
        <w:rPr>
          <w:sz w:val="24"/>
          <w:szCs w:val="24"/>
        </w:rPr>
        <w:t xml:space="preserve">My thesis shall, through a new interpretation of the </w:t>
      </w:r>
      <w:r w:rsidR="006E1E5C" w:rsidRPr="0030130A">
        <w:rPr>
          <w:i/>
          <w:sz w:val="24"/>
          <w:szCs w:val="24"/>
        </w:rPr>
        <w:t>Regionary Catalogues</w:t>
      </w:r>
      <w:r w:rsidR="006E1E5C" w:rsidRPr="0030130A">
        <w:rPr>
          <w:sz w:val="24"/>
          <w:szCs w:val="24"/>
        </w:rPr>
        <w:t xml:space="preserve">, address the often anachronistic approach to the Roman manner of urban administration. </w:t>
      </w:r>
    </w:p>
    <w:p w:rsidR="006E1E5C" w:rsidRPr="0030130A" w:rsidRDefault="00E61F1A" w:rsidP="00E61F1A">
      <w:pPr>
        <w:spacing w:line="480" w:lineRule="auto"/>
        <w:ind w:firstLine="720"/>
        <w:jc w:val="both"/>
        <w:rPr>
          <w:sz w:val="24"/>
          <w:szCs w:val="24"/>
        </w:rPr>
      </w:pPr>
      <w:r>
        <w:rPr>
          <w:sz w:val="24"/>
          <w:szCs w:val="24"/>
        </w:rPr>
        <w:t>M</w:t>
      </w:r>
      <w:r w:rsidR="00C866B3">
        <w:rPr>
          <w:sz w:val="24"/>
          <w:szCs w:val="24"/>
        </w:rPr>
        <w:t>y hypothesis is that by</w:t>
      </w:r>
      <w:r w:rsidR="006E1E5C" w:rsidRPr="0030130A">
        <w:rPr>
          <w:sz w:val="24"/>
          <w:szCs w:val="24"/>
        </w:rPr>
        <w:t xml:space="preserve"> </w:t>
      </w:r>
      <w:r w:rsidR="00573A6D" w:rsidRPr="0030130A">
        <w:rPr>
          <w:sz w:val="24"/>
          <w:szCs w:val="24"/>
        </w:rPr>
        <w:t>attempting to strip away the</w:t>
      </w:r>
      <w:r w:rsidR="006E1E5C" w:rsidRPr="0030130A">
        <w:rPr>
          <w:sz w:val="24"/>
          <w:szCs w:val="24"/>
        </w:rPr>
        <w:t xml:space="preserve"> document’s layers and accretions</w:t>
      </w:r>
      <w:r w:rsidR="00573A6D" w:rsidRPr="0030130A">
        <w:rPr>
          <w:sz w:val="24"/>
          <w:szCs w:val="24"/>
        </w:rPr>
        <w:t xml:space="preserve"> we can attempt to see how the chaos of the third century informed the </w:t>
      </w:r>
      <w:r w:rsidR="00573A6D" w:rsidRPr="0030130A">
        <w:rPr>
          <w:i/>
          <w:sz w:val="24"/>
          <w:szCs w:val="24"/>
        </w:rPr>
        <w:t>Regionaries</w:t>
      </w:r>
      <w:r w:rsidR="00301134" w:rsidRPr="0030130A">
        <w:rPr>
          <w:i/>
          <w:sz w:val="24"/>
          <w:szCs w:val="24"/>
        </w:rPr>
        <w:t>’</w:t>
      </w:r>
      <w:r w:rsidR="00573A6D" w:rsidRPr="0030130A">
        <w:rPr>
          <w:sz w:val="24"/>
          <w:szCs w:val="24"/>
        </w:rPr>
        <w:t xml:space="preserve"> initial creation.</w:t>
      </w:r>
      <w:r w:rsidR="006E1E5C" w:rsidRPr="0030130A">
        <w:rPr>
          <w:sz w:val="24"/>
          <w:szCs w:val="24"/>
        </w:rPr>
        <w:t xml:space="preserve"> </w:t>
      </w:r>
      <w:r w:rsidR="00573A6D" w:rsidRPr="0030130A">
        <w:rPr>
          <w:sz w:val="24"/>
          <w:szCs w:val="24"/>
        </w:rPr>
        <w:t>We</w:t>
      </w:r>
      <w:r w:rsidR="006E1E5C" w:rsidRPr="0030130A">
        <w:rPr>
          <w:sz w:val="24"/>
          <w:szCs w:val="24"/>
        </w:rPr>
        <w:t xml:space="preserve"> will</w:t>
      </w:r>
      <w:r w:rsidR="00573A6D" w:rsidRPr="0030130A">
        <w:rPr>
          <w:sz w:val="24"/>
          <w:szCs w:val="24"/>
        </w:rPr>
        <w:t xml:space="preserve"> then be able to demonstrate</w:t>
      </w:r>
      <w:r w:rsidR="00B0500A" w:rsidRPr="0030130A">
        <w:rPr>
          <w:sz w:val="24"/>
          <w:szCs w:val="24"/>
        </w:rPr>
        <w:t xml:space="preserve"> how the Roman concept of administrative</w:t>
      </w:r>
      <w:r w:rsidR="006E1E5C" w:rsidRPr="0030130A">
        <w:rPr>
          <w:sz w:val="24"/>
          <w:szCs w:val="24"/>
        </w:rPr>
        <w:t xml:space="preserve"> usefulness was one that was informed by and en</w:t>
      </w:r>
      <w:r w:rsidR="00B0500A" w:rsidRPr="0030130A">
        <w:rPr>
          <w:sz w:val="24"/>
          <w:szCs w:val="24"/>
        </w:rPr>
        <w:t>twined with</w:t>
      </w:r>
      <w:r w:rsidR="00A879E8" w:rsidRPr="0030130A">
        <w:rPr>
          <w:sz w:val="24"/>
          <w:szCs w:val="24"/>
        </w:rPr>
        <w:t xml:space="preserve"> the</w:t>
      </w:r>
      <w:r w:rsidR="00B0500A" w:rsidRPr="0030130A">
        <w:rPr>
          <w:sz w:val="24"/>
          <w:szCs w:val="24"/>
        </w:rPr>
        <w:t xml:space="preserve"> culture of the aristocratic</w:t>
      </w:r>
      <w:r w:rsidR="006E1E5C" w:rsidRPr="0030130A">
        <w:rPr>
          <w:sz w:val="24"/>
          <w:szCs w:val="24"/>
        </w:rPr>
        <w:t xml:space="preserve"> administrators who governed Rome. </w:t>
      </w:r>
    </w:p>
    <w:p w:rsidR="006E1E5C" w:rsidRPr="0030130A" w:rsidRDefault="006E1E5C" w:rsidP="00722391">
      <w:pPr>
        <w:spacing w:line="480" w:lineRule="auto"/>
        <w:ind w:firstLine="720"/>
        <w:jc w:val="both"/>
        <w:rPr>
          <w:sz w:val="24"/>
          <w:szCs w:val="24"/>
        </w:rPr>
      </w:pPr>
      <w:r w:rsidRPr="0030130A">
        <w:rPr>
          <w:sz w:val="24"/>
          <w:szCs w:val="24"/>
        </w:rPr>
        <w:t xml:space="preserve">In this introduction I will first provide a brief overview of the historiography of the administration of the later Roman Empire and how this has informed the study of the </w:t>
      </w:r>
      <w:r w:rsidRPr="0030130A">
        <w:rPr>
          <w:i/>
          <w:sz w:val="24"/>
          <w:szCs w:val="24"/>
        </w:rPr>
        <w:t>Regionary Catalogues</w:t>
      </w:r>
      <w:r w:rsidRPr="0030130A">
        <w:rPr>
          <w:sz w:val="24"/>
          <w:szCs w:val="24"/>
        </w:rPr>
        <w:t xml:space="preserve">. I will then demonstrate how I have used this information to create a new approach towards the </w:t>
      </w:r>
      <w:r w:rsidRPr="0030130A">
        <w:rPr>
          <w:i/>
          <w:sz w:val="24"/>
          <w:szCs w:val="24"/>
        </w:rPr>
        <w:t>Regionaries</w:t>
      </w:r>
      <w:r w:rsidR="00B0500A" w:rsidRPr="0030130A">
        <w:rPr>
          <w:sz w:val="24"/>
          <w:szCs w:val="24"/>
        </w:rPr>
        <w:t xml:space="preserve">, and then </w:t>
      </w:r>
      <w:r w:rsidRPr="0030130A">
        <w:rPr>
          <w:sz w:val="24"/>
          <w:szCs w:val="24"/>
        </w:rPr>
        <w:t>outline how I intend to use this approach to structure the thesis.</w:t>
      </w:r>
    </w:p>
    <w:p w:rsidR="006E1E5C" w:rsidRPr="0030130A" w:rsidRDefault="006E1E5C" w:rsidP="00722391">
      <w:pPr>
        <w:spacing w:line="480" w:lineRule="auto"/>
        <w:jc w:val="center"/>
        <w:rPr>
          <w:sz w:val="24"/>
          <w:szCs w:val="24"/>
        </w:rPr>
      </w:pPr>
      <w:r w:rsidRPr="0030130A">
        <w:rPr>
          <w:sz w:val="24"/>
          <w:szCs w:val="24"/>
        </w:rPr>
        <w:t>*****</w:t>
      </w:r>
    </w:p>
    <w:p w:rsidR="006E1E5C" w:rsidRDefault="006E1E5C" w:rsidP="00722391">
      <w:pPr>
        <w:spacing w:line="480" w:lineRule="auto"/>
        <w:ind w:firstLine="720"/>
        <w:jc w:val="both"/>
        <w:rPr>
          <w:sz w:val="24"/>
          <w:szCs w:val="24"/>
        </w:rPr>
      </w:pPr>
      <w:r w:rsidRPr="0030130A">
        <w:rPr>
          <w:sz w:val="24"/>
          <w:szCs w:val="24"/>
        </w:rPr>
        <w:t xml:space="preserve">The historiography of the </w:t>
      </w:r>
      <w:r w:rsidRPr="0030130A">
        <w:rPr>
          <w:i/>
          <w:sz w:val="24"/>
          <w:szCs w:val="24"/>
        </w:rPr>
        <w:t>Regionary Catalogues</w:t>
      </w:r>
      <w:r w:rsidRPr="0030130A">
        <w:rPr>
          <w:sz w:val="24"/>
          <w:szCs w:val="24"/>
        </w:rPr>
        <w:t xml:space="preserve"> has to some extent mirrored larger historiographical shifts in the area of late Roman history</w:t>
      </w:r>
      <w:r w:rsidR="00F73D00">
        <w:rPr>
          <w:sz w:val="24"/>
          <w:szCs w:val="24"/>
        </w:rPr>
        <w:t>, moving</w:t>
      </w:r>
      <w:r w:rsidRPr="0030130A">
        <w:rPr>
          <w:sz w:val="24"/>
          <w:szCs w:val="24"/>
        </w:rPr>
        <w:t xml:space="preserve"> away from administrative to social and cultural history</w:t>
      </w:r>
      <w:r w:rsidR="00163AAC" w:rsidRPr="0030130A">
        <w:rPr>
          <w:sz w:val="24"/>
          <w:szCs w:val="24"/>
        </w:rPr>
        <w:t xml:space="preserve">, so it is worth examining these larger trends first before turning to the </w:t>
      </w:r>
      <w:r w:rsidR="00163AAC" w:rsidRPr="0030130A">
        <w:rPr>
          <w:i/>
          <w:sz w:val="24"/>
          <w:szCs w:val="24"/>
        </w:rPr>
        <w:t>Regionary Catalogues</w:t>
      </w:r>
      <w:r w:rsidRPr="0030130A">
        <w:rPr>
          <w:sz w:val="24"/>
          <w:szCs w:val="24"/>
        </w:rPr>
        <w:t>. For a long time the traditional historiographical view of the administration of the Later Roman Empire</w:t>
      </w:r>
      <w:r w:rsidR="004068C3" w:rsidRPr="0030130A">
        <w:rPr>
          <w:sz w:val="24"/>
          <w:szCs w:val="24"/>
        </w:rPr>
        <w:t xml:space="preserve">, based upon the work of Edward Gibbon and </w:t>
      </w:r>
      <w:r w:rsidR="004068C3" w:rsidRPr="0030130A">
        <w:rPr>
          <w:sz w:val="24"/>
          <w:szCs w:val="24"/>
        </w:rPr>
        <w:lastRenderedPageBreak/>
        <w:t>Michael Rostovtzeff,</w:t>
      </w:r>
      <w:r w:rsidRPr="0030130A">
        <w:rPr>
          <w:sz w:val="24"/>
          <w:szCs w:val="24"/>
        </w:rPr>
        <w:t xml:space="preserve"> was that of a highly</w:t>
      </w:r>
      <w:r w:rsidR="004068C3" w:rsidRPr="0030130A">
        <w:rPr>
          <w:sz w:val="24"/>
          <w:szCs w:val="24"/>
        </w:rPr>
        <w:t xml:space="preserve"> bureaucratised administration.</w:t>
      </w:r>
      <w:r w:rsidR="004068C3" w:rsidRPr="0030130A">
        <w:rPr>
          <w:rStyle w:val="FootnoteReference"/>
          <w:sz w:val="24"/>
          <w:szCs w:val="24"/>
        </w:rPr>
        <w:footnoteReference w:id="8"/>
      </w:r>
      <w:r w:rsidR="004068C3" w:rsidRPr="0030130A">
        <w:rPr>
          <w:sz w:val="24"/>
          <w:szCs w:val="24"/>
        </w:rPr>
        <w:t xml:space="preserve"> This was </w:t>
      </w:r>
      <w:r w:rsidRPr="0030130A">
        <w:rPr>
          <w:sz w:val="24"/>
          <w:szCs w:val="24"/>
        </w:rPr>
        <w:t>based in part on the large</w:t>
      </w:r>
      <w:r>
        <w:rPr>
          <w:sz w:val="24"/>
          <w:szCs w:val="24"/>
        </w:rPr>
        <w:t xml:space="preserve"> amount of legal evidence for the </w:t>
      </w:r>
      <w:r>
        <w:rPr>
          <w:i/>
          <w:sz w:val="24"/>
          <w:szCs w:val="24"/>
        </w:rPr>
        <w:t>annonae</w:t>
      </w:r>
      <w:r w:rsidR="006A4317">
        <w:rPr>
          <w:sz w:val="24"/>
          <w:szCs w:val="24"/>
        </w:rPr>
        <w:t xml:space="preserve"> (the public ration)</w:t>
      </w:r>
      <w:r w:rsidR="00A879E8">
        <w:rPr>
          <w:sz w:val="24"/>
          <w:szCs w:val="24"/>
        </w:rPr>
        <w:t xml:space="preserve"> </w:t>
      </w:r>
      <w:r w:rsidR="004068C3">
        <w:rPr>
          <w:sz w:val="24"/>
          <w:szCs w:val="24"/>
        </w:rPr>
        <w:t>created</w:t>
      </w:r>
      <w:r>
        <w:rPr>
          <w:sz w:val="24"/>
          <w:szCs w:val="24"/>
        </w:rPr>
        <w:t xml:space="preserve"> as a result of</w:t>
      </w:r>
      <w:r w:rsidR="00A879E8">
        <w:rPr>
          <w:sz w:val="24"/>
          <w:szCs w:val="24"/>
        </w:rPr>
        <w:t xml:space="preserve"> its extension by</w:t>
      </w:r>
      <w:r>
        <w:rPr>
          <w:sz w:val="24"/>
          <w:szCs w:val="24"/>
        </w:rPr>
        <w:t xml:space="preserve"> the new autocratic government of Diocletian’s Tetrarch</w:t>
      </w:r>
      <w:r w:rsidR="00A879E8">
        <w:rPr>
          <w:sz w:val="24"/>
          <w:szCs w:val="24"/>
        </w:rPr>
        <w:t>y (AD 293-305</w:t>
      </w:r>
      <w:r w:rsidR="00B4043B">
        <w:rPr>
          <w:sz w:val="24"/>
          <w:szCs w:val="24"/>
        </w:rPr>
        <w:t>).</w:t>
      </w:r>
      <w:r w:rsidR="00A879E8">
        <w:rPr>
          <w:rStyle w:val="FootnoteReference"/>
          <w:sz w:val="24"/>
          <w:szCs w:val="24"/>
        </w:rPr>
        <w:footnoteReference w:id="9"/>
      </w:r>
      <w:r w:rsidR="00B4043B">
        <w:rPr>
          <w:sz w:val="24"/>
          <w:szCs w:val="24"/>
        </w:rPr>
        <w:t xml:space="preserve"> This “Dominate”</w:t>
      </w:r>
      <w:r w:rsidR="00163AAC">
        <w:rPr>
          <w:sz w:val="24"/>
          <w:szCs w:val="24"/>
        </w:rPr>
        <w:t xml:space="preserve"> was</w:t>
      </w:r>
      <w:r w:rsidR="0030130A">
        <w:rPr>
          <w:sz w:val="24"/>
          <w:szCs w:val="24"/>
        </w:rPr>
        <w:t xml:space="preserve"> interpreted as</w:t>
      </w:r>
      <w:r w:rsidR="00163AAC">
        <w:rPr>
          <w:sz w:val="24"/>
          <w:szCs w:val="24"/>
        </w:rPr>
        <w:t xml:space="preserve"> a deliberate</w:t>
      </w:r>
      <w:r>
        <w:rPr>
          <w:sz w:val="24"/>
          <w:szCs w:val="24"/>
        </w:rPr>
        <w:t xml:space="preserve"> contrast</w:t>
      </w:r>
      <w:r w:rsidR="00B0500A">
        <w:rPr>
          <w:sz w:val="24"/>
          <w:szCs w:val="24"/>
        </w:rPr>
        <w:t>, particularly at the local level,</w:t>
      </w:r>
      <w:r>
        <w:rPr>
          <w:sz w:val="24"/>
          <w:szCs w:val="24"/>
        </w:rPr>
        <w:t xml:space="preserve"> to the supposedly amateurish gove</w:t>
      </w:r>
      <w:r w:rsidR="00163AAC">
        <w:rPr>
          <w:sz w:val="24"/>
          <w:szCs w:val="24"/>
        </w:rPr>
        <w:t>rnment</w:t>
      </w:r>
      <w:r w:rsidR="00B0500A">
        <w:rPr>
          <w:sz w:val="24"/>
          <w:szCs w:val="24"/>
        </w:rPr>
        <w:t xml:space="preserve"> </w:t>
      </w:r>
      <w:r>
        <w:rPr>
          <w:sz w:val="24"/>
          <w:szCs w:val="24"/>
        </w:rPr>
        <w:t>of the earlier Roman Empire often known as the “Principate”</w:t>
      </w:r>
      <w:r w:rsidR="00B4043B">
        <w:rPr>
          <w:sz w:val="24"/>
          <w:szCs w:val="24"/>
        </w:rPr>
        <w:t>,</w:t>
      </w:r>
      <w:r>
        <w:rPr>
          <w:sz w:val="24"/>
          <w:szCs w:val="24"/>
        </w:rPr>
        <w:t xml:space="preserve"> which was characterised by its lack of modern bureaucratic structures of professionalism.</w:t>
      </w:r>
      <w:r>
        <w:rPr>
          <w:rStyle w:val="FootnoteReference"/>
          <w:sz w:val="24"/>
          <w:szCs w:val="24"/>
        </w:rPr>
        <w:footnoteReference w:id="10"/>
      </w:r>
      <w:r>
        <w:rPr>
          <w:sz w:val="24"/>
          <w:szCs w:val="24"/>
        </w:rPr>
        <w:t xml:space="preserve">  This</w:t>
      </w:r>
      <w:r w:rsidR="00B4043B">
        <w:rPr>
          <w:sz w:val="24"/>
          <w:szCs w:val="24"/>
        </w:rPr>
        <w:t xml:space="preserve"> was the school of thought that</w:t>
      </w:r>
      <w:r>
        <w:rPr>
          <w:sz w:val="24"/>
          <w:szCs w:val="24"/>
        </w:rPr>
        <w:t xml:space="preserve"> Sinnigen, Chastagnol and Jones, the historians who have laid the foundations of the administrative history of late anti</w:t>
      </w:r>
      <w:r w:rsidR="004068C3">
        <w:rPr>
          <w:sz w:val="24"/>
          <w:szCs w:val="24"/>
        </w:rPr>
        <w:t>que Rome, were</w:t>
      </w:r>
      <w:r>
        <w:rPr>
          <w:sz w:val="24"/>
          <w:szCs w:val="24"/>
        </w:rPr>
        <w:t xml:space="preserve"> trained in. However</w:t>
      </w:r>
      <w:r w:rsidR="00B4043B">
        <w:rPr>
          <w:sz w:val="24"/>
          <w:szCs w:val="24"/>
        </w:rPr>
        <w:t>,</w:t>
      </w:r>
      <w:r>
        <w:rPr>
          <w:sz w:val="24"/>
          <w:szCs w:val="24"/>
        </w:rPr>
        <w:t xml:space="preserve"> the work of all three was characterised by a much more nuanced approach than previous works to the changes that the administration faced in the third and</w:t>
      </w:r>
      <w:r w:rsidR="0060496B">
        <w:rPr>
          <w:sz w:val="24"/>
          <w:szCs w:val="24"/>
        </w:rPr>
        <w:t xml:space="preserve"> fourth centuries. Their work has been</w:t>
      </w:r>
      <w:r>
        <w:rPr>
          <w:sz w:val="24"/>
          <w:szCs w:val="24"/>
        </w:rPr>
        <w:t xml:space="preserve"> characterised by a focus on the primary sources, particularly the law codes of which we have so many in this period. All three a</w:t>
      </w:r>
      <w:r w:rsidR="00533183">
        <w:rPr>
          <w:sz w:val="24"/>
          <w:szCs w:val="24"/>
        </w:rPr>
        <w:t>greed upon the growing trend towards the</w:t>
      </w:r>
      <w:r>
        <w:rPr>
          <w:sz w:val="24"/>
          <w:szCs w:val="24"/>
        </w:rPr>
        <w:t xml:space="preserve"> centralisation and professionalisation of the Em</w:t>
      </w:r>
      <w:r w:rsidR="0060496B">
        <w:rPr>
          <w:sz w:val="24"/>
          <w:szCs w:val="24"/>
        </w:rPr>
        <w:t>pire’s administration, but</w:t>
      </w:r>
      <w:r w:rsidR="00B4043B">
        <w:rPr>
          <w:sz w:val="24"/>
          <w:szCs w:val="24"/>
        </w:rPr>
        <w:t>,</w:t>
      </w:r>
      <w:r w:rsidR="0060496B">
        <w:rPr>
          <w:sz w:val="24"/>
          <w:szCs w:val="24"/>
        </w:rPr>
        <w:t xml:space="preserve"> </w:t>
      </w:r>
      <w:r>
        <w:rPr>
          <w:sz w:val="24"/>
          <w:szCs w:val="24"/>
        </w:rPr>
        <w:t>when all three authors examined Rome</w:t>
      </w:r>
      <w:r w:rsidR="00B4043B">
        <w:rPr>
          <w:sz w:val="24"/>
          <w:szCs w:val="24"/>
        </w:rPr>
        <w:t>,</w:t>
      </w:r>
      <w:r>
        <w:rPr>
          <w:sz w:val="24"/>
          <w:szCs w:val="24"/>
        </w:rPr>
        <w:t xml:space="preserve"> they found that its administration had</w:t>
      </w:r>
      <w:r w:rsidR="00533183">
        <w:rPr>
          <w:sz w:val="24"/>
          <w:szCs w:val="24"/>
        </w:rPr>
        <w:t xml:space="preserve"> far</w:t>
      </w:r>
      <w:r>
        <w:rPr>
          <w:sz w:val="24"/>
          <w:szCs w:val="24"/>
        </w:rPr>
        <w:t xml:space="preserve"> more in common with the government of Augustus Caesar (27 BC to AD 14) than </w:t>
      </w:r>
      <w:r w:rsidR="00816137">
        <w:rPr>
          <w:sz w:val="24"/>
          <w:szCs w:val="24"/>
        </w:rPr>
        <w:t>the rest of the f</w:t>
      </w:r>
      <w:r w:rsidR="00A879E8">
        <w:rPr>
          <w:sz w:val="24"/>
          <w:szCs w:val="24"/>
        </w:rPr>
        <w:t>ourth</w:t>
      </w:r>
      <w:r w:rsidR="00816137">
        <w:rPr>
          <w:sz w:val="24"/>
          <w:szCs w:val="24"/>
        </w:rPr>
        <w:t>-</w:t>
      </w:r>
      <w:r w:rsidR="0060496B">
        <w:rPr>
          <w:sz w:val="24"/>
          <w:szCs w:val="24"/>
        </w:rPr>
        <w:t>century administration.</w:t>
      </w:r>
    </w:p>
    <w:p w:rsidR="00B3711E" w:rsidRDefault="006E1E5C" w:rsidP="00B3711E">
      <w:pPr>
        <w:tabs>
          <w:tab w:val="left" w:pos="2268"/>
        </w:tabs>
        <w:spacing w:line="480" w:lineRule="auto"/>
        <w:ind w:firstLine="720"/>
        <w:jc w:val="both"/>
        <w:rPr>
          <w:sz w:val="24"/>
          <w:szCs w:val="24"/>
        </w:rPr>
      </w:pPr>
      <w:r>
        <w:rPr>
          <w:sz w:val="24"/>
          <w:szCs w:val="24"/>
        </w:rPr>
        <w:t xml:space="preserve">William Sinnigen’s work focused on the staff of the administrative bureaus and </w:t>
      </w:r>
      <w:r w:rsidR="00B0500A">
        <w:rPr>
          <w:sz w:val="24"/>
          <w:szCs w:val="24"/>
        </w:rPr>
        <w:t xml:space="preserve">how </w:t>
      </w:r>
      <w:r>
        <w:rPr>
          <w:sz w:val="24"/>
          <w:szCs w:val="24"/>
        </w:rPr>
        <w:t>these functioned on a day-to-day basis. In</w:t>
      </w:r>
      <w:r w:rsidR="0060496B">
        <w:rPr>
          <w:sz w:val="24"/>
          <w:szCs w:val="24"/>
        </w:rPr>
        <w:t xml:space="preserve"> his</w:t>
      </w:r>
      <w:r w:rsidR="00B4043B">
        <w:rPr>
          <w:sz w:val="24"/>
          <w:szCs w:val="24"/>
        </w:rPr>
        <w:t xml:space="preserve"> monograph on</w:t>
      </w:r>
      <w:r>
        <w:rPr>
          <w:sz w:val="24"/>
          <w:szCs w:val="24"/>
        </w:rPr>
        <w:t xml:space="preserve"> </w:t>
      </w:r>
      <w:r>
        <w:rPr>
          <w:i/>
          <w:iCs/>
          <w:sz w:val="24"/>
          <w:szCs w:val="24"/>
        </w:rPr>
        <w:t>The Officium of the Urban Prefecture during the Later Roman Empire</w:t>
      </w:r>
      <w:r>
        <w:rPr>
          <w:sz w:val="24"/>
          <w:szCs w:val="24"/>
        </w:rPr>
        <w:t>, Sinnigen first argued that</w:t>
      </w:r>
      <w:r w:rsidR="00B4043B">
        <w:rPr>
          <w:sz w:val="24"/>
          <w:szCs w:val="24"/>
        </w:rPr>
        <w:t>,</w:t>
      </w:r>
      <w:r>
        <w:rPr>
          <w:sz w:val="24"/>
          <w:szCs w:val="24"/>
        </w:rPr>
        <w:t xml:space="preserve"> whilst the Urban Prefect</w:t>
      </w:r>
      <w:r w:rsidR="0060496B">
        <w:rPr>
          <w:sz w:val="24"/>
          <w:szCs w:val="24"/>
        </w:rPr>
        <w:t xml:space="preserve"> of Rome had an extensive personal </w:t>
      </w:r>
      <w:r>
        <w:rPr>
          <w:sz w:val="24"/>
          <w:szCs w:val="24"/>
        </w:rPr>
        <w:t xml:space="preserve">staff similar to other </w:t>
      </w:r>
      <w:r w:rsidR="0060496B">
        <w:rPr>
          <w:sz w:val="24"/>
          <w:szCs w:val="24"/>
        </w:rPr>
        <w:t>administra</w:t>
      </w:r>
      <w:r w:rsidR="00533183">
        <w:rPr>
          <w:sz w:val="24"/>
          <w:szCs w:val="24"/>
        </w:rPr>
        <w:t xml:space="preserve">tors, this had </w:t>
      </w:r>
      <w:r w:rsidR="00533183">
        <w:rPr>
          <w:sz w:val="24"/>
          <w:szCs w:val="24"/>
        </w:rPr>
        <w:lastRenderedPageBreak/>
        <w:t>been based upon the</w:t>
      </w:r>
      <w:r>
        <w:rPr>
          <w:sz w:val="24"/>
          <w:szCs w:val="24"/>
        </w:rPr>
        <w:t xml:space="preserve"> </w:t>
      </w:r>
      <w:r w:rsidR="00533183">
        <w:rPr>
          <w:sz w:val="24"/>
          <w:szCs w:val="24"/>
        </w:rPr>
        <w:t>“</w:t>
      </w:r>
      <w:r>
        <w:rPr>
          <w:sz w:val="24"/>
          <w:szCs w:val="24"/>
        </w:rPr>
        <w:t>make-do and mend</w:t>
      </w:r>
      <w:r w:rsidR="00533183">
        <w:rPr>
          <w:sz w:val="24"/>
          <w:szCs w:val="24"/>
        </w:rPr>
        <w:t>”</w:t>
      </w:r>
      <w:r>
        <w:rPr>
          <w:sz w:val="24"/>
          <w:szCs w:val="24"/>
        </w:rPr>
        <w:t xml:space="preserve"> attitude of the </w:t>
      </w:r>
      <w:r w:rsidR="0060496B">
        <w:rPr>
          <w:sz w:val="24"/>
          <w:szCs w:val="24"/>
        </w:rPr>
        <w:t>Roman administrators</w:t>
      </w:r>
      <w:r>
        <w:rPr>
          <w:sz w:val="24"/>
          <w:szCs w:val="24"/>
        </w:rPr>
        <w:t xml:space="preserve"> rather than </w:t>
      </w:r>
      <w:r w:rsidR="0060496B">
        <w:rPr>
          <w:sz w:val="24"/>
          <w:szCs w:val="24"/>
        </w:rPr>
        <w:t xml:space="preserve">the wider increase in the </w:t>
      </w:r>
      <w:r w:rsidR="008B44B0">
        <w:rPr>
          <w:sz w:val="24"/>
          <w:szCs w:val="24"/>
        </w:rPr>
        <w:t>imperial</w:t>
      </w:r>
      <w:r w:rsidR="0060496B">
        <w:rPr>
          <w:sz w:val="24"/>
          <w:szCs w:val="24"/>
        </w:rPr>
        <w:t xml:space="preserve"> bureaucracy</w:t>
      </w:r>
      <w:r>
        <w:rPr>
          <w:sz w:val="24"/>
          <w:szCs w:val="24"/>
        </w:rPr>
        <w:t>.</w:t>
      </w:r>
      <w:r>
        <w:rPr>
          <w:rStyle w:val="FootnoteReference"/>
          <w:sz w:val="24"/>
          <w:szCs w:val="24"/>
        </w:rPr>
        <w:footnoteReference w:id="11"/>
      </w:r>
      <w:r>
        <w:rPr>
          <w:sz w:val="24"/>
          <w:szCs w:val="24"/>
        </w:rPr>
        <w:t xml:space="preserve">  André Chastagnol’s work possessed a more traditional focus, concentrating on examining the senior political figures of the Empire and what</w:t>
      </w:r>
      <w:r w:rsidR="00A879E8">
        <w:rPr>
          <w:sz w:val="24"/>
          <w:szCs w:val="24"/>
        </w:rPr>
        <w:t xml:space="preserve"> </w:t>
      </w:r>
      <w:r>
        <w:rPr>
          <w:sz w:val="24"/>
          <w:szCs w:val="24"/>
        </w:rPr>
        <w:t>t</w:t>
      </w:r>
      <w:r w:rsidR="0060496B">
        <w:rPr>
          <w:sz w:val="24"/>
          <w:szCs w:val="24"/>
        </w:rPr>
        <w:t>heir administrative role</w:t>
      </w:r>
      <w:r w:rsidR="00A879E8">
        <w:rPr>
          <w:sz w:val="24"/>
          <w:szCs w:val="24"/>
        </w:rPr>
        <w:t xml:space="preserve"> was</w:t>
      </w:r>
      <w:r>
        <w:rPr>
          <w:sz w:val="24"/>
          <w:szCs w:val="24"/>
        </w:rPr>
        <w:t xml:space="preserve">.  In his work </w:t>
      </w:r>
      <w:r>
        <w:rPr>
          <w:i/>
          <w:sz w:val="24"/>
          <w:szCs w:val="24"/>
        </w:rPr>
        <w:t>La Préfecture urbaine à Rome sous le Bas-Empire,</w:t>
      </w:r>
      <w:r>
        <w:rPr>
          <w:sz w:val="24"/>
          <w:szCs w:val="24"/>
        </w:rPr>
        <w:t xml:space="preserve"> which now forms the basis for modern historiography of Rome’s urban ad</w:t>
      </w:r>
      <w:r w:rsidR="00B0500A">
        <w:rPr>
          <w:sz w:val="24"/>
          <w:szCs w:val="24"/>
        </w:rPr>
        <w:t>ministration, he argued that the</w:t>
      </w:r>
      <w:r>
        <w:rPr>
          <w:sz w:val="24"/>
          <w:szCs w:val="24"/>
        </w:rPr>
        <w:t xml:space="preserve"> essential administrative structures remained unchanged from the post’s inception under Augustus until Constantine’s reforms (AD 326-337) that centralised power under the Urban Prefect.</w:t>
      </w:r>
      <w:r>
        <w:rPr>
          <w:rStyle w:val="FootnoteReference"/>
          <w:sz w:val="24"/>
          <w:szCs w:val="24"/>
        </w:rPr>
        <w:footnoteReference w:id="12"/>
      </w:r>
      <w:r>
        <w:rPr>
          <w:sz w:val="24"/>
          <w:szCs w:val="24"/>
        </w:rPr>
        <w:t xml:space="preserve"> </w:t>
      </w:r>
    </w:p>
    <w:p w:rsidR="006E1E5C" w:rsidRDefault="00B3711E" w:rsidP="00B3711E">
      <w:pPr>
        <w:tabs>
          <w:tab w:val="left" w:pos="2268"/>
        </w:tabs>
        <w:spacing w:line="480" w:lineRule="auto"/>
        <w:ind w:firstLine="720"/>
        <w:jc w:val="both"/>
        <w:rPr>
          <w:sz w:val="24"/>
          <w:szCs w:val="24"/>
        </w:rPr>
      </w:pPr>
      <w:r>
        <w:rPr>
          <w:sz w:val="24"/>
          <w:szCs w:val="24"/>
        </w:rPr>
        <w:t>Chastagnol</w:t>
      </w:r>
      <w:r w:rsidR="00AC6F00">
        <w:rPr>
          <w:sz w:val="24"/>
          <w:szCs w:val="24"/>
        </w:rPr>
        <w:t>’s work</w:t>
      </w:r>
      <w:r>
        <w:rPr>
          <w:sz w:val="24"/>
          <w:szCs w:val="24"/>
        </w:rPr>
        <w:t xml:space="preserve"> </w:t>
      </w:r>
      <w:r w:rsidR="00AC6F00">
        <w:rPr>
          <w:sz w:val="24"/>
          <w:szCs w:val="24"/>
        </w:rPr>
        <w:t>demonstrated</w:t>
      </w:r>
      <w:r>
        <w:rPr>
          <w:sz w:val="24"/>
          <w:szCs w:val="24"/>
        </w:rPr>
        <w:t xml:space="preserve"> that the Urban Prefecture</w:t>
      </w:r>
      <w:r w:rsidR="008B7862">
        <w:rPr>
          <w:sz w:val="24"/>
          <w:szCs w:val="24"/>
        </w:rPr>
        <w:t xml:space="preserve"> evolved in a remarkably Roman fashion</w:t>
      </w:r>
      <w:r>
        <w:rPr>
          <w:sz w:val="24"/>
          <w:szCs w:val="24"/>
        </w:rPr>
        <w:t xml:space="preserve"> (which </w:t>
      </w:r>
      <w:r w:rsidR="00BA743A">
        <w:rPr>
          <w:sz w:val="24"/>
          <w:szCs w:val="24"/>
        </w:rPr>
        <w:t>will</w:t>
      </w:r>
      <w:r>
        <w:rPr>
          <w:sz w:val="24"/>
          <w:szCs w:val="24"/>
        </w:rPr>
        <w:t xml:space="preserve"> </w:t>
      </w:r>
      <w:r w:rsidR="00BA743A">
        <w:rPr>
          <w:sz w:val="24"/>
          <w:szCs w:val="24"/>
        </w:rPr>
        <w:t>be explored</w:t>
      </w:r>
      <w:r>
        <w:rPr>
          <w:sz w:val="24"/>
          <w:szCs w:val="24"/>
        </w:rPr>
        <w:t xml:space="preserve"> further in this thesis)</w:t>
      </w:r>
      <w:r w:rsidR="00BA743A">
        <w:rPr>
          <w:sz w:val="24"/>
          <w:szCs w:val="24"/>
        </w:rPr>
        <w:t>. This occurred</w:t>
      </w:r>
      <w:r w:rsidR="008B7862">
        <w:rPr>
          <w:sz w:val="24"/>
          <w:szCs w:val="24"/>
        </w:rPr>
        <w:t xml:space="preserve"> </w:t>
      </w:r>
      <w:r w:rsidR="00BA743A">
        <w:rPr>
          <w:sz w:val="24"/>
          <w:szCs w:val="24"/>
        </w:rPr>
        <w:t>through the acquisition of a</w:t>
      </w:r>
      <w:r w:rsidR="008B7862">
        <w:rPr>
          <w:sz w:val="24"/>
          <w:szCs w:val="24"/>
        </w:rPr>
        <w:t xml:space="preserve"> </w:t>
      </w:r>
      <w:r w:rsidR="009A303B">
        <w:rPr>
          <w:sz w:val="24"/>
          <w:szCs w:val="24"/>
        </w:rPr>
        <w:t>multiple</w:t>
      </w:r>
      <w:r>
        <w:rPr>
          <w:sz w:val="24"/>
          <w:szCs w:val="24"/>
        </w:rPr>
        <w:t xml:space="preserve"> different jurisdictions </w:t>
      </w:r>
      <w:r w:rsidR="00BA743A">
        <w:rPr>
          <w:sz w:val="24"/>
          <w:szCs w:val="24"/>
        </w:rPr>
        <w:t>as a result of</w:t>
      </w:r>
      <w:r>
        <w:rPr>
          <w:sz w:val="24"/>
          <w:szCs w:val="24"/>
        </w:rPr>
        <w:t xml:space="preserve"> the </w:t>
      </w:r>
      <w:r>
        <w:rPr>
          <w:i/>
          <w:sz w:val="24"/>
          <w:szCs w:val="24"/>
        </w:rPr>
        <w:t>auctoritas</w:t>
      </w:r>
      <w:r>
        <w:rPr>
          <w:sz w:val="24"/>
          <w:szCs w:val="24"/>
        </w:rPr>
        <w:t xml:space="preserve"> of the office </w:t>
      </w:r>
      <w:r w:rsidR="00BA743A">
        <w:rPr>
          <w:sz w:val="24"/>
          <w:szCs w:val="24"/>
        </w:rPr>
        <w:t>(which were then</w:t>
      </w:r>
      <w:r>
        <w:rPr>
          <w:sz w:val="24"/>
          <w:szCs w:val="24"/>
        </w:rPr>
        <w:t xml:space="preserve"> retroactively recognised</w:t>
      </w:r>
      <w:r w:rsidR="00BA743A">
        <w:rPr>
          <w:sz w:val="24"/>
          <w:szCs w:val="24"/>
        </w:rPr>
        <w:t>)</w:t>
      </w:r>
      <w:r>
        <w:rPr>
          <w:sz w:val="24"/>
          <w:szCs w:val="24"/>
        </w:rPr>
        <w:t>, in contrast to acquiring the jurisdiction through formal appointment.</w:t>
      </w:r>
      <w:r>
        <w:rPr>
          <w:rStyle w:val="FootnoteReference"/>
          <w:sz w:val="24"/>
          <w:szCs w:val="24"/>
        </w:rPr>
        <w:footnoteReference w:id="13"/>
      </w:r>
      <w:r>
        <w:rPr>
          <w:sz w:val="24"/>
          <w:szCs w:val="24"/>
        </w:rPr>
        <w:t xml:space="preserve"> </w:t>
      </w:r>
      <w:r>
        <w:rPr>
          <w:rFonts w:cstheme="minorHAnsi"/>
          <w:sz w:val="24"/>
          <w:szCs w:val="24"/>
        </w:rPr>
        <w:t xml:space="preserve">Early Urban Prefects </w:t>
      </w:r>
      <w:r w:rsidR="00B11848">
        <w:rPr>
          <w:rFonts w:cstheme="minorHAnsi"/>
          <w:sz w:val="24"/>
          <w:szCs w:val="24"/>
        </w:rPr>
        <w:t>had</w:t>
      </w:r>
      <w:r>
        <w:rPr>
          <w:rFonts w:cstheme="minorHAnsi"/>
          <w:sz w:val="24"/>
          <w:szCs w:val="24"/>
        </w:rPr>
        <w:t xml:space="preserve"> a</w:t>
      </w:r>
      <w:r w:rsidR="00B11848">
        <w:rPr>
          <w:rFonts w:cstheme="minorHAnsi"/>
          <w:sz w:val="24"/>
          <w:szCs w:val="24"/>
        </w:rPr>
        <w:t xml:space="preserve"> remarkably</w:t>
      </w:r>
      <w:r>
        <w:rPr>
          <w:rFonts w:cstheme="minorHAnsi"/>
          <w:sz w:val="24"/>
          <w:szCs w:val="24"/>
        </w:rPr>
        <w:t xml:space="preserve"> limited jurisdiction, restricted to law enforcement during the day, and therefore had to work closely with senior figures like the Prefect of the </w:t>
      </w:r>
      <w:r w:rsidRPr="009A303B">
        <w:rPr>
          <w:rFonts w:cstheme="minorHAnsi"/>
          <w:i/>
          <w:sz w:val="24"/>
          <w:szCs w:val="24"/>
        </w:rPr>
        <w:t>Vigiles</w:t>
      </w:r>
      <w:r>
        <w:rPr>
          <w:rFonts w:cstheme="minorHAnsi"/>
          <w:sz w:val="24"/>
          <w:szCs w:val="24"/>
        </w:rPr>
        <w:t xml:space="preserve"> and the Prefect of the </w:t>
      </w:r>
      <w:r w:rsidRPr="009A303B">
        <w:rPr>
          <w:rFonts w:cstheme="minorHAnsi"/>
          <w:i/>
          <w:sz w:val="24"/>
          <w:szCs w:val="24"/>
        </w:rPr>
        <w:t>Annonae</w:t>
      </w:r>
      <w:r>
        <w:rPr>
          <w:rFonts w:cstheme="minorHAnsi"/>
          <w:sz w:val="24"/>
          <w:szCs w:val="24"/>
        </w:rPr>
        <w:t xml:space="preserve"> in order </w:t>
      </w:r>
      <w:r w:rsidR="009A303B">
        <w:rPr>
          <w:rFonts w:cstheme="minorHAnsi"/>
          <w:sz w:val="24"/>
          <w:szCs w:val="24"/>
        </w:rPr>
        <w:t>to effectively govern. They</w:t>
      </w:r>
      <w:r>
        <w:rPr>
          <w:rFonts w:cstheme="minorHAnsi"/>
          <w:sz w:val="24"/>
          <w:szCs w:val="24"/>
        </w:rPr>
        <w:t xml:space="preserve"> had to</w:t>
      </w:r>
      <w:r w:rsidR="009A303B">
        <w:rPr>
          <w:rFonts w:cstheme="minorHAnsi"/>
          <w:sz w:val="24"/>
          <w:szCs w:val="24"/>
        </w:rPr>
        <w:t xml:space="preserve"> also</w:t>
      </w:r>
      <w:r>
        <w:rPr>
          <w:rFonts w:cstheme="minorHAnsi"/>
          <w:sz w:val="24"/>
          <w:szCs w:val="24"/>
        </w:rPr>
        <w:t xml:space="preserve"> co-operate with the numerous </w:t>
      </w:r>
      <w:r>
        <w:rPr>
          <w:rFonts w:cstheme="minorHAnsi"/>
          <w:i/>
          <w:sz w:val="24"/>
          <w:szCs w:val="24"/>
        </w:rPr>
        <w:t>vicomagistri</w:t>
      </w:r>
      <w:r>
        <w:rPr>
          <w:rFonts w:cstheme="minorHAnsi"/>
          <w:sz w:val="24"/>
          <w:szCs w:val="24"/>
        </w:rPr>
        <w:t xml:space="preserve">, </w:t>
      </w:r>
      <w:r w:rsidRPr="008B7862">
        <w:rPr>
          <w:rFonts w:cstheme="minorHAnsi"/>
          <w:i/>
          <w:sz w:val="24"/>
          <w:szCs w:val="24"/>
        </w:rPr>
        <w:t>quaestors</w:t>
      </w:r>
      <w:r>
        <w:rPr>
          <w:rFonts w:cstheme="minorHAnsi"/>
          <w:sz w:val="24"/>
          <w:szCs w:val="24"/>
        </w:rPr>
        <w:t xml:space="preserve">, </w:t>
      </w:r>
      <w:r w:rsidRPr="008B7862">
        <w:rPr>
          <w:rFonts w:cstheme="minorHAnsi"/>
          <w:i/>
          <w:sz w:val="24"/>
          <w:szCs w:val="24"/>
        </w:rPr>
        <w:t>praetors</w:t>
      </w:r>
      <w:r>
        <w:rPr>
          <w:rFonts w:cstheme="minorHAnsi"/>
          <w:sz w:val="24"/>
          <w:szCs w:val="24"/>
        </w:rPr>
        <w:t xml:space="preserve">, </w:t>
      </w:r>
      <w:r>
        <w:rPr>
          <w:rFonts w:cstheme="minorHAnsi"/>
          <w:i/>
          <w:sz w:val="24"/>
          <w:szCs w:val="24"/>
        </w:rPr>
        <w:t>Curatores</w:t>
      </w:r>
      <w:r>
        <w:rPr>
          <w:rFonts w:cstheme="minorHAnsi"/>
          <w:sz w:val="24"/>
          <w:szCs w:val="24"/>
        </w:rPr>
        <w:t xml:space="preserve"> who managed the various regions of Rome under the Augustan administrative arrang</w:t>
      </w:r>
      <w:r w:rsidR="007D570B">
        <w:rPr>
          <w:rFonts w:cstheme="minorHAnsi"/>
          <w:sz w:val="24"/>
          <w:szCs w:val="24"/>
        </w:rPr>
        <w:t>e</w:t>
      </w:r>
      <w:r>
        <w:rPr>
          <w:rFonts w:cstheme="minorHAnsi"/>
          <w:sz w:val="24"/>
          <w:szCs w:val="24"/>
        </w:rPr>
        <w:t>ments</w:t>
      </w:r>
      <w:r>
        <w:rPr>
          <w:sz w:val="24"/>
          <w:szCs w:val="24"/>
        </w:rPr>
        <w:t>.</w:t>
      </w:r>
      <w:r>
        <w:rPr>
          <w:rStyle w:val="FootnoteReference"/>
          <w:rFonts w:cstheme="minorHAnsi"/>
          <w:sz w:val="24"/>
          <w:szCs w:val="24"/>
        </w:rPr>
        <w:footnoteReference w:id="14"/>
      </w:r>
      <w:r>
        <w:rPr>
          <w:sz w:val="24"/>
          <w:szCs w:val="24"/>
        </w:rPr>
        <w:t xml:space="preserve"> However</w:t>
      </w:r>
      <w:r w:rsidRPr="008B7862">
        <w:rPr>
          <w:rFonts w:cstheme="minorHAnsi"/>
          <w:sz w:val="24"/>
          <w:szCs w:val="24"/>
        </w:rPr>
        <w:t xml:space="preserve"> </w:t>
      </w:r>
      <w:r w:rsidR="00B11848">
        <w:rPr>
          <w:rFonts w:cstheme="minorHAnsi"/>
          <w:sz w:val="24"/>
          <w:szCs w:val="24"/>
        </w:rPr>
        <w:t>t</w:t>
      </w:r>
      <w:r>
        <w:rPr>
          <w:rFonts w:cstheme="minorHAnsi"/>
          <w:sz w:val="24"/>
          <w:szCs w:val="24"/>
        </w:rPr>
        <w:t>he Urban Prefecture</w:t>
      </w:r>
      <w:r w:rsidR="00B11848">
        <w:rPr>
          <w:rFonts w:cstheme="minorHAnsi"/>
          <w:sz w:val="24"/>
          <w:szCs w:val="24"/>
        </w:rPr>
        <w:t xml:space="preserve"> began to rapidly acquire</w:t>
      </w:r>
      <w:r>
        <w:rPr>
          <w:rFonts w:cstheme="minorHAnsi"/>
          <w:sz w:val="24"/>
          <w:szCs w:val="24"/>
        </w:rPr>
        <w:t xml:space="preserve"> </w:t>
      </w:r>
      <w:r w:rsidR="008B7862">
        <w:rPr>
          <w:rFonts w:cstheme="minorHAnsi"/>
          <w:sz w:val="24"/>
          <w:szCs w:val="24"/>
        </w:rPr>
        <w:t>prestige and soon became the most prestigious office of the Senatorial</w:t>
      </w:r>
      <w:r w:rsidR="008B7862">
        <w:rPr>
          <w:rFonts w:cstheme="minorHAnsi"/>
          <w:i/>
          <w:sz w:val="24"/>
          <w:szCs w:val="24"/>
        </w:rPr>
        <w:t xml:space="preserve"> cursus honorum</w:t>
      </w:r>
      <w:r w:rsidR="008B7862">
        <w:rPr>
          <w:rFonts w:cstheme="minorHAnsi"/>
          <w:sz w:val="24"/>
          <w:szCs w:val="24"/>
        </w:rPr>
        <w:t>. Certain office holders were particularly spectacular</w:t>
      </w:r>
      <w:r w:rsidR="00B11848">
        <w:rPr>
          <w:rFonts w:cstheme="minorHAnsi"/>
          <w:sz w:val="24"/>
          <w:szCs w:val="24"/>
        </w:rPr>
        <w:t xml:space="preserve"> in the enactment of their duties;</w:t>
      </w:r>
      <w:r w:rsidR="00B11848" w:rsidRPr="00B11848">
        <w:rPr>
          <w:rFonts w:cstheme="minorHAnsi"/>
          <w:sz w:val="24"/>
          <w:szCs w:val="24"/>
        </w:rPr>
        <w:t xml:space="preserve"> </w:t>
      </w:r>
      <w:r w:rsidR="00B11848">
        <w:rPr>
          <w:rFonts w:cstheme="minorHAnsi"/>
          <w:sz w:val="24"/>
          <w:szCs w:val="24"/>
        </w:rPr>
        <w:t xml:space="preserve">Vespasian’s brother Flavius </w:t>
      </w:r>
      <w:r w:rsidR="00B11848">
        <w:rPr>
          <w:rFonts w:cstheme="minorHAnsi"/>
          <w:sz w:val="24"/>
          <w:szCs w:val="24"/>
        </w:rPr>
        <w:lastRenderedPageBreak/>
        <w:t>Sabinus was noted for preparing the way for Vespasian’s victory, whilst Pertinax and Pupienus Maximus both becoming Emperors not long after they wer</w:t>
      </w:r>
      <w:r w:rsidR="009A303B">
        <w:rPr>
          <w:rFonts w:cstheme="minorHAnsi"/>
          <w:sz w:val="24"/>
          <w:szCs w:val="24"/>
        </w:rPr>
        <w:t>e</w:t>
      </w:r>
      <w:r w:rsidR="00B11848">
        <w:rPr>
          <w:rFonts w:cstheme="minorHAnsi"/>
          <w:sz w:val="24"/>
          <w:szCs w:val="24"/>
        </w:rPr>
        <w:t xml:space="preserve"> Urban Prefects. They</w:t>
      </w:r>
      <w:r w:rsidR="008B7862">
        <w:rPr>
          <w:rFonts w:cstheme="minorHAnsi"/>
          <w:sz w:val="24"/>
          <w:szCs w:val="24"/>
        </w:rPr>
        <w:t xml:space="preserve"> </w:t>
      </w:r>
      <w:r w:rsidR="009A303B">
        <w:rPr>
          <w:rFonts w:cstheme="minorHAnsi"/>
          <w:sz w:val="24"/>
          <w:szCs w:val="24"/>
        </w:rPr>
        <w:t>therefore leant</w:t>
      </w:r>
      <w:r w:rsidR="008B7862">
        <w:rPr>
          <w:rFonts w:cstheme="minorHAnsi"/>
          <w:sz w:val="24"/>
          <w:szCs w:val="24"/>
        </w:rPr>
        <w:t xml:space="preserve"> the office a certain glow, which consequently increased the office’s</w:t>
      </w:r>
      <w:r w:rsidR="00B11848">
        <w:rPr>
          <w:rFonts w:cstheme="minorHAnsi"/>
          <w:sz w:val="24"/>
          <w:szCs w:val="24"/>
        </w:rPr>
        <w:t xml:space="preserve"> </w:t>
      </w:r>
      <w:r w:rsidR="008B7862">
        <w:rPr>
          <w:rFonts w:cstheme="minorHAnsi"/>
          <w:i/>
          <w:sz w:val="24"/>
          <w:szCs w:val="24"/>
        </w:rPr>
        <w:t>auctoritas</w:t>
      </w:r>
      <w:r w:rsidR="008B7862">
        <w:rPr>
          <w:rFonts w:cstheme="minorHAnsi"/>
          <w:sz w:val="24"/>
          <w:szCs w:val="24"/>
        </w:rPr>
        <w:t>.</w:t>
      </w:r>
      <w:r w:rsidR="008B7862">
        <w:rPr>
          <w:rStyle w:val="FootnoteReference"/>
          <w:rFonts w:cstheme="minorHAnsi"/>
          <w:sz w:val="24"/>
          <w:szCs w:val="24"/>
        </w:rPr>
        <w:footnoteReference w:id="15"/>
      </w:r>
      <w:r w:rsidR="008B7862">
        <w:rPr>
          <w:rFonts w:cstheme="minorHAnsi"/>
          <w:sz w:val="24"/>
          <w:szCs w:val="24"/>
        </w:rPr>
        <w:t xml:space="preserve"> </w:t>
      </w:r>
      <w:r w:rsidR="009A303B">
        <w:rPr>
          <w:rFonts w:cstheme="minorHAnsi"/>
          <w:sz w:val="24"/>
          <w:szCs w:val="24"/>
        </w:rPr>
        <w:t>O</w:t>
      </w:r>
      <w:r w:rsidR="008B7862">
        <w:rPr>
          <w:rFonts w:cstheme="minorHAnsi"/>
          <w:sz w:val="24"/>
          <w:szCs w:val="24"/>
        </w:rPr>
        <w:t>ver the second century, the Urban Prefect</w:t>
      </w:r>
      <w:r w:rsidR="009A303B">
        <w:rPr>
          <w:rFonts w:cstheme="minorHAnsi"/>
          <w:sz w:val="24"/>
          <w:szCs w:val="24"/>
        </w:rPr>
        <w:t xml:space="preserve"> was therefore able to acquire</w:t>
      </w:r>
      <w:r w:rsidR="008B7862">
        <w:rPr>
          <w:rFonts w:cstheme="minorHAnsi"/>
          <w:sz w:val="24"/>
          <w:szCs w:val="24"/>
        </w:rPr>
        <w:t xml:space="preserve"> a substantial increase in jurisdiction. By the reign of Marcus Aurelius, the Urban Prefect acted as the chief judge in criminal cases with a jurisdiction of 100 miles around Rome. S</w:t>
      </w:r>
      <w:r w:rsidR="00524F6A">
        <w:rPr>
          <w:rFonts w:cstheme="minorHAnsi"/>
          <w:sz w:val="24"/>
          <w:szCs w:val="24"/>
        </w:rPr>
        <w:t>eptimius Severus outlined further</w:t>
      </w:r>
      <w:r w:rsidR="008B7862">
        <w:rPr>
          <w:rFonts w:cstheme="minorHAnsi"/>
          <w:sz w:val="24"/>
          <w:szCs w:val="24"/>
        </w:rPr>
        <w:t xml:space="preserve"> increases to the Urban Prefect’s administrative and legal jurisdiction</w:t>
      </w:r>
      <w:r w:rsidR="009A303B">
        <w:rPr>
          <w:rFonts w:cstheme="minorHAnsi"/>
          <w:sz w:val="24"/>
          <w:szCs w:val="24"/>
        </w:rPr>
        <w:t xml:space="preserve">. The Urban Prefecture was </w:t>
      </w:r>
      <w:r w:rsidR="00524F6A">
        <w:rPr>
          <w:rFonts w:cstheme="minorHAnsi"/>
          <w:sz w:val="24"/>
          <w:szCs w:val="24"/>
        </w:rPr>
        <w:t xml:space="preserve">now expected to oversee all criminal trials and investigations within 100 </w:t>
      </w:r>
      <w:r w:rsidR="00EB0030">
        <w:rPr>
          <w:rFonts w:cstheme="minorHAnsi"/>
          <w:sz w:val="24"/>
          <w:szCs w:val="24"/>
        </w:rPr>
        <w:t>miles</w:t>
      </w:r>
      <w:r w:rsidR="00524F6A">
        <w:rPr>
          <w:rFonts w:cstheme="minorHAnsi"/>
          <w:sz w:val="24"/>
          <w:szCs w:val="24"/>
        </w:rPr>
        <w:t xml:space="preserve"> and to that </w:t>
      </w:r>
      <w:r w:rsidR="00EB0030">
        <w:rPr>
          <w:rFonts w:cstheme="minorHAnsi"/>
          <w:sz w:val="24"/>
          <w:szCs w:val="24"/>
        </w:rPr>
        <w:t>end the</w:t>
      </w:r>
      <w:r w:rsidR="00524F6A">
        <w:rPr>
          <w:rFonts w:cstheme="minorHAnsi"/>
          <w:sz w:val="24"/>
          <w:szCs w:val="24"/>
        </w:rPr>
        <w:t xml:space="preserve"> Prefect could now ban individuals, trades and professions from the city in the interests of public </w:t>
      </w:r>
      <w:r w:rsidR="00EB0030">
        <w:rPr>
          <w:rFonts w:cstheme="minorHAnsi"/>
          <w:sz w:val="24"/>
          <w:szCs w:val="24"/>
        </w:rPr>
        <w:t>order. For the first time he had</w:t>
      </w:r>
      <w:r w:rsidR="00524F6A">
        <w:rPr>
          <w:rFonts w:cstheme="minorHAnsi"/>
          <w:sz w:val="24"/>
          <w:szCs w:val="24"/>
        </w:rPr>
        <w:t xml:space="preserve"> also acquired the responsibility to oversee that meat was sold at a fair price.</w:t>
      </w:r>
      <w:r w:rsidR="00524F6A">
        <w:rPr>
          <w:rStyle w:val="FootnoteReference"/>
          <w:rFonts w:cstheme="minorHAnsi"/>
          <w:sz w:val="24"/>
          <w:szCs w:val="24"/>
        </w:rPr>
        <w:footnoteReference w:id="16"/>
      </w:r>
      <w:r w:rsidR="00524F6A">
        <w:rPr>
          <w:rFonts w:cstheme="minorHAnsi"/>
          <w:sz w:val="24"/>
          <w:szCs w:val="24"/>
        </w:rPr>
        <w:t xml:space="preserve"> To ensure the Prefect was capable of performing his duties, a rare alteration to the administrative fabric occurred and he was granted a formal </w:t>
      </w:r>
      <w:r w:rsidR="00524F6A">
        <w:rPr>
          <w:rFonts w:cstheme="minorHAnsi"/>
          <w:i/>
          <w:sz w:val="24"/>
          <w:szCs w:val="24"/>
        </w:rPr>
        <w:t>Officium</w:t>
      </w:r>
      <w:r w:rsidR="00524F6A">
        <w:rPr>
          <w:rFonts w:cstheme="minorHAnsi"/>
          <w:sz w:val="24"/>
          <w:szCs w:val="24"/>
        </w:rPr>
        <w:t xml:space="preserve"> compromised of soldiers from the Urban Cohorts.</w:t>
      </w:r>
      <w:r w:rsidR="00524F6A">
        <w:rPr>
          <w:rStyle w:val="FootnoteReference"/>
          <w:rFonts w:cstheme="minorHAnsi"/>
          <w:sz w:val="24"/>
          <w:szCs w:val="24"/>
        </w:rPr>
        <w:footnoteReference w:id="17"/>
      </w:r>
      <w:r w:rsidR="00524F6A">
        <w:rPr>
          <w:rFonts w:cstheme="minorHAnsi"/>
          <w:sz w:val="24"/>
          <w:szCs w:val="24"/>
        </w:rPr>
        <w:t xml:space="preserve"> Perhaps the most significant change that occurred in the Urban Prefecture was his appointment as the Emperor’s personal representative in the fourth century. However this was simply recognition of the fact that by this point the Urban Prefect had more or less acquired control of all of Rome’s major administrative services.</w:t>
      </w:r>
      <w:r w:rsidR="00524F6A">
        <w:rPr>
          <w:rStyle w:val="FootnoteReference"/>
          <w:rFonts w:cstheme="minorHAnsi"/>
          <w:sz w:val="24"/>
          <w:szCs w:val="24"/>
        </w:rPr>
        <w:footnoteReference w:id="18"/>
      </w:r>
      <w:r w:rsidR="00524F6A">
        <w:rPr>
          <w:rFonts w:cstheme="minorHAnsi"/>
          <w:sz w:val="24"/>
          <w:szCs w:val="24"/>
        </w:rPr>
        <w:t xml:space="preserve"> </w:t>
      </w:r>
      <w:r w:rsidR="00524F6A">
        <w:rPr>
          <w:sz w:val="24"/>
          <w:szCs w:val="24"/>
        </w:rPr>
        <w:t>Whilst there were changes in the formal competencies of the Urban Prefect,</w:t>
      </w:r>
      <w:r>
        <w:rPr>
          <w:sz w:val="24"/>
          <w:szCs w:val="24"/>
        </w:rPr>
        <w:t xml:space="preserve"> this was not the result of</w:t>
      </w:r>
      <w:r w:rsidR="00EB0030">
        <w:rPr>
          <w:sz w:val="24"/>
          <w:szCs w:val="24"/>
        </w:rPr>
        <w:t xml:space="preserve"> specific</w:t>
      </w:r>
      <w:r>
        <w:rPr>
          <w:sz w:val="24"/>
          <w:szCs w:val="24"/>
        </w:rPr>
        <w:t xml:space="preserve"> adminis</w:t>
      </w:r>
      <w:r w:rsidR="00EB0030">
        <w:rPr>
          <w:sz w:val="24"/>
          <w:szCs w:val="24"/>
        </w:rPr>
        <w:t>trative reforms</w:t>
      </w:r>
      <w:r>
        <w:rPr>
          <w:sz w:val="24"/>
          <w:szCs w:val="24"/>
        </w:rPr>
        <w:t xml:space="preserve">, rather it came about because the impressive honours of the Urban Prefect combined with the formidable patronage networks of the senators who achieved the post </w:t>
      </w:r>
      <w:r w:rsidR="00524F6A">
        <w:rPr>
          <w:sz w:val="24"/>
          <w:szCs w:val="24"/>
        </w:rPr>
        <w:t xml:space="preserve">the </w:t>
      </w:r>
      <w:r>
        <w:rPr>
          <w:sz w:val="24"/>
          <w:szCs w:val="24"/>
        </w:rPr>
        <w:t xml:space="preserve">meant that the Urban Prefect was able to affect areas well beyond his official </w:t>
      </w:r>
      <w:r>
        <w:rPr>
          <w:sz w:val="24"/>
          <w:szCs w:val="24"/>
        </w:rPr>
        <w:lastRenderedPageBreak/>
        <w:t>competency. It is for this reason that</w:t>
      </w:r>
      <w:r w:rsidR="00524F6A">
        <w:rPr>
          <w:sz w:val="24"/>
          <w:szCs w:val="24"/>
        </w:rPr>
        <w:t xml:space="preserve"> Chastagnol</w:t>
      </w:r>
      <w:r w:rsidR="00524F6A" w:rsidRPr="00E50CE3">
        <w:rPr>
          <w:sz w:val="24"/>
          <w:szCs w:val="24"/>
        </w:rPr>
        <w:t xml:space="preserve"> emphasised the importance of the Urban Prefect’s family ties</w:t>
      </w:r>
      <w:r w:rsidR="00524F6A">
        <w:rPr>
          <w:sz w:val="24"/>
          <w:szCs w:val="24"/>
        </w:rPr>
        <w:t xml:space="preserve"> and personal authority</w:t>
      </w:r>
      <w:r w:rsidR="00524F6A" w:rsidRPr="00E50CE3">
        <w:rPr>
          <w:sz w:val="24"/>
          <w:szCs w:val="24"/>
        </w:rPr>
        <w:t xml:space="preserve"> to</w:t>
      </w:r>
      <w:r w:rsidR="00524F6A">
        <w:rPr>
          <w:sz w:val="24"/>
          <w:szCs w:val="24"/>
        </w:rPr>
        <w:t xml:space="preserve"> the effectiveness of his</w:t>
      </w:r>
      <w:r w:rsidR="00524F6A" w:rsidRPr="00E50CE3">
        <w:rPr>
          <w:sz w:val="24"/>
          <w:szCs w:val="24"/>
        </w:rPr>
        <w:t xml:space="preserve"> administration.</w:t>
      </w:r>
      <w:r w:rsidR="00524F6A" w:rsidRPr="00E50CE3">
        <w:rPr>
          <w:rStyle w:val="FootnoteReference"/>
          <w:sz w:val="24"/>
          <w:szCs w:val="24"/>
        </w:rPr>
        <w:footnoteReference w:id="19"/>
      </w:r>
    </w:p>
    <w:p w:rsidR="006E1E5C" w:rsidRDefault="006E1E5C" w:rsidP="00722391">
      <w:pPr>
        <w:spacing w:line="480" w:lineRule="auto"/>
        <w:ind w:firstLine="720"/>
        <w:jc w:val="both"/>
        <w:rPr>
          <w:sz w:val="24"/>
          <w:szCs w:val="24"/>
        </w:rPr>
      </w:pPr>
      <w:r>
        <w:rPr>
          <w:sz w:val="24"/>
          <w:szCs w:val="24"/>
        </w:rPr>
        <w:t>A.H.M Jones has been</w:t>
      </w:r>
      <w:r w:rsidR="00533183">
        <w:rPr>
          <w:sz w:val="24"/>
          <w:szCs w:val="24"/>
        </w:rPr>
        <w:t>,</w:t>
      </w:r>
      <w:r>
        <w:rPr>
          <w:sz w:val="24"/>
          <w:szCs w:val="24"/>
        </w:rPr>
        <w:t xml:space="preserve"> perhaps</w:t>
      </w:r>
      <w:r w:rsidR="00533183">
        <w:rPr>
          <w:sz w:val="24"/>
          <w:szCs w:val="24"/>
        </w:rPr>
        <w:t>,</w:t>
      </w:r>
      <w:r>
        <w:rPr>
          <w:sz w:val="24"/>
          <w:szCs w:val="24"/>
        </w:rPr>
        <w:t xml:space="preserve"> the greatest and most comprehensive historian of the government of the Later Roman Empire. His magnum opus, </w:t>
      </w:r>
      <w:r>
        <w:rPr>
          <w:i/>
          <w:sz w:val="24"/>
          <w:szCs w:val="24"/>
        </w:rPr>
        <w:t>The Later Roman Empire 284-602</w:t>
      </w:r>
      <w:r>
        <w:rPr>
          <w:sz w:val="24"/>
          <w:szCs w:val="24"/>
        </w:rPr>
        <w:t xml:space="preserve"> (1986)</w:t>
      </w:r>
      <w:r>
        <w:rPr>
          <w:i/>
          <w:sz w:val="24"/>
          <w:szCs w:val="24"/>
        </w:rPr>
        <w:t>,</w:t>
      </w:r>
      <w:r>
        <w:rPr>
          <w:sz w:val="24"/>
          <w:szCs w:val="24"/>
        </w:rPr>
        <w:t xml:space="preserve"> is the definitive administrative history of late antique Rome’s administration. In contrast to Chastagnol, Jones attempted to characterise how the whole </w:t>
      </w:r>
      <w:r w:rsidR="0087599E">
        <w:rPr>
          <w:sz w:val="24"/>
          <w:szCs w:val="24"/>
        </w:rPr>
        <w:t>i</w:t>
      </w:r>
      <w:r w:rsidR="008B44B0">
        <w:rPr>
          <w:sz w:val="24"/>
          <w:szCs w:val="24"/>
        </w:rPr>
        <w:t>mperial</w:t>
      </w:r>
      <w:r>
        <w:rPr>
          <w:sz w:val="24"/>
          <w:szCs w:val="24"/>
        </w:rPr>
        <w:t xml:space="preserve"> administration </w:t>
      </w:r>
      <w:r w:rsidR="0060496B">
        <w:rPr>
          <w:sz w:val="24"/>
          <w:szCs w:val="24"/>
        </w:rPr>
        <w:t>functioned in practical terms</w:t>
      </w:r>
      <w:r>
        <w:rPr>
          <w:sz w:val="24"/>
          <w:szCs w:val="24"/>
        </w:rPr>
        <w:t xml:space="preserve"> and situated his analysis of the Urban P</w:t>
      </w:r>
      <w:r w:rsidR="0060496B">
        <w:rPr>
          <w:sz w:val="24"/>
          <w:szCs w:val="24"/>
        </w:rPr>
        <w:t>refect within this greater framework</w:t>
      </w:r>
      <w:r>
        <w:rPr>
          <w:sz w:val="24"/>
          <w:szCs w:val="24"/>
        </w:rPr>
        <w:t xml:space="preserve">. Like Chastagnol, he found that there was a great deal of continuity in the practices of the administration from the </w:t>
      </w:r>
      <w:r w:rsidR="0060496B">
        <w:rPr>
          <w:sz w:val="24"/>
          <w:szCs w:val="24"/>
        </w:rPr>
        <w:t>1</w:t>
      </w:r>
      <w:r w:rsidR="0060496B" w:rsidRPr="0060496B">
        <w:rPr>
          <w:sz w:val="24"/>
          <w:szCs w:val="24"/>
          <w:vertAlign w:val="superscript"/>
        </w:rPr>
        <w:t>st</w:t>
      </w:r>
      <w:r w:rsidR="00FB14C7">
        <w:rPr>
          <w:sz w:val="24"/>
          <w:szCs w:val="24"/>
        </w:rPr>
        <w:t xml:space="preserve"> c</w:t>
      </w:r>
      <w:r w:rsidR="0060496B">
        <w:rPr>
          <w:sz w:val="24"/>
          <w:szCs w:val="24"/>
        </w:rPr>
        <w:t>entury to the 4</w:t>
      </w:r>
      <w:r w:rsidR="0060496B" w:rsidRPr="0060496B">
        <w:rPr>
          <w:sz w:val="24"/>
          <w:szCs w:val="24"/>
          <w:vertAlign w:val="superscript"/>
        </w:rPr>
        <w:t>th</w:t>
      </w:r>
      <w:r>
        <w:rPr>
          <w:sz w:val="24"/>
          <w:szCs w:val="24"/>
        </w:rPr>
        <w:t>, even though the desired goals and outcomes of the administration were substantially different.</w:t>
      </w:r>
      <w:r>
        <w:rPr>
          <w:rStyle w:val="FootnoteReference"/>
          <w:sz w:val="24"/>
          <w:szCs w:val="24"/>
        </w:rPr>
        <w:footnoteReference w:id="20"/>
      </w:r>
      <w:r>
        <w:rPr>
          <w:sz w:val="24"/>
          <w:szCs w:val="24"/>
        </w:rPr>
        <w:t xml:space="preserve"> In particular</w:t>
      </w:r>
      <w:r w:rsidR="00FB14C7">
        <w:rPr>
          <w:sz w:val="24"/>
          <w:szCs w:val="24"/>
        </w:rPr>
        <w:t>,</w:t>
      </w:r>
      <w:r>
        <w:rPr>
          <w:sz w:val="24"/>
          <w:szCs w:val="24"/>
        </w:rPr>
        <w:t xml:space="preserve"> he refused to take a chronological approach to his work as he felt that many el</w:t>
      </w:r>
      <w:r w:rsidR="00DF1B24">
        <w:rPr>
          <w:sz w:val="24"/>
          <w:szCs w:val="24"/>
        </w:rPr>
        <w:t>ements of the field remained largely the</w:t>
      </w:r>
      <w:r>
        <w:rPr>
          <w:sz w:val="24"/>
          <w:szCs w:val="24"/>
        </w:rPr>
        <w:t xml:space="preserve"> same</w:t>
      </w:r>
      <w:r w:rsidR="00DF1B24">
        <w:rPr>
          <w:sz w:val="24"/>
          <w:szCs w:val="24"/>
        </w:rPr>
        <w:t>, instead</w:t>
      </w:r>
      <w:r>
        <w:rPr>
          <w:sz w:val="24"/>
          <w:szCs w:val="24"/>
        </w:rPr>
        <w:t xml:space="preserve"> </w:t>
      </w:r>
      <w:r w:rsidR="00DF1B24">
        <w:rPr>
          <w:sz w:val="24"/>
          <w:szCs w:val="24"/>
        </w:rPr>
        <w:t>focusing on the few</w:t>
      </w:r>
      <w:r>
        <w:rPr>
          <w:sz w:val="24"/>
          <w:szCs w:val="24"/>
        </w:rPr>
        <w:t xml:space="preserve"> changes</w:t>
      </w:r>
      <w:r w:rsidR="00DF1B24">
        <w:rPr>
          <w:sz w:val="24"/>
          <w:szCs w:val="24"/>
        </w:rPr>
        <w:t xml:space="preserve"> that did occur</w:t>
      </w:r>
      <w:r>
        <w:rPr>
          <w:sz w:val="24"/>
          <w:szCs w:val="24"/>
        </w:rPr>
        <w:t>.</w:t>
      </w:r>
      <w:r>
        <w:rPr>
          <w:rStyle w:val="FootnoteReference"/>
          <w:sz w:val="24"/>
          <w:szCs w:val="24"/>
        </w:rPr>
        <w:footnoteReference w:id="21"/>
      </w:r>
      <w:r>
        <w:rPr>
          <w:sz w:val="24"/>
          <w:szCs w:val="24"/>
        </w:rPr>
        <w:t xml:space="preserve"> </w:t>
      </w:r>
      <w:r w:rsidR="00D5607C">
        <w:rPr>
          <w:sz w:val="24"/>
          <w:szCs w:val="24"/>
        </w:rPr>
        <w:t xml:space="preserve">In particular, </w:t>
      </w:r>
      <w:r>
        <w:rPr>
          <w:sz w:val="24"/>
          <w:szCs w:val="24"/>
        </w:rPr>
        <w:t>Jones noted that even into the late fourth century the Urban Prefect’s authority over his staff remained ill-defined and often subject to</w:t>
      </w:r>
      <w:r w:rsidR="0060496B">
        <w:rPr>
          <w:sz w:val="24"/>
          <w:szCs w:val="24"/>
        </w:rPr>
        <w:t xml:space="preserve"> numerous</w:t>
      </w:r>
      <w:r>
        <w:rPr>
          <w:sz w:val="24"/>
          <w:szCs w:val="24"/>
        </w:rPr>
        <w:t xml:space="preserve"> appeal</w:t>
      </w:r>
      <w:r w:rsidR="0060496B">
        <w:rPr>
          <w:sz w:val="24"/>
          <w:szCs w:val="24"/>
        </w:rPr>
        <w:t xml:space="preserve">s to the </w:t>
      </w:r>
      <w:r w:rsidR="0087599E">
        <w:rPr>
          <w:sz w:val="24"/>
          <w:szCs w:val="24"/>
        </w:rPr>
        <w:t>e</w:t>
      </w:r>
      <w:r w:rsidR="008B44B0">
        <w:rPr>
          <w:sz w:val="24"/>
          <w:szCs w:val="24"/>
        </w:rPr>
        <w:t>mperor</w:t>
      </w:r>
      <w:r>
        <w:rPr>
          <w:sz w:val="24"/>
          <w:szCs w:val="24"/>
        </w:rPr>
        <w:t>. Jones attempted to explain</w:t>
      </w:r>
      <w:r w:rsidR="00D5607C">
        <w:rPr>
          <w:sz w:val="24"/>
          <w:szCs w:val="24"/>
        </w:rPr>
        <w:t xml:space="preserve"> all of</w:t>
      </w:r>
      <w:r>
        <w:rPr>
          <w:sz w:val="24"/>
          <w:szCs w:val="24"/>
        </w:rPr>
        <w:t xml:space="preserve"> this as a result of Rome becoming an administrative anachronism in comparison to the rest of the Empire.</w:t>
      </w:r>
      <w:r>
        <w:rPr>
          <w:rStyle w:val="FootnoteReference"/>
          <w:sz w:val="24"/>
          <w:szCs w:val="24"/>
        </w:rPr>
        <w:footnoteReference w:id="22"/>
      </w:r>
      <w:r>
        <w:rPr>
          <w:sz w:val="24"/>
          <w:szCs w:val="24"/>
        </w:rPr>
        <w:t xml:space="preserve">  For Jones, burdened by political traditions and a </w:t>
      </w:r>
      <w:r w:rsidR="008B44B0">
        <w:rPr>
          <w:sz w:val="24"/>
          <w:szCs w:val="24"/>
        </w:rPr>
        <w:t>senatorial</w:t>
      </w:r>
      <w:r>
        <w:rPr>
          <w:sz w:val="24"/>
          <w:szCs w:val="24"/>
        </w:rPr>
        <w:t xml:space="preserve"> nobility obsessed with its past, Rome’s greatest</w:t>
      </w:r>
      <w:r w:rsidR="00533183">
        <w:rPr>
          <w:sz w:val="24"/>
          <w:szCs w:val="24"/>
        </w:rPr>
        <w:t xml:space="preserve"> administrative</w:t>
      </w:r>
      <w:r>
        <w:rPr>
          <w:sz w:val="24"/>
          <w:szCs w:val="24"/>
        </w:rPr>
        <w:t xml:space="preserve"> challenge was the sheer force of inertia that resulted from the City’s history.</w:t>
      </w:r>
      <w:r>
        <w:rPr>
          <w:rStyle w:val="FootnoteReference"/>
          <w:sz w:val="24"/>
          <w:szCs w:val="24"/>
        </w:rPr>
        <w:footnoteReference w:id="23"/>
      </w:r>
      <w:r>
        <w:rPr>
          <w:sz w:val="24"/>
          <w:szCs w:val="24"/>
        </w:rPr>
        <w:t xml:space="preserve"> </w:t>
      </w:r>
    </w:p>
    <w:p w:rsidR="006E1E5C" w:rsidRDefault="006E1E5C" w:rsidP="00722391">
      <w:pPr>
        <w:spacing w:line="480" w:lineRule="auto"/>
        <w:ind w:firstLine="720"/>
        <w:jc w:val="both"/>
        <w:rPr>
          <w:sz w:val="24"/>
          <w:szCs w:val="24"/>
        </w:rPr>
      </w:pPr>
      <w:r>
        <w:rPr>
          <w:sz w:val="24"/>
          <w:szCs w:val="24"/>
        </w:rPr>
        <w:lastRenderedPageBreak/>
        <w:t xml:space="preserve">Subsequent historiography has </w:t>
      </w:r>
      <w:r w:rsidR="00B0500A">
        <w:rPr>
          <w:sz w:val="24"/>
          <w:szCs w:val="24"/>
        </w:rPr>
        <w:t xml:space="preserve">shifted the focus away from </w:t>
      </w:r>
      <w:r w:rsidR="00DF1B24">
        <w:rPr>
          <w:sz w:val="24"/>
          <w:szCs w:val="24"/>
        </w:rPr>
        <w:t>the</w:t>
      </w:r>
      <w:r w:rsidR="0060496B">
        <w:rPr>
          <w:sz w:val="24"/>
          <w:szCs w:val="24"/>
        </w:rPr>
        <w:t xml:space="preserve"> forms of government</w:t>
      </w:r>
      <w:r>
        <w:rPr>
          <w:sz w:val="24"/>
          <w:szCs w:val="24"/>
        </w:rPr>
        <w:t xml:space="preserve"> and how </w:t>
      </w:r>
      <w:r w:rsidR="00DF1B24">
        <w:rPr>
          <w:sz w:val="24"/>
          <w:szCs w:val="24"/>
        </w:rPr>
        <w:t>they</w:t>
      </w:r>
      <w:r w:rsidR="00FB14C7">
        <w:rPr>
          <w:sz w:val="24"/>
          <w:szCs w:val="24"/>
        </w:rPr>
        <w:t xml:space="preserve"> worked</w:t>
      </w:r>
      <w:r w:rsidR="00DF1B24">
        <w:rPr>
          <w:sz w:val="24"/>
          <w:szCs w:val="24"/>
        </w:rPr>
        <w:t>,</w:t>
      </w:r>
      <w:r>
        <w:rPr>
          <w:sz w:val="24"/>
          <w:szCs w:val="24"/>
        </w:rPr>
        <w:t xml:space="preserve"> and</w:t>
      </w:r>
      <w:r w:rsidR="00DF1B24">
        <w:rPr>
          <w:sz w:val="24"/>
          <w:szCs w:val="24"/>
        </w:rPr>
        <w:t xml:space="preserve"> </w:t>
      </w:r>
      <w:r>
        <w:rPr>
          <w:sz w:val="24"/>
          <w:szCs w:val="24"/>
        </w:rPr>
        <w:t xml:space="preserve">instead </w:t>
      </w:r>
      <w:r w:rsidR="0060496B">
        <w:rPr>
          <w:sz w:val="24"/>
          <w:szCs w:val="24"/>
        </w:rPr>
        <w:t>asked</w:t>
      </w:r>
      <w:r w:rsidR="00DF1B24">
        <w:rPr>
          <w:sz w:val="24"/>
          <w:szCs w:val="24"/>
        </w:rPr>
        <w:t xml:space="preserve"> the</w:t>
      </w:r>
      <w:r>
        <w:rPr>
          <w:sz w:val="24"/>
          <w:szCs w:val="24"/>
        </w:rPr>
        <w:t xml:space="preserve"> questions of who it affected and how. As it had been shown by Chastagnol and Jones that the so called “Dominate” had a great deal of similarity with the previous style of administration, later work</w:t>
      </w:r>
      <w:r w:rsidR="00533183">
        <w:rPr>
          <w:sz w:val="24"/>
          <w:szCs w:val="24"/>
        </w:rPr>
        <w:t>s</w:t>
      </w:r>
      <w:r>
        <w:rPr>
          <w:sz w:val="24"/>
          <w:szCs w:val="24"/>
        </w:rPr>
        <w:t xml:space="preserve"> contained a much greater emphasis on the continuity of the administration rather than abrupt changes. David Potter’s work focused on how the Empire managed the multitude of crises between the second and third centuries. He argues that the astonishing continuity in face of the many upheavals of the third century demonstrate</w:t>
      </w:r>
      <w:r w:rsidR="00E71EC5">
        <w:rPr>
          <w:sz w:val="24"/>
          <w:szCs w:val="24"/>
        </w:rPr>
        <w:t>d</w:t>
      </w:r>
      <w:r>
        <w:rPr>
          <w:sz w:val="24"/>
          <w:szCs w:val="24"/>
        </w:rPr>
        <w:t xml:space="preserve"> the strength of the</w:t>
      </w:r>
      <w:r w:rsidR="00E71EC5">
        <w:rPr>
          <w:sz w:val="24"/>
          <w:szCs w:val="24"/>
        </w:rPr>
        <w:t xml:space="preserve"> Roman </w:t>
      </w:r>
      <w:r w:rsidR="008B44B0">
        <w:rPr>
          <w:sz w:val="24"/>
          <w:szCs w:val="24"/>
        </w:rPr>
        <w:t>imperial</w:t>
      </w:r>
      <w:r>
        <w:rPr>
          <w:sz w:val="24"/>
          <w:szCs w:val="24"/>
        </w:rPr>
        <w:t xml:space="preserve"> system. The increasingly militarised state was a result of the </w:t>
      </w:r>
      <w:r w:rsidR="0087599E">
        <w:rPr>
          <w:sz w:val="24"/>
          <w:szCs w:val="24"/>
        </w:rPr>
        <w:t>emperors</w:t>
      </w:r>
      <w:r>
        <w:rPr>
          <w:sz w:val="24"/>
          <w:szCs w:val="24"/>
        </w:rPr>
        <w:t xml:space="preserve"> attempting to replace</w:t>
      </w:r>
      <w:r w:rsidR="00D5607C">
        <w:rPr>
          <w:sz w:val="24"/>
          <w:szCs w:val="24"/>
        </w:rPr>
        <w:t xml:space="preserve"> the</w:t>
      </w:r>
      <w:r>
        <w:rPr>
          <w:sz w:val="24"/>
          <w:szCs w:val="24"/>
        </w:rPr>
        <w:t xml:space="preserve"> </w:t>
      </w:r>
      <w:r w:rsidR="00D5607C">
        <w:rPr>
          <w:sz w:val="24"/>
          <w:szCs w:val="24"/>
        </w:rPr>
        <w:t>“</w:t>
      </w:r>
      <w:r>
        <w:rPr>
          <w:sz w:val="24"/>
          <w:szCs w:val="24"/>
        </w:rPr>
        <w:t>traditional</w:t>
      </w:r>
      <w:r w:rsidR="00D5607C">
        <w:rPr>
          <w:sz w:val="24"/>
          <w:szCs w:val="24"/>
        </w:rPr>
        <w:t>”</w:t>
      </w:r>
      <w:r>
        <w:rPr>
          <w:sz w:val="24"/>
          <w:szCs w:val="24"/>
        </w:rPr>
        <w:t xml:space="preserve"> methods of ensuring the</w:t>
      </w:r>
      <w:r w:rsidR="005C4E8D">
        <w:rPr>
          <w:sz w:val="24"/>
          <w:szCs w:val="24"/>
        </w:rPr>
        <w:t xml:space="preserve"> compliance of its citizens which</w:t>
      </w:r>
      <w:r>
        <w:rPr>
          <w:sz w:val="24"/>
          <w:szCs w:val="24"/>
        </w:rPr>
        <w:t xml:space="preserve"> had broken down in the third century.</w:t>
      </w:r>
      <w:r>
        <w:rPr>
          <w:rStyle w:val="FootnoteReference"/>
          <w:sz w:val="24"/>
          <w:szCs w:val="24"/>
        </w:rPr>
        <w:footnoteReference w:id="24"/>
      </w:r>
      <w:r>
        <w:rPr>
          <w:sz w:val="24"/>
          <w:szCs w:val="24"/>
        </w:rPr>
        <w:t xml:space="preserve"> </w:t>
      </w:r>
      <w:r w:rsidR="00D5607C">
        <w:rPr>
          <w:sz w:val="24"/>
          <w:szCs w:val="24"/>
        </w:rPr>
        <w:t>As part of this redefinition of imperial power, Peter Brown has suggested</w:t>
      </w:r>
      <w:r>
        <w:rPr>
          <w:sz w:val="24"/>
          <w:szCs w:val="24"/>
        </w:rPr>
        <w:t xml:space="preserve"> that the </w:t>
      </w:r>
      <w:r w:rsidR="0087599E">
        <w:rPr>
          <w:sz w:val="24"/>
          <w:szCs w:val="24"/>
        </w:rPr>
        <w:t>emperors</w:t>
      </w:r>
      <w:r>
        <w:rPr>
          <w:sz w:val="24"/>
          <w:szCs w:val="24"/>
        </w:rPr>
        <w:t xml:space="preserve"> promoted new ideologies to ensure loyalty to the central government.</w:t>
      </w:r>
      <w:r w:rsidR="0030130A">
        <w:rPr>
          <w:rStyle w:val="FootnoteReference"/>
          <w:sz w:val="24"/>
          <w:szCs w:val="24"/>
        </w:rPr>
        <w:footnoteReference w:id="25"/>
      </w:r>
      <w:r>
        <w:rPr>
          <w:sz w:val="24"/>
          <w:szCs w:val="24"/>
        </w:rPr>
        <w:t xml:space="preserve"> Clifford Ando’s and Jon Lendon’s work on </w:t>
      </w:r>
      <w:r w:rsidR="008B44B0">
        <w:rPr>
          <w:sz w:val="24"/>
          <w:szCs w:val="24"/>
        </w:rPr>
        <w:t>imperial</w:t>
      </w:r>
      <w:r>
        <w:rPr>
          <w:sz w:val="24"/>
          <w:szCs w:val="24"/>
        </w:rPr>
        <w:t xml:space="preserve"> ideologies (to which I shall turn in a mome</w:t>
      </w:r>
      <w:r w:rsidR="005C4E8D">
        <w:rPr>
          <w:sz w:val="24"/>
          <w:szCs w:val="24"/>
        </w:rPr>
        <w:t>nt) built upon this. Their studies</w:t>
      </w:r>
      <w:r>
        <w:rPr>
          <w:sz w:val="24"/>
          <w:szCs w:val="24"/>
        </w:rPr>
        <w:t xml:space="preserve"> focused upon how the </w:t>
      </w:r>
      <w:r w:rsidR="008B44B0">
        <w:rPr>
          <w:sz w:val="24"/>
          <w:szCs w:val="24"/>
        </w:rPr>
        <w:t>imperial</w:t>
      </w:r>
      <w:r>
        <w:rPr>
          <w:sz w:val="24"/>
          <w:szCs w:val="24"/>
        </w:rPr>
        <w:t xml:space="preserve"> administration managed to achieve compliance with its wishes across such a wide and varied empire.</w:t>
      </w:r>
      <w:r>
        <w:rPr>
          <w:rStyle w:val="FootnoteReference"/>
          <w:sz w:val="24"/>
          <w:szCs w:val="24"/>
        </w:rPr>
        <w:footnoteReference w:id="26"/>
      </w:r>
      <w:r w:rsidR="00A879E8">
        <w:rPr>
          <w:sz w:val="24"/>
          <w:szCs w:val="24"/>
        </w:rPr>
        <w:t xml:space="preserve"> In contrast to the histories</w:t>
      </w:r>
      <w:r>
        <w:rPr>
          <w:sz w:val="24"/>
          <w:szCs w:val="24"/>
        </w:rPr>
        <w:t xml:space="preserve"> of Chastagno</w:t>
      </w:r>
      <w:r w:rsidR="005C4E8D">
        <w:rPr>
          <w:sz w:val="24"/>
          <w:szCs w:val="24"/>
        </w:rPr>
        <w:t>l and Jones, these</w:t>
      </w:r>
      <w:r>
        <w:rPr>
          <w:sz w:val="24"/>
          <w:szCs w:val="24"/>
        </w:rPr>
        <w:t xml:space="preserve"> new approach</w:t>
      </w:r>
      <w:r w:rsidR="005C4E8D">
        <w:rPr>
          <w:sz w:val="24"/>
          <w:szCs w:val="24"/>
        </w:rPr>
        <w:t>es</w:t>
      </w:r>
      <w:r>
        <w:rPr>
          <w:sz w:val="24"/>
          <w:szCs w:val="24"/>
        </w:rPr>
        <w:t xml:space="preserve"> towards the administration concentrated on a much wider</w:t>
      </w:r>
      <w:r w:rsidR="005C4E8D">
        <w:rPr>
          <w:sz w:val="24"/>
          <w:szCs w:val="24"/>
        </w:rPr>
        <w:t xml:space="preserve"> variety</w:t>
      </w:r>
      <w:r>
        <w:rPr>
          <w:sz w:val="24"/>
          <w:szCs w:val="24"/>
        </w:rPr>
        <w:t xml:space="preserve"> of evidence</w:t>
      </w:r>
      <w:r w:rsidR="005C4E8D">
        <w:rPr>
          <w:sz w:val="24"/>
          <w:szCs w:val="24"/>
        </w:rPr>
        <w:t>, including</w:t>
      </w:r>
      <w:r>
        <w:rPr>
          <w:sz w:val="24"/>
          <w:szCs w:val="24"/>
        </w:rPr>
        <w:t xml:space="preserve"> using epigraphic and numismatic evidence to explore the visual aspects of the Roman administration as well as the traditional literary evidence. However</w:t>
      </w:r>
      <w:r w:rsidR="00FB14C7">
        <w:rPr>
          <w:sz w:val="24"/>
          <w:szCs w:val="24"/>
        </w:rPr>
        <w:t>,</w:t>
      </w:r>
      <w:r w:rsidR="008066FF">
        <w:rPr>
          <w:sz w:val="24"/>
          <w:szCs w:val="24"/>
        </w:rPr>
        <w:t xml:space="preserve"> they have </w:t>
      </w:r>
      <w:r>
        <w:rPr>
          <w:sz w:val="24"/>
          <w:szCs w:val="24"/>
        </w:rPr>
        <w:t>tended to divert the perspective from a history of the Roman administration and</w:t>
      </w:r>
      <w:r w:rsidR="00FB14C7">
        <w:rPr>
          <w:sz w:val="24"/>
          <w:szCs w:val="24"/>
        </w:rPr>
        <w:t>,</w:t>
      </w:r>
      <w:r>
        <w:rPr>
          <w:sz w:val="24"/>
          <w:szCs w:val="24"/>
        </w:rPr>
        <w:t xml:space="preserve"> instead</w:t>
      </w:r>
      <w:r w:rsidR="00FB14C7">
        <w:rPr>
          <w:sz w:val="24"/>
          <w:szCs w:val="24"/>
        </w:rPr>
        <w:t>,</w:t>
      </w:r>
      <w:r>
        <w:rPr>
          <w:sz w:val="24"/>
          <w:szCs w:val="24"/>
        </w:rPr>
        <w:t xml:space="preserve"> re-orientated it to focus on the culture and society of those elites who ran the empire.</w:t>
      </w:r>
    </w:p>
    <w:p w:rsidR="006E1E5C" w:rsidRDefault="00096170" w:rsidP="00722391">
      <w:pPr>
        <w:spacing w:line="480" w:lineRule="auto"/>
        <w:ind w:firstLine="720"/>
        <w:jc w:val="both"/>
        <w:rPr>
          <w:sz w:val="24"/>
          <w:szCs w:val="24"/>
        </w:rPr>
      </w:pPr>
      <w:r>
        <w:rPr>
          <w:sz w:val="24"/>
          <w:szCs w:val="24"/>
        </w:rPr>
        <w:lastRenderedPageBreak/>
        <w:t xml:space="preserve">Building upon this the recent </w:t>
      </w:r>
      <w:r w:rsidR="006E1E5C">
        <w:rPr>
          <w:sz w:val="24"/>
          <w:szCs w:val="24"/>
        </w:rPr>
        <w:t>historiography of late antique Rome, whilst accepting the work and conclusio</w:t>
      </w:r>
      <w:r>
        <w:rPr>
          <w:sz w:val="24"/>
          <w:szCs w:val="24"/>
        </w:rPr>
        <w:t>ns of Chastagnol and Jones, has</w:t>
      </w:r>
      <w:r w:rsidR="006E1E5C">
        <w:rPr>
          <w:sz w:val="24"/>
          <w:szCs w:val="24"/>
        </w:rPr>
        <w:t xml:space="preserve"> moved away from studying the administr</w:t>
      </w:r>
      <w:r w:rsidR="00DF1B24">
        <w:rPr>
          <w:sz w:val="24"/>
          <w:szCs w:val="24"/>
        </w:rPr>
        <w:t>ation of the city, to a study of</w:t>
      </w:r>
      <w:r w:rsidR="006E1E5C">
        <w:rPr>
          <w:sz w:val="24"/>
          <w:szCs w:val="24"/>
        </w:rPr>
        <w:t xml:space="preserve"> the cultural and social changes that </w:t>
      </w:r>
      <w:r w:rsidR="009A1E36">
        <w:rPr>
          <w:sz w:val="24"/>
          <w:szCs w:val="24"/>
        </w:rPr>
        <w:t>occurred</w:t>
      </w:r>
      <w:r w:rsidR="006E1E5C">
        <w:rPr>
          <w:sz w:val="24"/>
          <w:szCs w:val="24"/>
        </w:rPr>
        <w:t xml:space="preserve"> in the later Empire.</w:t>
      </w:r>
      <w:r w:rsidR="006E1E5C">
        <w:rPr>
          <w:rStyle w:val="FootnoteReference"/>
          <w:sz w:val="24"/>
          <w:szCs w:val="24"/>
        </w:rPr>
        <w:footnoteReference w:id="27"/>
      </w:r>
      <w:r w:rsidR="006E1E5C">
        <w:rPr>
          <w:sz w:val="24"/>
          <w:szCs w:val="24"/>
        </w:rPr>
        <w:t xml:space="preserve"> Elements of the administration such as the food and water supply of Rome or the transformation of the Senate continue to be studied, only now for the social implications of those administrative policies.</w:t>
      </w:r>
      <w:r w:rsidR="006E1E5C">
        <w:rPr>
          <w:rStyle w:val="FootnoteReference"/>
          <w:sz w:val="24"/>
          <w:szCs w:val="24"/>
        </w:rPr>
        <w:footnoteReference w:id="28"/>
      </w:r>
      <w:r w:rsidR="008066FF">
        <w:rPr>
          <w:sz w:val="24"/>
          <w:szCs w:val="24"/>
        </w:rPr>
        <w:t xml:space="preserve"> </w:t>
      </w:r>
      <w:r w:rsidR="0030130A">
        <w:rPr>
          <w:sz w:val="24"/>
          <w:szCs w:val="24"/>
        </w:rPr>
        <w:t>Tellingly, a</w:t>
      </w:r>
      <w:r w:rsidR="006E1E5C">
        <w:rPr>
          <w:sz w:val="24"/>
          <w:szCs w:val="24"/>
        </w:rPr>
        <w:t xml:space="preserve"> recent volume on late antique Rome, Lucy Grig’s and Gavin Kelly’s </w:t>
      </w:r>
      <w:r w:rsidR="006E1E5C">
        <w:rPr>
          <w:i/>
          <w:sz w:val="24"/>
          <w:szCs w:val="24"/>
        </w:rPr>
        <w:t>Two Romes</w:t>
      </w:r>
      <w:r w:rsidR="0030130A">
        <w:rPr>
          <w:sz w:val="24"/>
          <w:szCs w:val="24"/>
        </w:rPr>
        <w:t xml:space="preserve"> (2012) does not</w:t>
      </w:r>
      <w:r w:rsidR="006E1E5C">
        <w:rPr>
          <w:sz w:val="24"/>
          <w:szCs w:val="24"/>
        </w:rPr>
        <w:t xml:space="preserve"> have a chapter</w:t>
      </w:r>
      <w:r w:rsidR="0030130A">
        <w:rPr>
          <w:sz w:val="24"/>
          <w:szCs w:val="24"/>
        </w:rPr>
        <w:t xml:space="preserve"> focused</w:t>
      </w:r>
      <w:r w:rsidR="006E1E5C">
        <w:rPr>
          <w:sz w:val="24"/>
          <w:szCs w:val="24"/>
        </w:rPr>
        <w:t xml:space="preserve"> on the administration of the cities of Rome and Constantinople</w:t>
      </w:r>
      <w:r w:rsidR="00533183">
        <w:rPr>
          <w:sz w:val="24"/>
          <w:szCs w:val="24"/>
        </w:rPr>
        <w:t>.</w:t>
      </w:r>
      <w:r w:rsidR="0030130A">
        <w:rPr>
          <w:sz w:val="24"/>
          <w:szCs w:val="24"/>
        </w:rPr>
        <w:t xml:space="preserve"> </w:t>
      </w:r>
      <w:r w:rsidR="00533183">
        <w:rPr>
          <w:sz w:val="24"/>
          <w:szCs w:val="24"/>
        </w:rPr>
        <w:t>Instead the</w:t>
      </w:r>
      <w:r w:rsidR="0030130A">
        <w:rPr>
          <w:sz w:val="24"/>
          <w:szCs w:val="24"/>
        </w:rPr>
        <w:t xml:space="preserve"> discussions of administrative aspects are interwoven with the volume’s attention to urban life</w:t>
      </w:r>
      <w:r w:rsidR="006E1E5C">
        <w:rPr>
          <w:sz w:val="24"/>
          <w:szCs w:val="24"/>
        </w:rPr>
        <w:t>. The interest is now in what people thought and felt. Documents that had been treated by Chastagnol and Jones as records of government are now examined as cultural documents, insights into a literary tradition that valued official looking documents and catalogues.</w:t>
      </w:r>
      <w:r w:rsidR="006E1E5C">
        <w:rPr>
          <w:rStyle w:val="FootnoteReference"/>
          <w:sz w:val="24"/>
          <w:szCs w:val="24"/>
        </w:rPr>
        <w:footnoteReference w:id="29"/>
      </w:r>
      <w:r w:rsidR="006E1E5C">
        <w:rPr>
          <w:sz w:val="24"/>
          <w:szCs w:val="24"/>
        </w:rPr>
        <w:t xml:space="preserve"> These historians felt that the numbers and information within our sources are often prone to exaggeration and poor </w:t>
      </w:r>
      <w:r w:rsidR="008066FF">
        <w:rPr>
          <w:sz w:val="24"/>
          <w:szCs w:val="24"/>
        </w:rPr>
        <w:t>transmission</w:t>
      </w:r>
      <w:r w:rsidR="006E1E5C">
        <w:rPr>
          <w:sz w:val="24"/>
          <w:szCs w:val="24"/>
        </w:rPr>
        <w:t xml:space="preserve"> so </w:t>
      </w:r>
      <w:r w:rsidR="00FB14C7">
        <w:rPr>
          <w:sz w:val="24"/>
          <w:szCs w:val="24"/>
        </w:rPr>
        <w:t>that</w:t>
      </w:r>
      <w:r w:rsidR="00DF1B24">
        <w:rPr>
          <w:sz w:val="24"/>
          <w:szCs w:val="24"/>
        </w:rPr>
        <w:t xml:space="preserve"> they can hardly</w:t>
      </w:r>
      <w:r w:rsidR="006E1E5C">
        <w:rPr>
          <w:sz w:val="24"/>
          <w:szCs w:val="24"/>
        </w:rPr>
        <w:t xml:space="preserve"> be reliable sources for the administration. It has become more </w:t>
      </w:r>
      <w:r w:rsidR="00840ADC">
        <w:rPr>
          <w:sz w:val="24"/>
          <w:szCs w:val="24"/>
        </w:rPr>
        <w:t>widespread</w:t>
      </w:r>
      <w:r w:rsidR="006E1E5C">
        <w:rPr>
          <w:sz w:val="24"/>
          <w:szCs w:val="24"/>
        </w:rPr>
        <w:t xml:space="preserve"> </w:t>
      </w:r>
      <w:r w:rsidR="00640A17">
        <w:rPr>
          <w:sz w:val="24"/>
          <w:szCs w:val="24"/>
        </w:rPr>
        <w:t>to</w:t>
      </w:r>
      <w:r w:rsidR="006E1E5C">
        <w:rPr>
          <w:sz w:val="24"/>
          <w:szCs w:val="24"/>
        </w:rPr>
        <w:t xml:space="preserve"> instead</w:t>
      </w:r>
      <w:r w:rsidR="00FB14C7">
        <w:rPr>
          <w:sz w:val="24"/>
          <w:szCs w:val="24"/>
        </w:rPr>
        <w:t>,</w:t>
      </w:r>
      <w:r w:rsidR="006E1E5C">
        <w:rPr>
          <w:sz w:val="24"/>
          <w:szCs w:val="24"/>
        </w:rPr>
        <w:t xml:space="preserve"> examine them for what they can tell us about the society and what it </w:t>
      </w:r>
      <w:r w:rsidR="00AC10CA">
        <w:rPr>
          <w:sz w:val="24"/>
          <w:szCs w:val="24"/>
        </w:rPr>
        <w:t>considered culturally significant</w:t>
      </w:r>
      <w:r w:rsidR="006E1E5C">
        <w:rPr>
          <w:sz w:val="24"/>
          <w:szCs w:val="24"/>
        </w:rPr>
        <w:t>.</w:t>
      </w:r>
      <w:r w:rsidR="006E1E5C">
        <w:rPr>
          <w:rStyle w:val="FootnoteReference"/>
          <w:sz w:val="24"/>
          <w:szCs w:val="24"/>
        </w:rPr>
        <w:footnoteReference w:id="30"/>
      </w:r>
    </w:p>
    <w:p w:rsidR="006E1E5C" w:rsidRDefault="006E1E5C" w:rsidP="00722391">
      <w:pPr>
        <w:spacing w:line="480" w:lineRule="auto"/>
        <w:ind w:firstLine="720"/>
        <w:jc w:val="both"/>
        <w:rPr>
          <w:sz w:val="24"/>
          <w:szCs w:val="24"/>
        </w:rPr>
      </w:pPr>
      <w:r>
        <w:rPr>
          <w:sz w:val="24"/>
          <w:szCs w:val="24"/>
        </w:rPr>
        <w:t>With this in mind</w:t>
      </w:r>
      <w:r w:rsidR="00FB14C7">
        <w:rPr>
          <w:sz w:val="24"/>
          <w:szCs w:val="24"/>
        </w:rPr>
        <w:t>,</w:t>
      </w:r>
      <w:r>
        <w:rPr>
          <w:sz w:val="24"/>
          <w:szCs w:val="24"/>
        </w:rPr>
        <w:t xml:space="preserve"> </w:t>
      </w:r>
      <w:r w:rsidR="009A1E36">
        <w:rPr>
          <w:sz w:val="24"/>
          <w:szCs w:val="24"/>
        </w:rPr>
        <w:t>we can see how</w:t>
      </w:r>
      <w:r>
        <w:rPr>
          <w:sz w:val="24"/>
          <w:szCs w:val="24"/>
        </w:rPr>
        <w:t xml:space="preserve"> the </w:t>
      </w:r>
      <w:r>
        <w:rPr>
          <w:i/>
          <w:sz w:val="24"/>
          <w:szCs w:val="24"/>
        </w:rPr>
        <w:t>Regionary Catalogues’s</w:t>
      </w:r>
      <w:r>
        <w:rPr>
          <w:sz w:val="24"/>
          <w:szCs w:val="24"/>
        </w:rPr>
        <w:t xml:space="preserve"> historiography</w:t>
      </w:r>
      <w:r w:rsidR="009A1E36">
        <w:rPr>
          <w:sz w:val="24"/>
          <w:szCs w:val="24"/>
        </w:rPr>
        <w:t xml:space="preserve"> changed</w:t>
      </w:r>
      <w:r>
        <w:rPr>
          <w:i/>
          <w:sz w:val="24"/>
          <w:szCs w:val="24"/>
        </w:rPr>
        <w:t xml:space="preserve"> </w:t>
      </w:r>
      <w:r w:rsidR="009A1E36">
        <w:rPr>
          <w:sz w:val="24"/>
          <w:szCs w:val="24"/>
        </w:rPr>
        <w:t xml:space="preserve">from having an </w:t>
      </w:r>
      <w:r>
        <w:rPr>
          <w:sz w:val="24"/>
          <w:szCs w:val="24"/>
        </w:rPr>
        <w:t>administrative</w:t>
      </w:r>
      <w:r w:rsidR="009A1E36">
        <w:rPr>
          <w:sz w:val="24"/>
          <w:szCs w:val="24"/>
        </w:rPr>
        <w:t xml:space="preserve"> focus to</w:t>
      </w:r>
      <w:r w:rsidR="00095DC1">
        <w:rPr>
          <w:sz w:val="24"/>
          <w:szCs w:val="24"/>
        </w:rPr>
        <w:t xml:space="preserve"> a greater</w:t>
      </w:r>
      <w:r w:rsidR="009A1E36">
        <w:rPr>
          <w:sz w:val="24"/>
          <w:szCs w:val="24"/>
        </w:rPr>
        <w:t xml:space="preserve"> interest in </w:t>
      </w:r>
      <w:r w:rsidR="00AE2C65">
        <w:rPr>
          <w:sz w:val="24"/>
          <w:szCs w:val="24"/>
        </w:rPr>
        <w:t>their</w:t>
      </w:r>
      <w:r>
        <w:rPr>
          <w:sz w:val="24"/>
          <w:szCs w:val="24"/>
        </w:rPr>
        <w:t xml:space="preserve"> cultural</w:t>
      </w:r>
      <w:r w:rsidR="009A1E36">
        <w:rPr>
          <w:sz w:val="24"/>
          <w:szCs w:val="24"/>
        </w:rPr>
        <w:t xml:space="preserve"> value</w:t>
      </w:r>
      <w:r>
        <w:rPr>
          <w:i/>
          <w:sz w:val="24"/>
          <w:szCs w:val="24"/>
        </w:rPr>
        <w:t xml:space="preserve">. </w:t>
      </w:r>
      <w:r>
        <w:rPr>
          <w:sz w:val="24"/>
          <w:szCs w:val="24"/>
        </w:rPr>
        <w:t xml:space="preserve">The </w:t>
      </w:r>
      <w:r>
        <w:rPr>
          <w:sz w:val="24"/>
          <w:szCs w:val="24"/>
        </w:rPr>
        <w:lastRenderedPageBreak/>
        <w:t xml:space="preserve">limited historiography for the </w:t>
      </w:r>
      <w:r>
        <w:rPr>
          <w:i/>
          <w:sz w:val="24"/>
          <w:szCs w:val="24"/>
        </w:rPr>
        <w:t>Regionary Catalogues</w:t>
      </w:r>
      <w:r>
        <w:rPr>
          <w:sz w:val="24"/>
          <w:szCs w:val="24"/>
        </w:rPr>
        <w:t xml:space="preserve"> can largely be grouped into three strands. The earliest strand focuses on the </w:t>
      </w:r>
      <w:r>
        <w:rPr>
          <w:i/>
          <w:sz w:val="24"/>
          <w:szCs w:val="24"/>
        </w:rPr>
        <w:t>Regionaries</w:t>
      </w:r>
      <w:r>
        <w:rPr>
          <w:sz w:val="24"/>
          <w:szCs w:val="24"/>
        </w:rPr>
        <w:t xml:space="preserve"> as a source for the topography and administration of late antique Rome.</w:t>
      </w:r>
      <w:r w:rsidR="004B42E9" w:rsidRPr="004B42E9">
        <w:rPr>
          <w:sz w:val="24"/>
          <w:szCs w:val="24"/>
        </w:rPr>
        <w:t xml:space="preserve"> </w:t>
      </w:r>
      <w:r w:rsidR="004B42E9">
        <w:rPr>
          <w:sz w:val="24"/>
          <w:szCs w:val="24"/>
        </w:rPr>
        <w:t xml:space="preserve">The second is that the </w:t>
      </w:r>
      <w:r w:rsidR="004B42E9">
        <w:rPr>
          <w:i/>
          <w:sz w:val="24"/>
          <w:szCs w:val="24"/>
        </w:rPr>
        <w:t>Regionaries</w:t>
      </w:r>
      <w:r w:rsidR="004B42E9">
        <w:rPr>
          <w:sz w:val="24"/>
          <w:szCs w:val="24"/>
        </w:rPr>
        <w:t xml:space="preserve"> served as a traveller’s guide, which has been based upon comparison to other similar documents of the time.</w:t>
      </w:r>
      <w:r>
        <w:rPr>
          <w:sz w:val="24"/>
          <w:szCs w:val="24"/>
        </w:rPr>
        <w:t xml:space="preserve"> The </w:t>
      </w:r>
      <w:r w:rsidR="004B42E9">
        <w:rPr>
          <w:sz w:val="24"/>
          <w:szCs w:val="24"/>
        </w:rPr>
        <w:t>third</w:t>
      </w:r>
      <w:r>
        <w:rPr>
          <w:sz w:val="24"/>
          <w:szCs w:val="24"/>
        </w:rPr>
        <w:t xml:space="preserve"> treats the document as panegyric and most commonly features in arguments for a pagan revival in Rome</w:t>
      </w:r>
      <w:r w:rsidR="00095DC1">
        <w:rPr>
          <w:sz w:val="24"/>
          <w:szCs w:val="24"/>
        </w:rPr>
        <w:t xml:space="preserve"> during the late fourth-century</w:t>
      </w:r>
      <w:r>
        <w:rPr>
          <w:sz w:val="24"/>
          <w:szCs w:val="24"/>
        </w:rPr>
        <w:t xml:space="preserve">. </w:t>
      </w:r>
    </w:p>
    <w:p w:rsidR="006E1E5C" w:rsidRDefault="006E1E5C" w:rsidP="00722391">
      <w:pPr>
        <w:spacing w:line="480" w:lineRule="auto"/>
        <w:ind w:firstLine="720"/>
        <w:jc w:val="both"/>
        <w:rPr>
          <w:sz w:val="24"/>
          <w:szCs w:val="24"/>
        </w:rPr>
      </w:pPr>
      <w:r>
        <w:rPr>
          <w:sz w:val="24"/>
          <w:szCs w:val="24"/>
        </w:rPr>
        <w:t xml:space="preserve">In the earliest strand of historiography, we see the </w:t>
      </w:r>
      <w:r>
        <w:rPr>
          <w:i/>
          <w:sz w:val="24"/>
          <w:szCs w:val="24"/>
        </w:rPr>
        <w:t>Regionary Catalogues</w:t>
      </w:r>
      <w:r>
        <w:rPr>
          <w:sz w:val="24"/>
          <w:szCs w:val="24"/>
        </w:rPr>
        <w:t xml:space="preserve"> primarily used as a source for the knowledge that they can provide about Rome’s urban administration. This </w:t>
      </w:r>
      <w:r w:rsidR="00F13E8A">
        <w:rPr>
          <w:sz w:val="24"/>
          <w:szCs w:val="24"/>
        </w:rPr>
        <w:t>was part of the t</w:t>
      </w:r>
      <w:r>
        <w:rPr>
          <w:sz w:val="24"/>
          <w:szCs w:val="24"/>
        </w:rPr>
        <w:t xml:space="preserve">raditional school of administrative </w:t>
      </w:r>
      <w:r w:rsidR="009E6CB4">
        <w:rPr>
          <w:sz w:val="24"/>
          <w:szCs w:val="24"/>
        </w:rPr>
        <w:t>historiography, which</w:t>
      </w:r>
      <w:r w:rsidR="00FB14C7">
        <w:rPr>
          <w:sz w:val="24"/>
          <w:szCs w:val="24"/>
        </w:rPr>
        <w:t xml:space="preserve"> </w:t>
      </w:r>
      <w:r w:rsidR="00F13E8A">
        <w:rPr>
          <w:sz w:val="24"/>
          <w:szCs w:val="24"/>
        </w:rPr>
        <w:t>is</w:t>
      </w:r>
      <w:r w:rsidR="00FB14C7">
        <w:rPr>
          <w:sz w:val="24"/>
          <w:szCs w:val="24"/>
        </w:rPr>
        <w:t xml:space="preserve"> </w:t>
      </w:r>
      <w:r w:rsidR="00F13E8A">
        <w:rPr>
          <w:sz w:val="24"/>
          <w:szCs w:val="24"/>
        </w:rPr>
        <w:t>best exemplified</w:t>
      </w:r>
      <w:r w:rsidR="00FB14C7">
        <w:rPr>
          <w:sz w:val="24"/>
          <w:szCs w:val="24"/>
        </w:rPr>
        <w:t xml:space="preserve"> by the work</w:t>
      </w:r>
      <w:r>
        <w:rPr>
          <w:sz w:val="24"/>
          <w:szCs w:val="24"/>
        </w:rPr>
        <w:t xml:space="preserve"> of Chastagnol and Jone</w:t>
      </w:r>
      <w:r w:rsidR="00F13E8A">
        <w:rPr>
          <w:sz w:val="24"/>
          <w:szCs w:val="24"/>
        </w:rPr>
        <w:t>s,</w:t>
      </w:r>
      <w:r>
        <w:rPr>
          <w:sz w:val="24"/>
          <w:szCs w:val="24"/>
        </w:rPr>
        <w:t xml:space="preserve"> that our surviving lists and catalogues are the result of an increasingly bureaucratic Empire that wished for a greater degree of control over its subjects. Henri Jordan’s </w:t>
      </w:r>
      <w:r w:rsidR="00FB14C7">
        <w:rPr>
          <w:i/>
          <w:sz w:val="24"/>
          <w:szCs w:val="24"/>
        </w:rPr>
        <w:t>Topographie der S</w:t>
      </w:r>
      <w:r>
        <w:rPr>
          <w:i/>
          <w:sz w:val="24"/>
          <w:szCs w:val="24"/>
        </w:rPr>
        <w:t>tadt Rom im Alterthum</w:t>
      </w:r>
      <w:r w:rsidR="00FB14C7">
        <w:rPr>
          <w:sz w:val="24"/>
          <w:szCs w:val="24"/>
        </w:rPr>
        <w:t xml:space="preserve"> (2 vols. 1875) was</w:t>
      </w:r>
      <w:r>
        <w:rPr>
          <w:sz w:val="24"/>
          <w:szCs w:val="24"/>
        </w:rPr>
        <w:t xml:space="preserve"> the first demonstrable </w:t>
      </w:r>
      <w:r w:rsidR="00FB14C7">
        <w:rPr>
          <w:sz w:val="24"/>
          <w:szCs w:val="24"/>
        </w:rPr>
        <w:t>example</w:t>
      </w:r>
      <w:r>
        <w:rPr>
          <w:sz w:val="24"/>
          <w:szCs w:val="24"/>
        </w:rPr>
        <w:t xml:space="preserve"> of this, using the </w:t>
      </w:r>
      <w:r>
        <w:rPr>
          <w:i/>
          <w:sz w:val="24"/>
          <w:szCs w:val="24"/>
        </w:rPr>
        <w:t>Regionary Catalogues</w:t>
      </w:r>
      <w:r>
        <w:rPr>
          <w:sz w:val="24"/>
          <w:szCs w:val="24"/>
        </w:rPr>
        <w:t xml:space="preserve"> as part of his topographical analysis of the city.</w:t>
      </w:r>
      <w:r>
        <w:rPr>
          <w:rStyle w:val="FootnoteReference"/>
          <w:sz w:val="24"/>
          <w:szCs w:val="24"/>
        </w:rPr>
        <w:footnoteReference w:id="31"/>
      </w:r>
      <w:r>
        <w:rPr>
          <w:sz w:val="24"/>
          <w:szCs w:val="24"/>
        </w:rPr>
        <w:t xml:space="preserve">  Jordan first made the assumption that has come to characterise this strain of historiography, that the </w:t>
      </w:r>
      <w:r>
        <w:rPr>
          <w:i/>
          <w:sz w:val="24"/>
          <w:szCs w:val="24"/>
        </w:rPr>
        <w:t>Regionary Catalogues</w:t>
      </w:r>
      <w:r>
        <w:rPr>
          <w:sz w:val="24"/>
          <w:szCs w:val="24"/>
        </w:rPr>
        <w:t xml:space="preserve"> had been produced by data obtained from the archives of the Urban Prefect</w:t>
      </w:r>
      <w:r w:rsidR="00F13E8A">
        <w:rPr>
          <w:sz w:val="24"/>
          <w:szCs w:val="24"/>
        </w:rPr>
        <w:t>,</w:t>
      </w:r>
      <w:r>
        <w:rPr>
          <w:sz w:val="24"/>
          <w:szCs w:val="24"/>
        </w:rPr>
        <w:t xml:space="preserve"> but does little to support this assumption beyond arguing that the administrative aspects such as the water and grain supplies would have been of interest to the Urban Prefect.</w:t>
      </w:r>
      <w:r>
        <w:rPr>
          <w:rStyle w:val="FootnoteReference"/>
          <w:sz w:val="24"/>
          <w:szCs w:val="24"/>
        </w:rPr>
        <w:footnoteReference w:id="32"/>
      </w:r>
      <w:r>
        <w:rPr>
          <w:sz w:val="24"/>
          <w:szCs w:val="24"/>
        </w:rPr>
        <w:t xml:space="preserve"> </w:t>
      </w:r>
    </w:p>
    <w:p w:rsidR="006E1E5C" w:rsidRDefault="006E1E5C" w:rsidP="00722391">
      <w:pPr>
        <w:spacing w:line="480" w:lineRule="auto"/>
        <w:ind w:firstLine="720"/>
        <w:jc w:val="both"/>
        <w:rPr>
          <w:sz w:val="24"/>
          <w:szCs w:val="24"/>
        </w:rPr>
      </w:pPr>
      <w:r>
        <w:rPr>
          <w:sz w:val="24"/>
          <w:szCs w:val="24"/>
        </w:rPr>
        <w:t xml:space="preserve">The next major analysis of the </w:t>
      </w:r>
      <w:r>
        <w:rPr>
          <w:i/>
          <w:sz w:val="24"/>
          <w:szCs w:val="24"/>
        </w:rPr>
        <w:t>Regionaries</w:t>
      </w:r>
      <w:r>
        <w:rPr>
          <w:sz w:val="24"/>
          <w:szCs w:val="24"/>
        </w:rPr>
        <w:t xml:space="preserve"> and the first to examine the document </w:t>
      </w:r>
      <w:r w:rsidR="009E6CB4">
        <w:rPr>
          <w:sz w:val="24"/>
          <w:szCs w:val="24"/>
        </w:rPr>
        <w:t>itself</w:t>
      </w:r>
      <w:r>
        <w:rPr>
          <w:sz w:val="24"/>
          <w:szCs w:val="24"/>
        </w:rPr>
        <w:t xml:space="preserve"> is an attempt by E.T. Merrill to date the </w:t>
      </w:r>
      <w:r>
        <w:rPr>
          <w:i/>
          <w:sz w:val="24"/>
          <w:szCs w:val="24"/>
        </w:rPr>
        <w:t>Notitia</w:t>
      </w:r>
      <w:r>
        <w:rPr>
          <w:sz w:val="24"/>
          <w:szCs w:val="24"/>
        </w:rPr>
        <w:t xml:space="preserve"> and </w:t>
      </w:r>
      <w:r>
        <w:rPr>
          <w:i/>
          <w:sz w:val="24"/>
          <w:szCs w:val="24"/>
        </w:rPr>
        <w:t>Curiosum</w:t>
      </w:r>
      <w:r>
        <w:rPr>
          <w:sz w:val="24"/>
          <w:szCs w:val="24"/>
        </w:rPr>
        <w:t xml:space="preserve"> and in doing so shed some light on their provenance.</w:t>
      </w:r>
      <w:r>
        <w:rPr>
          <w:rStyle w:val="FootnoteReference"/>
          <w:sz w:val="24"/>
          <w:szCs w:val="24"/>
        </w:rPr>
        <w:footnoteReference w:id="33"/>
      </w:r>
      <w:r>
        <w:rPr>
          <w:sz w:val="24"/>
          <w:szCs w:val="24"/>
        </w:rPr>
        <w:t xml:space="preserve"> </w:t>
      </w:r>
      <w:r>
        <w:rPr>
          <w:rFonts w:cs="Sabon-Roman"/>
          <w:color w:val="231F20"/>
          <w:sz w:val="24"/>
          <w:szCs w:val="24"/>
          <w:lang w:val="de-DE"/>
        </w:rPr>
        <w:t xml:space="preserve">Merrill feels that the debate surrounding the </w:t>
      </w:r>
      <w:r>
        <w:rPr>
          <w:rFonts w:cs="Sabon-Roman"/>
          <w:i/>
          <w:color w:val="231F20"/>
          <w:sz w:val="24"/>
          <w:szCs w:val="24"/>
          <w:lang w:val="de-DE"/>
        </w:rPr>
        <w:t>Regionaries</w:t>
      </w:r>
      <w:r>
        <w:rPr>
          <w:rFonts w:cs="Sabon-Roman"/>
          <w:color w:val="231F20"/>
          <w:sz w:val="24"/>
          <w:szCs w:val="24"/>
          <w:lang w:val="de-DE"/>
        </w:rPr>
        <w:t xml:space="preserve"> </w:t>
      </w:r>
      <w:r w:rsidR="009E6CB4">
        <w:rPr>
          <w:rFonts w:cs="Sabon-Roman"/>
          <w:color w:val="231F20"/>
          <w:sz w:val="24"/>
          <w:szCs w:val="24"/>
          <w:lang w:val="de-DE"/>
        </w:rPr>
        <w:lastRenderedPageBreak/>
        <w:t>had</w:t>
      </w:r>
      <w:r w:rsidR="009A1E36">
        <w:rPr>
          <w:rFonts w:cs="Sabon-Roman"/>
          <w:color w:val="231F20"/>
          <w:sz w:val="24"/>
          <w:szCs w:val="24"/>
          <w:lang w:val="de-DE"/>
        </w:rPr>
        <w:t xml:space="preserve"> been hampered due to </w:t>
      </w:r>
      <w:r>
        <w:rPr>
          <w:rFonts w:cs="Sabon-Roman"/>
          <w:color w:val="231F20"/>
          <w:sz w:val="24"/>
          <w:szCs w:val="24"/>
          <w:lang w:val="de-DE"/>
        </w:rPr>
        <w:t>little academic work on their purpose or provenance. However</w:t>
      </w:r>
      <w:r w:rsidR="00F13E8A">
        <w:rPr>
          <w:rFonts w:cs="Sabon-Roman"/>
          <w:color w:val="231F20"/>
          <w:sz w:val="24"/>
          <w:szCs w:val="24"/>
          <w:lang w:val="de-DE"/>
        </w:rPr>
        <w:t>,</w:t>
      </w:r>
      <w:r>
        <w:rPr>
          <w:rFonts w:cs="Sabon-Roman"/>
          <w:color w:val="231F20"/>
          <w:sz w:val="24"/>
          <w:szCs w:val="24"/>
          <w:lang w:val="de-DE"/>
        </w:rPr>
        <w:t xml:space="preserve"> it is clear to him that both the </w:t>
      </w:r>
      <w:r>
        <w:rPr>
          <w:rFonts w:cs="Sabon-Roman"/>
          <w:i/>
          <w:color w:val="231F20"/>
          <w:sz w:val="24"/>
          <w:szCs w:val="24"/>
          <w:lang w:val="de-DE"/>
        </w:rPr>
        <w:t xml:space="preserve">Notitia </w:t>
      </w:r>
      <w:r>
        <w:rPr>
          <w:rFonts w:cs="Sabon-Roman"/>
          <w:color w:val="231F20"/>
          <w:sz w:val="24"/>
          <w:szCs w:val="24"/>
          <w:lang w:val="de-DE"/>
        </w:rPr>
        <w:t xml:space="preserve">and the </w:t>
      </w:r>
      <w:r>
        <w:rPr>
          <w:rFonts w:cs="Sabon-Roman"/>
          <w:i/>
          <w:color w:val="231F20"/>
          <w:sz w:val="24"/>
          <w:szCs w:val="24"/>
          <w:lang w:val="de-DE"/>
        </w:rPr>
        <w:t xml:space="preserve">Curiosum </w:t>
      </w:r>
      <w:r>
        <w:rPr>
          <w:rFonts w:cs="Sabon-Roman"/>
          <w:color w:val="231F20"/>
          <w:sz w:val="24"/>
          <w:szCs w:val="24"/>
          <w:lang w:val="de-DE"/>
        </w:rPr>
        <w:t xml:space="preserve">are descended from a common source that existed before the earliest possible date of the </w:t>
      </w:r>
      <w:r>
        <w:rPr>
          <w:rFonts w:cs="Sabon-Roman"/>
          <w:i/>
          <w:color w:val="231F20"/>
          <w:sz w:val="24"/>
          <w:szCs w:val="24"/>
          <w:lang w:val="de-DE"/>
        </w:rPr>
        <w:t>Regionaries</w:t>
      </w:r>
      <w:r>
        <w:rPr>
          <w:rFonts w:cs="Sabon-Roman"/>
          <w:color w:val="231F20"/>
          <w:sz w:val="24"/>
          <w:szCs w:val="24"/>
          <w:lang w:val="de-DE"/>
        </w:rPr>
        <w:t xml:space="preserve"> (AD 313).</w:t>
      </w:r>
      <w:r>
        <w:rPr>
          <w:rStyle w:val="FootnoteReference"/>
          <w:rFonts w:cs="Sabon-Roman"/>
          <w:color w:val="231F20"/>
          <w:sz w:val="24"/>
          <w:szCs w:val="24"/>
          <w:lang w:val="de-DE"/>
        </w:rPr>
        <w:footnoteReference w:id="34"/>
      </w:r>
      <w:r>
        <w:rPr>
          <w:rFonts w:cs="Sabon-Roman"/>
          <w:color w:val="231F20"/>
          <w:sz w:val="24"/>
          <w:szCs w:val="24"/>
          <w:lang w:val="de-DE"/>
        </w:rPr>
        <w:t xml:space="preserve"> As a side note, Merrill does reference the </w:t>
      </w:r>
      <w:r>
        <w:rPr>
          <w:rFonts w:cs="Sabon-Roman"/>
          <w:i/>
          <w:color w:val="231F20"/>
          <w:sz w:val="24"/>
          <w:szCs w:val="24"/>
          <w:lang w:val="de-DE"/>
        </w:rPr>
        <w:t>Notitia Dignitatum</w:t>
      </w:r>
      <w:r w:rsidR="004B42E9">
        <w:rPr>
          <w:rFonts w:cs="Sabon-Roman"/>
          <w:i/>
          <w:color w:val="231F20"/>
          <w:sz w:val="24"/>
          <w:szCs w:val="24"/>
          <w:lang w:val="de-DE"/>
        </w:rPr>
        <w:t xml:space="preserve"> </w:t>
      </w:r>
      <w:r w:rsidR="004B42E9">
        <w:rPr>
          <w:rFonts w:cs="Sabon-Roman"/>
          <w:color w:val="231F20"/>
          <w:sz w:val="24"/>
          <w:szCs w:val="24"/>
          <w:lang w:val="de-DE"/>
        </w:rPr>
        <w:t xml:space="preserve">(a register of the Empire’s military and </w:t>
      </w:r>
      <w:r w:rsidR="00AE2C65">
        <w:rPr>
          <w:rFonts w:cs="Sabon-Roman"/>
          <w:color w:val="231F20"/>
          <w:sz w:val="24"/>
          <w:szCs w:val="24"/>
          <w:lang w:val="de-DE"/>
        </w:rPr>
        <w:t>political offices</w:t>
      </w:r>
      <w:r w:rsidR="004B42E9">
        <w:rPr>
          <w:rFonts w:cs="Sabon-Roman"/>
          <w:color w:val="231F20"/>
          <w:sz w:val="24"/>
          <w:szCs w:val="24"/>
          <w:lang w:val="de-DE"/>
        </w:rPr>
        <w:t>)</w:t>
      </w:r>
      <w:r>
        <w:rPr>
          <w:rFonts w:cs="Sabon-Roman"/>
          <w:color w:val="231F20"/>
          <w:sz w:val="24"/>
          <w:szCs w:val="24"/>
          <w:lang w:val="de-DE"/>
        </w:rPr>
        <w:t xml:space="preserve"> in the article, to point out that the </w:t>
      </w:r>
      <w:r w:rsidRPr="00AE2C65">
        <w:rPr>
          <w:rFonts w:cs="Sabon-Roman"/>
          <w:i/>
          <w:color w:val="231F20"/>
          <w:sz w:val="24"/>
          <w:szCs w:val="24"/>
          <w:lang w:val="de-DE"/>
        </w:rPr>
        <w:t>Regionary Ca</w:t>
      </w:r>
      <w:r w:rsidR="00F13E8A" w:rsidRPr="00AE2C65">
        <w:rPr>
          <w:rFonts w:cs="Sabon-Roman"/>
          <w:i/>
          <w:color w:val="231F20"/>
          <w:sz w:val="24"/>
          <w:szCs w:val="24"/>
          <w:lang w:val="de-DE"/>
        </w:rPr>
        <w:t>talogues</w:t>
      </w:r>
      <w:r w:rsidR="00F13E8A">
        <w:rPr>
          <w:rFonts w:cs="Sabon-Roman"/>
          <w:color w:val="231F20"/>
          <w:sz w:val="24"/>
          <w:szCs w:val="24"/>
          <w:lang w:val="de-DE"/>
        </w:rPr>
        <w:t xml:space="preserve"> predate</w:t>
      </w:r>
      <w:r w:rsidR="009E6CB4">
        <w:rPr>
          <w:rFonts w:cs="Sabon-Roman"/>
          <w:color w:val="231F20"/>
          <w:sz w:val="24"/>
          <w:szCs w:val="24"/>
          <w:lang w:val="de-DE"/>
        </w:rPr>
        <w:t>d</w:t>
      </w:r>
      <w:r w:rsidR="00F13E8A">
        <w:rPr>
          <w:rFonts w:cs="Sabon-Roman"/>
          <w:color w:val="231F20"/>
          <w:sz w:val="24"/>
          <w:szCs w:val="24"/>
          <w:lang w:val="de-DE"/>
        </w:rPr>
        <w:t xml:space="preserve"> it by 30 years</w:t>
      </w:r>
      <w:r w:rsidR="00AE2C65">
        <w:rPr>
          <w:rFonts w:cs="Sabon-Roman"/>
          <w:color w:val="231F20"/>
          <w:sz w:val="24"/>
          <w:szCs w:val="24"/>
          <w:lang w:val="de-DE"/>
        </w:rPr>
        <w:t>,</w:t>
      </w:r>
      <w:r>
        <w:rPr>
          <w:rFonts w:cs="Sabon-Roman"/>
          <w:color w:val="231F20"/>
          <w:sz w:val="24"/>
          <w:szCs w:val="24"/>
          <w:lang w:val="de-DE"/>
        </w:rPr>
        <w:t xml:space="preserve"> and </w:t>
      </w:r>
      <w:r w:rsidR="00AE2C65">
        <w:rPr>
          <w:rFonts w:cs="Sabon-Roman"/>
          <w:color w:val="231F20"/>
          <w:sz w:val="24"/>
          <w:szCs w:val="24"/>
          <w:lang w:val="de-DE"/>
        </w:rPr>
        <w:t xml:space="preserve">he </w:t>
      </w:r>
      <w:r>
        <w:rPr>
          <w:rFonts w:cs="Sabon-Roman"/>
          <w:color w:val="231F20"/>
          <w:sz w:val="24"/>
          <w:szCs w:val="24"/>
          <w:lang w:val="de-DE"/>
        </w:rPr>
        <w:t>is</w:t>
      </w:r>
      <w:r w:rsidR="00AE2C65">
        <w:rPr>
          <w:rFonts w:cs="Sabon-Roman"/>
          <w:color w:val="231F20"/>
          <w:sz w:val="24"/>
          <w:szCs w:val="24"/>
          <w:lang w:val="de-DE"/>
        </w:rPr>
        <w:t xml:space="preserve"> also</w:t>
      </w:r>
      <w:r>
        <w:rPr>
          <w:rFonts w:cs="Sabon-Roman"/>
          <w:color w:val="231F20"/>
          <w:sz w:val="24"/>
          <w:szCs w:val="24"/>
          <w:lang w:val="de-DE"/>
        </w:rPr>
        <w:t xml:space="preserve"> the first to draw an explic</w:t>
      </w:r>
      <w:r w:rsidR="00F13E8A">
        <w:rPr>
          <w:rFonts w:cs="Sabon-Roman"/>
          <w:color w:val="231F20"/>
          <w:sz w:val="24"/>
          <w:szCs w:val="24"/>
          <w:lang w:val="de-DE"/>
        </w:rPr>
        <w:t>i</w:t>
      </w:r>
      <w:r>
        <w:rPr>
          <w:rFonts w:cs="Sabon-Roman"/>
          <w:color w:val="231F20"/>
          <w:sz w:val="24"/>
          <w:szCs w:val="24"/>
          <w:lang w:val="de-DE"/>
        </w:rPr>
        <w:t>t link between the catalogues.</w:t>
      </w:r>
      <w:r>
        <w:rPr>
          <w:rStyle w:val="FootnoteReference"/>
          <w:rFonts w:cs="Sabon-Roman"/>
          <w:color w:val="231F20"/>
          <w:sz w:val="24"/>
          <w:szCs w:val="24"/>
          <w:lang w:val="de-DE"/>
        </w:rPr>
        <w:footnoteReference w:id="35"/>
      </w:r>
    </w:p>
    <w:p w:rsidR="006E1E5C" w:rsidRDefault="0030130A" w:rsidP="00722391">
      <w:pPr>
        <w:spacing w:line="480" w:lineRule="auto"/>
        <w:ind w:firstLine="720"/>
        <w:jc w:val="both"/>
        <w:rPr>
          <w:rFonts w:cs="Sabon-Roman"/>
          <w:color w:val="231F20"/>
          <w:sz w:val="24"/>
          <w:szCs w:val="24"/>
          <w:lang w:val="de-DE"/>
        </w:rPr>
      </w:pPr>
      <w:r>
        <w:rPr>
          <w:rFonts w:cs="Sabon-Roman"/>
          <w:color w:val="231F20"/>
          <w:sz w:val="24"/>
          <w:szCs w:val="24"/>
          <w:lang w:val="de-DE"/>
        </w:rPr>
        <w:t>The next to develop Jordan‘</w:t>
      </w:r>
      <w:r w:rsidR="006E1E5C">
        <w:rPr>
          <w:rFonts w:cs="Sabon-Roman"/>
          <w:color w:val="231F20"/>
          <w:sz w:val="24"/>
          <w:szCs w:val="24"/>
          <w:lang w:val="de-DE"/>
        </w:rPr>
        <w:t xml:space="preserve">s thesis were Valentini and Zucchetti, who were the first to argue that the </w:t>
      </w:r>
      <w:r w:rsidR="006E1E5C">
        <w:rPr>
          <w:rFonts w:cs="Sabon-Roman"/>
          <w:i/>
          <w:color w:val="231F20"/>
          <w:sz w:val="24"/>
          <w:szCs w:val="24"/>
          <w:lang w:val="de-DE"/>
        </w:rPr>
        <w:t>Regionary Catalogues</w:t>
      </w:r>
      <w:r w:rsidR="006E1E5C">
        <w:rPr>
          <w:rFonts w:cs="Sabon-Roman"/>
          <w:color w:val="231F20"/>
          <w:sz w:val="24"/>
          <w:szCs w:val="24"/>
          <w:lang w:val="de-DE"/>
        </w:rPr>
        <w:t xml:space="preserve"> served as an administrative index to life in Rome.</w:t>
      </w:r>
      <w:r w:rsidR="006E1E5C">
        <w:rPr>
          <w:rStyle w:val="FootnoteReference"/>
          <w:rFonts w:cs="Sabon-Roman"/>
          <w:color w:val="231F20"/>
          <w:sz w:val="24"/>
          <w:szCs w:val="24"/>
          <w:lang w:val="de-DE"/>
        </w:rPr>
        <w:footnoteReference w:id="36"/>
      </w:r>
      <w:r>
        <w:rPr>
          <w:rFonts w:cs="Sabon-Roman"/>
          <w:color w:val="231F20"/>
          <w:sz w:val="24"/>
          <w:szCs w:val="24"/>
          <w:lang w:val="de-DE"/>
        </w:rPr>
        <w:t xml:space="preserve"> </w:t>
      </w:r>
      <w:r w:rsidR="006E1E5C">
        <w:rPr>
          <w:rFonts w:cs="Sabon-Roman"/>
          <w:color w:val="231F20"/>
          <w:sz w:val="24"/>
          <w:szCs w:val="24"/>
          <w:lang w:val="de-DE"/>
        </w:rPr>
        <w:t>Arvast Nordh developed Jordan’s thesis in a different direction by arguin</w:t>
      </w:r>
      <w:r w:rsidR="001E0974">
        <w:rPr>
          <w:rFonts w:cs="Sabon-Roman"/>
          <w:color w:val="231F20"/>
          <w:sz w:val="24"/>
          <w:szCs w:val="24"/>
          <w:lang w:val="de-DE"/>
        </w:rPr>
        <w:t>g that the catalogues w</w:t>
      </w:r>
      <w:r w:rsidR="006E1E5C">
        <w:rPr>
          <w:rFonts w:cs="Sabon-Roman"/>
          <w:color w:val="231F20"/>
          <w:sz w:val="24"/>
          <w:szCs w:val="24"/>
          <w:lang w:val="de-DE"/>
        </w:rPr>
        <w:t>ere a result of administrative reforms of Constantine that had changed the administrative regions of Rome.</w:t>
      </w:r>
      <w:r w:rsidR="006E1E5C">
        <w:rPr>
          <w:rStyle w:val="FootnoteReference"/>
          <w:rFonts w:cs="Sabon-Roman"/>
          <w:color w:val="231F20"/>
          <w:sz w:val="24"/>
          <w:szCs w:val="24"/>
          <w:lang w:val="de-DE"/>
        </w:rPr>
        <w:footnoteReference w:id="37"/>
      </w:r>
      <w:r w:rsidR="006E1E5C">
        <w:rPr>
          <w:rFonts w:cs="Sabon-Roman"/>
          <w:color w:val="231F20"/>
          <w:sz w:val="24"/>
          <w:szCs w:val="24"/>
          <w:lang w:val="de-DE"/>
        </w:rPr>
        <w:t xml:space="preserve"> </w:t>
      </w:r>
      <w:r w:rsidR="00B0500A">
        <w:rPr>
          <w:rFonts w:cs="Sabon-Roman"/>
          <w:color w:val="231F20"/>
          <w:sz w:val="24"/>
          <w:szCs w:val="24"/>
          <w:lang w:val="de-DE"/>
        </w:rPr>
        <w:t>It was with</w:t>
      </w:r>
      <w:r w:rsidR="006E1E5C">
        <w:rPr>
          <w:rFonts w:cs="Sabon-Roman"/>
          <w:color w:val="231F20"/>
          <w:sz w:val="24"/>
          <w:szCs w:val="24"/>
          <w:lang w:val="de-DE"/>
        </w:rPr>
        <w:t xml:space="preserve"> Nordh</w:t>
      </w:r>
      <w:r w:rsidR="00F13E8A">
        <w:rPr>
          <w:rFonts w:cs="Sabon-Roman"/>
          <w:color w:val="231F20"/>
          <w:sz w:val="24"/>
          <w:szCs w:val="24"/>
          <w:lang w:val="de-DE"/>
        </w:rPr>
        <w:t>‘s</w:t>
      </w:r>
      <w:r w:rsidR="006E1E5C">
        <w:rPr>
          <w:rFonts w:cs="Sabon-Roman"/>
          <w:color w:val="231F20"/>
          <w:sz w:val="24"/>
          <w:szCs w:val="24"/>
          <w:lang w:val="de-DE"/>
        </w:rPr>
        <w:t xml:space="preserve"> and Valentini/Zucchetti’s conclusions, </w:t>
      </w:r>
      <w:r w:rsidR="00B0500A">
        <w:rPr>
          <w:rFonts w:cs="Sabon-Roman"/>
          <w:color w:val="231F20"/>
          <w:sz w:val="24"/>
          <w:szCs w:val="24"/>
          <w:lang w:val="de-DE"/>
        </w:rPr>
        <w:t xml:space="preserve">that </w:t>
      </w:r>
      <w:r w:rsidR="006E1E5C">
        <w:rPr>
          <w:rFonts w:cs="Sabon-Roman"/>
          <w:color w:val="231F20"/>
          <w:sz w:val="24"/>
          <w:szCs w:val="24"/>
          <w:lang w:val="de-DE"/>
        </w:rPr>
        <w:t xml:space="preserve">Chastagnol sought to demonstrate that the </w:t>
      </w:r>
      <w:r w:rsidR="006E1E5C">
        <w:rPr>
          <w:rFonts w:cs="Sabon-Roman"/>
          <w:i/>
          <w:color w:val="231F20"/>
          <w:sz w:val="24"/>
          <w:szCs w:val="24"/>
          <w:lang w:val="de-DE"/>
        </w:rPr>
        <w:t xml:space="preserve">Regionaries </w:t>
      </w:r>
      <w:r w:rsidR="006E1E5C">
        <w:rPr>
          <w:rFonts w:cs="Sabon-Roman"/>
          <w:color w:val="231F20"/>
          <w:sz w:val="24"/>
          <w:szCs w:val="24"/>
          <w:lang w:val="de-DE"/>
        </w:rPr>
        <w:t xml:space="preserve">were the bureaucratic paperwork of the Urban Prefecture. </w:t>
      </w:r>
    </w:p>
    <w:p w:rsidR="006E1E5C" w:rsidRDefault="006E1E5C" w:rsidP="00722391">
      <w:pPr>
        <w:spacing w:line="480" w:lineRule="auto"/>
        <w:ind w:firstLine="720"/>
        <w:jc w:val="both"/>
        <w:rPr>
          <w:rFonts w:cs="Sabon-Roman"/>
          <w:color w:val="231F20"/>
          <w:sz w:val="24"/>
          <w:szCs w:val="24"/>
          <w:lang w:val="de-DE"/>
        </w:rPr>
      </w:pPr>
      <w:r>
        <w:rPr>
          <w:rFonts w:cs="Sabon-Roman"/>
          <w:color w:val="231F20"/>
          <w:sz w:val="24"/>
          <w:szCs w:val="24"/>
          <w:lang w:val="de-DE"/>
        </w:rPr>
        <w:t xml:space="preserve">In the original texts of the </w:t>
      </w:r>
      <w:r>
        <w:rPr>
          <w:rFonts w:cs="Sabon-Roman"/>
          <w:i/>
          <w:color w:val="231F20"/>
          <w:sz w:val="24"/>
          <w:szCs w:val="24"/>
          <w:lang w:val="de-DE"/>
        </w:rPr>
        <w:t xml:space="preserve">Notitia </w:t>
      </w:r>
      <w:r>
        <w:rPr>
          <w:rFonts w:cs="Sabon-Roman"/>
          <w:color w:val="231F20"/>
          <w:sz w:val="24"/>
          <w:szCs w:val="24"/>
          <w:lang w:val="de-DE"/>
        </w:rPr>
        <w:t xml:space="preserve">and </w:t>
      </w:r>
      <w:r w:rsidR="00095DC1">
        <w:rPr>
          <w:rFonts w:cs="Sabon-Roman"/>
          <w:i/>
          <w:color w:val="231F20"/>
          <w:sz w:val="24"/>
          <w:szCs w:val="24"/>
          <w:lang w:val="de-DE"/>
        </w:rPr>
        <w:t>Curiosum</w:t>
      </w:r>
      <w:r>
        <w:rPr>
          <w:rFonts w:cs="Sabon-Roman"/>
          <w:color w:val="231F20"/>
          <w:sz w:val="24"/>
          <w:szCs w:val="24"/>
          <w:lang w:val="de-DE"/>
        </w:rPr>
        <w:t>, Chast</w:t>
      </w:r>
      <w:r w:rsidR="00F13E8A">
        <w:rPr>
          <w:rFonts w:cs="Sabon-Roman"/>
          <w:color w:val="231F20"/>
          <w:sz w:val="24"/>
          <w:szCs w:val="24"/>
          <w:lang w:val="de-DE"/>
        </w:rPr>
        <w:t>a</w:t>
      </w:r>
      <w:r>
        <w:rPr>
          <w:rFonts w:cs="Sabon-Roman"/>
          <w:color w:val="231F20"/>
          <w:sz w:val="24"/>
          <w:szCs w:val="24"/>
          <w:lang w:val="de-DE"/>
        </w:rPr>
        <w:t>gnol argued that we possess a documentation of the various tasks of the Urban Prefec</w:t>
      </w:r>
      <w:r w:rsidR="00395A80">
        <w:rPr>
          <w:rFonts w:cs="Sabon-Roman"/>
          <w:color w:val="231F20"/>
          <w:sz w:val="24"/>
          <w:szCs w:val="24"/>
          <w:lang w:val="de-DE"/>
        </w:rPr>
        <w:t>ture</w:t>
      </w:r>
      <w:r>
        <w:rPr>
          <w:rFonts w:cs="Sabon-Roman"/>
          <w:color w:val="231F20"/>
          <w:sz w:val="24"/>
          <w:szCs w:val="24"/>
          <w:lang w:val="de-DE"/>
        </w:rPr>
        <w:t xml:space="preserve"> and that it is reliable as (according to Chastagnol) the Urban Prefecture remained unaltered until the AD 320/330s, after which the Urban Prefectu</w:t>
      </w:r>
      <w:r w:rsidR="00395A80">
        <w:rPr>
          <w:rFonts w:cs="Sabon-Roman"/>
          <w:color w:val="231F20"/>
          <w:sz w:val="24"/>
          <w:szCs w:val="24"/>
          <w:lang w:val="de-DE"/>
        </w:rPr>
        <w:t>re underwent substantial change following</w:t>
      </w:r>
      <w:r>
        <w:rPr>
          <w:rFonts w:cs="Sabon-Roman"/>
          <w:color w:val="231F20"/>
          <w:sz w:val="24"/>
          <w:szCs w:val="24"/>
          <w:lang w:val="de-DE"/>
        </w:rPr>
        <w:t xml:space="preserve"> Constantine’s reforms. Building upon Jordan’s assumptions of the </w:t>
      </w:r>
      <w:r>
        <w:rPr>
          <w:rFonts w:cs="Sabon-Roman"/>
          <w:i/>
          <w:color w:val="231F20"/>
          <w:sz w:val="24"/>
          <w:szCs w:val="24"/>
          <w:lang w:val="de-DE"/>
        </w:rPr>
        <w:t>Regionaries</w:t>
      </w:r>
      <w:r>
        <w:rPr>
          <w:rFonts w:cs="Sabon-Roman"/>
          <w:color w:val="231F20"/>
          <w:sz w:val="24"/>
          <w:szCs w:val="24"/>
          <w:lang w:val="de-DE"/>
        </w:rPr>
        <w:t xml:space="preserve"> provenance, Chastagnol has used the </w:t>
      </w:r>
      <w:r>
        <w:rPr>
          <w:rFonts w:cs="Sabon-Roman"/>
          <w:i/>
          <w:color w:val="231F20"/>
          <w:sz w:val="24"/>
          <w:szCs w:val="24"/>
          <w:lang w:val="de-DE"/>
        </w:rPr>
        <w:t>Regionaries</w:t>
      </w:r>
      <w:r>
        <w:rPr>
          <w:rFonts w:cs="Sabon-Roman"/>
          <w:color w:val="231F20"/>
          <w:sz w:val="24"/>
          <w:szCs w:val="24"/>
          <w:lang w:val="de-DE"/>
        </w:rPr>
        <w:t xml:space="preserve"> as evidence to demonstrate the changes that took the Urban Prefecture from the third century to the </w:t>
      </w:r>
      <w:r w:rsidR="00AE2C65">
        <w:rPr>
          <w:rFonts w:cs="Sabon-Roman"/>
          <w:color w:val="231F20"/>
          <w:sz w:val="24"/>
          <w:szCs w:val="24"/>
          <w:lang w:val="de-DE"/>
        </w:rPr>
        <w:t>form</w:t>
      </w:r>
      <w:r>
        <w:rPr>
          <w:rFonts w:cs="Sabon-Roman"/>
          <w:color w:val="231F20"/>
          <w:sz w:val="24"/>
          <w:szCs w:val="24"/>
          <w:lang w:val="de-DE"/>
        </w:rPr>
        <w:t xml:space="preserve"> described in the </w:t>
      </w:r>
      <w:r>
        <w:rPr>
          <w:rFonts w:cs="Sabon-Roman"/>
          <w:i/>
          <w:color w:val="231F20"/>
          <w:sz w:val="24"/>
          <w:szCs w:val="24"/>
          <w:lang w:val="de-DE"/>
        </w:rPr>
        <w:t>Notitia Dignitatum</w:t>
      </w:r>
      <w:r>
        <w:rPr>
          <w:rFonts w:cs="Sabon-Roman"/>
          <w:color w:val="231F20"/>
          <w:sz w:val="24"/>
          <w:szCs w:val="24"/>
          <w:lang w:val="de-DE"/>
        </w:rPr>
        <w:t>.</w:t>
      </w:r>
      <w:r>
        <w:rPr>
          <w:rStyle w:val="FootnoteReference"/>
          <w:rFonts w:cs="Sabon-Roman"/>
          <w:color w:val="231F20"/>
          <w:sz w:val="24"/>
          <w:szCs w:val="24"/>
          <w:lang w:val="de-DE"/>
        </w:rPr>
        <w:footnoteReference w:id="38"/>
      </w:r>
      <w:r>
        <w:rPr>
          <w:rFonts w:cs="Sabon-Roman"/>
          <w:color w:val="231F20"/>
          <w:sz w:val="24"/>
          <w:szCs w:val="24"/>
          <w:lang w:val="de-DE"/>
        </w:rPr>
        <w:t xml:space="preserve"> </w:t>
      </w:r>
      <w:r w:rsidR="00B952E8">
        <w:rPr>
          <w:rFonts w:cs="Sabon-Roman"/>
          <w:color w:val="231F20"/>
          <w:sz w:val="24"/>
          <w:szCs w:val="24"/>
          <w:lang w:val="de-DE"/>
        </w:rPr>
        <w:t>Chastagnol’s work is central enough to Roman adminis</w:t>
      </w:r>
      <w:r w:rsidR="00395A80">
        <w:rPr>
          <w:rFonts w:cs="Sabon-Roman"/>
          <w:color w:val="231F20"/>
          <w:sz w:val="24"/>
          <w:szCs w:val="24"/>
          <w:lang w:val="de-DE"/>
        </w:rPr>
        <w:t>trative history that historians</w:t>
      </w:r>
      <w:r w:rsidR="00095DC1">
        <w:rPr>
          <w:rFonts w:cs="Sabon-Roman"/>
          <w:color w:val="231F20"/>
          <w:sz w:val="24"/>
          <w:szCs w:val="24"/>
          <w:lang w:val="de-DE"/>
        </w:rPr>
        <w:t>,</w:t>
      </w:r>
      <w:r>
        <w:rPr>
          <w:rFonts w:cs="Sabon-Roman"/>
          <w:color w:val="231F20"/>
          <w:sz w:val="24"/>
          <w:szCs w:val="24"/>
          <w:lang w:val="de-DE"/>
        </w:rPr>
        <w:t xml:space="preserve"> who </w:t>
      </w:r>
      <w:r w:rsidR="00B952E8">
        <w:rPr>
          <w:rFonts w:cs="Sabon-Roman"/>
          <w:color w:val="231F20"/>
          <w:sz w:val="24"/>
          <w:szCs w:val="24"/>
          <w:lang w:val="de-DE"/>
        </w:rPr>
        <w:lastRenderedPageBreak/>
        <w:t>have continued to adhere to</w:t>
      </w:r>
      <w:r w:rsidR="000A4EDE">
        <w:rPr>
          <w:rFonts w:cs="Sabon-Roman"/>
          <w:color w:val="231F20"/>
          <w:sz w:val="24"/>
          <w:szCs w:val="24"/>
          <w:lang w:val="de-DE"/>
        </w:rPr>
        <w:t xml:space="preserve"> the</w:t>
      </w:r>
      <w:r w:rsidR="00B952E8">
        <w:rPr>
          <w:rFonts w:cs="Sabon-Roman"/>
          <w:color w:val="231F20"/>
          <w:sz w:val="24"/>
          <w:szCs w:val="24"/>
          <w:lang w:val="de-DE"/>
        </w:rPr>
        <w:t xml:space="preserve"> </w:t>
      </w:r>
      <w:r w:rsidR="001A04C3">
        <w:rPr>
          <w:rFonts w:cs="Sabon-Roman"/>
          <w:color w:val="231F20"/>
          <w:sz w:val="24"/>
          <w:szCs w:val="24"/>
          <w:lang w:val="de-DE"/>
        </w:rPr>
        <w:t>view that the later Roman Empire was more bureaucratised</w:t>
      </w:r>
      <w:r w:rsidR="00095DC1">
        <w:rPr>
          <w:rFonts w:cs="Sabon-Roman"/>
          <w:color w:val="231F20"/>
          <w:sz w:val="24"/>
          <w:szCs w:val="24"/>
          <w:lang w:val="de-DE"/>
        </w:rPr>
        <w:t>,</w:t>
      </w:r>
      <w:r>
        <w:rPr>
          <w:rFonts w:cs="Sabon-Roman"/>
          <w:color w:val="231F20"/>
          <w:sz w:val="24"/>
          <w:szCs w:val="24"/>
          <w:lang w:val="de-DE"/>
        </w:rPr>
        <w:t xml:space="preserve"> have </w:t>
      </w:r>
      <w:r w:rsidR="00395A80">
        <w:rPr>
          <w:rFonts w:cs="Sabon-Roman"/>
          <w:color w:val="231F20"/>
          <w:sz w:val="24"/>
          <w:szCs w:val="24"/>
          <w:lang w:val="de-DE"/>
        </w:rPr>
        <w:t>continued</w:t>
      </w:r>
      <w:r>
        <w:rPr>
          <w:rFonts w:cs="Sabon-Roman"/>
          <w:color w:val="231F20"/>
          <w:sz w:val="24"/>
          <w:szCs w:val="24"/>
          <w:lang w:val="de-DE"/>
        </w:rPr>
        <w:t xml:space="preserve"> using the </w:t>
      </w:r>
      <w:r w:rsidRPr="001A04C3">
        <w:rPr>
          <w:rFonts w:cs="Sabon-Roman"/>
          <w:i/>
          <w:color w:val="231F20"/>
          <w:sz w:val="24"/>
          <w:szCs w:val="24"/>
          <w:lang w:val="de-DE"/>
        </w:rPr>
        <w:t>Regionaries</w:t>
      </w:r>
      <w:r>
        <w:rPr>
          <w:rFonts w:cs="Sabon-Roman"/>
          <w:color w:val="231F20"/>
          <w:sz w:val="24"/>
          <w:szCs w:val="24"/>
          <w:lang w:val="de-DE"/>
        </w:rPr>
        <w:t xml:space="preserve"> as a source for</w:t>
      </w:r>
      <w:r w:rsidR="001A04C3">
        <w:rPr>
          <w:rFonts w:cs="Sabon-Roman"/>
          <w:color w:val="231F20"/>
          <w:sz w:val="24"/>
          <w:szCs w:val="24"/>
          <w:lang w:val="de-DE"/>
        </w:rPr>
        <w:t xml:space="preserve"> administrative</w:t>
      </w:r>
      <w:r>
        <w:rPr>
          <w:rFonts w:cs="Sabon-Roman"/>
          <w:color w:val="231F20"/>
          <w:sz w:val="24"/>
          <w:szCs w:val="24"/>
          <w:lang w:val="de-DE"/>
        </w:rPr>
        <w:t xml:space="preserve"> data about the Urban Prefecture and the City of Rome.</w:t>
      </w:r>
      <w:r>
        <w:rPr>
          <w:rStyle w:val="FootnoteReference"/>
          <w:rFonts w:cs="Sabon-Roman"/>
          <w:color w:val="231F20"/>
          <w:sz w:val="24"/>
          <w:szCs w:val="24"/>
          <w:lang w:val="de-DE"/>
        </w:rPr>
        <w:footnoteReference w:id="39"/>
      </w:r>
      <w:r>
        <w:rPr>
          <w:rFonts w:cs="Sabon-Roman"/>
          <w:color w:val="231F20"/>
          <w:sz w:val="24"/>
          <w:szCs w:val="24"/>
          <w:lang w:val="de-DE"/>
        </w:rPr>
        <w:t xml:space="preserve"> Rather than focusing on them as administrative data, G. Storey has used the </w:t>
      </w:r>
      <w:r w:rsidRPr="00EF3B18">
        <w:rPr>
          <w:rFonts w:cs="Sabon-Roman"/>
          <w:i/>
          <w:color w:val="231F20"/>
          <w:sz w:val="24"/>
          <w:szCs w:val="24"/>
          <w:lang w:val="de-DE"/>
        </w:rPr>
        <w:t>Regionaries</w:t>
      </w:r>
      <w:r>
        <w:rPr>
          <w:rFonts w:cs="Sabon-Roman"/>
          <w:color w:val="231F20"/>
          <w:sz w:val="24"/>
          <w:szCs w:val="24"/>
          <w:lang w:val="de-DE"/>
        </w:rPr>
        <w:t xml:space="preserve"> data to conduct a more narrow </w:t>
      </w:r>
      <w:r w:rsidR="000A4EDE">
        <w:rPr>
          <w:rFonts w:cs="Sabon-Roman"/>
          <w:color w:val="231F20"/>
          <w:sz w:val="24"/>
          <w:szCs w:val="24"/>
          <w:lang w:val="de-DE"/>
        </w:rPr>
        <w:t xml:space="preserve">demographic </w:t>
      </w:r>
      <w:r>
        <w:rPr>
          <w:rFonts w:cs="Sabon-Roman"/>
          <w:color w:val="231F20"/>
          <w:sz w:val="24"/>
          <w:szCs w:val="24"/>
          <w:lang w:val="de-DE"/>
        </w:rPr>
        <w:t>examination of the people of</w:t>
      </w:r>
      <w:r w:rsidR="00AE2C65">
        <w:rPr>
          <w:rFonts w:cs="Sabon-Roman"/>
          <w:color w:val="231F20"/>
          <w:sz w:val="24"/>
          <w:szCs w:val="24"/>
          <w:lang w:val="de-DE"/>
        </w:rPr>
        <w:t xml:space="preserve"> the</w:t>
      </w:r>
      <w:r>
        <w:rPr>
          <w:rFonts w:cs="Sabon-Roman"/>
          <w:color w:val="231F20"/>
          <w:sz w:val="24"/>
          <w:szCs w:val="24"/>
          <w:lang w:val="de-DE"/>
        </w:rPr>
        <w:t xml:space="preserve"> city, by looking at what the catalogues can tell us about </w:t>
      </w:r>
      <w:r w:rsidRPr="00395A80">
        <w:rPr>
          <w:rFonts w:cs="Sabon-Roman"/>
          <w:i/>
          <w:color w:val="231F20"/>
          <w:sz w:val="24"/>
          <w:szCs w:val="24"/>
          <w:lang w:val="de-DE"/>
        </w:rPr>
        <w:t>insulae</w:t>
      </w:r>
      <w:r>
        <w:rPr>
          <w:rFonts w:cs="Sabon-Roman"/>
          <w:color w:val="231F20"/>
          <w:sz w:val="24"/>
          <w:szCs w:val="24"/>
          <w:lang w:val="de-DE"/>
        </w:rPr>
        <w:t xml:space="preserve"> </w:t>
      </w:r>
      <w:r w:rsidR="000A4EDE">
        <w:rPr>
          <w:rFonts w:cs="Sabon-Roman"/>
          <w:color w:val="231F20"/>
          <w:sz w:val="24"/>
          <w:szCs w:val="24"/>
          <w:lang w:val="de-DE"/>
        </w:rPr>
        <w:t xml:space="preserve">(blocks of rented flats) </w:t>
      </w:r>
      <w:r>
        <w:rPr>
          <w:rFonts w:cs="Sabon-Roman"/>
          <w:color w:val="231F20"/>
          <w:sz w:val="24"/>
          <w:szCs w:val="24"/>
          <w:lang w:val="de-DE"/>
        </w:rPr>
        <w:t>and how they functioned in Roman urban life.</w:t>
      </w:r>
      <w:r>
        <w:rPr>
          <w:rStyle w:val="FootnoteReference"/>
          <w:rFonts w:cs="Sabon-Roman"/>
          <w:color w:val="231F20"/>
          <w:sz w:val="24"/>
          <w:szCs w:val="24"/>
          <w:lang w:val="de-DE"/>
        </w:rPr>
        <w:footnoteReference w:id="40"/>
      </w:r>
      <w:r w:rsidR="009556E6">
        <w:rPr>
          <w:rFonts w:cs="Sabon-Roman"/>
          <w:color w:val="231F20"/>
          <w:sz w:val="24"/>
          <w:szCs w:val="24"/>
          <w:lang w:val="de-DE"/>
        </w:rPr>
        <w:t xml:space="preserve"> Whilst Storey‘s</w:t>
      </w:r>
      <w:r>
        <w:rPr>
          <w:rFonts w:cs="Sabon-Roman"/>
          <w:color w:val="231F20"/>
          <w:sz w:val="24"/>
          <w:szCs w:val="24"/>
          <w:lang w:val="de-DE"/>
        </w:rPr>
        <w:t xml:space="preserve"> conclusion</w:t>
      </w:r>
      <w:r w:rsidR="00AE2C65">
        <w:rPr>
          <w:rFonts w:cs="Sabon-Roman"/>
          <w:color w:val="231F20"/>
          <w:sz w:val="24"/>
          <w:szCs w:val="24"/>
          <w:lang w:val="de-DE"/>
        </w:rPr>
        <w:t xml:space="preserve"> is</w:t>
      </w:r>
      <w:r>
        <w:rPr>
          <w:rFonts w:cs="Sabon-Roman"/>
          <w:color w:val="231F20"/>
          <w:sz w:val="24"/>
          <w:szCs w:val="24"/>
          <w:lang w:val="de-DE"/>
        </w:rPr>
        <w:t xml:space="preserve"> that the </w:t>
      </w:r>
      <w:r w:rsidRPr="00EF3B18">
        <w:rPr>
          <w:rFonts w:cs="Sabon-Roman"/>
          <w:i/>
          <w:color w:val="231F20"/>
          <w:sz w:val="24"/>
          <w:szCs w:val="24"/>
          <w:lang w:val="de-DE"/>
        </w:rPr>
        <w:t>Regionaries</w:t>
      </w:r>
      <w:r>
        <w:rPr>
          <w:rFonts w:cs="Sabon-Roman"/>
          <w:color w:val="231F20"/>
          <w:sz w:val="24"/>
          <w:szCs w:val="24"/>
          <w:lang w:val="de-DE"/>
        </w:rPr>
        <w:t xml:space="preserve">‘ </w:t>
      </w:r>
      <w:r>
        <w:rPr>
          <w:rFonts w:cs="Sabon-Roman"/>
          <w:i/>
          <w:color w:val="231F20"/>
          <w:sz w:val="24"/>
          <w:szCs w:val="24"/>
          <w:lang w:val="de-DE"/>
        </w:rPr>
        <w:t>insulae</w:t>
      </w:r>
      <w:r>
        <w:rPr>
          <w:rFonts w:cs="Sabon-Roman"/>
          <w:color w:val="231F20"/>
          <w:sz w:val="24"/>
          <w:szCs w:val="24"/>
          <w:lang w:val="de-DE"/>
        </w:rPr>
        <w:t xml:space="preserve"> refer to a legal rather than architectural term, </w:t>
      </w:r>
      <w:r w:rsidR="00395A80">
        <w:rPr>
          <w:rFonts w:cs="Sabon-Roman"/>
          <w:color w:val="231F20"/>
          <w:sz w:val="24"/>
          <w:szCs w:val="24"/>
          <w:lang w:val="de-DE"/>
        </w:rPr>
        <w:t>t</w:t>
      </w:r>
      <w:r>
        <w:rPr>
          <w:rFonts w:cs="Sabon-Roman"/>
          <w:color w:val="231F20"/>
          <w:sz w:val="24"/>
          <w:szCs w:val="24"/>
          <w:lang w:val="de-DE"/>
        </w:rPr>
        <w:t>he</w:t>
      </w:r>
      <w:r w:rsidR="00395A80">
        <w:rPr>
          <w:rFonts w:cs="Sabon-Roman"/>
          <w:color w:val="231F20"/>
          <w:sz w:val="24"/>
          <w:szCs w:val="24"/>
          <w:lang w:val="de-DE"/>
        </w:rPr>
        <w:t xml:space="preserve"> historian</w:t>
      </w:r>
      <w:r>
        <w:rPr>
          <w:rFonts w:cs="Sabon-Roman"/>
          <w:color w:val="231F20"/>
          <w:sz w:val="24"/>
          <w:szCs w:val="24"/>
          <w:lang w:val="de-DE"/>
        </w:rPr>
        <w:t xml:space="preserve"> engages in what Hermansen has termed “linguistic gymnastics“ in order to make the evidence of the </w:t>
      </w:r>
      <w:r w:rsidRPr="00EF3B18">
        <w:rPr>
          <w:rFonts w:cs="Sabon-Roman"/>
          <w:i/>
          <w:color w:val="231F20"/>
          <w:sz w:val="24"/>
          <w:szCs w:val="24"/>
          <w:lang w:val="de-DE"/>
        </w:rPr>
        <w:t>Reg</w:t>
      </w:r>
      <w:r w:rsidR="00395A80" w:rsidRPr="00EF3B18">
        <w:rPr>
          <w:rFonts w:cs="Sabon-Roman"/>
          <w:i/>
          <w:color w:val="231F20"/>
          <w:sz w:val="24"/>
          <w:szCs w:val="24"/>
          <w:lang w:val="de-DE"/>
        </w:rPr>
        <w:t>ionaries</w:t>
      </w:r>
      <w:r w:rsidR="00395A80">
        <w:rPr>
          <w:rFonts w:cs="Sabon-Roman"/>
          <w:color w:val="231F20"/>
          <w:sz w:val="24"/>
          <w:szCs w:val="24"/>
          <w:lang w:val="de-DE"/>
        </w:rPr>
        <w:t xml:space="preserve"> work</w:t>
      </w:r>
      <w:r>
        <w:rPr>
          <w:rFonts w:cs="Sabon-Roman"/>
          <w:color w:val="231F20"/>
          <w:sz w:val="24"/>
          <w:szCs w:val="24"/>
          <w:lang w:val="de-DE"/>
        </w:rPr>
        <w:t xml:space="preserve"> rather than critically examining what the document can actually tell us.</w:t>
      </w:r>
      <w:r>
        <w:rPr>
          <w:rStyle w:val="FootnoteReference"/>
          <w:rFonts w:cs="Sabon-Roman"/>
          <w:color w:val="231F20"/>
          <w:sz w:val="24"/>
          <w:szCs w:val="24"/>
          <w:lang w:val="de-DE"/>
        </w:rPr>
        <w:footnoteReference w:id="41"/>
      </w:r>
      <w:r>
        <w:rPr>
          <w:rFonts w:cs="Sabon-Roman"/>
          <w:color w:val="231F20"/>
          <w:sz w:val="24"/>
          <w:szCs w:val="24"/>
          <w:lang w:val="de-DE"/>
        </w:rPr>
        <w:t xml:space="preserve"> </w:t>
      </w:r>
    </w:p>
    <w:p w:rsidR="004C3187" w:rsidRDefault="006E1E5C" w:rsidP="00722391">
      <w:pPr>
        <w:spacing w:line="480" w:lineRule="auto"/>
        <w:ind w:firstLine="720"/>
        <w:jc w:val="both"/>
        <w:rPr>
          <w:sz w:val="24"/>
          <w:szCs w:val="24"/>
        </w:rPr>
      </w:pPr>
      <w:r>
        <w:rPr>
          <w:rFonts w:cs="Sabon-Roman"/>
          <w:color w:val="231F20"/>
          <w:sz w:val="24"/>
          <w:szCs w:val="24"/>
          <w:lang w:val="de-DE"/>
        </w:rPr>
        <w:t>This importance placed on preserving the statistics for use, at the cost of what they actually mean or represent</w:t>
      </w:r>
      <w:r w:rsidR="00395A80">
        <w:rPr>
          <w:rFonts w:cs="Sabon-Roman"/>
          <w:color w:val="231F20"/>
          <w:sz w:val="24"/>
          <w:szCs w:val="24"/>
          <w:lang w:val="de-DE"/>
        </w:rPr>
        <w:t>,</w:t>
      </w:r>
      <w:r>
        <w:rPr>
          <w:rFonts w:cs="Sabon-Roman"/>
          <w:color w:val="231F20"/>
          <w:sz w:val="24"/>
          <w:szCs w:val="24"/>
          <w:lang w:val="de-DE"/>
        </w:rPr>
        <w:t xml:space="preserve"> has led to the development of a new focus amongst the </w:t>
      </w:r>
      <w:r w:rsidRPr="00EF3B18">
        <w:rPr>
          <w:rFonts w:cs="Sabon-Roman"/>
          <w:i/>
          <w:color w:val="231F20"/>
          <w:sz w:val="24"/>
          <w:szCs w:val="24"/>
          <w:lang w:val="de-DE"/>
        </w:rPr>
        <w:t>Regionaries</w:t>
      </w:r>
      <w:r w:rsidR="000A4EDE">
        <w:rPr>
          <w:rFonts w:cs="Sabon-Roman"/>
          <w:color w:val="231F20"/>
          <w:sz w:val="24"/>
          <w:szCs w:val="24"/>
          <w:lang w:val="de-DE"/>
        </w:rPr>
        <w:t>‘</w:t>
      </w:r>
      <w:r>
        <w:rPr>
          <w:rFonts w:cs="Sabon-Roman"/>
          <w:color w:val="231F20"/>
          <w:sz w:val="24"/>
          <w:szCs w:val="24"/>
          <w:lang w:val="de-DE"/>
        </w:rPr>
        <w:t xml:space="preserve"> historiography, </w:t>
      </w:r>
      <w:r w:rsidR="00395A80">
        <w:rPr>
          <w:rFonts w:cs="Sabon-Roman"/>
          <w:color w:val="231F20"/>
          <w:sz w:val="24"/>
          <w:szCs w:val="24"/>
          <w:lang w:val="de-DE"/>
        </w:rPr>
        <w:t>which</w:t>
      </w:r>
      <w:r>
        <w:rPr>
          <w:rFonts w:cs="Sabon-Roman"/>
          <w:color w:val="231F20"/>
          <w:sz w:val="24"/>
          <w:szCs w:val="24"/>
          <w:lang w:val="de-DE"/>
        </w:rPr>
        <w:t xml:space="preserve"> now focuses on the symbolic and literary potential of the document rather than its administrative data. This style of study was first advanced by Hermansen</w:t>
      </w:r>
      <w:r w:rsidR="00395A80">
        <w:rPr>
          <w:rFonts w:cs="Sabon-Roman"/>
          <w:color w:val="231F20"/>
          <w:sz w:val="24"/>
          <w:szCs w:val="24"/>
          <w:lang w:val="de-DE"/>
        </w:rPr>
        <w:t>,</w:t>
      </w:r>
      <w:r>
        <w:rPr>
          <w:rFonts w:cs="Sabon-Roman"/>
          <w:color w:val="231F20"/>
          <w:sz w:val="24"/>
          <w:szCs w:val="24"/>
          <w:lang w:val="de-DE"/>
        </w:rPr>
        <w:t xml:space="preserve"> </w:t>
      </w:r>
      <w:r w:rsidR="00395A80">
        <w:rPr>
          <w:rFonts w:cs="Sabon-Roman"/>
          <w:color w:val="231F20"/>
          <w:sz w:val="24"/>
          <w:szCs w:val="24"/>
          <w:lang w:val="de-DE"/>
        </w:rPr>
        <w:t>arguing</w:t>
      </w:r>
      <w:r w:rsidR="00AE2C65">
        <w:rPr>
          <w:rFonts w:cs="Sabon-Roman"/>
          <w:color w:val="231F20"/>
          <w:sz w:val="24"/>
          <w:szCs w:val="24"/>
          <w:lang w:val="de-DE"/>
        </w:rPr>
        <w:t xml:space="preserve"> that </w:t>
      </w:r>
      <w:r>
        <w:rPr>
          <w:rFonts w:cs="Sabon-Roman"/>
          <w:color w:val="231F20"/>
          <w:sz w:val="24"/>
          <w:szCs w:val="24"/>
          <w:lang w:val="de-DE"/>
        </w:rPr>
        <w:t>the only other comparable piece of li</w:t>
      </w:r>
      <w:r w:rsidR="00B0500A">
        <w:rPr>
          <w:rFonts w:cs="Sabon-Roman"/>
          <w:color w:val="231F20"/>
          <w:sz w:val="24"/>
          <w:szCs w:val="24"/>
          <w:lang w:val="de-DE"/>
        </w:rPr>
        <w:t>terature from the time</w:t>
      </w:r>
      <w:r w:rsidR="00AE2C65">
        <w:rPr>
          <w:rFonts w:cs="Sabon-Roman"/>
          <w:color w:val="231F20"/>
          <w:sz w:val="24"/>
          <w:szCs w:val="24"/>
          <w:lang w:val="de-DE"/>
        </w:rPr>
        <w:t>,</w:t>
      </w:r>
      <w:r>
        <w:rPr>
          <w:rFonts w:cs="Sabon-Roman"/>
          <w:color w:val="231F20"/>
          <w:sz w:val="24"/>
          <w:szCs w:val="24"/>
          <w:lang w:val="de-DE"/>
        </w:rPr>
        <w:t xml:space="preserve"> the </w:t>
      </w:r>
      <w:r>
        <w:rPr>
          <w:rFonts w:cs="Sabon-Roman"/>
          <w:i/>
          <w:color w:val="231F20"/>
          <w:sz w:val="24"/>
          <w:szCs w:val="24"/>
          <w:lang w:val="de-DE"/>
        </w:rPr>
        <w:t>Notitia Constantinopolitanae</w:t>
      </w:r>
      <w:r w:rsidR="00395A80">
        <w:rPr>
          <w:rFonts w:cs="Sabon-Roman"/>
          <w:i/>
          <w:color w:val="231F20"/>
          <w:sz w:val="24"/>
          <w:szCs w:val="24"/>
          <w:lang w:val="de-DE"/>
        </w:rPr>
        <w:t>,</w:t>
      </w:r>
      <w:r>
        <w:rPr>
          <w:rFonts w:cs="Sabon-Roman"/>
          <w:color w:val="231F20"/>
          <w:sz w:val="24"/>
          <w:szCs w:val="24"/>
          <w:lang w:val="de-DE"/>
        </w:rPr>
        <w:t xml:space="preserve"> does not serve a clear practical purpose as it omits impor</w:t>
      </w:r>
      <w:r w:rsidR="00395A80">
        <w:rPr>
          <w:rFonts w:cs="Sabon-Roman"/>
          <w:color w:val="231F20"/>
          <w:sz w:val="24"/>
          <w:szCs w:val="24"/>
          <w:lang w:val="de-DE"/>
        </w:rPr>
        <w:t>tant administrative information. On this basis Hermansen argues that therefore</w:t>
      </w:r>
      <w:r>
        <w:rPr>
          <w:rFonts w:cs="Sabon-Roman"/>
          <w:color w:val="231F20"/>
          <w:sz w:val="24"/>
          <w:szCs w:val="24"/>
          <w:lang w:val="de-DE"/>
        </w:rPr>
        <w:t xml:space="preserve"> neither </w:t>
      </w:r>
      <w:r w:rsidR="00395A80">
        <w:rPr>
          <w:rFonts w:cs="Sabon-Roman"/>
          <w:color w:val="231F20"/>
          <w:sz w:val="24"/>
          <w:szCs w:val="24"/>
          <w:lang w:val="de-DE"/>
        </w:rPr>
        <w:t>could</w:t>
      </w:r>
      <w:r>
        <w:rPr>
          <w:rFonts w:cs="Sabon-Roman"/>
          <w:color w:val="231F20"/>
          <w:sz w:val="24"/>
          <w:szCs w:val="24"/>
          <w:lang w:val="de-DE"/>
        </w:rPr>
        <w:t xml:space="preserve"> the </w:t>
      </w:r>
      <w:r>
        <w:rPr>
          <w:rFonts w:cs="Sabon-Roman"/>
          <w:i/>
          <w:color w:val="231F20"/>
          <w:sz w:val="24"/>
          <w:szCs w:val="24"/>
          <w:lang w:val="de-DE"/>
        </w:rPr>
        <w:t>Regionaries</w:t>
      </w:r>
      <w:r w:rsidR="00395A80">
        <w:rPr>
          <w:rFonts w:cs="Sabon-Roman"/>
          <w:color w:val="231F20"/>
          <w:sz w:val="24"/>
          <w:szCs w:val="24"/>
          <w:lang w:val="de-DE"/>
        </w:rPr>
        <w:t>. Hermanse</w:t>
      </w:r>
      <w:r>
        <w:rPr>
          <w:rFonts w:cs="Sabon-Roman"/>
          <w:color w:val="231F20"/>
          <w:sz w:val="24"/>
          <w:szCs w:val="24"/>
          <w:lang w:val="de-DE"/>
        </w:rPr>
        <w:t xml:space="preserve">n suggests that </w:t>
      </w:r>
      <w:r w:rsidR="000A4EDE">
        <w:rPr>
          <w:rFonts w:cs="Sabon-Roman"/>
          <w:color w:val="231F20"/>
          <w:sz w:val="24"/>
          <w:szCs w:val="24"/>
          <w:lang w:val="de-DE"/>
        </w:rPr>
        <w:t>they are</w:t>
      </w:r>
      <w:r>
        <w:rPr>
          <w:rFonts w:cs="Sabon-Roman"/>
          <w:color w:val="231F20"/>
          <w:sz w:val="24"/>
          <w:szCs w:val="24"/>
          <w:lang w:val="de-DE"/>
        </w:rPr>
        <w:t xml:space="preserve"> a traveller‘s guide, arguing that </w:t>
      </w:r>
      <w:r>
        <w:rPr>
          <w:sz w:val="24"/>
          <w:szCs w:val="24"/>
        </w:rPr>
        <w:t xml:space="preserve">three things reveal that the </w:t>
      </w:r>
      <w:r w:rsidRPr="00EF3B18">
        <w:rPr>
          <w:i/>
          <w:sz w:val="24"/>
          <w:szCs w:val="24"/>
        </w:rPr>
        <w:t>Regionaries</w:t>
      </w:r>
      <w:r>
        <w:rPr>
          <w:sz w:val="24"/>
          <w:szCs w:val="24"/>
        </w:rPr>
        <w:t xml:space="preserve"> were “tourist” guides: the casual and unsystematic </w:t>
      </w:r>
      <w:r>
        <w:rPr>
          <w:sz w:val="24"/>
          <w:szCs w:val="24"/>
        </w:rPr>
        <w:lastRenderedPageBreak/>
        <w:t>addition of curious information about some of the listed items; the spare style</w:t>
      </w:r>
      <w:r w:rsidR="00395A80">
        <w:rPr>
          <w:sz w:val="24"/>
          <w:szCs w:val="24"/>
        </w:rPr>
        <w:t>,</w:t>
      </w:r>
      <w:r>
        <w:rPr>
          <w:sz w:val="24"/>
          <w:szCs w:val="24"/>
        </w:rPr>
        <w:t xml:space="preserve"> which is recognized in medieval lists which are known to have served as pilgrim guides; the close similarity to the </w:t>
      </w:r>
      <w:r>
        <w:rPr>
          <w:i/>
          <w:sz w:val="24"/>
          <w:szCs w:val="24"/>
        </w:rPr>
        <w:t xml:space="preserve">Notitia </w:t>
      </w:r>
      <w:r>
        <w:rPr>
          <w:sz w:val="24"/>
          <w:szCs w:val="24"/>
        </w:rPr>
        <w:t>of Constantinople, which admits to having been written for outsiders.</w:t>
      </w:r>
      <w:r>
        <w:rPr>
          <w:rStyle w:val="FootnoteReference"/>
          <w:sz w:val="24"/>
          <w:szCs w:val="24"/>
        </w:rPr>
        <w:footnoteReference w:id="42"/>
      </w:r>
      <w:r>
        <w:rPr>
          <w:sz w:val="24"/>
          <w:szCs w:val="24"/>
        </w:rPr>
        <w:t xml:space="preserve"> </w:t>
      </w:r>
    </w:p>
    <w:p w:rsidR="006E1E5C" w:rsidRDefault="006E1E5C" w:rsidP="00722391">
      <w:pPr>
        <w:spacing w:line="480" w:lineRule="auto"/>
        <w:ind w:firstLine="720"/>
        <w:jc w:val="both"/>
        <w:rPr>
          <w:sz w:val="24"/>
          <w:szCs w:val="24"/>
        </w:rPr>
      </w:pPr>
      <w:r>
        <w:rPr>
          <w:sz w:val="24"/>
          <w:szCs w:val="24"/>
        </w:rPr>
        <w:t xml:space="preserve">Hermansen’s approach has been brought about by a renewed interest in the manuscript tradition of the </w:t>
      </w:r>
      <w:r>
        <w:rPr>
          <w:i/>
          <w:sz w:val="24"/>
          <w:szCs w:val="24"/>
        </w:rPr>
        <w:t>Regionaries</w:t>
      </w:r>
      <w:r>
        <w:rPr>
          <w:sz w:val="24"/>
          <w:szCs w:val="24"/>
        </w:rPr>
        <w:t xml:space="preserve">, in particular the work of Arvast Nordh in collating the various manuscript copies of the </w:t>
      </w:r>
      <w:r>
        <w:rPr>
          <w:i/>
          <w:sz w:val="24"/>
          <w:szCs w:val="24"/>
        </w:rPr>
        <w:t>Regionaries</w:t>
      </w:r>
      <w:r>
        <w:rPr>
          <w:sz w:val="24"/>
          <w:szCs w:val="24"/>
        </w:rPr>
        <w:t xml:space="preserve"> and using this to examine how and with what the </w:t>
      </w:r>
      <w:r>
        <w:rPr>
          <w:i/>
          <w:sz w:val="24"/>
          <w:szCs w:val="24"/>
        </w:rPr>
        <w:t>Regionaries</w:t>
      </w:r>
      <w:r w:rsidR="00395A80">
        <w:rPr>
          <w:sz w:val="24"/>
          <w:szCs w:val="24"/>
        </w:rPr>
        <w:t xml:space="preserve"> had been transmitted</w:t>
      </w:r>
      <w:r>
        <w:rPr>
          <w:sz w:val="24"/>
          <w:szCs w:val="24"/>
        </w:rPr>
        <w:t>.</w:t>
      </w:r>
      <w:r>
        <w:rPr>
          <w:rStyle w:val="FootnoteReference"/>
          <w:sz w:val="24"/>
          <w:szCs w:val="24"/>
        </w:rPr>
        <w:footnoteReference w:id="43"/>
      </w:r>
      <w:r>
        <w:rPr>
          <w:sz w:val="24"/>
          <w:szCs w:val="24"/>
        </w:rPr>
        <w:t xml:space="preserve"> Hermansen also suggests that there has been a worrying lack of debate over the statistics presented in the </w:t>
      </w:r>
      <w:r w:rsidRPr="00EF3B18">
        <w:rPr>
          <w:i/>
          <w:sz w:val="24"/>
          <w:szCs w:val="24"/>
        </w:rPr>
        <w:t>Regionaries</w:t>
      </w:r>
      <w:r>
        <w:rPr>
          <w:sz w:val="24"/>
          <w:szCs w:val="24"/>
        </w:rPr>
        <w:t>, arguing that in order for many of the statistics to make sense, historians have preferred to change or seek new interpretations</w:t>
      </w:r>
      <w:r w:rsidR="00B0500A">
        <w:rPr>
          <w:sz w:val="24"/>
          <w:szCs w:val="24"/>
        </w:rPr>
        <w:t xml:space="preserve"> or definition</w:t>
      </w:r>
      <w:r>
        <w:rPr>
          <w:sz w:val="24"/>
          <w:szCs w:val="24"/>
        </w:rPr>
        <w:t xml:space="preserve"> of the statistics rather than accept them as they are in the Catalogues.</w:t>
      </w:r>
      <w:r>
        <w:rPr>
          <w:rStyle w:val="FootnoteReference"/>
          <w:sz w:val="24"/>
          <w:szCs w:val="24"/>
        </w:rPr>
        <w:footnoteReference w:id="44"/>
      </w:r>
    </w:p>
    <w:p w:rsidR="006E1E5C" w:rsidRDefault="006E1E5C" w:rsidP="00722391">
      <w:pPr>
        <w:spacing w:line="480" w:lineRule="auto"/>
        <w:ind w:firstLine="720"/>
        <w:jc w:val="both"/>
        <w:rPr>
          <w:rFonts w:cs="Sabon-Roman"/>
          <w:color w:val="231F20"/>
          <w:sz w:val="24"/>
          <w:szCs w:val="24"/>
          <w:lang w:val="de-DE"/>
        </w:rPr>
      </w:pPr>
      <w:r>
        <w:rPr>
          <w:rFonts w:cs="Sabon-Roman"/>
          <w:color w:val="231F20"/>
          <w:sz w:val="24"/>
          <w:szCs w:val="24"/>
          <w:lang w:val="de-DE"/>
        </w:rPr>
        <w:t xml:space="preserve">Javier </w:t>
      </w:r>
      <w:r w:rsidR="009E7336">
        <w:rPr>
          <w:rFonts w:cs="Sabon-Roman"/>
          <w:color w:val="231F20"/>
          <w:sz w:val="24"/>
          <w:szCs w:val="24"/>
          <w:lang w:val="de-DE"/>
        </w:rPr>
        <w:t>Arce</w:t>
      </w:r>
      <w:r>
        <w:rPr>
          <w:rFonts w:cs="Sabon-Roman"/>
          <w:color w:val="231F20"/>
          <w:sz w:val="24"/>
          <w:szCs w:val="24"/>
          <w:lang w:val="de-DE"/>
        </w:rPr>
        <w:t xml:space="preserve"> took this</w:t>
      </w:r>
      <w:r w:rsidR="00395A80">
        <w:rPr>
          <w:rFonts w:cs="Sabon-Roman"/>
          <w:color w:val="231F20"/>
          <w:sz w:val="24"/>
          <w:szCs w:val="24"/>
          <w:lang w:val="de-DE"/>
        </w:rPr>
        <w:t xml:space="preserve"> tendency</w:t>
      </w:r>
      <w:r>
        <w:rPr>
          <w:rFonts w:cs="Sabon-Roman"/>
          <w:color w:val="231F20"/>
          <w:sz w:val="24"/>
          <w:szCs w:val="24"/>
          <w:lang w:val="de-DE"/>
        </w:rPr>
        <w:t xml:space="preserve"> further, being the first historian to examine the </w:t>
      </w:r>
      <w:r>
        <w:rPr>
          <w:rFonts w:cs="Sabon-Roman"/>
          <w:i/>
          <w:color w:val="231F20"/>
          <w:sz w:val="24"/>
          <w:szCs w:val="24"/>
          <w:lang w:val="de-DE"/>
        </w:rPr>
        <w:t>Regionaries</w:t>
      </w:r>
      <w:r w:rsidR="00B0500A">
        <w:rPr>
          <w:rFonts w:cs="Sabon-Roman"/>
          <w:color w:val="231F20"/>
          <w:sz w:val="24"/>
          <w:szCs w:val="24"/>
          <w:lang w:val="de-DE"/>
        </w:rPr>
        <w:t xml:space="preserve"> purely from</w:t>
      </w:r>
      <w:r>
        <w:rPr>
          <w:rFonts w:cs="Sabon-Roman"/>
          <w:color w:val="231F20"/>
          <w:sz w:val="24"/>
          <w:szCs w:val="24"/>
          <w:lang w:val="de-DE"/>
        </w:rPr>
        <w:t xml:space="preserve"> a literary perspective although his approach was</w:t>
      </w:r>
      <w:r w:rsidR="00AE2C65">
        <w:rPr>
          <w:rFonts w:cs="Sabon-Roman"/>
          <w:color w:val="231F20"/>
          <w:sz w:val="24"/>
          <w:szCs w:val="24"/>
          <w:lang w:val="de-DE"/>
        </w:rPr>
        <w:t xml:space="preserve"> similar to Hermansen’s</w:t>
      </w:r>
      <w:r>
        <w:rPr>
          <w:rFonts w:cs="Sabon-Roman"/>
          <w:color w:val="231F20"/>
          <w:sz w:val="24"/>
          <w:szCs w:val="24"/>
          <w:lang w:val="de-DE"/>
        </w:rPr>
        <w:t>.</w:t>
      </w:r>
      <w:r>
        <w:rPr>
          <w:rStyle w:val="FootnoteReference"/>
          <w:rFonts w:cs="Sabon-Roman"/>
          <w:color w:val="231F20"/>
          <w:sz w:val="24"/>
          <w:szCs w:val="24"/>
          <w:lang w:val="de-DE"/>
        </w:rPr>
        <w:footnoteReference w:id="45"/>
      </w:r>
      <w:r w:rsidR="0030130A">
        <w:rPr>
          <w:rFonts w:cs="Sabon-Roman"/>
          <w:color w:val="231F20"/>
          <w:sz w:val="24"/>
          <w:szCs w:val="24"/>
          <w:lang w:val="de-DE"/>
        </w:rPr>
        <w:t xml:space="preserve"> </w:t>
      </w:r>
      <w:r>
        <w:rPr>
          <w:rFonts w:cs="Sabon-Roman"/>
          <w:color w:val="231F20"/>
          <w:sz w:val="24"/>
          <w:szCs w:val="24"/>
          <w:lang w:val="de-DE"/>
        </w:rPr>
        <w:t xml:space="preserve">In </w:t>
      </w:r>
      <w:r w:rsidR="009E7336">
        <w:rPr>
          <w:rFonts w:cs="Sabon-Roman"/>
          <w:color w:val="231F20"/>
          <w:sz w:val="24"/>
          <w:szCs w:val="24"/>
          <w:lang w:val="de-DE"/>
        </w:rPr>
        <w:t>Arce</w:t>
      </w:r>
      <w:r>
        <w:rPr>
          <w:rFonts w:cs="Sabon-Roman"/>
          <w:color w:val="231F20"/>
          <w:sz w:val="24"/>
          <w:szCs w:val="24"/>
          <w:lang w:val="de-DE"/>
        </w:rPr>
        <w:t>’s view the administrative figures may well have been drawn from official</w:t>
      </w:r>
      <w:r w:rsidR="000A4EDE">
        <w:rPr>
          <w:rFonts w:cs="Sabon-Roman"/>
          <w:color w:val="231F20"/>
          <w:sz w:val="24"/>
          <w:szCs w:val="24"/>
          <w:lang w:val="de-DE"/>
        </w:rPr>
        <w:t xml:space="preserve"> sources, but they were meant to</w:t>
      </w:r>
      <w:r>
        <w:rPr>
          <w:rFonts w:cs="Sabon-Roman"/>
          <w:color w:val="231F20"/>
          <w:sz w:val="24"/>
          <w:szCs w:val="24"/>
          <w:lang w:val="de-DE"/>
        </w:rPr>
        <w:t xml:space="preserve"> enhance the majesty of the document and situate</w:t>
      </w:r>
      <w:r w:rsidR="000A4EDE">
        <w:rPr>
          <w:rFonts w:cs="Sabon-Roman"/>
          <w:color w:val="231F20"/>
          <w:sz w:val="24"/>
          <w:szCs w:val="24"/>
          <w:lang w:val="de-DE"/>
        </w:rPr>
        <w:t xml:space="preserve"> it</w:t>
      </w:r>
      <w:r>
        <w:rPr>
          <w:rFonts w:cs="Sabon-Roman"/>
          <w:color w:val="231F20"/>
          <w:sz w:val="24"/>
          <w:szCs w:val="24"/>
          <w:lang w:val="de-DE"/>
        </w:rPr>
        <w:t xml:space="preserve"> in a tradition of antique panegyrics</w:t>
      </w:r>
      <w:r w:rsidR="001A04C3">
        <w:rPr>
          <w:rFonts w:cs="Sabon-Roman"/>
          <w:color w:val="231F20"/>
          <w:sz w:val="24"/>
          <w:szCs w:val="24"/>
          <w:lang w:val="de-DE"/>
        </w:rPr>
        <w:t xml:space="preserve"> that lauded</w:t>
      </w:r>
      <w:r>
        <w:rPr>
          <w:rFonts w:cs="Sabon-Roman"/>
          <w:color w:val="231F20"/>
          <w:sz w:val="24"/>
          <w:szCs w:val="24"/>
          <w:lang w:val="de-DE"/>
        </w:rPr>
        <w:t xml:space="preserve"> the past. Significantly and in contrast to</w:t>
      </w:r>
      <w:r w:rsidR="00BB3F13">
        <w:rPr>
          <w:rFonts w:cs="Sabon-Roman"/>
          <w:color w:val="231F20"/>
          <w:sz w:val="24"/>
          <w:szCs w:val="24"/>
          <w:lang w:val="de-DE"/>
        </w:rPr>
        <w:t xml:space="preserve"> the</w:t>
      </w:r>
      <w:r>
        <w:rPr>
          <w:rFonts w:cs="Sabon-Roman"/>
          <w:color w:val="231F20"/>
          <w:sz w:val="24"/>
          <w:szCs w:val="24"/>
          <w:lang w:val="de-DE"/>
        </w:rPr>
        <w:t xml:space="preserve"> previous historiography on the topic, </w:t>
      </w:r>
      <w:r w:rsidR="009E7336">
        <w:rPr>
          <w:rFonts w:cs="Sabon-Roman"/>
          <w:color w:val="231F20"/>
          <w:sz w:val="24"/>
          <w:szCs w:val="24"/>
          <w:lang w:val="de-DE"/>
        </w:rPr>
        <w:t>Arce</w:t>
      </w:r>
      <w:r>
        <w:rPr>
          <w:rFonts w:cs="Sabon-Roman"/>
          <w:color w:val="231F20"/>
          <w:sz w:val="24"/>
          <w:szCs w:val="24"/>
          <w:lang w:val="de-DE"/>
        </w:rPr>
        <w:t xml:space="preserve"> argues that the </w:t>
      </w:r>
      <w:r>
        <w:rPr>
          <w:rFonts w:cs="Sabon-Roman"/>
          <w:i/>
          <w:color w:val="231F20"/>
          <w:sz w:val="24"/>
          <w:szCs w:val="24"/>
          <w:lang w:val="de-DE"/>
        </w:rPr>
        <w:t>Regionaries</w:t>
      </w:r>
      <w:r>
        <w:rPr>
          <w:rFonts w:cs="Sabon-Roman"/>
          <w:color w:val="231F20"/>
          <w:sz w:val="24"/>
          <w:szCs w:val="24"/>
          <w:lang w:val="de-DE"/>
        </w:rPr>
        <w:t xml:space="preserve"> were never intended for public consumption</w:t>
      </w:r>
      <w:r w:rsidR="00BB3F13">
        <w:rPr>
          <w:rFonts w:cs="Sabon-Roman"/>
          <w:color w:val="231F20"/>
          <w:sz w:val="24"/>
          <w:szCs w:val="24"/>
          <w:lang w:val="de-DE"/>
        </w:rPr>
        <w:t>. I</w:t>
      </w:r>
      <w:r>
        <w:rPr>
          <w:rFonts w:cs="Sabon-Roman"/>
          <w:color w:val="231F20"/>
          <w:sz w:val="24"/>
          <w:szCs w:val="24"/>
          <w:lang w:val="de-DE"/>
        </w:rPr>
        <w:t>nstead</w:t>
      </w:r>
      <w:r w:rsidR="00395A80">
        <w:rPr>
          <w:rFonts w:cs="Sabon-Roman"/>
          <w:color w:val="231F20"/>
          <w:sz w:val="24"/>
          <w:szCs w:val="24"/>
          <w:lang w:val="de-DE"/>
        </w:rPr>
        <w:t>,</w:t>
      </w:r>
      <w:r w:rsidR="00BB3F13">
        <w:rPr>
          <w:rFonts w:cs="Sabon-Roman"/>
          <w:color w:val="231F20"/>
          <w:sz w:val="24"/>
          <w:szCs w:val="24"/>
          <w:lang w:val="de-DE"/>
        </w:rPr>
        <w:t xml:space="preserve"> he argues they were</w:t>
      </w:r>
      <w:r>
        <w:rPr>
          <w:rFonts w:cs="Sabon-Roman"/>
          <w:color w:val="231F20"/>
          <w:sz w:val="24"/>
          <w:szCs w:val="24"/>
          <w:lang w:val="de-DE"/>
        </w:rPr>
        <w:t xml:space="preserve"> meant to be shared around a like-minded group of pagan senators.</w:t>
      </w:r>
      <w:r>
        <w:rPr>
          <w:rStyle w:val="FootnoteReference"/>
          <w:rFonts w:cs="Sabon-Roman"/>
          <w:color w:val="231F20"/>
          <w:sz w:val="24"/>
          <w:szCs w:val="24"/>
          <w:lang w:val="de-DE"/>
        </w:rPr>
        <w:footnoteReference w:id="46"/>
      </w:r>
      <w:r>
        <w:rPr>
          <w:rFonts w:cs="Sabon-Roman"/>
          <w:color w:val="231F20"/>
          <w:sz w:val="24"/>
          <w:szCs w:val="24"/>
          <w:lang w:val="de-DE"/>
        </w:rPr>
        <w:t xml:space="preserve"> This</w:t>
      </w:r>
      <w:r w:rsidR="00765BAB">
        <w:rPr>
          <w:rFonts w:cs="Sabon-Roman"/>
          <w:color w:val="231F20"/>
          <w:sz w:val="24"/>
          <w:szCs w:val="24"/>
          <w:lang w:val="de-DE"/>
        </w:rPr>
        <w:t xml:space="preserve"> suggestion</w:t>
      </w:r>
      <w:r>
        <w:rPr>
          <w:rFonts w:cs="Sabon-Roman"/>
          <w:color w:val="231F20"/>
          <w:sz w:val="24"/>
          <w:szCs w:val="24"/>
          <w:lang w:val="de-DE"/>
        </w:rPr>
        <w:t xml:space="preserve"> became part of the hist</w:t>
      </w:r>
      <w:r w:rsidR="0087599E">
        <w:rPr>
          <w:rFonts w:cs="Sabon-Roman"/>
          <w:color w:val="231F20"/>
          <w:sz w:val="24"/>
          <w:szCs w:val="24"/>
          <w:lang w:val="de-DE"/>
        </w:rPr>
        <w:t xml:space="preserve">oriographical </w:t>
      </w:r>
      <w:r w:rsidR="0087599E">
        <w:rPr>
          <w:rFonts w:cs="Sabon-Roman"/>
          <w:color w:val="231F20"/>
          <w:sz w:val="24"/>
          <w:szCs w:val="24"/>
          <w:lang w:val="de-DE"/>
        </w:rPr>
        <w:lastRenderedPageBreak/>
        <w:t>argument that se</w:t>
      </w:r>
      <w:r>
        <w:rPr>
          <w:rFonts w:cs="Sabon-Roman"/>
          <w:color w:val="231F20"/>
          <w:sz w:val="24"/>
          <w:szCs w:val="24"/>
          <w:lang w:val="de-DE"/>
        </w:rPr>
        <w:t>nators of Rome were part of a pagan resistance against an increasingly Christian Empire and its new capital</w:t>
      </w:r>
      <w:r w:rsidR="00765BAB">
        <w:rPr>
          <w:rFonts w:cs="Sabon-Roman"/>
          <w:color w:val="231F20"/>
          <w:sz w:val="24"/>
          <w:szCs w:val="24"/>
          <w:lang w:val="de-DE"/>
        </w:rPr>
        <w:t xml:space="preserve"> in Constantinople</w:t>
      </w:r>
      <w:r>
        <w:rPr>
          <w:rFonts w:cs="Sabon-Roman"/>
          <w:color w:val="231F20"/>
          <w:sz w:val="24"/>
          <w:szCs w:val="24"/>
          <w:lang w:val="de-DE"/>
        </w:rPr>
        <w:t>.</w:t>
      </w:r>
      <w:r>
        <w:rPr>
          <w:rStyle w:val="FootnoteReference"/>
          <w:rFonts w:cs="Sabon-Roman"/>
          <w:color w:val="231F20"/>
          <w:sz w:val="24"/>
          <w:szCs w:val="24"/>
          <w:lang w:val="de-DE"/>
        </w:rPr>
        <w:footnoteReference w:id="47"/>
      </w:r>
      <w:r>
        <w:rPr>
          <w:rFonts w:cs="Sabon-Roman"/>
          <w:color w:val="231F20"/>
          <w:sz w:val="24"/>
          <w:szCs w:val="24"/>
          <w:lang w:val="de-DE"/>
        </w:rPr>
        <w:t xml:space="preserve"> However</w:t>
      </w:r>
      <w:r w:rsidR="00395A80">
        <w:rPr>
          <w:rFonts w:cs="Sabon-Roman"/>
          <w:color w:val="231F20"/>
          <w:sz w:val="24"/>
          <w:szCs w:val="24"/>
          <w:lang w:val="de-DE"/>
        </w:rPr>
        <w:t>,</w:t>
      </w:r>
      <w:r>
        <w:rPr>
          <w:rFonts w:cs="Sabon-Roman"/>
          <w:color w:val="231F20"/>
          <w:sz w:val="24"/>
          <w:szCs w:val="24"/>
          <w:lang w:val="de-DE"/>
        </w:rPr>
        <w:t xml:space="preserve"> this argument suf</w:t>
      </w:r>
      <w:r w:rsidR="00AE2C65">
        <w:rPr>
          <w:rFonts w:cs="Sabon-Roman"/>
          <w:color w:val="231F20"/>
          <w:sz w:val="24"/>
          <w:szCs w:val="24"/>
          <w:lang w:val="de-DE"/>
        </w:rPr>
        <w:t xml:space="preserve">fers from the same problem as </w:t>
      </w:r>
      <w:r>
        <w:rPr>
          <w:rFonts w:cs="Sabon-Roman"/>
          <w:color w:val="231F20"/>
          <w:sz w:val="24"/>
          <w:szCs w:val="24"/>
          <w:lang w:val="de-DE"/>
        </w:rPr>
        <w:t>the historians who</w:t>
      </w:r>
      <w:r w:rsidR="008B7ADA">
        <w:rPr>
          <w:rFonts w:cs="Sabon-Roman"/>
          <w:color w:val="231F20"/>
          <w:sz w:val="24"/>
          <w:szCs w:val="24"/>
          <w:lang w:val="de-DE"/>
        </w:rPr>
        <w:t xml:space="preserve"> had</w:t>
      </w:r>
      <w:r>
        <w:rPr>
          <w:rFonts w:cs="Sabon-Roman"/>
          <w:color w:val="231F20"/>
          <w:sz w:val="24"/>
          <w:szCs w:val="24"/>
          <w:lang w:val="de-DE"/>
        </w:rPr>
        <w:t xml:space="preserve"> treated the </w:t>
      </w:r>
      <w:r>
        <w:rPr>
          <w:rFonts w:cs="Sabon-Roman"/>
          <w:i/>
          <w:color w:val="231F20"/>
          <w:sz w:val="24"/>
          <w:szCs w:val="24"/>
          <w:lang w:val="de-DE"/>
        </w:rPr>
        <w:t>Regionaries</w:t>
      </w:r>
      <w:r>
        <w:rPr>
          <w:rFonts w:cs="Sabon-Roman"/>
          <w:color w:val="231F20"/>
          <w:sz w:val="24"/>
          <w:szCs w:val="24"/>
          <w:lang w:val="de-DE"/>
        </w:rPr>
        <w:t xml:space="preserve"> as a source for administrative data.</w:t>
      </w:r>
      <w:r w:rsidR="00AE2C65">
        <w:rPr>
          <w:rFonts w:cs="Sabon-Roman"/>
          <w:color w:val="231F20"/>
          <w:sz w:val="24"/>
          <w:szCs w:val="24"/>
          <w:lang w:val="de-DE"/>
        </w:rPr>
        <w:t xml:space="preserve"> </w:t>
      </w:r>
      <w:r w:rsidR="009E7336">
        <w:rPr>
          <w:rFonts w:cs="Sabon-Roman"/>
          <w:color w:val="231F20"/>
          <w:sz w:val="24"/>
          <w:szCs w:val="24"/>
          <w:lang w:val="de-DE"/>
        </w:rPr>
        <w:t>Arce</w:t>
      </w:r>
      <w:r w:rsidR="00AE2C65">
        <w:rPr>
          <w:rFonts w:cs="Sabon-Roman"/>
          <w:color w:val="231F20"/>
          <w:sz w:val="24"/>
          <w:szCs w:val="24"/>
          <w:lang w:val="de-DE"/>
        </w:rPr>
        <w:t xml:space="preserve"> and others, despite believing the </w:t>
      </w:r>
      <w:r w:rsidR="00AE2C65">
        <w:rPr>
          <w:rFonts w:cs="Sabon-Roman"/>
          <w:i/>
          <w:color w:val="231F20"/>
          <w:sz w:val="24"/>
          <w:szCs w:val="24"/>
          <w:lang w:val="de-DE"/>
        </w:rPr>
        <w:t>Regionaries</w:t>
      </w:r>
      <w:r w:rsidR="00AE2C65">
        <w:rPr>
          <w:rFonts w:cs="Sabon-Roman"/>
          <w:color w:val="231F20"/>
          <w:sz w:val="24"/>
          <w:szCs w:val="24"/>
          <w:lang w:val="de-DE"/>
        </w:rPr>
        <w:t xml:space="preserve"> to be a purely literary document, </w:t>
      </w:r>
      <w:r w:rsidR="00A01A28">
        <w:rPr>
          <w:rFonts w:cs="Sabon-Roman"/>
          <w:color w:val="231F20"/>
          <w:sz w:val="24"/>
          <w:szCs w:val="24"/>
          <w:lang w:val="de-DE"/>
        </w:rPr>
        <w:t>treat it as a source of data of pagan revival</w:t>
      </w:r>
      <w:r>
        <w:rPr>
          <w:rFonts w:cs="Sabon-Roman"/>
          <w:color w:val="231F20"/>
          <w:sz w:val="24"/>
          <w:szCs w:val="24"/>
          <w:lang w:val="de-DE"/>
        </w:rPr>
        <w:t xml:space="preserve">. Similarly, Ralf Behrwald suggested that the </w:t>
      </w:r>
      <w:r>
        <w:rPr>
          <w:rFonts w:cs="Sabon-Roman"/>
          <w:i/>
          <w:color w:val="231F20"/>
          <w:sz w:val="24"/>
          <w:szCs w:val="24"/>
          <w:lang w:val="de-DE"/>
        </w:rPr>
        <w:t>Regionaries</w:t>
      </w:r>
      <w:r>
        <w:rPr>
          <w:rFonts w:cs="Sabon-Roman"/>
          <w:color w:val="231F20"/>
          <w:sz w:val="24"/>
          <w:szCs w:val="24"/>
          <w:lang w:val="de-DE"/>
        </w:rPr>
        <w:t xml:space="preserve"> may have served as an administrative document, but</w:t>
      </w:r>
      <w:r w:rsidR="008B7ADA">
        <w:rPr>
          <w:rFonts w:cs="Sabon-Roman"/>
          <w:color w:val="231F20"/>
          <w:sz w:val="24"/>
          <w:szCs w:val="24"/>
          <w:lang w:val="de-DE"/>
        </w:rPr>
        <w:t xml:space="preserve"> that</w:t>
      </w:r>
      <w:r>
        <w:rPr>
          <w:rFonts w:cs="Sabon-Roman"/>
          <w:color w:val="231F20"/>
          <w:sz w:val="24"/>
          <w:szCs w:val="24"/>
          <w:lang w:val="de-DE"/>
        </w:rPr>
        <w:t xml:space="preserve"> by the 4th century the statistics no longer mattered to the government. Rather</w:t>
      </w:r>
      <w:r w:rsidR="00BB3F13">
        <w:rPr>
          <w:rFonts w:cs="Sabon-Roman"/>
          <w:color w:val="231F20"/>
          <w:sz w:val="24"/>
          <w:szCs w:val="24"/>
          <w:lang w:val="de-DE"/>
        </w:rPr>
        <w:t>,</w:t>
      </w:r>
      <w:r>
        <w:rPr>
          <w:rFonts w:cs="Sabon-Roman"/>
          <w:color w:val="231F20"/>
          <w:sz w:val="24"/>
          <w:szCs w:val="24"/>
          <w:lang w:val="de-DE"/>
        </w:rPr>
        <w:t xml:space="preserve"> as a result of the administrative reforms of the Tetrarchy and Constantinian dynasty, </w:t>
      </w:r>
      <w:r w:rsidR="001A04C3">
        <w:rPr>
          <w:rFonts w:cs="Sabon-Roman"/>
          <w:color w:val="231F20"/>
          <w:sz w:val="24"/>
          <w:szCs w:val="24"/>
          <w:lang w:val="de-DE"/>
        </w:rPr>
        <w:t>including</w:t>
      </w:r>
      <w:r>
        <w:rPr>
          <w:rFonts w:cs="Sabon-Roman"/>
          <w:color w:val="231F20"/>
          <w:sz w:val="24"/>
          <w:szCs w:val="24"/>
          <w:lang w:val="de-DE"/>
        </w:rPr>
        <w:t xml:space="preserve"> the creation of Constantinople, the </w:t>
      </w:r>
      <w:r>
        <w:rPr>
          <w:rFonts w:cs="Sabon-Roman"/>
          <w:i/>
          <w:color w:val="231F20"/>
          <w:sz w:val="24"/>
          <w:szCs w:val="24"/>
          <w:lang w:val="de-DE"/>
        </w:rPr>
        <w:t>Regionaries</w:t>
      </w:r>
      <w:r>
        <w:rPr>
          <w:rFonts w:cs="Sabon-Roman"/>
          <w:color w:val="231F20"/>
          <w:sz w:val="24"/>
          <w:szCs w:val="24"/>
          <w:lang w:val="de-DE"/>
        </w:rPr>
        <w:t xml:space="preserve"> were now meant to reflect the splendo</w:t>
      </w:r>
      <w:r w:rsidR="00395A80">
        <w:rPr>
          <w:rFonts w:cs="Sabon-Roman"/>
          <w:color w:val="231F20"/>
          <w:sz w:val="24"/>
          <w:szCs w:val="24"/>
          <w:lang w:val="de-DE"/>
        </w:rPr>
        <w:t>u</w:t>
      </w:r>
      <w:r>
        <w:rPr>
          <w:rFonts w:cs="Sabon-Roman"/>
          <w:color w:val="231F20"/>
          <w:sz w:val="24"/>
          <w:szCs w:val="24"/>
          <w:lang w:val="de-DE"/>
        </w:rPr>
        <w:t xml:space="preserve">r of the old capital. By comparing it with the </w:t>
      </w:r>
      <w:r>
        <w:rPr>
          <w:rFonts w:cs="Sabon-Roman"/>
          <w:i/>
          <w:color w:val="231F20"/>
          <w:sz w:val="24"/>
          <w:szCs w:val="24"/>
          <w:lang w:val="de-DE"/>
        </w:rPr>
        <w:t>Notitia Dignitatum</w:t>
      </w:r>
      <w:r>
        <w:rPr>
          <w:rFonts w:cs="Sabon-Roman"/>
          <w:color w:val="231F20"/>
          <w:sz w:val="24"/>
          <w:szCs w:val="24"/>
          <w:lang w:val="de-DE"/>
        </w:rPr>
        <w:t xml:space="preserve"> and </w:t>
      </w:r>
      <w:r>
        <w:rPr>
          <w:rFonts w:cs="Sabon-Roman"/>
          <w:i/>
          <w:color w:val="231F20"/>
          <w:sz w:val="24"/>
          <w:szCs w:val="24"/>
          <w:lang w:val="de-DE"/>
        </w:rPr>
        <w:t>Notitia Urbis Constantinopolitanae</w:t>
      </w:r>
      <w:r>
        <w:rPr>
          <w:rFonts w:cs="Sabon-Roman"/>
          <w:color w:val="231F20"/>
          <w:sz w:val="24"/>
          <w:szCs w:val="24"/>
          <w:lang w:val="de-DE"/>
        </w:rPr>
        <w:t xml:space="preserve">, Behrwald argued that it served as a panegyric to Rome. As the </w:t>
      </w:r>
      <w:r>
        <w:rPr>
          <w:rFonts w:cs="Sabon-Roman"/>
          <w:i/>
          <w:color w:val="231F20"/>
          <w:sz w:val="24"/>
          <w:szCs w:val="24"/>
          <w:lang w:val="de-DE"/>
        </w:rPr>
        <w:t>Notitia Dignitatum</w:t>
      </w:r>
      <w:r>
        <w:rPr>
          <w:rFonts w:cs="Sabon-Roman"/>
          <w:color w:val="231F20"/>
          <w:sz w:val="24"/>
          <w:szCs w:val="24"/>
          <w:lang w:val="de-DE"/>
        </w:rPr>
        <w:t xml:space="preserve"> symbolised the unity of the empire, the </w:t>
      </w:r>
      <w:r>
        <w:rPr>
          <w:rFonts w:cs="Sabon-Roman"/>
          <w:i/>
          <w:color w:val="231F20"/>
          <w:sz w:val="24"/>
          <w:szCs w:val="24"/>
          <w:lang w:val="de-DE"/>
        </w:rPr>
        <w:t>Regionaries</w:t>
      </w:r>
      <w:r w:rsidR="00395A80">
        <w:rPr>
          <w:rFonts w:cs="Sabon-Roman"/>
          <w:color w:val="231F20"/>
          <w:sz w:val="24"/>
          <w:szCs w:val="24"/>
          <w:lang w:val="de-DE"/>
        </w:rPr>
        <w:t xml:space="preserve"> and </w:t>
      </w:r>
      <w:r>
        <w:rPr>
          <w:rFonts w:cs="Sabon-Roman"/>
          <w:color w:val="231F20"/>
          <w:sz w:val="24"/>
          <w:szCs w:val="24"/>
          <w:lang w:val="de-DE"/>
        </w:rPr>
        <w:t xml:space="preserve">the </w:t>
      </w:r>
      <w:r>
        <w:rPr>
          <w:rFonts w:cs="Sabon-Roman"/>
          <w:i/>
          <w:color w:val="231F20"/>
          <w:sz w:val="24"/>
          <w:szCs w:val="24"/>
          <w:lang w:val="de-DE"/>
        </w:rPr>
        <w:t>Notitia of Constantinople</w:t>
      </w:r>
      <w:r w:rsidR="00E6660B">
        <w:rPr>
          <w:rFonts w:cs="Sabon-Roman"/>
          <w:color w:val="231F20"/>
          <w:sz w:val="24"/>
          <w:szCs w:val="24"/>
          <w:lang w:val="de-DE"/>
        </w:rPr>
        <w:t xml:space="preserve"> were to</w:t>
      </w:r>
      <w:r>
        <w:rPr>
          <w:rFonts w:cs="Sabon-Roman"/>
          <w:i/>
          <w:color w:val="231F20"/>
          <w:sz w:val="24"/>
          <w:szCs w:val="24"/>
          <w:lang w:val="de-DE"/>
        </w:rPr>
        <w:t xml:space="preserve"> </w:t>
      </w:r>
      <w:r>
        <w:rPr>
          <w:rFonts w:cs="Sabon-Roman"/>
          <w:color w:val="231F20"/>
          <w:sz w:val="24"/>
          <w:szCs w:val="24"/>
          <w:lang w:val="de-DE"/>
        </w:rPr>
        <w:t xml:space="preserve">symbolised the power and affluence of the </w:t>
      </w:r>
      <w:r w:rsidR="0087599E">
        <w:rPr>
          <w:rFonts w:cs="Sabon-Roman"/>
          <w:color w:val="231F20"/>
          <w:sz w:val="24"/>
          <w:szCs w:val="24"/>
          <w:lang w:val="de-DE"/>
        </w:rPr>
        <w:t>i</w:t>
      </w:r>
      <w:r w:rsidR="008B44B0">
        <w:rPr>
          <w:rFonts w:cs="Sabon-Roman"/>
          <w:color w:val="231F20"/>
          <w:sz w:val="24"/>
          <w:szCs w:val="24"/>
          <w:lang w:val="de-DE"/>
        </w:rPr>
        <w:t>mperial</w:t>
      </w:r>
      <w:r>
        <w:rPr>
          <w:rFonts w:cs="Sabon-Roman"/>
          <w:color w:val="231F20"/>
          <w:sz w:val="24"/>
          <w:szCs w:val="24"/>
          <w:lang w:val="de-DE"/>
        </w:rPr>
        <w:t xml:space="preserve"> capitals.</w:t>
      </w:r>
      <w:r>
        <w:rPr>
          <w:rStyle w:val="FootnoteReference"/>
          <w:rFonts w:cs="Sabon-Roman"/>
          <w:color w:val="231F20"/>
          <w:sz w:val="24"/>
          <w:szCs w:val="24"/>
          <w:lang w:val="de-DE"/>
        </w:rPr>
        <w:footnoteReference w:id="48"/>
      </w:r>
      <w:r>
        <w:rPr>
          <w:rFonts w:cs="Sabon-Roman"/>
          <w:color w:val="231F20"/>
          <w:sz w:val="24"/>
          <w:szCs w:val="24"/>
          <w:lang w:val="de-DE"/>
        </w:rPr>
        <w:t xml:space="preserve"> This also provides us with an explanation for the inconcistencies in the </w:t>
      </w:r>
      <w:r>
        <w:rPr>
          <w:rFonts w:cs="Sabon-Roman"/>
          <w:i/>
          <w:color w:val="231F20"/>
          <w:sz w:val="24"/>
          <w:szCs w:val="24"/>
          <w:lang w:val="de-DE"/>
        </w:rPr>
        <w:t>Regionaries</w:t>
      </w:r>
      <w:r>
        <w:rPr>
          <w:rFonts w:cs="Sabon-Roman"/>
          <w:color w:val="231F20"/>
          <w:sz w:val="24"/>
          <w:szCs w:val="24"/>
          <w:lang w:val="de-DE"/>
        </w:rPr>
        <w:t>: as a panegyric, their accuracy woul</w:t>
      </w:r>
      <w:r w:rsidR="00BB3F13">
        <w:rPr>
          <w:rFonts w:cs="Sabon-Roman"/>
          <w:color w:val="231F20"/>
          <w:sz w:val="24"/>
          <w:szCs w:val="24"/>
          <w:lang w:val="de-DE"/>
        </w:rPr>
        <w:t>d be</w:t>
      </w:r>
      <w:r w:rsidR="00B0500A">
        <w:rPr>
          <w:rFonts w:cs="Sabon-Roman"/>
          <w:color w:val="231F20"/>
          <w:sz w:val="24"/>
          <w:szCs w:val="24"/>
          <w:lang w:val="de-DE"/>
        </w:rPr>
        <w:t xml:space="preserve"> a</w:t>
      </w:r>
      <w:r w:rsidR="00BB3F13">
        <w:rPr>
          <w:rFonts w:cs="Sabon-Roman"/>
          <w:color w:val="231F20"/>
          <w:sz w:val="24"/>
          <w:szCs w:val="24"/>
          <w:lang w:val="de-DE"/>
        </w:rPr>
        <w:t xml:space="preserve"> secondary</w:t>
      </w:r>
      <w:r w:rsidR="00B0500A">
        <w:rPr>
          <w:rFonts w:cs="Sabon-Roman"/>
          <w:color w:val="231F20"/>
          <w:sz w:val="24"/>
          <w:szCs w:val="24"/>
          <w:lang w:val="de-DE"/>
        </w:rPr>
        <w:t xml:space="preserve"> concern</w:t>
      </w:r>
      <w:r w:rsidR="00BB3F13">
        <w:rPr>
          <w:rFonts w:cs="Sabon-Roman"/>
          <w:color w:val="231F20"/>
          <w:sz w:val="24"/>
          <w:szCs w:val="24"/>
          <w:lang w:val="de-DE"/>
        </w:rPr>
        <w:t xml:space="preserve"> to their praise of</w:t>
      </w:r>
      <w:r>
        <w:rPr>
          <w:rFonts w:cs="Sabon-Roman"/>
          <w:color w:val="231F20"/>
          <w:sz w:val="24"/>
          <w:szCs w:val="24"/>
          <w:lang w:val="de-DE"/>
        </w:rPr>
        <w:t xml:space="preserve"> the greatness of Rome.</w:t>
      </w:r>
    </w:p>
    <w:p w:rsidR="006E1E5C" w:rsidRDefault="006E1E5C" w:rsidP="00722391">
      <w:pPr>
        <w:pStyle w:val="CommentText"/>
        <w:spacing w:line="480" w:lineRule="auto"/>
        <w:ind w:firstLine="720"/>
        <w:jc w:val="both"/>
        <w:rPr>
          <w:sz w:val="24"/>
          <w:szCs w:val="24"/>
        </w:rPr>
      </w:pPr>
      <w:r>
        <w:rPr>
          <w:rFonts w:cs="Times New Roman"/>
          <w:bCs/>
          <w:sz w:val="24"/>
          <w:szCs w:val="24"/>
        </w:rPr>
        <w:t xml:space="preserve">However, approaching the </w:t>
      </w:r>
      <w:r>
        <w:rPr>
          <w:rFonts w:cs="Times New Roman"/>
          <w:bCs/>
          <w:i/>
          <w:sz w:val="24"/>
          <w:szCs w:val="24"/>
        </w:rPr>
        <w:t xml:space="preserve">Regionaries </w:t>
      </w:r>
      <w:r>
        <w:rPr>
          <w:rFonts w:cs="Times New Roman"/>
          <w:bCs/>
          <w:sz w:val="24"/>
          <w:szCs w:val="24"/>
        </w:rPr>
        <w:t xml:space="preserve">as a purely theoretical, literary document possesses the same problems as approaching the </w:t>
      </w:r>
      <w:r>
        <w:rPr>
          <w:rFonts w:cs="Times New Roman"/>
          <w:bCs/>
          <w:i/>
          <w:sz w:val="24"/>
          <w:szCs w:val="24"/>
        </w:rPr>
        <w:t>Regionary Catalogues</w:t>
      </w:r>
      <w:r>
        <w:rPr>
          <w:rFonts w:cs="Times New Roman"/>
          <w:bCs/>
          <w:sz w:val="24"/>
          <w:szCs w:val="24"/>
        </w:rPr>
        <w:t xml:space="preserve"> as a purely bureaucratic one. </w:t>
      </w:r>
      <w:r>
        <w:rPr>
          <w:sz w:val="24"/>
          <w:szCs w:val="24"/>
        </w:rPr>
        <w:t>In favouring one view or another, we risk missing that Romans may have had a different view of what constitutes an official</w:t>
      </w:r>
      <w:r w:rsidR="008E7BDA">
        <w:rPr>
          <w:sz w:val="24"/>
          <w:szCs w:val="24"/>
        </w:rPr>
        <w:t xml:space="preserve"> administrative</w:t>
      </w:r>
      <w:r>
        <w:rPr>
          <w:sz w:val="24"/>
          <w:szCs w:val="24"/>
        </w:rPr>
        <w:t xml:space="preserve"> document</w:t>
      </w:r>
      <w:r>
        <w:rPr>
          <w:rFonts w:cs="Times New Roman"/>
          <w:bCs/>
          <w:sz w:val="24"/>
          <w:szCs w:val="24"/>
        </w:rPr>
        <w:t xml:space="preserve">. In both approaches, we </w:t>
      </w:r>
      <w:r w:rsidR="00450AD1">
        <w:rPr>
          <w:rFonts w:cs="Times New Roman"/>
          <w:bCs/>
          <w:sz w:val="24"/>
          <w:szCs w:val="24"/>
        </w:rPr>
        <w:t xml:space="preserve">also </w:t>
      </w:r>
      <w:r>
        <w:rPr>
          <w:rFonts w:cs="Times New Roman"/>
          <w:bCs/>
          <w:sz w:val="24"/>
          <w:szCs w:val="24"/>
        </w:rPr>
        <w:t xml:space="preserve">run the real risk of falling into what Hermansen termed ‘Rome </w:t>
      </w:r>
      <w:r>
        <w:rPr>
          <w:rFonts w:cs="Times New Roman"/>
          <w:bCs/>
          <w:sz w:val="24"/>
          <w:szCs w:val="24"/>
        </w:rPr>
        <w:lastRenderedPageBreak/>
        <w:t xml:space="preserve">worship’, where critics place too much </w:t>
      </w:r>
      <w:r w:rsidR="001E0974">
        <w:rPr>
          <w:rFonts w:cs="Times New Roman"/>
          <w:bCs/>
          <w:sz w:val="24"/>
          <w:szCs w:val="24"/>
        </w:rPr>
        <w:t>importance on Rome’s nature as</w:t>
      </w:r>
      <w:r>
        <w:rPr>
          <w:rFonts w:cs="Times New Roman"/>
          <w:bCs/>
          <w:sz w:val="24"/>
          <w:szCs w:val="24"/>
        </w:rPr>
        <w:t xml:space="preserve"> </w:t>
      </w:r>
      <w:r w:rsidR="00021AAA">
        <w:rPr>
          <w:rFonts w:cs="Times New Roman"/>
          <w:bCs/>
          <w:sz w:val="24"/>
          <w:szCs w:val="24"/>
        </w:rPr>
        <w:t>the foremost city of the Empire in light of its importance to Roman psychology</w:t>
      </w:r>
      <w:r>
        <w:rPr>
          <w:rFonts w:cs="Times New Roman"/>
          <w:bCs/>
          <w:sz w:val="24"/>
          <w:szCs w:val="24"/>
        </w:rPr>
        <w:t>. More recently</w:t>
      </w:r>
      <w:r w:rsidR="002A5C46">
        <w:rPr>
          <w:rFonts w:cs="Times New Roman"/>
          <w:bCs/>
          <w:sz w:val="24"/>
          <w:szCs w:val="24"/>
        </w:rPr>
        <w:t>,</w:t>
      </w:r>
      <w:r w:rsidR="00BB3F13">
        <w:rPr>
          <w:rFonts w:cs="Times New Roman"/>
          <w:bCs/>
          <w:sz w:val="24"/>
          <w:szCs w:val="24"/>
        </w:rPr>
        <w:t xml:space="preserve"> Andrew</w:t>
      </w:r>
      <w:r>
        <w:rPr>
          <w:rFonts w:cs="Times New Roman"/>
          <w:bCs/>
          <w:sz w:val="24"/>
          <w:szCs w:val="24"/>
        </w:rPr>
        <w:t xml:space="preserve"> Wallace-Hadrill has attempted a defence of the </w:t>
      </w:r>
      <w:r>
        <w:rPr>
          <w:rFonts w:cs="Times New Roman"/>
          <w:bCs/>
          <w:i/>
          <w:sz w:val="24"/>
          <w:szCs w:val="24"/>
        </w:rPr>
        <w:t>Regionary Catalogues</w:t>
      </w:r>
      <w:r>
        <w:rPr>
          <w:rFonts w:cs="Times New Roman"/>
          <w:bCs/>
          <w:sz w:val="24"/>
          <w:szCs w:val="24"/>
        </w:rPr>
        <w:t xml:space="preserve"> as an administrative document.</w:t>
      </w:r>
      <w:r>
        <w:rPr>
          <w:rStyle w:val="FootnoteReference"/>
          <w:rFonts w:cs="Times New Roman"/>
          <w:bCs/>
          <w:sz w:val="24"/>
          <w:szCs w:val="24"/>
        </w:rPr>
        <w:footnoteReference w:id="49"/>
      </w:r>
      <w:r>
        <w:rPr>
          <w:rFonts w:cs="Times New Roman"/>
          <w:bCs/>
          <w:sz w:val="24"/>
          <w:szCs w:val="24"/>
        </w:rPr>
        <w:t xml:space="preserve"> In some respects Wallace-Hadrill re-tells th</w:t>
      </w:r>
      <w:r w:rsidR="00A01A28">
        <w:rPr>
          <w:rFonts w:cs="Times New Roman"/>
          <w:bCs/>
          <w:sz w:val="24"/>
          <w:szCs w:val="24"/>
        </w:rPr>
        <w:t>e arguments of Chastagnol regarding the us</w:t>
      </w:r>
      <w:r>
        <w:rPr>
          <w:rFonts w:cs="Times New Roman"/>
          <w:bCs/>
          <w:sz w:val="24"/>
          <w:szCs w:val="24"/>
        </w:rPr>
        <w:t>e of the document. His argument</w:t>
      </w:r>
      <w:r w:rsidR="00A01A28">
        <w:rPr>
          <w:rFonts w:cs="Times New Roman"/>
          <w:bCs/>
          <w:sz w:val="24"/>
          <w:szCs w:val="24"/>
        </w:rPr>
        <w:t>,</w:t>
      </w:r>
      <w:r w:rsidR="002A5C46">
        <w:rPr>
          <w:rFonts w:cs="Times New Roman"/>
          <w:bCs/>
          <w:sz w:val="24"/>
          <w:szCs w:val="24"/>
        </w:rPr>
        <w:t xml:space="preserve"> however</w:t>
      </w:r>
      <w:r w:rsidR="00A01A28">
        <w:rPr>
          <w:rFonts w:cs="Times New Roman"/>
          <w:bCs/>
          <w:sz w:val="24"/>
          <w:szCs w:val="24"/>
        </w:rPr>
        <w:t>,</w:t>
      </w:r>
      <w:r>
        <w:rPr>
          <w:rFonts w:cs="Times New Roman"/>
          <w:bCs/>
          <w:sz w:val="24"/>
          <w:szCs w:val="24"/>
        </w:rPr>
        <w:t xml:space="preserve"> shed</w:t>
      </w:r>
      <w:r w:rsidR="002A5C46">
        <w:rPr>
          <w:rFonts w:cs="Times New Roman"/>
          <w:bCs/>
          <w:sz w:val="24"/>
          <w:szCs w:val="24"/>
        </w:rPr>
        <w:t>s</w:t>
      </w:r>
      <w:r>
        <w:rPr>
          <w:rFonts w:cs="Times New Roman"/>
          <w:bCs/>
          <w:sz w:val="24"/>
          <w:szCs w:val="24"/>
        </w:rPr>
        <w:t xml:space="preserve"> light on the cultural and social conditions that would create an administrative style that would </w:t>
      </w:r>
      <w:r w:rsidR="00BB3F13">
        <w:rPr>
          <w:rFonts w:cs="Times New Roman"/>
          <w:bCs/>
          <w:sz w:val="24"/>
          <w:szCs w:val="24"/>
        </w:rPr>
        <w:t>use or produce</w:t>
      </w:r>
      <w:r>
        <w:rPr>
          <w:rFonts w:cs="Times New Roman"/>
          <w:bCs/>
          <w:sz w:val="24"/>
          <w:szCs w:val="24"/>
        </w:rPr>
        <w:t xml:space="preserve"> a document such as the </w:t>
      </w:r>
      <w:r>
        <w:rPr>
          <w:rFonts w:cs="Times New Roman"/>
          <w:bCs/>
          <w:i/>
          <w:sz w:val="24"/>
          <w:szCs w:val="24"/>
        </w:rPr>
        <w:t>Regionaries</w:t>
      </w:r>
      <w:r w:rsidR="00920F33">
        <w:rPr>
          <w:rFonts w:cs="Times New Roman"/>
          <w:bCs/>
          <w:sz w:val="24"/>
          <w:szCs w:val="24"/>
        </w:rPr>
        <w:t>. Firstly</w:t>
      </w:r>
      <w:r w:rsidR="002A5C46">
        <w:rPr>
          <w:rFonts w:cs="Times New Roman"/>
          <w:bCs/>
          <w:sz w:val="24"/>
          <w:szCs w:val="24"/>
        </w:rPr>
        <w:t>,</w:t>
      </w:r>
      <w:r w:rsidR="00920F33">
        <w:rPr>
          <w:rFonts w:cs="Times New Roman"/>
          <w:bCs/>
          <w:sz w:val="24"/>
          <w:szCs w:val="24"/>
        </w:rPr>
        <w:t xml:space="preserve"> </w:t>
      </w:r>
      <w:r w:rsidR="00A01A28">
        <w:rPr>
          <w:rFonts w:cs="Times New Roman"/>
          <w:bCs/>
          <w:sz w:val="24"/>
          <w:szCs w:val="24"/>
        </w:rPr>
        <w:t>he</w:t>
      </w:r>
      <w:r w:rsidR="00920F33">
        <w:rPr>
          <w:rFonts w:cs="Times New Roman"/>
          <w:bCs/>
          <w:sz w:val="24"/>
          <w:szCs w:val="24"/>
        </w:rPr>
        <w:t xml:space="preserve"> </w:t>
      </w:r>
      <w:r w:rsidR="00EB299E">
        <w:rPr>
          <w:rFonts w:cs="Times New Roman"/>
          <w:bCs/>
          <w:sz w:val="24"/>
          <w:szCs w:val="24"/>
        </w:rPr>
        <w:t>develops</w:t>
      </w:r>
      <w:r w:rsidR="00920F33">
        <w:rPr>
          <w:rFonts w:cs="Times New Roman"/>
          <w:bCs/>
          <w:sz w:val="24"/>
          <w:szCs w:val="24"/>
        </w:rPr>
        <w:t xml:space="preserve"> the conclusions of David Reynolds, who argued that both the </w:t>
      </w:r>
      <w:r w:rsidR="00920F33">
        <w:rPr>
          <w:rFonts w:cs="Times New Roman"/>
          <w:bCs/>
          <w:i/>
          <w:sz w:val="24"/>
          <w:szCs w:val="24"/>
        </w:rPr>
        <w:t>Regionaries</w:t>
      </w:r>
      <w:r w:rsidR="00920F33">
        <w:rPr>
          <w:rFonts w:cs="Times New Roman"/>
          <w:bCs/>
          <w:sz w:val="24"/>
          <w:szCs w:val="24"/>
        </w:rPr>
        <w:t xml:space="preserve"> and the Severan Marble Plan</w:t>
      </w:r>
      <w:r w:rsidR="00021AAA">
        <w:rPr>
          <w:rFonts w:cs="Times New Roman"/>
          <w:bCs/>
          <w:sz w:val="24"/>
          <w:szCs w:val="24"/>
        </w:rPr>
        <w:t>, an early third-century map which depicted in astonishing detail (and size) the architectural features of Rome, were</w:t>
      </w:r>
      <w:r w:rsidR="00920F33">
        <w:rPr>
          <w:rFonts w:cs="Times New Roman"/>
          <w:bCs/>
          <w:sz w:val="24"/>
          <w:szCs w:val="24"/>
        </w:rPr>
        <w:t xml:space="preserve"> both draw</w:t>
      </w:r>
      <w:r w:rsidR="00021AAA">
        <w:rPr>
          <w:rFonts w:cs="Times New Roman"/>
          <w:bCs/>
          <w:sz w:val="24"/>
          <w:szCs w:val="24"/>
        </w:rPr>
        <w:t>n</w:t>
      </w:r>
      <w:r w:rsidR="00920F33">
        <w:rPr>
          <w:rFonts w:cs="Times New Roman"/>
          <w:bCs/>
          <w:sz w:val="24"/>
          <w:szCs w:val="24"/>
        </w:rPr>
        <w:t xml:space="preserve"> from the same city census records.</w:t>
      </w:r>
      <w:r w:rsidR="00920F33">
        <w:rPr>
          <w:rStyle w:val="FootnoteReference"/>
          <w:rFonts w:cs="Times New Roman"/>
          <w:bCs/>
          <w:sz w:val="24"/>
          <w:szCs w:val="24"/>
        </w:rPr>
        <w:footnoteReference w:id="50"/>
      </w:r>
      <w:r w:rsidR="00920F33">
        <w:rPr>
          <w:rFonts w:cs="Times New Roman"/>
          <w:bCs/>
          <w:sz w:val="24"/>
          <w:szCs w:val="24"/>
        </w:rPr>
        <w:t xml:space="preserve"> </w:t>
      </w:r>
      <w:r w:rsidR="00BB3F13">
        <w:rPr>
          <w:rFonts w:cs="Times New Roman"/>
          <w:bCs/>
          <w:sz w:val="24"/>
          <w:szCs w:val="24"/>
        </w:rPr>
        <w:t>Wallace-Hadrill</w:t>
      </w:r>
      <w:r w:rsidR="00920F33">
        <w:rPr>
          <w:rFonts w:cs="Times New Roman"/>
          <w:bCs/>
          <w:sz w:val="24"/>
          <w:szCs w:val="24"/>
        </w:rPr>
        <w:t xml:space="preserve"> advanced</w:t>
      </w:r>
      <w:r>
        <w:rPr>
          <w:rFonts w:cs="Times New Roman"/>
          <w:bCs/>
          <w:sz w:val="24"/>
          <w:szCs w:val="24"/>
        </w:rPr>
        <w:t xml:space="preserve"> the novel belief that the </w:t>
      </w:r>
      <w:r>
        <w:rPr>
          <w:rFonts w:cs="Times New Roman"/>
          <w:bCs/>
          <w:i/>
          <w:sz w:val="24"/>
          <w:szCs w:val="24"/>
        </w:rPr>
        <w:t>Regionaries</w:t>
      </w:r>
      <w:r>
        <w:rPr>
          <w:rFonts w:cs="Times New Roman"/>
          <w:bCs/>
          <w:sz w:val="24"/>
          <w:szCs w:val="24"/>
        </w:rPr>
        <w:t xml:space="preserve"> were meant to be used in c</w:t>
      </w:r>
      <w:r w:rsidR="00021AAA">
        <w:rPr>
          <w:rFonts w:cs="Times New Roman"/>
          <w:bCs/>
          <w:sz w:val="24"/>
          <w:szCs w:val="24"/>
        </w:rPr>
        <w:t>onjunction with the Marble Plan</w:t>
      </w:r>
      <w:r>
        <w:rPr>
          <w:rFonts w:cs="Times New Roman"/>
          <w:bCs/>
          <w:sz w:val="24"/>
          <w:szCs w:val="24"/>
        </w:rPr>
        <w:t xml:space="preserve"> and</w:t>
      </w:r>
      <w:r w:rsidR="002A5C46">
        <w:rPr>
          <w:rFonts w:cs="Times New Roman"/>
          <w:bCs/>
          <w:sz w:val="24"/>
          <w:szCs w:val="24"/>
        </w:rPr>
        <w:t xml:space="preserve"> in order to</w:t>
      </w:r>
      <w:r>
        <w:rPr>
          <w:rFonts w:cs="Times New Roman"/>
          <w:bCs/>
          <w:sz w:val="24"/>
          <w:szCs w:val="24"/>
        </w:rPr>
        <w:t xml:space="preserve"> advertise the knowledge and power of the </w:t>
      </w:r>
      <w:r w:rsidR="0087599E">
        <w:rPr>
          <w:rFonts w:cs="Times New Roman"/>
          <w:bCs/>
          <w:sz w:val="24"/>
          <w:szCs w:val="24"/>
        </w:rPr>
        <w:t>emperors</w:t>
      </w:r>
      <w:r>
        <w:rPr>
          <w:rFonts w:cs="Times New Roman"/>
          <w:bCs/>
          <w:sz w:val="24"/>
          <w:szCs w:val="24"/>
        </w:rPr>
        <w:t xml:space="preserve"> and their bureaucrats who managed the capital.</w:t>
      </w:r>
      <w:r>
        <w:rPr>
          <w:rStyle w:val="FootnoteReference"/>
          <w:rFonts w:cs="Times New Roman"/>
          <w:bCs/>
          <w:sz w:val="24"/>
          <w:szCs w:val="24"/>
        </w:rPr>
        <w:footnoteReference w:id="51"/>
      </w:r>
      <w:r>
        <w:rPr>
          <w:rFonts w:cs="Times New Roman"/>
          <w:bCs/>
          <w:sz w:val="24"/>
          <w:szCs w:val="24"/>
        </w:rPr>
        <w:t xml:space="preserve"> Secondly, </w:t>
      </w:r>
      <w:r w:rsidR="00BB3F13">
        <w:rPr>
          <w:rFonts w:cs="Times New Roman"/>
          <w:bCs/>
          <w:sz w:val="24"/>
          <w:szCs w:val="24"/>
        </w:rPr>
        <w:t>Wallace-</w:t>
      </w:r>
      <w:r>
        <w:rPr>
          <w:rFonts w:cs="Times New Roman"/>
          <w:bCs/>
          <w:sz w:val="24"/>
          <w:szCs w:val="24"/>
        </w:rPr>
        <w:t xml:space="preserve">Hadrill argues that the absence or presence of certain items in the </w:t>
      </w:r>
      <w:r>
        <w:rPr>
          <w:rFonts w:cs="Times New Roman"/>
          <w:bCs/>
          <w:i/>
          <w:sz w:val="24"/>
          <w:szCs w:val="24"/>
        </w:rPr>
        <w:t>Regionaries</w:t>
      </w:r>
      <w:r>
        <w:rPr>
          <w:rFonts w:cs="Times New Roman"/>
          <w:bCs/>
          <w:sz w:val="24"/>
          <w:szCs w:val="24"/>
        </w:rPr>
        <w:t xml:space="preserve"> is not a result of them lacking vital statistics or glorifying themselves with useless information but</w:t>
      </w:r>
      <w:r w:rsidR="002A5C46">
        <w:rPr>
          <w:rFonts w:cs="Times New Roman"/>
          <w:bCs/>
          <w:sz w:val="24"/>
          <w:szCs w:val="24"/>
        </w:rPr>
        <w:t xml:space="preserve"> follows from the fact</w:t>
      </w:r>
      <w:r>
        <w:rPr>
          <w:rFonts w:cs="Times New Roman"/>
          <w:bCs/>
          <w:sz w:val="24"/>
          <w:szCs w:val="24"/>
        </w:rPr>
        <w:t xml:space="preserve"> tha</w:t>
      </w:r>
      <w:r w:rsidR="00BB3F13">
        <w:rPr>
          <w:rFonts w:cs="Times New Roman"/>
          <w:bCs/>
          <w:sz w:val="24"/>
          <w:szCs w:val="24"/>
        </w:rPr>
        <w:t>t Roman categorisation is different</w:t>
      </w:r>
      <w:r w:rsidR="00021AAA">
        <w:rPr>
          <w:rFonts w:cs="Times New Roman"/>
          <w:bCs/>
          <w:sz w:val="24"/>
          <w:szCs w:val="24"/>
        </w:rPr>
        <w:t xml:space="preserve"> from more modern methods</w:t>
      </w:r>
      <w:r>
        <w:rPr>
          <w:rFonts w:cs="Times New Roman"/>
          <w:bCs/>
          <w:sz w:val="24"/>
          <w:szCs w:val="24"/>
        </w:rPr>
        <w:t xml:space="preserve">. </w:t>
      </w:r>
      <w:r w:rsidR="00BB3F13">
        <w:rPr>
          <w:rFonts w:cs="Times New Roman"/>
          <w:bCs/>
          <w:sz w:val="24"/>
          <w:szCs w:val="24"/>
        </w:rPr>
        <w:t>Wallace-</w:t>
      </w:r>
      <w:r>
        <w:rPr>
          <w:rFonts w:cs="Times New Roman"/>
          <w:bCs/>
          <w:sz w:val="24"/>
          <w:szCs w:val="24"/>
        </w:rPr>
        <w:t xml:space="preserve">Hadrill goes on to argue that this means </w:t>
      </w:r>
      <w:r w:rsidR="002A5C46">
        <w:rPr>
          <w:rFonts w:cs="Times New Roman"/>
          <w:bCs/>
          <w:sz w:val="24"/>
          <w:szCs w:val="24"/>
        </w:rPr>
        <w:t xml:space="preserve">that </w:t>
      </w:r>
      <w:r>
        <w:rPr>
          <w:rFonts w:cs="Times New Roman"/>
          <w:bCs/>
          <w:sz w:val="24"/>
          <w:szCs w:val="24"/>
        </w:rPr>
        <w:t xml:space="preserve">the concern of the </w:t>
      </w:r>
      <w:r>
        <w:rPr>
          <w:rFonts w:cs="Times New Roman"/>
          <w:bCs/>
          <w:i/>
          <w:sz w:val="24"/>
          <w:szCs w:val="24"/>
        </w:rPr>
        <w:t>Regionaries</w:t>
      </w:r>
      <w:r>
        <w:rPr>
          <w:rFonts w:cs="Times New Roman"/>
          <w:bCs/>
          <w:sz w:val="24"/>
          <w:szCs w:val="24"/>
        </w:rPr>
        <w:t xml:space="preserve"> is not of architectural items but units of property, illustrating the legal jurisdiction of the Prefect.</w:t>
      </w:r>
      <w:r>
        <w:rPr>
          <w:rStyle w:val="FootnoteReference"/>
          <w:rFonts w:cs="Times New Roman"/>
          <w:bCs/>
          <w:sz w:val="24"/>
          <w:szCs w:val="24"/>
        </w:rPr>
        <w:footnoteReference w:id="52"/>
      </w:r>
      <w:r>
        <w:rPr>
          <w:rFonts w:cs="Times New Roman"/>
          <w:bCs/>
          <w:sz w:val="24"/>
          <w:szCs w:val="24"/>
        </w:rPr>
        <w:t xml:space="preserve"> Whilst this is open to dispute</w:t>
      </w:r>
      <w:r w:rsidR="0030130A">
        <w:rPr>
          <w:rFonts w:cs="Times New Roman"/>
          <w:bCs/>
          <w:sz w:val="24"/>
          <w:szCs w:val="24"/>
        </w:rPr>
        <w:t xml:space="preserve">, his salient point is that </w:t>
      </w:r>
      <w:r>
        <w:rPr>
          <w:rFonts w:cs="Times New Roman"/>
          <w:bCs/>
          <w:sz w:val="24"/>
          <w:szCs w:val="24"/>
        </w:rPr>
        <w:t>Romans had different standards of administrative usefulness and prac</w:t>
      </w:r>
      <w:r w:rsidR="00BB3F13">
        <w:rPr>
          <w:rFonts w:cs="Times New Roman"/>
          <w:bCs/>
          <w:sz w:val="24"/>
          <w:szCs w:val="24"/>
        </w:rPr>
        <w:t>ticality to our own</w:t>
      </w:r>
      <w:r>
        <w:rPr>
          <w:rFonts w:cs="Times New Roman"/>
          <w:bCs/>
          <w:sz w:val="24"/>
          <w:szCs w:val="24"/>
        </w:rPr>
        <w:t>. To attempt to judge their administration by modern standards is an anachronism that has largely characterised the historiography of the document.</w:t>
      </w:r>
    </w:p>
    <w:p w:rsidR="00CC6095" w:rsidRDefault="0030130A" w:rsidP="00722391">
      <w:pPr>
        <w:spacing w:line="480" w:lineRule="auto"/>
        <w:ind w:firstLine="720"/>
        <w:jc w:val="both"/>
        <w:rPr>
          <w:sz w:val="24"/>
          <w:szCs w:val="24"/>
        </w:rPr>
      </w:pPr>
      <w:r>
        <w:rPr>
          <w:sz w:val="24"/>
          <w:szCs w:val="24"/>
        </w:rPr>
        <w:lastRenderedPageBreak/>
        <w:t>However it has become more accepted amongst</w:t>
      </w:r>
      <w:r w:rsidR="00EB299E">
        <w:rPr>
          <w:sz w:val="24"/>
          <w:szCs w:val="24"/>
        </w:rPr>
        <w:t xml:space="preserve"> historians</w:t>
      </w:r>
      <w:r w:rsidR="002A5C46">
        <w:rPr>
          <w:sz w:val="24"/>
          <w:szCs w:val="24"/>
        </w:rPr>
        <w:t>,</w:t>
      </w:r>
      <w:r>
        <w:rPr>
          <w:sz w:val="24"/>
          <w:szCs w:val="24"/>
        </w:rPr>
        <w:t xml:space="preserve"> to</w:t>
      </w:r>
      <w:r w:rsidR="006E1E5C">
        <w:rPr>
          <w:sz w:val="24"/>
          <w:szCs w:val="24"/>
        </w:rPr>
        <w:t xml:space="preserve"> believe that the </w:t>
      </w:r>
      <w:r w:rsidR="006E1E5C">
        <w:rPr>
          <w:i/>
          <w:sz w:val="24"/>
          <w:szCs w:val="24"/>
        </w:rPr>
        <w:t xml:space="preserve">Regionary Catalogues </w:t>
      </w:r>
      <w:r w:rsidR="006E1E5C">
        <w:rPr>
          <w:sz w:val="24"/>
          <w:szCs w:val="24"/>
        </w:rPr>
        <w:t>themselves only made use of such administrative details, but were not administrative documents themselves.</w:t>
      </w:r>
      <w:r w:rsidR="00CC6095" w:rsidRPr="00CC6095">
        <w:rPr>
          <w:sz w:val="24"/>
          <w:szCs w:val="24"/>
        </w:rPr>
        <w:t xml:space="preserve"> </w:t>
      </w:r>
      <w:r w:rsidR="00CC6095">
        <w:rPr>
          <w:sz w:val="24"/>
          <w:szCs w:val="24"/>
        </w:rPr>
        <w:t xml:space="preserve">Hermansen argued in his study of the </w:t>
      </w:r>
      <w:r w:rsidR="00CC6095">
        <w:rPr>
          <w:i/>
          <w:sz w:val="24"/>
          <w:szCs w:val="24"/>
        </w:rPr>
        <w:t>Regionaries</w:t>
      </w:r>
      <w:r w:rsidR="00CC6095">
        <w:rPr>
          <w:sz w:val="24"/>
          <w:szCs w:val="24"/>
        </w:rPr>
        <w:t xml:space="preserve"> that, </w:t>
      </w:r>
    </w:p>
    <w:p w:rsidR="00E64EB9" w:rsidRDefault="00CC6095" w:rsidP="00E64EB9">
      <w:pPr>
        <w:spacing w:line="480" w:lineRule="auto"/>
        <w:ind w:left="720"/>
        <w:contextualSpacing/>
        <w:jc w:val="both"/>
        <w:rPr>
          <w:sz w:val="24"/>
          <w:szCs w:val="24"/>
        </w:rPr>
      </w:pPr>
      <w:r>
        <w:rPr>
          <w:sz w:val="24"/>
          <w:szCs w:val="24"/>
        </w:rPr>
        <w:t xml:space="preserve">‘There is general agreement among scholars that the list comes out of the office of the </w:t>
      </w:r>
      <w:r w:rsidRPr="002A5C46">
        <w:rPr>
          <w:i/>
          <w:sz w:val="24"/>
          <w:szCs w:val="24"/>
        </w:rPr>
        <w:t>praefectus</w:t>
      </w:r>
      <w:r>
        <w:rPr>
          <w:sz w:val="24"/>
          <w:szCs w:val="24"/>
        </w:rPr>
        <w:t xml:space="preserve"> </w:t>
      </w:r>
      <w:r w:rsidRPr="002A5C46">
        <w:rPr>
          <w:i/>
          <w:sz w:val="24"/>
          <w:szCs w:val="24"/>
        </w:rPr>
        <w:t>urbi</w:t>
      </w:r>
      <w:r w:rsidR="002A5C46">
        <w:rPr>
          <w:i/>
          <w:sz w:val="24"/>
          <w:szCs w:val="24"/>
        </w:rPr>
        <w:t>s</w:t>
      </w:r>
      <w:r>
        <w:rPr>
          <w:sz w:val="24"/>
          <w:szCs w:val="24"/>
        </w:rPr>
        <w:t>. That statement, however, is so sweeping and self-evident that it tends to be no statement at all: unless one can point to some specific function or purpose of the list it is no better than saying that it comes out of Rome.’</w:t>
      </w:r>
      <w:r>
        <w:rPr>
          <w:rStyle w:val="FootnoteReference"/>
          <w:sz w:val="24"/>
          <w:szCs w:val="24"/>
        </w:rPr>
        <w:footnoteReference w:id="53"/>
      </w:r>
    </w:p>
    <w:p w:rsidR="006E1E5C" w:rsidRDefault="006E1E5C" w:rsidP="00722391">
      <w:pPr>
        <w:spacing w:line="480" w:lineRule="auto"/>
        <w:ind w:firstLine="720"/>
        <w:jc w:val="both"/>
        <w:rPr>
          <w:sz w:val="24"/>
          <w:szCs w:val="24"/>
        </w:rPr>
      </w:pPr>
      <w:r>
        <w:rPr>
          <w:sz w:val="24"/>
          <w:szCs w:val="24"/>
        </w:rPr>
        <w:t xml:space="preserve">This argument is continued by Javier </w:t>
      </w:r>
      <w:r w:rsidR="009E7336">
        <w:rPr>
          <w:sz w:val="24"/>
          <w:szCs w:val="24"/>
        </w:rPr>
        <w:t>Arce</w:t>
      </w:r>
      <w:r>
        <w:rPr>
          <w:sz w:val="24"/>
          <w:szCs w:val="24"/>
        </w:rPr>
        <w:t xml:space="preserve">, who goes further to argue that the </w:t>
      </w:r>
      <w:r>
        <w:rPr>
          <w:i/>
          <w:sz w:val="24"/>
          <w:szCs w:val="24"/>
        </w:rPr>
        <w:t>Regionaries</w:t>
      </w:r>
      <w:r>
        <w:rPr>
          <w:sz w:val="24"/>
          <w:szCs w:val="24"/>
        </w:rPr>
        <w:t xml:space="preserve"> could not possibly work as an administrative document </w:t>
      </w:r>
      <w:r w:rsidR="002A5C46">
        <w:rPr>
          <w:sz w:val="24"/>
          <w:szCs w:val="24"/>
        </w:rPr>
        <w:t>since</w:t>
      </w:r>
      <w:r>
        <w:rPr>
          <w:sz w:val="24"/>
          <w:szCs w:val="24"/>
        </w:rPr>
        <w:t xml:space="preserve"> the information cannot have been kept up to date accurately.</w:t>
      </w:r>
      <w:r>
        <w:rPr>
          <w:rStyle w:val="FootnoteReference"/>
          <w:sz w:val="24"/>
          <w:szCs w:val="24"/>
        </w:rPr>
        <w:footnoteReference w:id="54"/>
      </w:r>
      <w:r>
        <w:rPr>
          <w:sz w:val="24"/>
          <w:szCs w:val="24"/>
        </w:rPr>
        <w:t xml:space="preserve"> </w:t>
      </w:r>
      <w:r w:rsidR="00840ADC">
        <w:rPr>
          <w:sz w:val="24"/>
          <w:szCs w:val="24"/>
        </w:rPr>
        <w:t xml:space="preserve">Valentini and Zucchetti in their edition of the </w:t>
      </w:r>
      <w:r w:rsidR="00840ADC">
        <w:rPr>
          <w:i/>
          <w:sz w:val="24"/>
          <w:szCs w:val="24"/>
        </w:rPr>
        <w:t>Regionary Catalogues</w:t>
      </w:r>
      <w:r w:rsidR="00840ADC">
        <w:rPr>
          <w:sz w:val="24"/>
          <w:szCs w:val="24"/>
        </w:rPr>
        <w:t xml:space="preserve"> argue that the statistics in the </w:t>
      </w:r>
      <w:r w:rsidR="00840ADC">
        <w:rPr>
          <w:i/>
          <w:sz w:val="24"/>
          <w:szCs w:val="24"/>
        </w:rPr>
        <w:t>Regionary Catalogues</w:t>
      </w:r>
      <w:r w:rsidR="00840ADC">
        <w:rPr>
          <w:sz w:val="24"/>
          <w:szCs w:val="24"/>
        </w:rPr>
        <w:t xml:space="preserve"> come from official documents possessed by the </w:t>
      </w:r>
      <w:r w:rsidR="00840ADC">
        <w:rPr>
          <w:i/>
          <w:sz w:val="24"/>
          <w:szCs w:val="24"/>
        </w:rPr>
        <w:t xml:space="preserve">praefectura </w:t>
      </w:r>
      <w:proofErr w:type="gramStart"/>
      <w:r w:rsidR="00840ADC">
        <w:rPr>
          <w:i/>
          <w:sz w:val="24"/>
          <w:szCs w:val="24"/>
        </w:rPr>
        <w:t>urbana</w:t>
      </w:r>
      <w:proofErr w:type="gramEnd"/>
      <w:r w:rsidR="00840ADC">
        <w:rPr>
          <w:sz w:val="24"/>
          <w:szCs w:val="24"/>
        </w:rPr>
        <w:t>, but were not administrative documents themselves.</w:t>
      </w:r>
      <w:r w:rsidR="00840ADC">
        <w:rPr>
          <w:rStyle w:val="FootnoteReference"/>
          <w:sz w:val="24"/>
          <w:szCs w:val="24"/>
        </w:rPr>
        <w:footnoteReference w:id="55"/>
      </w:r>
      <w:r w:rsidR="00840ADC">
        <w:rPr>
          <w:sz w:val="24"/>
          <w:szCs w:val="24"/>
        </w:rPr>
        <w:t xml:space="preserve"> </w:t>
      </w:r>
      <w:r>
        <w:rPr>
          <w:sz w:val="24"/>
          <w:szCs w:val="24"/>
        </w:rPr>
        <w:t xml:space="preserve">Hermansen is quite </w:t>
      </w:r>
      <w:r w:rsidR="001E0974">
        <w:rPr>
          <w:sz w:val="24"/>
          <w:szCs w:val="24"/>
        </w:rPr>
        <w:t>right</w:t>
      </w:r>
      <w:r w:rsidR="00A01A28">
        <w:rPr>
          <w:sz w:val="24"/>
          <w:szCs w:val="24"/>
        </w:rPr>
        <w:t xml:space="preserve"> </w:t>
      </w:r>
      <w:proofErr w:type="gramStart"/>
      <w:r w:rsidR="00A01A28">
        <w:rPr>
          <w:sz w:val="24"/>
          <w:szCs w:val="24"/>
        </w:rPr>
        <w:t>however,</w:t>
      </w:r>
      <w:proofErr w:type="gramEnd"/>
      <w:r w:rsidR="00A01A28">
        <w:rPr>
          <w:sz w:val="24"/>
          <w:szCs w:val="24"/>
        </w:rPr>
        <w:t xml:space="preserve"> </w:t>
      </w:r>
      <w:r>
        <w:rPr>
          <w:sz w:val="24"/>
          <w:szCs w:val="24"/>
        </w:rPr>
        <w:t xml:space="preserve">to ask that any attempt to prove that the </w:t>
      </w:r>
      <w:r>
        <w:rPr>
          <w:i/>
          <w:sz w:val="24"/>
          <w:szCs w:val="24"/>
        </w:rPr>
        <w:t>Regionary Catalogues</w:t>
      </w:r>
      <w:r>
        <w:rPr>
          <w:sz w:val="24"/>
          <w:szCs w:val="24"/>
        </w:rPr>
        <w:t xml:space="preserve"> came from the urban administration must first propose an administrative purpose of the document. </w:t>
      </w:r>
      <w:r w:rsidR="002A5C46">
        <w:rPr>
          <w:sz w:val="24"/>
          <w:szCs w:val="24"/>
        </w:rPr>
        <w:t>With my methodology</w:t>
      </w:r>
      <w:r>
        <w:rPr>
          <w:sz w:val="24"/>
          <w:szCs w:val="24"/>
        </w:rPr>
        <w:t xml:space="preserve"> I intend to prove the administrative purpose of the </w:t>
      </w:r>
      <w:r>
        <w:rPr>
          <w:i/>
          <w:sz w:val="24"/>
          <w:szCs w:val="24"/>
        </w:rPr>
        <w:t>Regionary Catalogues</w:t>
      </w:r>
      <w:r w:rsidR="0030130A">
        <w:rPr>
          <w:sz w:val="24"/>
          <w:szCs w:val="24"/>
        </w:rPr>
        <w:t xml:space="preserve"> by showing that </w:t>
      </w:r>
      <w:r>
        <w:rPr>
          <w:sz w:val="24"/>
          <w:szCs w:val="24"/>
        </w:rPr>
        <w:t xml:space="preserve">Roman </w:t>
      </w:r>
      <w:r w:rsidR="008B44B0">
        <w:rPr>
          <w:sz w:val="24"/>
          <w:szCs w:val="24"/>
        </w:rPr>
        <w:t>imperial</w:t>
      </w:r>
      <w:r w:rsidR="0030130A">
        <w:rPr>
          <w:sz w:val="24"/>
          <w:szCs w:val="24"/>
        </w:rPr>
        <w:t xml:space="preserve"> </w:t>
      </w:r>
      <w:r>
        <w:rPr>
          <w:sz w:val="24"/>
          <w:szCs w:val="24"/>
        </w:rPr>
        <w:t xml:space="preserve">administration had a </w:t>
      </w:r>
      <w:r w:rsidR="00021AAA">
        <w:rPr>
          <w:sz w:val="24"/>
          <w:szCs w:val="24"/>
        </w:rPr>
        <w:t>distinct</w:t>
      </w:r>
      <w:r>
        <w:rPr>
          <w:sz w:val="24"/>
          <w:szCs w:val="24"/>
        </w:rPr>
        <w:t xml:space="preserve"> style, one that has many similar characteristics with modern administrative practice, but also one that must be viewed through the unique cultural background of the administrators.</w:t>
      </w:r>
      <w:r w:rsidR="00573A6D">
        <w:rPr>
          <w:sz w:val="24"/>
          <w:szCs w:val="24"/>
        </w:rPr>
        <w:t xml:space="preserve"> </w:t>
      </w:r>
    </w:p>
    <w:p w:rsidR="006E1E5C" w:rsidRDefault="006E1E5C" w:rsidP="00722391">
      <w:pPr>
        <w:spacing w:line="480" w:lineRule="auto"/>
        <w:ind w:firstLine="720"/>
        <w:jc w:val="both"/>
        <w:rPr>
          <w:sz w:val="24"/>
          <w:szCs w:val="24"/>
        </w:rPr>
      </w:pPr>
      <w:r>
        <w:rPr>
          <w:sz w:val="24"/>
          <w:szCs w:val="24"/>
        </w:rPr>
        <w:lastRenderedPageBreak/>
        <w:t>In order to do so, I intend to return to the more administrative history</w:t>
      </w:r>
      <w:r w:rsidR="006B3B52">
        <w:rPr>
          <w:sz w:val="24"/>
          <w:szCs w:val="24"/>
        </w:rPr>
        <w:t xml:space="preserve"> of Rome of Chastagnol and Jones. However,</w:t>
      </w:r>
      <w:r>
        <w:rPr>
          <w:sz w:val="24"/>
          <w:szCs w:val="24"/>
        </w:rPr>
        <w:t xml:space="preserve"> I will now be building upon the conclusions of more recent cultural history </w:t>
      </w:r>
      <w:r w:rsidR="00A01A28">
        <w:rPr>
          <w:sz w:val="24"/>
          <w:szCs w:val="24"/>
        </w:rPr>
        <w:t>and applying these</w:t>
      </w:r>
      <w:r>
        <w:rPr>
          <w:sz w:val="24"/>
          <w:szCs w:val="24"/>
        </w:rPr>
        <w:t xml:space="preserve"> to the historiography of the administration of late antique Rome. By approaching the </w:t>
      </w:r>
      <w:r>
        <w:rPr>
          <w:i/>
          <w:sz w:val="24"/>
          <w:szCs w:val="24"/>
        </w:rPr>
        <w:t>Regionary Catalogues</w:t>
      </w:r>
      <w:r>
        <w:rPr>
          <w:sz w:val="24"/>
          <w:szCs w:val="24"/>
        </w:rPr>
        <w:t xml:space="preserve"> as an administrative document</w:t>
      </w:r>
      <w:r w:rsidR="002A5C46">
        <w:rPr>
          <w:sz w:val="24"/>
          <w:szCs w:val="24"/>
        </w:rPr>
        <w:t>,</w:t>
      </w:r>
      <w:r>
        <w:rPr>
          <w:sz w:val="24"/>
          <w:szCs w:val="24"/>
        </w:rPr>
        <w:t xml:space="preserve"> I will expand upon how Rome’s u</w:t>
      </w:r>
      <w:r w:rsidR="00A01A28">
        <w:rPr>
          <w:sz w:val="24"/>
          <w:szCs w:val="24"/>
        </w:rPr>
        <w:t xml:space="preserve">rban administration </w:t>
      </w:r>
      <w:r>
        <w:rPr>
          <w:sz w:val="24"/>
          <w:szCs w:val="24"/>
        </w:rPr>
        <w:t>functioned</w:t>
      </w:r>
      <w:r w:rsidR="00A01A28">
        <w:rPr>
          <w:sz w:val="24"/>
          <w:szCs w:val="24"/>
        </w:rPr>
        <w:t xml:space="preserve"> practically</w:t>
      </w:r>
      <w:r>
        <w:rPr>
          <w:sz w:val="24"/>
          <w:szCs w:val="24"/>
        </w:rPr>
        <w:t xml:space="preserve"> despite its high turnover of non-professional executive figures and lack of developed bureaucratic structures. I will </w:t>
      </w:r>
      <w:r w:rsidR="00816137">
        <w:rPr>
          <w:sz w:val="24"/>
          <w:szCs w:val="24"/>
        </w:rPr>
        <w:t xml:space="preserve">also present a new view of how </w:t>
      </w:r>
      <w:r>
        <w:rPr>
          <w:sz w:val="24"/>
          <w:szCs w:val="24"/>
        </w:rPr>
        <w:t>Romans conceptualised the urban administration of Rome in Late Antiquity and what they considered administratively</w:t>
      </w:r>
      <w:r w:rsidR="00A01A28">
        <w:rPr>
          <w:sz w:val="24"/>
          <w:szCs w:val="24"/>
        </w:rPr>
        <w:t xml:space="preserve"> </w:t>
      </w:r>
      <w:r>
        <w:rPr>
          <w:sz w:val="24"/>
          <w:szCs w:val="24"/>
        </w:rPr>
        <w:t>important</w:t>
      </w:r>
      <w:r w:rsidR="00A01A28">
        <w:rPr>
          <w:sz w:val="24"/>
          <w:szCs w:val="24"/>
        </w:rPr>
        <w:t xml:space="preserve"> and/or </w:t>
      </w:r>
      <w:r w:rsidR="00816137">
        <w:rPr>
          <w:sz w:val="24"/>
          <w:szCs w:val="24"/>
        </w:rPr>
        <w:t>relevant</w:t>
      </w:r>
      <w:r>
        <w:rPr>
          <w:sz w:val="24"/>
          <w:szCs w:val="24"/>
        </w:rPr>
        <w:t>. As the historiography of the topic has been based largely on Chastagnol’s conclusions that the urban administration did not see any substantial changes (</w:t>
      </w:r>
      <w:r w:rsidR="006B3B52">
        <w:rPr>
          <w:sz w:val="24"/>
          <w:szCs w:val="24"/>
        </w:rPr>
        <w:t>and in the absence of</w:t>
      </w:r>
      <w:r w:rsidR="000A7C92">
        <w:rPr>
          <w:sz w:val="24"/>
          <w:szCs w:val="24"/>
        </w:rPr>
        <w:t xml:space="preserve"> someone convincingly challenging</w:t>
      </w:r>
      <w:r w:rsidR="006B3B52">
        <w:rPr>
          <w:sz w:val="24"/>
          <w:szCs w:val="24"/>
        </w:rPr>
        <w:t xml:space="preserve"> Chastagnol’s</w:t>
      </w:r>
      <w:r>
        <w:rPr>
          <w:sz w:val="24"/>
          <w:szCs w:val="24"/>
        </w:rPr>
        <w:t>), this allows us to apply the conclusions devised by cultural historians such as Ando and Lendon</w:t>
      </w:r>
      <w:r w:rsidR="006B3B52">
        <w:rPr>
          <w:sz w:val="24"/>
          <w:szCs w:val="24"/>
        </w:rPr>
        <w:t xml:space="preserve">, whose work </w:t>
      </w:r>
      <w:r w:rsidR="00A01A28">
        <w:rPr>
          <w:sz w:val="24"/>
          <w:szCs w:val="24"/>
        </w:rPr>
        <w:t>concerns</w:t>
      </w:r>
      <w:r w:rsidR="006B3B52">
        <w:rPr>
          <w:sz w:val="24"/>
          <w:szCs w:val="24"/>
        </w:rPr>
        <w:t xml:space="preserve"> a slightly earlier period of Roman </w:t>
      </w:r>
      <w:r w:rsidR="008B44B0">
        <w:rPr>
          <w:sz w:val="24"/>
          <w:szCs w:val="24"/>
        </w:rPr>
        <w:t>imperial</w:t>
      </w:r>
      <w:r w:rsidR="006B3B52">
        <w:rPr>
          <w:sz w:val="24"/>
          <w:szCs w:val="24"/>
        </w:rPr>
        <w:t xml:space="preserve"> history,</w:t>
      </w:r>
      <w:r>
        <w:rPr>
          <w:sz w:val="24"/>
          <w:szCs w:val="24"/>
        </w:rPr>
        <w:t xml:space="preserve"> to the administration of Rome in late antiquity. </w:t>
      </w:r>
    </w:p>
    <w:p w:rsidR="006E1E5C" w:rsidRDefault="006E1E5C" w:rsidP="00722391">
      <w:pPr>
        <w:spacing w:line="480" w:lineRule="auto"/>
        <w:ind w:firstLine="720"/>
        <w:jc w:val="both"/>
        <w:rPr>
          <w:rFonts w:cs="Times New Roman"/>
          <w:sz w:val="24"/>
          <w:szCs w:val="24"/>
        </w:rPr>
      </w:pPr>
      <w:r>
        <w:rPr>
          <w:sz w:val="24"/>
          <w:szCs w:val="24"/>
        </w:rPr>
        <w:t xml:space="preserve">Excluding Javier </w:t>
      </w:r>
      <w:r w:rsidR="009E7336">
        <w:rPr>
          <w:sz w:val="24"/>
          <w:szCs w:val="24"/>
        </w:rPr>
        <w:t>Arce</w:t>
      </w:r>
      <w:r>
        <w:rPr>
          <w:sz w:val="24"/>
          <w:szCs w:val="24"/>
        </w:rPr>
        <w:t>’s examination of the</w:t>
      </w:r>
      <w:r>
        <w:rPr>
          <w:i/>
          <w:sz w:val="24"/>
          <w:szCs w:val="24"/>
        </w:rPr>
        <w:t xml:space="preserve"> Regionaries</w:t>
      </w:r>
      <w:r>
        <w:rPr>
          <w:sz w:val="24"/>
          <w:szCs w:val="24"/>
        </w:rPr>
        <w:t xml:space="preserve"> as a literary text and panegyric, all three strands of the </w:t>
      </w:r>
      <w:r>
        <w:rPr>
          <w:i/>
          <w:sz w:val="24"/>
          <w:szCs w:val="24"/>
        </w:rPr>
        <w:t>Regionary Catalogues</w:t>
      </w:r>
      <w:r>
        <w:rPr>
          <w:sz w:val="24"/>
          <w:szCs w:val="24"/>
        </w:rPr>
        <w:t xml:space="preserve">’s historiography fall prey to the same circular argument when they treat the </w:t>
      </w:r>
      <w:r>
        <w:rPr>
          <w:i/>
          <w:sz w:val="24"/>
          <w:szCs w:val="24"/>
        </w:rPr>
        <w:t>Regionary Catalogues</w:t>
      </w:r>
      <w:r>
        <w:rPr>
          <w:sz w:val="24"/>
          <w:szCs w:val="24"/>
        </w:rPr>
        <w:t xml:space="preserve"> as a source for statistics. Those statistics that don’t work</w:t>
      </w:r>
      <w:r w:rsidR="000A7C92">
        <w:rPr>
          <w:sz w:val="24"/>
          <w:szCs w:val="24"/>
        </w:rPr>
        <w:t xml:space="preserve"> with the standard definition</w:t>
      </w:r>
      <w:r>
        <w:rPr>
          <w:sz w:val="24"/>
          <w:szCs w:val="24"/>
        </w:rPr>
        <w:t xml:space="preserve"> either have their meanings altered so that </w:t>
      </w:r>
      <w:r w:rsidR="000A7C92">
        <w:rPr>
          <w:sz w:val="24"/>
          <w:szCs w:val="24"/>
        </w:rPr>
        <w:t>the statistics</w:t>
      </w:r>
      <w:r w:rsidR="005C475D">
        <w:rPr>
          <w:sz w:val="24"/>
          <w:szCs w:val="24"/>
        </w:rPr>
        <w:t xml:space="preserve"> can</w:t>
      </w:r>
      <w:r w:rsidR="000A7C92">
        <w:rPr>
          <w:sz w:val="24"/>
          <w:szCs w:val="24"/>
        </w:rPr>
        <w:t xml:space="preserve"> continue to function</w:t>
      </w:r>
      <w:r w:rsidR="005C475D">
        <w:rPr>
          <w:sz w:val="24"/>
          <w:szCs w:val="24"/>
        </w:rPr>
        <w:t xml:space="preserve"> as read</w:t>
      </w:r>
      <w:r>
        <w:rPr>
          <w:sz w:val="24"/>
          <w:szCs w:val="24"/>
        </w:rPr>
        <w:t xml:space="preserve"> or are side-lined as “anachronisms”. I intend to address this issue by combining elements from all three historiographical approaches with the latest methodological work from social and cultural history. I will argue that it is inappropriate to judge the </w:t>
      </w:r>
      <w:r>
        <w:rPr>
          <w:i/>
          <w:sz w:val="24"/>
          <w:szCs w:val="24"/>
        </w:rPr>
        <w:t>Regionary Catalogues</w:t>
      </w:r>
      <w:r w:rsidR="000A7C92">
        <w:rPr>
          <w:i/>
          <w:sz w:val="24"/>
          <w:szCs w:val="24"/>
        </w:rPr>
        <w:t>’</w:t>
      </w:r>
      <w:r>
        <w:rPr>
          <w:sz w:val="24"/>
          <w:szCs w:val="24"/>
        </w:rPr>
        <w:t xml:space="preserve"> potential based on any one set of “modern” criteria of what a document should be. </w:t>
      </w:r>
      <w:r>
        <w:rPr>
          <w:rFonts w:cs="Times New Roman"/>
          <w:sz w:val="24"/>
          <w:szCs w:val="24"/>
        </w:rPr>
        <w:t xml:space="preserve">In fact it is </w:t>
      </w:r>
      <w:r>
        <w:rPr>
          <w:rFonts w:cs="Times New Roman"/>
          <w:sz w:val="24"/>
          <w:szCs w:val="24"/>
        </w:rPr>
        <w:lastRenderedPageBreak/>
        <w:t>unreasonable to expect a pre-modern society to have a set of sufficiently detailed statistics and any methodological approach should appropriately account for this. Even in the efficient “Weberian Civil Service” of modern Europe, power is still limited by the expertise of its staff (which is far from guaranteed).</w:t>
      </w:r>
      <w:r>
        <w:rPr>
          <w:rStyle w:val="FootnoteReference"/>
          <w:rFonts w:cs="Times New Roman"/>
          <w:sz w:val="24"/>
          <w:szCs w:val="24"/>
        </w:rPr>
        <w:footnoteReference w:id="56"/>
      </w:r>
      <w:r>
        <w:rPr>
          <w:rFonts w:cs="Times New Roman"/>
          <w:sz w:val="24"/>
          <w:szCs w:val="24"/>
        </w:rPr>
        <w:t xml:space="preserve"> Roman government</w:t>
      </w:r>
      <w:r w:rsidR="000A7C92">
        <w:rPr>
          <w:rFonts w:cs="Times New Roman"/>
          <w:sz w:val="24"/>
          <w:szCs w:val="24"/>
        </w:rPr>
        <w:t>,</w:t>
      </w:r>
      <w:r>
        <w:rPr>
          <w:rFonts w:cs="Times New Roman"/>
          <w:sz w:val="24"/>
          <w:szCs w:val="24"/>
        </w:rPr>
        <w:t xml:space="preserve"> as advanced and widespread as it may have seemed</w:t>
      </w:r>
      <w:r w:rsidR="000A7C92">
        <w:rPr>
          <w:rFonts w:cs="Times New Roman"/>
          <w:sz w:val="24"/>
          <w:szCs w:val="24"/>
        </w:rPr>
        <w:t>,</w:t>
      </w:r>
      <w:r>
        <w:rPr>
          <w:rFonts w:cs="Times New Roman"/>
          <w:sz w:val="24"/>
          <w:szCs w:val="24"/>
        </w:rPr>
        <w:t xml:space="preserve"> was still restricted by the technological limitations of the time, particularly with regards to communication</w:t>
      </w:r>
      <w:r w:rsidR="00B0500A">
        <w:rPr>
          <w:rFonts w:cs="Times New Roman"/>
          <w:sz w:val="24"/>
          <w:szCs w:val="24"/>
        </w:rPr>
        <w:t>, transportation and</w:t>
      </w:r>
      <w:r>
        <w:rPr>
          <w:rFonts w:cs="Times New Roman"/>
          <w:sz w:val="24"/>
          <w:szCs w:val="24"/>
        </w:rPr>
        <w:t xml:space="preserve"> information. </w:t>
      </w:r>
    </w:p>
    <w:p w:rsidR="00CC6095" w:rsidRDefault="006E1E5C" w:rsidP="00722391">
      <w:pPr>
        <w:spacing w:line="480" w:lineRule="auto"/>
        <w:ind w:firstLine="720"/>
        <w:jc w:val="both"/>
        <w:rPr>
          <w:rFonts w:cs="Times New Roman"/>
          <w:sz w:val="24"/>
          <w:szCs w:val="24"/>
        </w:rPr>
      </w:pPr>
      <w:r>
        <w:rPr>
          <w:rFonts w:cs="Times New Roman"/>
          <w:sz w:val="24"/>
          <w:szCs w:val="24"/>
        </w:rPr>
        <w:t>Weber’s belief was that the bureaucratic co-ordination of government, its legal-rational bureaucracy, is the distinctive mark of modern governments</w:t>
      </w:r>
      <w:r w:rsidR="00A01A28">
        <w:rPr>
          <w:rFonts w:cs="Times New Roman"/>
          <w:sz w:val="24"/>
          <w:szCs w:val="24"/>
        </w:rPr>
        <w:t>,</w:t>
      </w:r>
      <w:r>
        <w:rPr>
          <w:rFonts w:cs="Times New Roman"/>
          <w:sz w:val="24"/>
          <w:szCs w:val="24"/>
        </w:rPr>
        <w:t xml:space="preserve"> in contrast to the more personal and dispersed governments of the pre-modern period, the patrimonial bureaucracy</w:t>
      </w:r>
      <w:r w:rsidR="008E7BDA">
        <w:rPr>
          <w:rFonts w:cs="Times New Roman"/>
          <w:sz w:val="24"/>
          <w:szCs w:val="24"/>
        </w:rPr>
        <w:t xml:space="preserve"> of cultures like Rome</w:t>
      </w:r>
      <w:r>
        <w:rPr>
          <w:rFonts w:cs="Times New Roman"/>
          <w:sz w:val="24"/>
          <w:szCs w:val="24"/>
        </w:rPr>
        <w:t>.</w:t>
      </w:r>
      <w:r>
        <w:rPr>
          <w:rStyle w:val="FootnoteReference"/>
          <w:rFonts w:cs="Times New Roman"/>
          <w:sz w:val="24"/>
          <w:szCs w:val="24"/>
        </w:rPr>
        <w:footnoteReference w:id="57"/>
      </w:r>
      <w:r>
        <w:rPr>
          <w:rFonts w:cs="Times New Roman"/>
          <w:sz w:val="24"/>
          <w:szCs w:val="24"/>
        </w:rPr>
        <w:t xml:space="preserve"> Weber specifically mentions the </w:t>
      </w:r>
      <w:r w:rsidR="00A01A28">
        <w:rPr>
          <w:rFonts w:cs="Times New Roman"/>
          <w:sz w:val="24"/>
          <w:szCs w:val="24"/>
        </w:rPr>
        <w:t>City of Rome and its grain supply</w:t>
      </w:r>
      <w:r>
        <w:rPr>
          <w:rFonts w:cs="Times New Roman"/>
          <w:sz w:val="24"/>
          <w:szCs w:val="24"/>
        </w:rPr>
        <w:t xml:space="preserve"> as example of a pre-modern government</w:t>
      </w:r>
      <w:r w:rsidR="008E7BDA">
        <w:rPr>
          <w:rFonts w:cs="Times New Roman"/>
          <w:sz w:val="24"/>
          <w:szCs w:val="24"/>
        </w:rPr>
        <w:t xml:space="preserve"> ability</w:t>
      </w:r>
      <w:r>
        <w:rPr>
          <w:rFonts w:cs="Times New Roman"/>
          <w:sz w:val="24"/>
          <w:szCs w:val="24"/>
        </w:rPr>
        <w:t xml:space="preserve"> to maintain profitability.</w:t>
      </w:r>
      <w:r>
        <w:rPr>
          <w:rStyle w:val="FootnoteReference"/>
          <w:rFonts w:cs="Times New Roman"/>
          <w:sz w:val="24"/>
          <w:szCs w:val="24"/>
        </w:rPr>
        <w:footnoteReference w:id="58"/>
      </w:r>
      <w:r>
        <w:rPr>
          <w:rFonts w:cs="Times New Roman"/>
          <w:sz w:val="24"/>
          <w:szCs w:val="24"/>
        </w:rPr>
        <w:t xml:space="preserve"> In his article, ‘The Social Causes of the Decay of Ancient Civilisation’ (1950), Weber argues that as a “slave civilisation’, the Roman Empire was dependent upon the accumulation of human capital for economic and administrative specialisation rather than the technological progress that supports a modern administration.</w:t>
      </w:r>
      <w:r>
        <w:rPr>
          <w:rStyle w:val="FootnoteReference"/>
          <w:rFonts w:cs="Times New Roman"/>
          <w:sz w:val="24"/>
          <w:szCs w:val="24"/>
        </w:rPr>
        <w:footnoteReference w:id="59"/>
      </w:r>
      <w:r>
        <w:rPr>
          <w:rFonts w:cs="Times New Roman"/>
          <w:sz w:val="24"/>
          <w:szCs w:val="24"/>
        </w:rPr>
        <w:t xml:space="preserve"> In contrast to Weber, Michel Foucault’s central concern was to disco</w:t>
      </w:r>
      <w:r w:rsidR="000A7C92">
        <w:rPr>
          <w:rFonts w:cs="Times New Roman"/>
          <w:sz w:val="24"/>
          <w:szCs w:val="24"/>
        </w:rPr>
        <w:t>ver the</w:t>
      </w:r>
      <w:r>
        <w:rPr>
          <w:rFonts w:cs="Times New Roman"/>
          <w:sz w:val="24"/>
          <w:szCs w:val="24"/>
        </w:rPr>
        <w:t xml:space="preserve"> point at which reason and science</w:t>
      </w:r>
      <w:r w:rsidR="000A7C92">
        <w:rPr>
          <w:rFonts w:cs="Times New Roman"/>
          <w:sz w:val="24"/>
          <w:szCs w:val="24"/>
        </w:rPr>
        <w:t xml:space="preserve"> that</w:t>
      </w:r>
      <w:r>
        <w:rPr>
          <w:rFonts w:cs="Times New Roman"/>
          <w:sz w:val="24"/>
          <w:szCs w:val="24"/>
        </w:rPr>
        <w:t xml:space="preserve"> brought about the</w:t>
      </w:r>
      <w:r w:rsidR="000A7C92">
        <w:rPr>
          <w:rFonts w:cs="Times New Roman"/>
          <w:sz w:val="24"/>
          <w:szCs w:val="24"/>
        </w:rPr>
        <w:t xml:space="preserve"> state’s dominance of knowledge</w:t>
      </w:r>
      <w:r>
        <w:rPr>
          <w:rFonts w:cs="Times New Roman"/>
          <w:sz w:val="24"/>
          <w:szCs w:val="24"/>
        </w:rPr>
        <w:t xml:space="preserve"> became the dominant form o</w:t>
      </w:r>
      <w:r w:rsidR="000A7C92">
        <w:rPr>
          <w:rFonts w:cs="Times New Roman"/>
          <w:sz w:val="24"/>
          <w:szCs w:val="24"/>
        </w:rPr>
        <w:t>f discourse. This appeared as a</w:t>
      </w:r>
      <w:r>
        <w:rPr>
          <w:rFonts w:cs="Times New Roman"/>
          <w:sz w:val="24"/>
          <w:szCs w:val="24"/>
        </w:rPr>
        <w:t xml:space="preserve"> ‘result of the process, through which the state of justice of the </w:t>
      </w:r>
      <w:proofErr w:type="gramStart"/>
      <w:r>
        <w:rPr>
          <w:rFonts w:cs="Times New Roman"/>
          <w:sz w:val="24"/>
          <w:szCs w:val="24"/>
        </w:rPr>
        <w:t>Middle</w:t>
      </w:r>
      <w:proofErr w:type="gramEnd"/>
      <w:r>
        <w:rPr>
          <w:rFonts w:cs="Times New Roman"/>
          <w:sz w:val="24"/>
          <w:szCs w:val="24"/>
        </w:rPr>
        <w:t xml:space="preserve"> Ages, </w:t>
      </w:r>
      <w:r>
        <w:rPr>
          <w:rFonts w:cs="Times New Roman"/>
          <w:sz w:val="24"/>
          <w:szCs w:val="24"/>
        </w:rPr>
        <w:lastRenderedPageBreak/>
        <w:t>transformed into the administrative state during the fifteenth and sixteenth centuries’.</w:t>
      </w:r>
      <w:r>
        <w:rPr>
          <w:rStyle w:val="FootnoteReference"/>
          <w:rFonts w:cs="Times New Roman"/>
          <w:sz w:val="24"/>
          <w:szCs w:val="24"/>
        </w:rPr>
        <w:footnoteReference w:id="60"/>
      </w:r>
      <w:r>
        <w:rPr>
          <w:rFonts w:cs="Times New Roman"/>
          <w:sz w:val="24"/>
          <w:szCs w:val="24"/>
        </w:rPr>
        <w:t xml:space="preserve"> For Foucault</w:t>
      </w:r>
      <w:r w:rsidR="000A7C92">
        <w:rPr>
          <w:rFonts w:cs="Times New Roman"/>
          <w:sz w:val="24"/>
          <w:szCs w:val="24"/>
        </w:rPr>
        <w:t>,</w:t>
      </w:r>
      <w:r>
        <w:rPr>
          <w:rFonts w:cs="Times New Roman"/>
          <w:sz w:val="24"/>
          <w:szCs w:val="24"/>
        </w:rPr>
        <w:t xml:space="preserve"> there was a clear dichotomy between the classical and the modern, defined by the modern period’s ability to manage society to produce order and the classical period’s sole ability to impose order bluntly.</w:t>
      </w:r>
      <w:r>
        <w:rPr>
          <w:rStyle w:val="FootnoteReference"/>
          <w:rFonts w:cs="Times New Roman"/>
          <w:sz w:val="24"/>
          <w:szCs w:val="24"/>
        </w:rPr>
        <w:footnoteReference w:id="61"/>
      </w:r>
      <w:r>
        <w:rPr>
          <w:rFonts w:cs="Times New Roman"/>
          <w:sz w:val="24"/>
          <w:szCs w:val="24"/>
        </w:rPr>
        <w:t xml:space="preserve"> Two approaches towards the Roman style of administration in cultural history have developed from these theories. </w:t>
      </w:r>
    </w:p>
    <w:p w:rsidR="006E1E5C" w:rsidRDefault="006E1E5C" w:rsidP="00722391">
      <w:pPr>
        <w:spacing w:line="480" w:lineRule="auto"/>
        <w:ind w:firstLine="720"/>
        <w:jc w:val="both"/>
        <w:rPr>
          <w:sz w:val="24"/>
          <w:szCs w:val="24"/>
        </w:rPr>
      </w:pPr>
      <w:r>
        <w:rPr>
          <w:rFonts w:cs="Times New Roman"/>
          <w:sz w:val="24"/>
          <w:szCs w:val="24"/>
        </w:rPr>
        <w:t xml:space="preserve">Clifford Ando, in his </w:t>
      </w:r>
      <w:r w:rsidR="008B44B0">
        <w:rPr>
          <w:rFonts w:cs="Times New Roman"/>
          <w:i/>
          <w:sz w:val="24"/>
          <w:szCs w:val="24"/>
        </w:rPr>
        <w:t>Imperial</w:t>
      </w:r>
      <w:r>
        <w:rPr>
          <w:rFonts w:cs="Times New Roman"/>
          <w:i/>
          <w:sz w:val="24"/>
          <w:szCs w:val="24"/>
        </w:rPr>
        <w:t xml:space="preserve"> Ideology and Provincial Loyalty in the Roman Empire</w:t>
      </w:r>
      <w:r>
        <w:rPr>
          <w:rFonts w:cs="Times New Roman"/>
          <w:sz w:val="24"/>
          <w:szCs w:val="24"/>
        </w:rPr>
        <w:t xml:space="preserve"> argues that we can apply Fouca</w:t>
      </w:r>
      <w:r w:rsidR="000A7C92">
        <w:rPr>
          <w:rFonts w:cs="Times New Roman"/>
          <w:sz w:val="24"/>
          <w:szCs w:val="24"/>
        </w:rPr>
        <w:t>ult’s theories of ‘governmentality’</w:t>
      </w:r>
      <w:r>
        <w:rPr>
          <w:rFonts w:cs="Times New Roman"/>
          <w:sz w:val="24"/>
          <w:szCs w:val="24"/>
        </w:rPr>
        <w:t xml:space="preserve"> and power to the Roman government</w:t>
      </w:r>
      <w:r w:rsidR="000A7C92">
        <w:rPr>
          <w:rFonts w:cs="Times New Roman"/>
          <w:sz w:val="24"/>
          <w:szCs w:val="24"/>
        </w:rPr>
        <w:t xml:space="preserve"> as a result of</w:t>
      </w:r>
      <w:r>
        <w:rPr>
          <w:rFonts w:cs="Times New Roman"/>
          <w:sz w:val="24"/>
          <w:szCs w:val="24"/>
        </w:rPr>
        <w:t xml:space="preserve"> the administrative changes of the 3</w:t>
      </w:r>
      <w:r>
        <w:rPr>
          <w:rFonts w:cs="Times New Roman"/>
          <w:sz w:val="24"/>
          <w:szCs w:val="24"/>
          <w:vertAlign w:val="superscript"/>
        </w:rPr>
        <w:t>rd</w:t>
      </w:r>
      <w:r>
        <w:rPr>
          <w:rFonts w:cs="Times New Roman"/>
          <w:sz w:val="24"/>
          <w:szCs w:val="24"/>
        </w:rPr>
        <w:t xml:space="preserve"> century that resulted in an apparent increase i</w:t>
      </w:r>
      <w:r w:rsidR="00C2672D">
        <w:rPr>
          <w:rFonts w:cs="Times New Roman"/>
          <w:sz w:val="24"/>
          <w:szCs w:val="24"/>
        </w:rPr>
        <w:t>n bureaucracy and documentation. He likened</w:t>
      </w:r>
      <w:r>
        <w:rPr>
          <w:rFonts w:cs="Times New Roman"/>
          <w:sz w:val="24"/>
          <w:szCs w:val="24"/>
        </w:rPr>
        <w:t xml:space="preserve"> </w:t>
      </w:r>
      <w:r w:rsidR="00CC6095">
        <w:rPr>
          <w:rFonts w:cs="Times New Roman"/>
          <w:sz w:val="24"/>
          <w:szCs w:val="24"/>
        </w:rPr>
        <w:t>the Late Roman government</w:t>
      </w:r>
      <w:r w:rsidR="00C2672D">
        <w:rPr>
          <w:rFonts w:cs="Times New Roman"/>
          <w:sz w:val="24"/>
          <w:szCs w:val="24"/>
        </w:rPr>
        <w:t>’s increase in</w:t>
      </w:r>
      <w:r>
        <w:rPr>
          <w:rFonts w:cs="Times New Roman"/>
          <w:sz w:val="24"/>
          <w:szCs w:val="24"/>
        </w:rPr>
        <w:t xml:space="preserve"> cont</w:t>
      </w:r>
      <w:r w:rsidR="00C2672D">
        <w:rPr>
          <w:rFonts w:cs="Times New Roman"/>
          <w:sz w:val="24"/>
          <w:szCs w:val="24"/>
        </w:rPr>
        <w:t>rol and intrusiveness</w:t>
      </w:r>
      <w:r>
        <w:rPr>
          <w:rFonts w:cs="Times New Roman"/>
          <w:sz w:val="24"/>
          <w:szCs w:val="24"/>
        </w:rPr>
        <w:t xml:space="preserve"> to the increase of </w:t>
      </w:r>
      <w:r w:rsidR="00A01A28">
        <w:rPr>
          <w:rFonts w:cs="Times New Roman"/>
          <w:sz w:val="24"/>
          <w:szCs w:val="24"/>
        </w:rPr>
        <w:t>state-power in the sixteenth c</w:t>
      </w:r>
      <w:r>
        <w:rPr>
          <w:rFonts w:cs="Times New Roman"/>
          <w:sz w:val="24"/>
          <w:szCs w:val="24"/>
        </w:rPr>
        <w:t>entury.</w:t>
      </w:r>
      <w:r>
        <w:rPr>
          <w:rStyle w:val="FootnoteReference"/>
          <w:rFonts w:cs="Times New Roman"/>
          <w:sz w:val="24"/>
          <w:szCs w:val="24"/>
        </w:rPr>
        <w:footnoteReference w:id="62"/>
      </w:r>
      <w:r>
        <w:rPr>
          <w:rFonts w:cs="Times New Roman"/>
          <w:sz w:val="24"/>
          <w:szCs w:val="24"/>
        </w:rPr>
        <w:t xml:space="preserve"> </w:t>
      </w:r>
      <w:r w:rsidR="00AF2C58">
        <w:rPr>
          <w:rFonts w:cs="Times New Roman"/>
          <w:sz w:val="24"/>
          <w:szCs w:val="24"/>
        </w:rPr>
        <w:t xml:space="preserve">However </w:t>
      </w:r>
      <w:r>
        <w:rPr>
          <w:sz w:val="24"/>
          <w:szCs w:val="24"/>
        </w:rPr>
        <w:t xml:space="preserve">Ando argued that the Roman State’s power rested upon its ability to generate consent rather than through brute military force. In a Foucauldian fashion, he argued that the Roman state was able to do this by inserting itself into the everyday through an “ideological state apparatus” of archives, libraries and catalogues of data (like the </w:t>
      </w:r>
      <w:r>
        <w:rPr>
          <w:i/>
          <w:sz w:val="24"/>
          <w:szCs w:val="24"/>
        </w:rPr>
        <w:t>Regionaries</w:t>
      </w:r>
      <w:r w:rsidRPr="000A7C92">
        <w:rPr>
          <w:sz w:val="24"/>
          <w:szCs w:val="24"/>
        </w:rPr>
        <w:t>)</w:t>
      </w:r>
      <w:r>
        <w:rPr>
          <w:sz w:val="24"/>
          <w:szCs w:val="24"/>
        </w:rPr>
        <w:t>, which ensured that it was the only form of rational authority present in its subjects’ minds.</w:t>
      </w:r>
      <w:r>
        <w:rPr>
          <w:rStyle w:val="FootnoteReference"/>
          <w:sz w:val="24"/>
          <w:szCs w:val="24"/>
        </w:rPr>
        <w:footnoteReference w:id="63"/>
      </w:r>
      <w:r>
        <w:rPr>
          <w:sz w:val="24"/>
          <w:szCs w:val="24"/>
        </w:rPr>
        <w:t xml:space="preserve"> </w:t>
      </w:r>
    </w:p>
    <w:p w:rsidR="006E1E5C" w:rsidRPr="00F97BFB" w:rsidRDefault="000A7C92" w:rsidP="00910529">
      <w:pPr>
        <w:spacing w:line="480" w:lineRule="auto"/>
        <w:ind w:firstLine="720"/>
        <w:jc w:val="both"/>
        <w:rPr>
          <w:rFonts w:cs="Times New Roman"/>
          <w:sz w:val="24"/>
          <w:szCs w:val="24"/>
        </w:rPr>
      </w:pPr>
      <w:r>
        <w:rPr>
          <w:rFonts w:cs="Times New Roman"/>
          <w:sz w:val="24"/>
          <w:szCs w:val="24"/>
        </w:rPr>
        <w:t>In contrast, Jon Lendon’s ‘Empire of Honour’</w:t>
      </w:r>
      <w:r w:rsidR="006E1E5C">
        <w:rPr>
          <w:rFonts w:cs="Times New Roman"/>
          <w:sz w:val="24"/>
          <w:szCs w:val="24"/>
        </w:rPr>
        <w:t xml:space="preserve"> functioned on the Weberian pre-modern level of dispersed, </w:t>
      </w:r>
      <w:r>
        <w:rPr>
          <w:rFonts w:cs="Times New Roman"/>
          <w:sz w:val="24"/>
          <w:szCs w:val="24"/>
        </w:rPr>
        <w:t xml:space="preserve">personal form of government which, </w:t>
      </w:r>
      <w:r w:rsidR="006E1E5C">
        <w:rPr>
          <w:rFonts w:cs="Times New Roman"/>
          <w:sz w:val="24"/>
          <w:szCs w:val="24"/>
        </w:rPr>
        <w:t>due to technological and social limitations</w:t>
      </w:r>
      <w:r>
        <w:rPr>
          <w:rFonts w:cs="Times New Roman"/>
          <w:sz w:val="24"/>
          <w:szCs w:val="24"/>
        </w:rPr>
        <w:t>,</w:t>
      </w:r>
      <w:r w:rsidR="006E1E5C">
        <w:rPr>
          <w:rFonts w:cs="Times New Roman"/>
          <w:sz w:val="24"/>
          <w:szCs w:val="24"/>
        </w:rPr>
        <w:t xml:space="preserve"> had to depend on amateur administrators who maintained their authority </w:t>
      </w:r>
      <w:r w:rsidR="006E1E5C">
        <w:rPr>
          <w:rFonts w:cs="Times New Roman"/>
          <w:sz w:val="24"/>
          <w:szCs w:val="24"/>
        </w:rPr>
        <w:lastRenderedPageBreak/>
        <w:t>and superiority through a common set of values (honour and prestige).</w:t>
      </w:r>
      <w:r w:rsidR="006E1E5C">
        <w:rPr>
          <w:rStyle w:val="FootnoteReference"/>
          <w:rFonts w:cs="Times New Roman"/>
          <w:sz w:val="24"/>
          <w:szCs w:val="24"/>
        </w:rPr>
        <w:footnoteReference w:id="64"/>
      </w:r>
      <w:r w:rsidR="006E1E5C">
        <w:rPr>
          <w:rFonts w:cs="Times New Roman"/>
          <w:sz w:val="24"/>
          <w:szCs w:val="24"/>
        </w:rPr>
        <w:t xml:space="preserve"> </w:t>
      </w:r>
      <w:r w:rsidR="006E1E5C">
        <w:rPr>
          <w:sz w:val="24"/>
          <w:szCs w:val="24"/>
        </w:rPr>
        <w:t>An office or a city could bestow a certain amount of prestige upon a person, but this meant that they in turn had to demonstrate an appropriate reverence for their new task. Lendon’s approach towards administration will serve my examination particularly</w:t>
      </w:r>
      <w:r w:rsidR="00A01A28">
        <w:rPr>
          <w:sz w:val="24"/>
          <w:szCs w:val="24"/>
        </w:rPr>
        <w:t xml:space="preserve"> well</w:t>
      </w:r>
      <w:r w:rsidR="006E1E5C">
        <w:rPr>
          <w:sz w:val="24"/>
          <w:szCs w:val="24"/>
        </w:rPr>
        <w:t xml:space="preserve">, focusing as it does on the Urban Prefect. Whilst the Urban Prefect was a role that bore many responsibilities and little recompense, its main attraction was that it served as the capstone to a glorious </w:t>
      </w:r>
      <w:r w:rsidR="008B44B0">
        <w:rPr>
          <w:sz w:val="24"/>
          <w:szCs w:val="24"/>
        </w:rPr>
        <w:t>senatorial</w:t>
      </w:r>
      <w:r w:rsidR="006E1E5C">
        <w:rPr>
          <w:sz w:val="24"/>
          <w:szCs w:val="24"/>
        </w:rPr>
        <w:t xml:space="preserve"> career. Having little political authority over the rest of the hierarchy that he would have to work with, much of the Urban Prefect’s ability to conduct the duties of his office would be dependent on his relation</w:t>
      </w:r>
      <w:r w:rsidR="0087599E">
        <w:rPr>
          <w:sz w:val="24"/>
          <w:szCs w:val="24"/>
        </w:rPr>
        <w:t>ships with other officials and s</w:t>
      </w:r>
      <w:r w:rsidR="006E1E5C">
        <w:rPr>
          <w:sz w:val="24"/>
          <w:szCs w:val="24"/>
        </w:rPr>
        <w:t>enators and</w:t>
      </w:r>
      <w:r>
        <w:rPr>
          <w:sz w:val="24"/>
          <w:szCs w:val="24"/>
        </w:rPr>
        <w:t>,</w:t>
      </w:r>
      <w:r w:rsidR="006E1E5C">
        <w:rPr>
          <w:sz w:val="24"/>
          <w:szCs w:val="24"/>
        </w:rPr>
        <w:t xml:space="preserve"> therefore</w:t>
      </w:r>
      <w:r>
        <w:rPr>
          <w:sz w:val="24"/>
          <w:szCs w:val="24"/>
        </w:rPr>
        <w:t>,</w:t>
      </w:r>
      <w:r w:rsidR="006E1E5C">
        <w:rPr>
          <w:sz w:val="24"/>
          <w:szCs w:val="24"/>
        </w:rPr>
        <w:t xml:space="preserve"> on his own prestige. </w:t>
      </w:r>
      <w:r w:rsidR="00910529">
        <w:rPr>
          <w:sz w:val="24"/>
          <w:szCs w:val="24"/>
        </w:rPr>
        <w:t>I will be d</w:t>
      </w:r>
      <w:r w:rsidR="00114730">
        <w:rPr>
          <w:sz w:val="24"/>
          <w:szCs w:val="24"/>
        </w:rPr>
        <w:t xml:space="preserve">eveloping a synthesis of Ando and Lendon’s </w:t>
      </w:r>
      <w:r w:rsidR="006E1E5C">
        <w:rPr>
          <w:sz w:val="24"/>
          <w:szCs w:val="24"/>
        </w:rPr>
        <w:t>approach</w:t>
      </w:r>
      <w:r w:rsidR="00114730">
        <w:rPr>
          <w:sz w:val="24"/>
          <w:szCs w:val="24"/>
        </w:rPr>
        <w:t>es and the results of this will</w:t>
      </w:r>
      <w:r w:rsidR="006E1E5C">
        <w:rPr>
          <w:sz w:val="24"/>
          <w:szCs w:val="24"/>
        </w:rPr>
        <w:t xml:space="preserve"> allow us to take into account the</w:t>
      </w:r>
      <w:r w:rsidR="00910529">
        <w:rPr>
          <w:sz w:val="24"/>
          <w:szCs w:val="24"/>
        </w:rPr>
        <w:t xml:space="preserve"> contrast of</w:t>
      </w:r>
      <w:r w:rsidR="006E1E5C">
        <w:rPr>
          <w:sz w:val="24"/>
          <w:szCs w:val="24"/>
        </w:rPr>
        <w:t xml:space="preserve"> unprofessional nature of the</w:t>
      </w:r>
      <w:r w:rsidR="00910529">
        <w:rPr>
          <w:sz w:val="24"/>
          <w:szCs w:val="24"/>
        </w:rPr>
        <w:t xml:space="preserve"> bureaucratic</w:t>
      </w:r>
      <w:r w:rsidR="006E1E5C">
        <w:rPr>
          <w:sz w:val="24"/>
          <w:szCs w:val="24"/>
        </w:rPr>
        <w:t xml:space="preserve"> Roman urban administration</w:t>
      </w:r>
      <w:r w:rsidR="003B5AE4">
        <w:rPr>
          <w:sz w:val="24"/>
          <w:szCs w:val="24"/>
        </w:rPr>
        <w:t>, which will be developed fully in Chapter Three.</w:t>
      </w:r>
    </w:p>
    <w:p w:rsidR="002F6883" w:rsidRDefault="006E1E5C" w:rsidP="002F6883">
      <w:pPr>
        <w:spacing w:line="480" w:lineRule="auto"/>
        <w:ind w:firstLine="720"/>
        <w:jc w:val="both"/>
        <w:rPr>
          <w:sz w:val="24"/>
          <w:szCs w:val="24"/>
        </w:rPr>
      </w:pPr>
      <w:r>
        <w:rPr>
          <w:sz w:val="24"/>
          <w:szCs w:val="24"/>
        </w:rPr>
        <w:t xml:space="preserve">The previous historiography of the </w:t>
      </w:r>
      <w:r>
        <w:rPr>
          <w:i/>
          <w:sz w:val="24"/>
          <w:szCs w:val="24"/>
        </w:rPr>
        <w:t>Regionaries</w:t>
      </w:r>
      <w:r>
        <w:rPr>
          <w:sz w:val="24"/>
          <w:szCs w:val="24"/>
        </w:rPr>
        <w:t xml:space="preserve"> has sometimes acknowledged the accretion of the different layers of the document, but </w:t>
      </w:r>
      <w:r w:rsidR="00E61F1A">
        <w:rPr>
          <w:sz w:val="24"/>
          <w:szCs w:val="24"/>
        </w:rPr>
        <w:t>only Merrill</w:t>
      </w:r>
      <w:r>
        <w:rPr>
          <w:sz w:val="24"/>
          <w:szCs w:val="24"/>
        </w:rPr>
        <w:t xml:space="preserve"> has attempted a study in which the different layers are </w:t>
      </w:r>
      <w:r w:rsidR="00A51DFC">
        <w:rPr>
          <w:sz w:val="24"/>
          <w:szCs w:val="24"/>
        </w:rPr>
        <w:t>stripped away to an original document</w:t>
      </w:r>
      <w:r>
        <w:rPr>
          <w:sz w:val="24"/>
          <w:szCs w:val="24"/>
        </w:rPr>
        <w:t>.</w:t>
      </w:r>
      <w:r>
        <w:rPr>
          <w:rStyle w:val="FootnoteReference"/>
          <w:sz w:val="24"/>
          <w:szCs w:val="24"/>
        </w:rPr>
        <w:footnoteReference w:id="65"/>
      </w:r>
    </w:p>
    <w:p w:rsidR="00E61F1A" w:rsidRDefault="00E61F1A" w:rsidP="00E61F1A">
      <w:pPr>
        <w:spacing w:line="480" w:lineRule="auto"/>
        <w:ind w:firstLine="720"/>
        <w:jc w:val="both"/>
        <w:rPr>
          <w:sz w:val="24"/>
          <w:szCs w:val="24"/>
        </w:rPr>
      </w:pPr>
      <w:r>
        <w:rPr>
          <w:sz w:val="24"/>
          <w:szCs w:val="24"/>
        </w:rPr>
        <w:t xml:space="preserve">Merrill’s methodology for his study of the </w:t>
      </w:r>
      <w:r>
        <w:rPr>
          <w:i/>
          <w:sz w:val="24"/>
          <w:szCs w:val="24"/>
        </w:rPr>
        <w:t>Regionaries</w:t>
      </w:r>
      <w:r>
        <w:rPr>
          <w:sz w:val="24"/>
          <w:szCs w:val="24"/>
        </w:rPr>
        <w:t xml:space="preserve"> was to focus rigorously on the various interpolations and alterations of the </w:t>
      </w:r>
      <w:r>
        <w:rPr>
          <w:i/>
          <w:sz w:val="24"/>
          <w:szCs w:val="24"/>
        </w:rPr>
        <w:t>Notitia</w:t>
      </w:r>
      <w:r>
        <w:rPr>
          <w:sz w:val="24"/>
          <w:szCs w:val="24"/>
        </w:rPr>
        <w:t xml:space="preserve"> and the </w:t>
      </w:r>
      <w:r>
        <w:rPr>
          <w:i/>
          <w:sz w:val="24"/>
          <w:szCs w:val="24"/>
        </w:rPr>
        <w:t>Curiosum</w:t>
      </w:r>
      <w:r>
        <w:rPr>
          <w:sz w:val="24"/>
          <w:szCs w:val="24"/>
        </w:rPr>
        <w:t xml:space="preserve"> in order to provide a more accurate dating of the document. In Merrill’s own words, ‘The mind cannot be happy without dates.’</w:t>
      </w:r>
      <w:r>
        <w:rPr>
          <w:rStyle w:val="FootnoteReference"/>
          <w:sz w:val="24"/>
          <w:szCs w:val="24"/>
        </w:rPr>
        <w:footnoteReference w:id="66"/>
      </w:r>
      <w:r w:rsidR="00EB0030">
        <w:rPr>
          <w:sz w:val="24"/>
          <w:szCs w:val="24"/>
        </w:rPr>
        <w:t xml:space="preserve"> </w:t>
      </w:r>
      <w:r>
        <w:rPr>
          <w:sz w:val="24"/>
          <w:szCs w:val="24"/>
        </w:rPr>
        <w:t xml:space="preserve">Accepting that the </w:t>
      </w:r>
      <w:r>
        <w:rPr>
          <w:i/>
          <w:sz w:val="24"/>
          <w:szCs w:val="24"/>
        </w:rPr>
        <w:t xml:space="preserve">Notitia </w:t>
      </w:r>
      <w:r>
        <w:rPr>
          <w:sz w:val="24"/>
          <w:szCs w:val="24"/>
        </w:rPr>
        <w:t xml:space="preserve">and the </w:t>
      </w:r>
      <w:r w:rsidR="00EF6BCC">
        <w:rPr>
          <w:i/>
          <w:sz w:val="24"/>
          <w:szCs w:val="24"/>
        </w:rPr>
        <w:t>Curiosum</w:t>
      </w:r>
      <w:r w:rsidR="00EF6BCC">
        <w:rPr>
          <w:sz w:val="24"/>
          <w:szCs w:val="24"/>
        </w:rPr>
        <w:t xml:space="preserve"> clearly</w:t>
      </w:r>
      <w:r>
        <w:rPr>
          <w:sz w:val="24"/>
          <w:szCs w:val="24"/>
        </w:rPr>
        <w:t xml:space="preserve"> either derive from one another or are descended from a common ori</w:t>
      </w:r>
      <w:r w:rsidR="00EB0030">
        <w:rPr>
          <w:sz w:val="24"/>
          <w:szCs w:val="24"/>
        </w:rPr>
        <w:t>ginal, Merrill first established</w:t>
      </w:r>
      <w:r>
        <w:rPr>
          <w:sz w:val="24"/>
          <w:szCs w:val="24"/>
        </w:rPr>
        <w:t xml:space="preserve"> </w:t>
      </w:r>
      <w:r w:rsidR="00EB0030">
        <w:rPr>
          <w:sz w:val="24"/>
          <w:szCs w:val="24"/>
        </w:rPr>
        <w:t>(</w:t>
      </w:r>
      <w:r>
        <w:rPr>
          <w:sz w:val="24"/>
          <w:szCs w:val="24"/>
        </w:rPr>
        <w:t xml:space="preserve">by way of </w:t>
      </w:r>
      <w:r>
        <w:rPr>
          <w:sz w:val="24"/>
          <w:szCs w:val="24"/>
        </w:rPr>
        <w:lastRenderedPageBreak/>
        <w:t xml:space="preserve">examining the differences in particulars and order between the </w:t>
      </w:r>
      <w:r>
        <w:rPr>
          <w:i/>
          <w:sz w:val="24"/>
          <w:szCs w:val="24"/>
        </w:rPr>
        <w:t>Notitia</w:t>
      </w:r>
      <w:r>
        <w:rPr>
          <w:sz w:val="24"/>
          <w:szCs w:val="24"/>
        </w:rPr>
        <w:t xml:space="preserve"> and the </w:t>
      </w:r>
      <w:r>
        <w:rPr>
          <w:i/>
          <w:sz w:val="24"/>
          <w:szCs w:val="24"/>
        </w:rPr>
        <w:t>Curiosum</w:t>
      </w:r>
      <w:r w:rsidR="00EF6BCC">
        <w:rPr>
          <w:sz w:val="24"/>
          <w:szCs w:val="24"/>
        </w:rPr>
        <w:t>)</w:t>
      </w:r>
      <w:r>
        <w:rPr>
          <w:sz w:val="24"/>
          <w:szCs w:val="24"/>
        </w:rPr>
        <w:t xml:space="preserve"> that neither text can be an effective descendent of the other. The </w:t>
      </w:r>
      <w:r>
        <w:rPr>
          <w:i/>
          <w:sz w:val="24"/>
          <w:szCs w:val="24"/>
        </w:rPr>
        <w:t>Notitia</w:t>
      </w:r>
      <w:r>
        <w:rPr>
          <w:sz w:val="24"/>
          <w:szCs w:val="24"/>
        </w:rPr>
        <w:t xml:space="preserve"> possess too many differences and no good reason why these would be omitted in the </w:t>
      </w:r>
      <w:r>
        <w:rPr>
          <w:i/>
          <w:sz w:val="24"/>
          <w:szCs w:val="24"/>
        </w:rPr>
        <w:t>Curiosum</w:t>
      </w:r>
      <w:r>
        <w:rPr>
          <w:sz w:val="24"/>
          <w:szCs w:val="24"/>
        </w:rPr>
        <w:t xml:space="preserve"> if the </w:t>
      </w:r>
      <w:r>
        <w:rPr>
          <w:i/>
          <w:sz w:val="24"/>
          <w:szCs w:val="24"/>
        </w:rPr>
        <w:t xml:space="preserve">Notitia </w:t>
      </w:r>
      <w:r>
        <w:rPr>
          <w:sz w:val="24"/>
          <w:szCs w:val="24"/>
        </w:rPr>
        <w:t xml:space="preserve">was descended from it, whilst on points of the divergence the </w:t>
      </w:r>
      <w:r>
        <w:rPr>
          <w:i/>
          <w:sz w:val="24"/>
          <w:szCs w:val="24"/>
        </w:rPr>
        <w:t>Curiosum</w:t>
      </w:r>
      <w:r>
        <w:rPr>
          <w:sz w:val="24"/>
          <w:szCs w:val="24"/>
        </w:rPr>
        <w:t xml:space="preserve"> is generally the more accurate which would indicate it is unlikely to be the successor document.</w:t>
      </w:r>
      <w:r>
        <w:rPr>
          <w:rStyle w:val="FootnoteReference"/>
          <w:sz w:val="24"/>
          <w:szCs w:val="24"/>
        </w:rPr>
        <w:footnoteReference w:id="67"/>
      </w:r>
    </w:p>
    <w:p w:rsidR="00E61F1A" w:rsidRDefault="00E61F1A" w:rsidP="00E61F1A">
      <w:pPr>
        <w:spacing w:line="480" w:lineRule="auto"/>
        <w:ind w:firstLine="720"/>
        <w:jc w:val="both"/>
        <w:rPr>
          <w:sz w:val="24"/>
          <w:szCs w:val="24"/>
        </w:rPr>
      </w:pPr>
      <w:r>
        <w:rPr>
          <w:sz w:val="24"/>
          <w:szCs w:val="24"/>
        </w:rPr>
        <w:t xml:space="preserve"> Merrill felt</w:t>
      </w:r>
      <w:r w:rsidR="00EF6BCC">
        <w:rPr>
          <w:sz w:val="24"/>
          <w:szCs w:val="24"/>
        </w:rPr>
        <w:t>,</w:t>
      </w:r>
      <w:r>
        <w:rPr>
          <w:sz w:val="24"/>
          <w:szCs w:val="24"/>
        </w:rPr>
        <w:t xml:space="preserve"> that whilst the determining the exact period, and original form of the, common source’s creation was beyond the scope of his article, having established that both versions of the </w:t>
      </w:r>
      <w:r>
        <w:rPr>
          <w:i/>
          <w:sz w:val="24"/>
          <w:szCs w:val="24"/>
        </w:rPr>
        <w:t>Regionary Catalogues</w:t>
      </w:r>
      <w:r>
        <w:rPr>
          <w:sz w:val="24"/>
          <w:szCs w:val="24"/>
        </w:rPr>
        <w:t xml:space="preserve"> are descended from a common source meant he could make an assumption as to the latest form of the original source.</w:t>
      </w:r>
      <w:r>
        <w:rPr>
          <w:rStyle w:val="FootnoteReference"/>
          <w:sz w:val="24"/>
          <w:szCs w:val="24"/>
        </w:rPr>
        <w:footnoteReference w:id="68"/>
      </w:r>
      <w:r>
        <w:rPr>
          <w:sz w:val="24"/>
          <w:szCs w:val="24"/>
        </w:rPr>
        <w:t xml:space="preserve"> From there it would be possible to compare the variations of the </w:t>
      </w:r>
      <w:r>
        <w:rPr>
          <w:i/>
          <w:sz w:val="24"/>
          <w:szCs w:val="24"/>
        </w:rPr>
        <w:t>Notitia</w:t>
      </w:r>
      <w:r>
        <w:rPr>
          <w:sz w:val="24"/>
          <w:szCs w:val="24"/>
        </w:rPr>
        <w:t xml:space="preserve"> and the </w:t>
      </w:r>
      <w:r>
        <w:rPr>
          <w:i/>
          <w:sz w:val="24"/>
          <w:szCs w:val="24"/>
        </w:rPr>
        <w:t>Curiosum</w:t>
      </w:r>
      <w:r>
        <w:rPr>
          <w:sz w:val="24"/>
          <w:szCs w:val="24"/>
        </w:rPr>
        <w:t xml:space="preserve"> and so establish the different points and contexts of </w:t>
      </w:r>
      <w:r w:rsidR="00EF6BCC">
        <w:rPr>
          <w:sz w:val="24"/>
          <w:szCs w:val="24"/>
        </w:rPr>
        <w:t xml:space="preserve">the </w:t>
      </w:r>
      <w:r>
        <w:rPr>
          <w:sz w:val="24"/>
          <w:szCs w:val="24"/>
        </w:rPr>
        <w:t>interpolation</w:t>
      </w:r>
      <w:r w:rsidR="00EF6BCC">
        <w:rPr>
          <w:sz w:val="24"/>
          <w:szCs w:val="24"/>
        </w:rPr>
        <w:t xml:space="preserve"> of new data</w:t>
      </w:r>
      <w:r>
        <w:rPr>
          <w:sz w:val="24"/>
          <w:szCs w:val="24"/>
        </w:rPr>
        <w:t xml:space="preserve">. This would be based upon the fact that both the </w:t>
      </w:r>
      <w:r>
        <w:rPr>
          <w:i/>
          <w:sz w:val="24"/>
          <w:szCs w:val="24"/>
        </w:rPr>
        <w:t xml:space="preserve">Notitia </w:t>
      </w:r>
      <w:r>
        <w:rPr>
          <w:sz w:val="24"/>
          <w:szCs w:val="24"/>
        </w:rPr>
        <w:t xml:space="preserve">and the </w:t>
      </w:r>
      <w:r>
        <w:rPr>
          <w:i/>
          <w:sz w:val="24"/>
          <w:szCs w:val="24"/>
        </w:rPr>
        <w:t>Curiosum</w:t>
      </w:r>
      <w:r>
        <w:rPr>
          <w:sz w:val="24"/>
          <w:szCs w:val="24"/>
        </w:rPr>
        <w:t xml:space="preserve"> enumerate four structures from Constantine’s reign: the </w:t>
      </w:r>
      <w:r>
        <w:rPr>
          <w:i/>
          <w:sz w:val="24"/>
          <w:szCs w:val="24"/>
        </w:rPr>
        <w:t>thermas Constantinianas,</w:t>
      </w:r>
      <w:r>
        <w:rPr>
          <w:sz w:val="24"/>
          <w:szCs w:val="24"/>
        </w:rPr>
        <w:t xml:space="preserve"> </w:t>
      </w:r>
      <w:r>
        <w:rPr>
          <w:i/>
          <w:sz w:val="24"/>
          <w:szCs w:val="24"/>
        </w:rPr>
        <w:t>basilicam Constantinianam, arcum Constantini</w:t>
      </w:r>
      <w:r>
        <w:rPr>
          <w:sz w:val="24"/>
          <w:szCs w:val="24"/>
        </w:rPr>
        <w:t xml:space="preserve"> (not the famous arch by the Colosseum), and the </w:t>
      </w:r>
      <w:r>
        <w:rPr>
          <w:i/>
          <w:sz w:val="24"/>
          <w:szCs w:val="24"/>
        </w:rPr>
        <w:t>porticum Constantini</w:t>
      </w:r>
      <w:r>
        <w:rPr>
          <w:sz w:val="24"/>
          <w:szCs w:val="24"/>
        </w:rPr>
        <w:t xml:space="preserve">. As the </w:t>
      </w:r>
      <w:r>
        <w:rPr>
          <w:i/>
          <w:sz w:val="24"/>
          <w:szCs w:val="24"/>
        </w:rPr>
        <w:t>basilica</w:t>
      </w:r>
      <w:r>
        <w:rPr>
          <w:sz w:val="24"/>
          <w:szCs w:val="24"/>
        </w:rPr>
        <w:t xml:space="preserve"> could be dated to within a reasonable frame of 306-312, the common source final form must have begun to take form no earlier than AD and likely sometime later in order to allow for the mention of the </w:t>
      </w:r>
      <w:r>
        <w:rPr>
          <w:i/>
          <w:sz w:val="24"/>
          <w:szCs w:val="24"/>
        </w:rPr>
        <w:t>thermas</w:t>
      </w:r>
      <w:r>
        <w:rPr>
          <w:sz w:val="24"/>
          <w:szCs w:val="24"/>
        </w:rPr>
        <w:t xml:space="preserve"> and </w:t>
      </w:r>
      <w:r>
        <w:rPr>
          <w:i/>
          <w:sz w:val="24"/>
          <w:szCs w:val="24"/>
        </w:rPr>
        <w:t>arcum</w:t>
      </w:r>
      <w:r>
        <w:rPr>
          <w:sz w:val="24"/>
          <w:szCs w:val="24"/>
        </w:rPr>
        <w:t xml:space="preserve"> (both of which were only began in AD 312).</w:t>
      </w:r>
      <w:r>
        <w:rPr>
          <w:rStyle w:val="FootnoteReference"/>
          <w:sz w:val="24"/>
          <w:szCs w:val="24"/>
        </w:rPr>
        <w:footnoteReference w:id="69"/>
      </w:r>
      <w:r>
        <w:rPr>
          <w:sz w:val="24"/>
          <w:szCs w:val="24"/>
        </w:rPr>
        <w:t xml:space="preserve"> However as the more famous Arch of Constantine was dedicated in AD 315 and is conspicuously absent from the </w:t>
      </w:r>
      <w:r>
        <w:rPr>
          <w:i/>
          <w:sz w:val="24"/>
          <w:szCs w:val="24"/>
        </w:rPr>
        <w:t>Regionaries</w:t>
      </w:r>
      <w:r>
        <w:rPr>
          <w:sz w:val="24"/>
          <w:szCs w:val="24"/>
        </w:rPr>
        <w:t xml:space="preserve">, the common source needed to have a </w:t>
      </w:r>
      <w:r w:rsidRPr="0066110E">
        <w:rPr>
          <w:i/>
          <w:sz w:val="24"/>
          <w:szCs w:val="24"/>
        </w:rPr>
        <w:t>terminus post quem</w:t>
      </w:r>
      <w:r>
        <w:rPr>
          <w:sz w:val="24"/>
          <w:szCs w:val="24"/>
        </w:rPr>
        <w:t xml:space="preserve"> of AD 312-314 (Merrill favoured AD 314 to and likely sometime later in order to </w:t>
      </w:r>
      <w:r>
        <w:rPr>
          <w:sz w:val="24"/>
          <w:szCs w:val="24"/>
        </w:rPr>
        <w:lastRenderedPageBreak/>
        <w:t xml:space="preserve">allow for the mention of the </w:t>
      </w:r>
      <w:r>
        <w:rPr>
          <w:i/>
          <w:sz w:val="24"/>
          <w:szCs w:val="24"/>
        </w:rPr>
        <w:t>thermas</w:t>
      </w:r>
      <w:r>
        <w:rPr>
          <w:sz w:val="24"/>
          <w:szCs w:val="24"/>
        </w:rPr>
        <w:t xml:space="preserve"> and </w:t>
      </w:r>
      <w:r>
        <w:rPr>
          <w:i/>
          <w:sz w:val="24"/>
          <w:szCs w:val="24"/>
        </w:rPr>
        <w:t>arcum</w:t>
      </w:r>
      <w:r>
        <w:rPr>
          <w:sz w:val="24"/>
          <w:szCs w:val="24"/>
        </w:rPr>
        <w:t xml:space="preserve"> which only began construction in AD 312).</w:t>
      </w:r>
      <w:r>
        <w:rPr>
          <w:rStyle w:val="FootnoteReference"/>
          <w:sz w:val="24"/>
          <w:szCs w:val="24"/>
        </w:rPr>
        <w:footnoteReference w:id="70"/>
      </w:r>
      <w:r>
        <w:rPr>
          <w:sz w:val="24"/>
          <w:szCs w:val="24"/>
        </w:rPr>
        <w:t xml:space="preserve"> </w:t>
      </w:r>
    </w:p>
    <w:p w:rsidR="00E61F1A" w:rsidRDefault="00E61F1A" w:rsidP="00E61F1A">
      <w:pPr>
        <w:spacing w:line="480" w:lineRule="auto"/>
        <w:ind w:firstLine="720"/>
        <w:jc w:val="both"/>
        <w:rPr>
          <w:sz w:val="24"/>
          <w:szCs w:val="24"/>
        </w:rPr>
      </w:pPr>
      <w:r>
        <w:rPr>
          <w:sz w:val="24"/>
          <w:szCs w:val="24"/>
        </w:rPr>
        <w:t xml:space="preserve">Merrill’s approach therefore established the principles for the layering of the </w:t>
      </w:r>
      <w:r>
        <w:rPr>
          <w:i/>
          <w:sz w:val="24"/>
          <w:szCs w:val="24"/>
        </w:rPr>
        <w:t>Regionaries</w:t>
      </w:r>
      <w:r>
        <w:rPr>
          <w:sz w:val="24"/>
          <w:szCs w:val="24"/>
        </w:rPr>
        <w:t xml:space="preserve">. By demonstrating their common ancestor, it became possible to recognise the different layers of the </w:t>
      </w:r>
      <w:r>
        <w:rPr>
          <w:i/>
          <w:sz w:val="24"/>
          <w:szCs w:val="24"/>
        </w:rPr>
        <w:t>Notitia</w:t>
      </w:r>
      <w:r>
        <w:rPr>
          <w:sz w:val="24"/>
          <w:szCs w:val="24"/>
        </w:rPr>
        <w:t xml:space="preserve"> and </w:t>
      </w:r>
      <w:r>
        <w:rPr>
          <w:i/>
          <w:sz w:val="24"/>
          <w:szCs w:val="24"/>
        </w:rPr>
        <w:t>Curiosum</w:t>
      </w:r>
      <w:r>
        <w:rPr>
          <w:sz w:val="24"/>
          <w:szCs w:val="24"/>
        </w:rPr>
        <w:t xml:space="preserve"> by examining the unique variations in each text.</w:t>
      </w:r>
      <w:r>
        <w:rPr>
          <w:rStyle w:val="FootnoteReference"/>
          <w:sz w:val="24"/>
          <w:szCs w:val="24"/>
        </w:rPr>
        <w:footnoteReference w:id="71"/>
      </w:r>
      <w:r>
        <w:rPr>
          <w:sz w:val="24"/>
          <w:szCs w:val="24"/>
        </w:rPr>
        <w:t xml:space="preserve"> However Merrill did not attempt to determine how and when these variations occurred, as he felt there was insufficient contextual evidence from other sources to accurately determine when any of the glosses occurred.</w:t>
      </w:r>
      <w:r>
        <w:rPr>
          <w:rStyle w:val="FootnoteReference"/>
          <w:sz w:val="24"/>
          <w:szCs w:val="24"/>
        </w:rPr>
        <w:footnoteReference w:id="72"/>
      </w:r>
      <w:r>
        <w:rPr>
          <w:sz w:val="24"/>
          <w:szCs w:val="24"/>
        </w:rPr>
        <w:t xml:space="preserve"> </w:t>
      </w:r>
    </w:p>
    <w:p w:rsidR="00F775F6" w:rsidRPr="00E81061" w:rsidRDefault="006E1E5C" w:rsidP="002F6883">
      <w:pPr>
        <w:spacing w:line="480" w:lineRule="auto"/>
        <w:ind w:firstLine="720"/>
        <w:jc w:val="both"/>
        <w:rPr>
          <w:sz w:val="24"/>
          <w:szCs w:val="24"/>
        </w:rPr>
      </w:pPr>
      <w:r>
        <w:rPr>
          <w:sz w:val="24"/>
          <w:szCs w:val="24"/>
        </w:rPr>
        <w:t xml:space="preserve">I propose that it is possible that we can distinguish between different layers of the </w:t>
      </w:r>
      <w:r>
        <w:rPr>
          <w:i/>
          <w:sz w:val="24"/>
          <w:szCs w:val="24"/>
        </w:rPr>
        <w:t>Regionary Catalogues</w:t>
      </w:r>
      <w:r>
        <w:rPr>
          <w:sz w:val="24"/>
          <w:szCs w:val="24"/>
        </w:rPr>
        <w:t xml:space="preserve"> and so demonstrate how our different conceptions of the </w:t>
      </w:r>
      <w:r>
        <w:rPr>
          <w:i/>
          <w:sz w:val="24"/>
          <w:szCs w:val="24"/>
        </w:rPr>
        <w:t>Regionaries</w:t>
      </w:r>
      <w:r>
        <w:rPr>
          <w:sz w:val="24"/>
          <w:szCs w:val="24"/>
        </w:rPr>
        <w:t xml:space="preserve"> are a result of a document that evolved as </w:t>
      </w:r>
      <w:r w:rsidR="00F775F6">
        <w:rPr>
          <w:sz w:val="24"/>
          <w:szCs w:val="24"/>
        </w:rPr>
        <w:t>later generations</w:t>
      </w:r>
      <w:r w:rsidR="005A6195">
        <w:rPr>
          <w:sz w:val="24"/>
          <w:szCs w:val="24"/>
        </w:rPr>
        <w:t xml:space="preserve"> found new and different uses for its information.</w:t>
      </w:r>
      <w:r w:rsidR="00E81061">
        <w:rPr>
          <w:sz w:val="24"/>
          <w:szCs w:val="24"/>
        </w:rPr>
        <w:t xml:space="preserve">  Using this approach, my hypothesis is that </w:t>
      </w:r>
      <w:r w:rsidR="00A01A28">
        <w:rPr>
          <w:sz w:val="24"/>
          <w:szCs w:val="24"/>
        </w:rPr>
        <w:t>there is good evidence that</w:t>
      </w:r>
      <w:r w:rsidR="00E81061">
        <w:rPr>
          <w:sz w:val="24"/>
          <w:szCs w:val="24"/>
        </w:rPr>
        <w:t xml:space="preserve"> the </w:t>
      </w:r>
      <w:r w:rsidR="00E81061">
        <w:rPr>
          <w:i/>
          <w:sz w:val="24"/>
          <w:szCs w:val="24"/>
        </w:rPr>
        <w:t>Regionary Catalogues</w:t>
      </w:r>
      <w:r w:rsidR="00E81061">
        <w:rPr>
          <w:sz w:val="24"/>
          <w:szCs w:val="24"/>
        </w:rPr>
        <w:t>, or at least their proto-form, had a production</w:t>
      </w:r>
      <w:r w:rsidR="00A01A28">
        <w:rPr>
          <w:sz w:val="24"/>
          <w:szCs w:val="24"/>
        </w:rPr>
        <w:t xml:space="preserve"> date</w:t>
      </w:r>
      <w:r w:rsidR="00E81061">
        <w:rPr>
          <w:sz w:val="24"/>
          <w:szCs w:val="24"/>
        </w:rPr>
        <w:t xml:space="preserve"> earlier than the fourth century date traditionally put forward by historians. Despite the fact that the evidence base for the</w:t>
      </w:r>
      <w:r w:rsidR="00E81061">
        <w:rPr>
          <w:i/>
        </w:rPr>
        <w:t xml:space="preserve"> </w:t>
      </w:r>
      <w:r w:rsidR="00E81061">
        <w:rPr>
          <w:i/>
          <w:sz w:val="24"/>
          <w:szCs w:val="24"/>
        </w:rPr>
        <w:t>Regionary Catalogues</w:t>
      </w:r>
      <w:r w:rsidR="00E81061">
        <w:rPr>
          <w:sz w:val="24"/>
          <w:szCs w:val="24"/>
        </w:rPr>
        <w:t xml:space="preserve"> is too thin to be really conclusive, I feel that it is a possibility worth explor</w:t>
      </w:r>
      <w:r w:rsidR="00F3656F">
        <w:rPr>
          <w:sz w:val="24"/>
          <w:szCs w:val="24"/>
        </w:rPr>
        <w:t xml:space="preserve">ing given what little we currently know about the </w:t>
      </w:r>
      <w:r w:rsidR="00F3656F">
        <w:rPr>
          <w:i/>
          <w:sz w:val="24"/>
          <w:szCs w:val="24"/>
        </w:rPr>
        <w:t>Catalogues</w:t>
      </w:r>
      <w:r w:rsidR="00E81061">
        <w:rPr>
          <w:sz w:val="24"/>
          <w:szCs w:val="24"/>
        </w:rPr>
        <w:t>.</w:t>
      </w:r>
    </w:p>
    <w:p w:rsidR="006E1E5C" w:rsidRPr="00F775F6" w:rsidRDefault="006E1E5C" w:rsidP="00F775F6">
      <w:pPr>
        <w:spacing w:line="480" w:lineRule="auto"/>
        <w:ind w:firstLine="720"/>
        <w:jc w:val="both"/>
        <w:rPr>
          <w:i/>
          <w:sz w:val="24"/>
          <w:szCs w:val="24"/>
        </w:rPr>
      </w:pPr>
      <w:r>
        <w:rPr>
          <w:sz w:val="24"/>
          <w:szCs w:val="24"/>
        </w:rPr>
        <w:t>I</w:t>
      </w:r>
      <w:r w:rsidR="00F97BFB">
        <w:rPr>
          <w:sz w:val="24"/>
          <w:szCs w:val="24"/>
        </w:rPr>
        <w:t xml:space="preserve"> will begin my study </w:t>
      </w:r>
      <w:r>
        <w:rPr>
          <w:sz w:val="24"/>
          <w:szCs w:val="24"/>
        </w:rPr>
        <w:t xml:space="preserve">of the </w:t>
      </w:r>
      <w:r>
        <w:rPr>
          <w:i/>
          <w:sz w:val="24"/>
          <w:szCs w:val="24"/>
        </w:rPr>
        <w:t>Regionaries</w:t>
      </w:r>
      <w:r>
        <w:rPr>
          <w:sz w:val="24"/>
          <w:szCs w:val="24"/>
        </w:rPr>
        <w:t xml:space="preserve"> by examining the</w:t>
      </w:r>
      <w:r w:rsidR="00A01A28">
        <w:rPr>
          <w:sz w:val="24"/>
          <w:szCs w:val="24"/>
        </w:rPr>
        <w:t>ir manuscript tradition</w:t>
      </w:r>
      <w:r>
        <w:rPr>
          <w:sz w:val="24"/>
          <w:szCs w:val="24"/>
        </w:rPr>
        <w:t xml:space="preserve">. This is an aspect of their historiography that has </w:t>
      </w:r>
      <w:r w:rsidR="00104B2B">
        <w:rPr>
          <w:sz w:val="24"/>
          <w:szCs w:val="24"/>
        </w:rPr>
        <w:t xml:space="preserve">been sorely neglected outside </w:t>
      </w:r>
      <w:r>
        <w:rPr>
          <w:sz w:val="24"/>
          <w:szCs w:val="24"/>
        </w:rPr>
        <w:t xml:space="preserve">Merrill’s attempt at dating the </w:t>
      </w:r>
      <w:r>
        <w:rPr>
          <w:i/>
          <w:sz w:val="24"/>
          <w:szCs w:val="24"/>
        </w:rPr>
        <w:t>Regionaries</w:t>
      </w:r>
      <w:r>
        <w:rPr>
          <w:sz w:val="24"/>
          <w:szCs w:val="24"/>
        </w:rPr>
        <w:t xml:space="preserve"> and Nordh’s collation of the appearances of the </w:t>
      </w:r>
      <w:r>
        <w:rPr>
          <w:i/>
          <w:sz w:val="24"/>
          <w:szCs w:val="24"/>
        </w:rPr>
        <w:t>Regionary Catalogues</w:t>
      </w:r>
      <w:r>
        <w:rPr>
          <w:sz w:val="24"/>
          <w:szCs w:val="24"/>
        </w:rPr>
        <w:t>. I will also examine how and where the manuscripts where transmitted</w:t>
      </w:r>
      <w:r w:rsidR="00104B2B">
        <w:rPr>
          <w:sz w:val="24"/>
          <w:szCs w:val="24"/>
        </w:rPr>
        <w:t>,</w:t>
      </w:r>
      <w:r>
        <w:rPr>
          <w:sz w:val="24"/>
          <w:szCs w:val="24"/>
        </w:rPr>
        <w:t xml:space="preserve"> as this will provide a demonstration of</w:t>
      </w:r>
      <w:r w:rsidR="00A01A28">
        <w:rPr>
          <w:sz w:val="24"/>
          <w:szCs w:val="24"/>
        </w:rPr>
        <w:t xml:space="preserve"> the</w:t>
      </w:r>
      <w:r>
        <w:rPr>
          <w:sz w:val="24"/>
          <w:szCs w:val="24"/>
        </w:rPr>
        <w:t xml:space="preserve"> multitude of uses that the </w:t>
      </w:r>
      <w:r>
        <w:rPr>
          <w:i/>
          <w:sz w:val="24"/>
          <w:szCs w:val="24"/>
        </w:rPr>
        <w:t>Regionaries</w:t>
      </w:r>
      <w:r>
        <w:rPr>
          <w:sz w:val="24"/>
          <w:szCs w:val="24"/>
        </w:rPr>
        <w:t xml:space="preserve"> could</w:t>
      </w:r>
      <w:r w:rsidR="00104B2B">
        <w:rPr>
          <w:sz w:val="24"/>
          <w:szCs w:val="24"/>
        </w:rPr>
        <w:t xml:space="preserve"> be</w:t>
      </w:r>
      <w:r>
        <w:rPr>
          <w:sz w:val="24"/>
          <w:szCs w:val="24"/>
        </w:rPr>
        <w:t xml:space="preserve"> put to, </w:t>
      </w:r>
      <w:r>
        <w:rPr>
          <w:sz w:val="24"/>
          <w:szCs w:val="24"/>
        </w:rPr>
        <w:lastRenderedPageBreak/>
        <w:t>through examining how they were considered</w:t>
      </w:r>
      <w:r w:rsidR="00AF2C58">
        <w:rPr>
          <w:sz w:val="24"/>
          <w:szCs w:val="24"/>
        </w:rPr>
        <w:t xml:space="preserve"> by later audiences</w:t>
      </w:r>
      <w:r>
        <w:rPr>
          <w:sz w:val="24"/>
          <w:szCs w:val="24"/>
        </w:rPr>
        <w:t>. This will serve to demonstrate how the document’s layers have evolved and assist us</w:t>
      </w:r>
      <w:r w:rsidR="00AF2C58">
        <w:rPr>
          <w:sz w:val="24"/>
          <w:szCs w:val="24"/>
        </w:rPr>
        <w:t xml:space="preserve"> to</w:t>
      </w:r>
      <w:r>
        <w:rPr>
          <w:sz w:val="24"/>
          <w:szCs w:val="24"/>
        </w:rPr>
        <w:t xml:space="preserve"> </w:t>
      </w:r>
      <w:r w:rsidR="00F97BFB">
        <w:rPr>
          <w:sz w:val="24"/>
          <w:szCs w:val="24"/>
        </w:rPr>
        <w:t xml:space="preserve">determine when the </w:t>
      </w:r>
      <w:r w:rsidR="00F97BFB">
        <w:rPr>
          <w:i/>
          <w:sz w:val="24"/>
          <w:szCs w:val="24"/>
        </w:rPr>
        <w:t>Regionaries</w:t>
      </w:r>
      <w:r w:rsidR="00F97BFB">
        <w:rPr>
          <w:sz w:val="24"/>
          <w:szCs w:val="24"/>
        </w:rPr>
        <w:t xml:space="preserve"> accrued its different layers. As part of this</w:t>
      </w:r>
      <w:r w:rsidR="00104B2B">
        <w:rPr>
          <w:sz w:val="24"/>
          <w:szCs w:val="24"/>
        </w:rPr>
        <w:t>,</w:t>
      </w:r>
      <w:r w:rsidR="00F97BFB">
        <w:rPr>
          <w:sz w:val="24"/>
          <w:szCs w:val="24"/>
        </w:rPr>
        <w:t xml:space="preserve"> I will address</w:t>
      </w:r>
      <w:r>
        <w:rPr>
          <w:sz w:val="24"/>
          <w:szCs w:val="24"/>
        </w:rPr>
        <w:t xml:space="preserve"> the issue that we p</w:t>
      </w:r>
      <w:r w:rsidR="000B3781">
        <w:rPr>
          <w:sz w:val="24"/>
          <w:szCs w:val="24"/>
        </w:rPr>
        <w:t>ossess two different manuscript version</w:t>
      </w:r>
      <w:r>
        <w:rPr>
          <w:sz w:val="24"/>
          <w:szCs w:val="24"/>
        </w:rPr>
        <w:t xml:space="preserve">s of the </w:t>
      </w:r>
      <w:r>
        <w:rPr>
          <w:i/>
          <w:sz w:val="24"/>
          <w:szCs w:val="24"/>
        </w:rPr>
        <w:t>Regionary Catalogues</w:t>
      </w:r>
      <w:r>
        <w:rPr>
          <w:sz w:val="24"/>
          <w:szCs w:val="24"/>
        </w:rPr>
        <w:t xml:space="preserve">, the </w:t>
      </w:r>
      <w:r>
        <w:rPr>
          <w:i/>
          <w:sz w:val="24"/>
          <w:szCs w:val="24"/>
        </w:rPr>
        <w:t xml:space="preserve">Notitia de </w:t>
      </w:r>
      <w:r w:rsidR="00104B2B">
        <w:rPr>
          <w:i/>
          <w:sz w:val="24"/>
          <w:szCs w:val="24"/>
        </w:rPr>
        <w:t>r</w:t>
      </w:r>
      <w:r>
        <w:rPr>
          <w:i/>
          <w:sz w:val="24"/>
          <w:szCs w:val="24"/>
        </w:rPr>
        <w:t>egionibus</w:t>
      </w:r>
      <w:r>
        <w:rPr>
          <w:sz w:val="24"/>
          <w:szCs w:val="24"/>
        </w:rPr>
        <w:t xml:space="preserve"> and the </w:t>
      </w:r>
      <w:r w:rsidR="00104B2B">
        <w:rPr>
          <w:i/>
          <w:sz w:val="24"/>
          <w:szCs w:val="24"/>
        </w:rPr>
        <w:t>Curiosum u</w:t>
      </w:r>
      <w:r>
        <w:rPr>
          <w:i/>
          <w:sz w:val="24"/>
          <w:szCs w:val="24"/>
        </w:rPr>
        <w:t>rbis</w:t>
      </w:r>
      <w:r w:rsidR="000B3781">
        <w:rPr>
          <w:sz w:val="24"/>
          <w:szCs w:val="24"/>
        </w:rPr>
        <w:t>. These two documents</w:t>
      </w:r>
      <w:r>
        <w:rPr>
          <w:sz w:val="24"/>
          <w:szCs w:val="24"/>
        </w:rPr>
        <w:t xml:space="preserve"> are remarkably similar but do have some notable differences. In comparing them, I intend to provide a greater basis for my </w:t>
      </w:r>
      <w:r w:rsidR="00B87B77">
        <w:rPr>
          <w:sz w:val="24"/>
          <w:szCs w:val="24"/>
        </w:rPr>
        <w:t>hypothesis</w:t>
      </w:r>
      <w:r>
        <w:rPr>
          <w:sz w:val="24"/>
          <w:szCs w:val="24"/>
        </w:rPr>
        <w:t xml:space="preserve"> that the </w:t>
      </w:r>
      <w:r>
        <w:rPr>
          <w:i/>
          <w:sz w:val="24"/>
          <w:szCs w:val="24"/>
        </w:rPr>
        <w:t>Regionary Catalogues</w:t>
      </w:r>
      <w:r>
        <w:rPr>
          <w:sz w:val="24"/>
          <w:szCs w:val="24"/>
        </w:rPr>
        <w:t xml:space="preserve"> had not only an earlier production date than initi</w:t>
      </w:r>
      <w:r w:rsidR="000B3781">
        <w:rPr>
          <w:sz w:val="24"/>
          <w:szCs w:val="24"/>
        </w:rPr>
        <w:t>ally assumed</w:t>
      </w:r>
      <w:r w:rsidR="003B5AE4">
        <w:rPr>
          <w:sz w:val="24"/>
          <w:szCs w:val="24"/>
        </w:rPr>
        <w:t xml:space="preserve"> by historians, but also that its</w:t>
      </w:r>
      <w:r w:rsidR="00B36E06">
        <w:rPr>
          <w:sz w:val="24"/>
          <w:szCs w:val="24"/>
        </w:rPr>
        <w:t xml:space="preserve"> seemingly</w:t>
      </w:r>
      <w:r w:rsidR="003B5AE4">
        <w:rPr>
          <w:sz w:val="24"/>
          <w:szCs w:val="24"/>
        </w:rPr>
        <w:t xml:space="preserve"> fragmented transmission was the result</w:t>
      </w:r>
      <w:r w:rsidR="00B36E06">
        <w:rPr>
          <w:sz w:val="24"/>
          <w:szCs w:val="24"/>
        </w:rPr>
        <w:t xml:space="preserve"> of its adaptability. This adaptability came from the cultural production context of its authors</w:t>
      </w:r>
      <w:r w:rsidR="005A6195">
        <w:rPr>
          <w:sz w:val="24"/>
          <w:szCs w:val="24"/>
        </w:rPr>
        <w:t xml:space="preserve"> and is something I will explore further in Chapter Three. </w:t>
      </w:r>
      <w:r w:rsidR="00F775F6">
        <w:rPr>
          <w:sz w:val="24"/>
          <w:szCs w:val="24"/>
        </w:rPr>
        <w:t xml:space="preserve">With this, </w:t>
      </w:r>
      <w:r w:rsidR="00F775F6" w:rsidRPr="00F97BFB">
        <w:rPr>
          <w:sz w:val="24"/>
          <w:szCs w:val="24"/>
        </w:rPr>
        <w:t>I intend to address the seeming muddle of information and statistics</w:t>
      </w:r>
      <w:r w:rsidR="00F775F6">
        <w:rPr>
          <w:sz w:val="24"/>
          <w:szCs w:val="24"/>
        </w:rPr>
        <w:t xml:space="preserve"> by arguing that the final copy of the </w:t>
      </w:r>
      <w:r w:rsidR="00F775F6">
        <w:rPr>
          <w:i/>
          <w:sz w:val="24"/>
          <w:szCs w:val="24"/>
        </w:rPr>
        <w:t>Regionary Catalogues</w:t>
      </w:r>
      <w:r w:rsidR="00F775F6">
        <w:rPr>
          <w:sz w:val="24"/>
          <w:szCs w:val="24"/>
        </w:rPr>
        <w:t xml:space="preserve"> is a series of layers that were created as the original text was put to different uses. Different </w:t>
      </w:r>
      <w:r w:rsidR="000F0C3B">
        <w:rPr>
          <w:sz w:val="24"/>
          <w:szCs w:val="24"/>
        </w:rPr>
        <w:t>users</w:t>
      </w:r>
      <w:r w:rsidR="00F775F6">
        <w:rPr>
          <w:sz w:val="24"/>
          <w:szCs w:val="24"/>
        </w:rPr>
        <w:t xml:space="preserve"> would have different concerns and this would mean that the prestige that the </w:t>
      </w:r>
      <w:r w:rsidR="00F775F6">
        <w:rPr>
          <w:i/>
          <w:sz w:val="24"/>
          <w:szCs w:val="24"/>
        </w:rPr>
        <w:t>Regionaries</w:t>
      </w:r>
      <w:r w:rsidR="00F775F6">
        <w:rPr>
          <w:sz w:val="24"/>
          <w:szCs w:val="24"/>
        </w:rPr>
        <w:t xml:space="preserve"> offered would also change. The document’s inherent value means it was still usable in times subsequent to its original production, but as administrative priorities changed n</w:t>
      </w:r>
      <w:r w:rsidR="000B3781">
        <w:rPr>
          <w:sz w:val="24"/>
          <w:szCs w:val="24"/>
        </w:rPr>
        <w:t xml:space="preserve">ew </w:t>
      </w:r>
      <w:r w:rsidR="00816137">
        <w:rPr>
          <w:sz w:val="24"/>
          <w:szCs w:val="24"/>
        </w:rPr>
        <w:t>information</w:t>
      </w:r>
      <w:r w:rsidR="000B3781">
        <w:rPr>
          <w:sz w:val="24"/>
          <w:szCs w:val="24"/>
        </w:rPr>
        <w:t xml:space="preserve"> would be need to</w:t>
      </w:r>
      <w:r w:rsidR="00816137">
        <w:rPr>
          <w:sz w:val="24"/>
          <w:szCs w:val="24"/>
        </w:rPr>
        <w:t xml:space="preserve"> be</w:t>
      </w:r>
      <w:r w:rsidR="000B3781">
        <w:rPr>
          <w:sz w:val="24"/>
          <w:szCs w:val="24"/>
        </w:rPr>
        <w:t xml:space="preserve"> </w:t>
      </w:r>
      <w:r w:rsidR="00F775F6">
        <w:rPr>
          <w:sz w:val="24"/>
          <w:szCs w:val="24"/>
        </w:rPr>
        <w:t>added.</w:t>
      </w:r>
    </w:p>
    <w:p w:rsidR="006E1E5C" w:rsidRPr="00D3144C" w:rsidRDefault="00F97BFB" w:rsidP="00722391">
      <w:pPr>
        <w:spacing w:line="480" w:lineRule="auto"/>
        <w:ind w:firstLine="720"/>
        <w:jc w:val="both"/>
        <w:rPr>
          <w:sz w:val="24"/>
          <w:szCs w:val="24"/>
        </w:rPr>
      </w:pPr>
      <w:r>
        <w:rPr>
          <w:sz w:val="24"/>
          <w:szCs w:val="24"/>
        </w:rPr>
        <w:t xml:space="preserve">Next </w:t>
      </w:r>
      <w:r w:rsidR="006E1E5C">
        <w:rPr>
          <w:sz w:val="24"/>
          <w:szCs w:val="24"/>
        </w:rPr>
        <w:t xml:space="preserve">I shall use the </w:t>
      </w:r>
      <w:r w:rsidR="006E1E5C">
        <w:rPr>
          <w:i/>
          <w:sz w:val="24"/>
          <w:szCs w:val="24"/>
        </w:rPr>
        <w:t xml:space="preserve">Forma Urbis Romae, </w:t>
      </w:r>
      <w:r w:rsidR="006E1E5C">
        <w:rPr>
          <w:sz w:val="24"/>
          <w:szCs w:val="24"/>
        </w:rPr>
        <w:t>the Severan Marble Plan, to provide context and</w:t>
      </w:r>
      <w:r w:rsidR="005A6195">
        <w:rPr>
          <w:sz w:val="24"/>
          <w:szCs w:val="24"/>
        </w:rPr>
        <w:t xml:space="preserve"> a</w:t>
      </w:r>
      <w:r w:rsidR="006E1E5C">
        <w:rPr>
          <w:sz w:val="24"/>
          <w:szCs w:val="24"/>
        </w:rPr>
        <w:t xml:space="preserve"> comparison for the </w:t>
      </w:r>
      <w:r w:rsidR="006E1E5C">
        <w:rPr>
          <w:i/>
          <w:sz w:val="24"/>
          <w:szCs w:val="24"/>
        </w:rPr>
        <w:t>Regionary Catalogues</w:t>
      </w:r>
      <w:r w:rsidR="006E1E5C">
        <w:rPr>
          <w:sz w:val="24"/>
          <w:szCs w:val="24"/>
        </w:rPr>
        <w:t xml:space="preserve">.  The Severan Marble Plan, displayed in the </w:t>
      </w:r>
      <w:r w:rsidR="006E1E5C">
        <w:rPr>
          <w:i/>
          <w:sz w:val="24"/>
          <w:szCs w:val="24"/>
        </w:rPr>
        <w:t>Forum Pacis</w:t>
      </w:r>
      <w:r w:rsidR="006E1E5C">
        <w:rPr>
          <w:sz w:val="24"/>
          <w:szCs w:val="24"/>
        </w:rPr>
        <w:t xml:space="preserve"> (the Forum of Peace) on the wall of the </w:t>
      </w:r>
      <w:r w:rsidR="006E1E5C">
        <w:rPr>
          <w:i/>
          <w:sz w:val="24"/>
          <w:szCs w:val="24"/>
        </w:rPr>
        <w:t>Templum Pacis</w:t>
      </w:r>
      <w:r w:rsidR="006E1E5C">
        <w:rPr>
          <w:sz w:val="24"/>
          <w:szCs w:val="24"/>
        </w:rPr>
        <w:t xml:space="preserve"> (Temple of Peace), is the most significant pictorial representation of the city of Rome</w:t>
      </w:r>
      <w:r w:rsidR="00907B07">
        <w:rPr>
          <w:sz w:val="24"/>
          <w:szCs w:val="24"/>
        </w:rPr>
        <w:t>, created by Septimius Severus circa 203-211</w:t>
      </w:r>
      <w:r w:rsidR="006E1E5C">
        <w:rPr>
          <w:sz w:val="24"/>
          <w:szCs w:val="24"/>
        </w:rPr>
        <w:t>.</w:t>
      </w:r>
      <w:r w:rsidR="006E1E5C">
        <w:rPr>
          <w:rStyle w:val="FootnoteReference"/>
          <w:sz w:val="24"/>
          <w:szCs w:val="24"/>
        </w:rPr>
        <w:footnoteReference w:id="73"/>
      </w:r>
      <w:r w:rsidR="000B3781">
        <w:rPr>
          <w:sz w:val="24"/>
          <w:szCs w:val="24"/>
        </w:rPr>
        <w:t xml:space="preserve"> A massive four</w:t>
      </w:r>
      <w:r w:rsidR="006E1E5C">
        <w:rPr>
          <w:sz w:val="24"/>
          <w:szCs w:val="24"/>
        </w:rPr>
        <w:t xml:space="preserve"> storeys high, it presented so much information in so much detail that it was impossible for an individual to see it in its full extent. Much like the </w:t>
      </w:r>
      <w:r w:rsidR="006E1E5C">
        <w:rPr>
          <w:i/>
          <w:sz w:val="24"/>
          <w:szCs w:val="24"/>
        </w:rPr>
        <w:t>Regionaries</w:t>
      </w:r>
      <w:r w:rsidR="006E1E5C">
        <w:rPr>
          <w:sz w:val="24"/>
          <w:szCs w:val="24"/>
        </w:rPr>
        <w:t xml:space="preserve">, certain types of information are omitted (e.g. measurements, the names of </w:t>
      </w:r>
      <w:r w:rsidR="006E1E5C">
        <w:rPr>
          <w:sz w:val="24"/>
          <w:szCs w:val="24"/>
        </w:rPr>
        <w:lastRenderedPageBreak/>
        <w:t>private buildings owners), and the manner of depiction varies. Perspective, orientation and the relative scale of buildings, combined with the use of red paint and outlines to highlight particular buildings, all contribute to a depicti</w:t>
      </w:r>
      <w:r w:rsidR="000B3781">
        <w:rPr>
          <w:sz w:val="24"/>
          <w:szCs w:val="24"/>
        </w:rPr>
        <w:t xml:space="preserve">on of </w:t>
      </w:r>
      <w:r w:rsidR="006E1E5C">
        <w:rPr>
          <w:sz w:val="24"/>
          <w:szCs w:val="24"/>
        </w:rPr>
        <w:t>Rome that has been traditionally seen as administrative despite lacking “traditional” administrative data.</w:t>
      </w:r>
      <w:r w:rsidR="006E1E5C">
        <w:rPr>
          <w:rStyle w:val="FootnoteReference"/>
          <w:sz w:val="24"/>
          <w:szCs w:val="24"/>
        </w:rPr>
        <w:footnoteReference w:id="74"/>
      </w:r>
      <w:r w:rsidR="006E1E5C">
        <w:rPr>
          <w:sz w:val="24"/>
          <w:szCs w:val="24"/>
        </w:rPr>
        <w:t xml:space="preserve"> </w:t>
      </w:r>
      <w:r w:rsidR="00F3656F" w:rsidRPr="002F6883">
        <w:rPr>
          <w:sz w:val="24"/>
          <w:szCs w:val="24"/>
        </w:rPr>
        <w:t>J</w:t>
      </w:r>
      <w:r w:rsidRPr="002F6883">
        <w:rPr>
          <w:sz w:val="24"/>
          <w:szCs w:val="24"/>
        </w:rPr>
        <w:t>u</w:t>
      </w:r>
      <w:r w:rsidR="006E1E5C" w:rsidRPr="002F6883">
        <w:rPr>
          <w:sz w:val="24"/>
          <w:szCs w:val="24"/>
        </w:rPr>
        <w:t xml:space="preserve">st as the </w:t>
      </w:r>
      <w:r w:rsidR="006E1E5C" w:rsidRPr="002F6883">
        <w:rPr>
          <w:i/>
          <w:sz w:val="24"/>
          <w:szCs w:val="24"/>
        </w:rPr>
        <w:t>Regionary Catalogues</w:t>
      </w:r>
      <w:r w:rsidR="006E1E5C" w:rsidRPr="002F6883">
        <w:rPr>
          <w:sz w:val="24"/>
          <w:szCs w:val="24"/>
        </w:rPr>
        <w:t xml:space="preserve"> did in text, the Severan Marble Plan ordered, catalogued, and controlled urban space.</w:t>
      </w:r>
      <w:r w:rsidR="006E1E5C" w:rsidRPr="002F6883">
        <w:rPr>
          <w:rStyle w:val="FootnoteReference"/>
          <w:sz w:val="24"/>
          <w:szCs w:val="24"/>
        </w:rPr>
        <w:footnoteReference w:id="75"/>
      </w:r>
      <w:r w:rsidRPr="002F6883">
        <w:rPr>
          <w:sz w:val="24"/>
          <w:szCs w:val="24"/>
        </w:rPr>
        <w:t xml:space="preserve"> </w:t>
      </w:r>
      <w:r w:rsidR="006E1E5C" w:rsidRPr="002F6883">
        <w:rPr>
          <w:sz w:val="24"/>
          <w:szCs w:val="24"/>
        </w:rPr>
        <w:t>T</w:t>
      </w:r>
      <w:r w:rsidR="006E1E5C">
        <w:rPr>
          <w:sz w:val="24"/>
          <w:szCs w:val="24"/>
        </w:rPr>
        <w:t>he Severan Marble</w:t>
      </w:r>
      <w:r w:rsidR="000B3781">
        <w:rPr>
          <w:sz w:val="24"/>
          <w:szCs w:val="24"/>
        </w:rPr>
        <w:t xml:space="preserve"> Plan</w:t>
      </w:r>
      <w:r w:rsidR="006E1E5C">
        <w:rPr>
          <w:sz w:val="24"/>
          <w:szCs w:val="24"/>
        </w:rPr>
        <w:t xml:space="preserve"> is the only document that depicts a Rome similar to that of the </w:t>
      </w:r>
      <w:r w:rsidR="006E1E5C">
        <w:rPr>
          <w:i/>
          <w:sz w:val="24"/>
          <w:szCs w:val="24"/>
        </w:rPr>
        <w:t>Regionary Catalogues</w:t>
      </w:r>
      <w:r w:rsidR="006E1E5C">
        <w:rPr>
          <w:sz w:val="24"/>
          <w:szCs w:val="24"/>
        </w:rPr>
        <w:t>. Both were traditionally seen as documents associated with the administration, but in more recent historiography</w:t>
      </w:r>
      <w:r w:rsidR="000B3781">
        <w:rPr>
          <w:sz w:val="24"/>
          <w:szCs w:val="24"/>
        </w:rPr>
        <w:t xml:space="preserve"> have been treated</w:t>
      </w:r>
      <w:r w:rsidR="006E1E5C">
        <w:rPr>
          <w:sz w:val="24"/>
          <w:szCs w:val="24"/>
        </w:rPr>
        <w:t xml:space="preserve"> as “Rome Worship”. Both have statistics tha</w:t>
      </w:r>
      <w:r w:rsidR="00104B2B">
        <w:rPr>
          <w:sz w:val="24"/>
          <w:szCs w:val="24"/>
        </w:rPr>
        <w:t>t have been dismissed as window-</w:t>
      </w:r>
      <w:r w:rsidR="006E1E5C">
        <w:rPr>
          <w:sz w:val="24"/>
          <w:szCs w:val="24"/>
        </w:rPr>
        <w:t>dressing, yet also appear too complex and coherent to</w:t>
      </w:r>
      <w:r w:rsidR="00104B2B">
        <w:rPr>
          <w:sz w:val="24"/>
          <w:szCs w:val="24"/>
        </w:rPr>
        <w:t xml:space="preserve"> be </w:t>
      </w:r>
      <w:r w:rsidR="006E1E5C">
        <w:rPr>
          <w:sz w:val="24"/>
          <w:szCs w:val="24"/>
        </w:rPr>
        <w:t>simple inventions.</w:t>
      </w:r>
      <w:r w:rsidR="006E1E5C">
        <w:rPr>
          <w:rStyle w:val="FootnoteReference"/>
          <w:sz w:val="24"/>
          <w:szCs w:val="24"/>
        </w:rPr>
        <w:footnoteReference w:id="76"/>
      </w:r>
      <w:r w:rsidR="006E1E5C">
        <w:rPr>
          <w:sz w:val="24"/>
          <w:szCs w:val="24"/>
        </w:rPr>
        <w:t xml:space="preserve"> Furthermore</w:t>
      </w:r>
      <w:r w:rsidR="00104B2B">
        <w:rPr>
          <w:sz w:val="24"/>
          <w:szCs w:val="24"/>
        </w:rPr>
        <w:t>,</w:t>
      </w:r>
      <w:r w:rsidR="006E1E5C">
        <w:rPr>
          <w:sz w:val="24"/>
          <w:szCs w:val="24"/>
        </w:rPr>
        <w:t xml:space="preserve"> both have an obvious connection to th</w:t>
      </w:r>
      <w:r w:rsidR="000B3781">
        <w:rPr>
          <w:sz w:val="24"/>
          <w:szCs w:val="24"/>
        </w:rPr>
        <w:t>e office of the Urban Prefect</w:t>
      </w:r>
      <w:r w:rsidR="006E1E5C">
        <w:rPr>
          <w:sz w:val="24"/>
          <w:szCs w:val="24"/>
        </w:rPr>
        <w:t xml:space="preserve">.  The </w:t>
      </w:r>
      <w:r w:rsidR="006E1E5C">
        <w:rPr>
          <w:i/>
          <w:sz w:val="24"/>
          <w:szCs w:val="24"/>
        </w:rPr>
        <w:t>Regionaries</w:t>
      </w:r>
      <w:r w:rsidR="006E1E5C">
        <w:rPr>
          <w:sz w:val="24"/>
          <w:szCs w:val="24"/>
        </w:rPr>
        <w:t xml:space="preserve"> and the Marble Plan appear to</w:t>
      </w:r>
      <w:r w:rsidR="0077597E">
        <w:rPr>
          <w:sz w:val="24"/>
          <w:szCs w:val="24"/>
        </w:rPr>
        <w:t xml:space="preserve"> be</w:t>
      </w:r>
      <w:r w:rsidR="006E1E5C">
        <w:rPr>
          <w:sz w:val="24"/>
          <w:szCs w:val="24"/>
        </w:rPr>
        <w:t xml:space="preserve"> derive</w:t>
      </w:r>
      <w:r w:rsidR="0077597E">
        <w:rPr>
          <w:sz w:val="24"/>
          <w:szCs w:val="24"/>
        </w:rPr>
        <w:t>d</w:t>
      </w:r>
      <w:r w:rsidR="006E1E5C">
        <w:rPr>
          <w:sz w:val="24"/>
          <w:szCs w:val="24"/>
        </w:rPr>
        <w:t xml:space="preserve"> from cadastral documents contained </w:t>
      </w:r>
      <w:r w:rsidR="00B87B77">
        <w:rPr>
          <w:sz w:val="24"/>
          <w:szCs w:val="24"/>
        </w:rPr>
        <w:t>in</w:t>
      </w:r>
      <w:r w:rsidR="006E1E5C">
        <w:rPr>
          <w:sz w:val="24"/>
          <w:szCs w:val="24"/>
        </w:rPr>
        <w:t xml:space="preserve"> the archives of the Urban Prefecture, as this would have been the only archive that contained documents covering the whole administrative territory of Rome.</w:t>
      </w:r>
      <w:r w:rsidR="006E1E5C">
        <w:rPr>
          <w:rStyle w:val="FootnoteReference"/>
          <w:sz w:val="24"/>
          <w:szCs w:val="24"/>
        </w:rPr>
        <w:footnoteReference w:id="77"/>
      </w:r>
      <w:r w:rsidR="006E1E5C">
        <w:rPr>
          <w:sz w:val="24"/>
          <w:szCs w:val="24"/>
        </w:rPr>
        <w:t xml:space="preserve"> In order to establish a basis of comparison with the Marble Plan, I shall ex</w:t>
      </w:r>
      <w:r w:rsidR="000B3781">
        <w:rPr>
          <w:sz w:val="24"/>
          <w:szCs w:val="24"/>
        </w:rPr>
        <w:t xml:space="preserve">amine </w:t>
      </w:r>
      <w:r w:rsidR="00816137">
        <w:rPr>
          <w:sz w:val="24"/>
          <w:szCs w:val="24"/>
        </w:rPr>
        <w:t>the</w:t>
      </w:r>
      <w:r w:rsidR="006E1E5C">
        <w:rPr>
          <w:sz w:val="24"/>
          <w:szCs w:val="24"/>
        </w:rPr>
        <w:t xml:space="preserve"> topography that the </w:t>
      </w:r>
      <w:r w:rsidR="006E1E5C">
        <w:rPr>
          <w:i/>
          <w:sz w:val="24"/>
          <w:szCs w:val="24"/>
        </w:rPr>
        <w:t>Regionary Catalogues</w:t>
      </w:r>
      <w:r w:rsidR="006E1E5C">
        <w:rPr>
          <w:sz w:val="24"/>
          <w:szCs w:val="24"/>
        </w:rPr>
        <w:t xml:space="preserve"> depict. This allows us establish what was included within the </w:t>
      </w:r>
      <w:r w:rsidR="006E1E5C">
        <w:rPr>
          <w:i/>
          <w:sz w:val="24"/>
          <w:szCs w:val="24"/>
        </w:rPr>
        <w:t>Regionaries</w:t>
      </w:r>
      <w:r w:rsidR="000B3781">
        <w:rPr>
          <w:sz w:val="24"/>
          <w:szCs w:val="24"/>
        </w:rPr>
        <w:t>, and why</w:t>
      </w:r>
      <w:r w:rsidR="00E81061">
        <w:rPr>
          <w:sz w:val="24"/>
          <w:szCs w:val="24"/>
        </w:rPr>
        <w:t>. T</w:t>
      </w:r>
      <w:r w:rsidR="006E1E5C">
        <w:rPr>
          <w:sz w:val="24"/>
          <w:szCs w:val="24"/>
        </w:rPr>
        <w:t>here is</w:t>
      </w:r>
      <w:r w:rsidR="000B3781">
        <w:rPr>
          <w:sz w:val="24"/>
          <w:szCs w:val="24"/>
        </w:rPr>
        <w:t xml:space="preserve"> also</w:t>
      </w:r>
      <w:r w:rsidR="006E1E5C">
        <w:rPr>
          <w:sz w:val="24"/>
          <w:szCs w:val="24"/>
        </w:rPr>
        <w:t xml:space="preserve"> some debate over whether or not the </w:t>
      </w:r>
      <w:r w:rsidR="006E1E5C">
        <w:rPr>
          <w:i/>
          <w:sz w:val="24"/>
          <w:szCs w:val="24"/>
        </w:rPr>
        <w:t>Regionaries</w:t>
      </w:r>
      <w:r w:rsidR="006E1E5C">
        <w:rPr>
          <w:sz w:val="24"/>
          <w:szCs w:val="24"/>
        </w:rPr>
        <w:t xml:space="preserve"> were authored alongside </w:t>
      </w:r>
      <w:r w:rsidR="00104B2B">
        <w:rPr>
          <w:sz w:val="24"/>
          <w:szCs w:val="24"/>
        </w:rPr>
        <w:t>the Marble Plan</w:t>
      </w:r>
      <w:r w:rsidR="00E81061">
        <w:rPr>
          <w:sz w:val="24"/>
          <w:szCs w:val="24"/>
        </w:rPr>
        <w:t>.</w:t>
      </w:r>
      <w:r w:rsidR="006E1E5C">
        <w:rPr>
          <w:rStyle w:val="FootnoteReference"/>
          <w:sz w:val="24"/>
          <w:szCs w:val="24"/>
        </w:rPr>
        <w:footnoteReference w:id="78"/>
      </w:r>
      <w:r w:rsidR="006E1E5C">
        <w:rPr>
          <w:sz w:val="24"/>
          <w:szCs w:val="24"/>
        </w:rPr>
        <w:t xml:space="preserve"> </w:t>
      </w:r>
      <w:r w:rsidR="00E81061">
        <w:rPr>
          <w:sz w:val="24"/>
          <w:szCs w:val="24"/>
        </w:rPr>
        <w:t xml:space="preserve">I will take a different view in this chapter, arguing that the </w:t>
      </w:r>
      <w:r w:rsidR="00E81061">
        <w:rPr>
          <w:i/>
          <w:sz w:val="24"/>
          <w:szCs w:val="24"/>
        </w:rPr>
        <w:t>Regionary Catalogues</w:t>
      </w:r>
      <w:r w:rsidR="00E81061">
        <w:rPr>
          <w:sz w:val="24"/>
          <w:szCs w:val="24"/>
        </w:rPr>
        <w:t xml:space="preserve"> were written later than the reign of Septimius Severus, </w:t>
      </w:r>
      <w:r w:rsidR="000B3781">
        <w:rPr>
          <w:sz w:val="24"/>
          <w:szCs w:val="24"/>
        </w:rPr>
        <w:t>but that their similarities to</w:t>
      </w:r>
      <w:r w:rsidR="00E81061">
        <w:rPr>
          <w:sz w:val="24"/>
          <w:szCs w:val="24"/>
        </w:rPr>
        <w:t xml:space="preserve"> the Marble Plan and its purpose suggest that they were commissioned by an </w:t>
      </w:r>
      <w:r w:rsidR="008B44B0">
        <w:rPr>
          <w:sz w:val="24"/>
          <w:szCs w:val="24"/>
        </w:rPr>
        <w:t>emperor</w:t>
      </w:r>
      <w:r w:rsidR="00E81061">
        <w:rPr>
          <w:sz w:val="24"/>
          <w:szCs w:val="24"/>
        </w:rPr>
        <w:t xml:space="preserve"> who shared </w:t>
      </w:r>
      <w:r w:rsidR="00D3144C">
        <w:rPr>
          <w:sz w:val="24"/>
          <w:szCs w:val="24"/>
        </w:rPr>
        <w:lastRenderedPageBreak/>
        <w:t>certain charact</w:t>
      </w:r>
      <w:r w:rsidR="000B3781">
        <w:rPr>
          <w:sz w:val="24"/>
          <w:szCs w:val="24"/>
        </w:rPr>
        <w:t>eristics with Septimius Severus: t</w:t>
      </w:r>
      <w:r w:rsidR="00D3144C">
        <w:rPr>
          <w:sz w:val="24"/>
          <w:szCs w:val="24"/>
        </w:rPr>
        <w:t xml:space="preserve">hat is, an </w:t>
      </w:r>
      <w:r w:rsidR="0087599E">
        <w:rPr>
          <w:sz w:val="24"/>
          <w:szCs w:val="24"/>
        </w:rPr>
        <w:t>e</w:t>
      </w:r>
      <w:r w:rsidR="008B44B0">
        <w:rPr>
          <w:sz w:val="24"/>
          <w:szCs w:val="24"/>
        </w:rPr>
        <w:t>mperor</w:t>
      </w:r>
      <w:r w:rsidR="00E81061">
        <w:rPr>
          <w:i/>
          <w:sz w:val="24"/>
          <w:szCs w:val="24"/>
        </w:rPr>
        <w:t xml:space="preserve"> </w:t>
      </w:r>
      <w:r w:rsidR="006E1E5C">
        <w:rPr>
          <w:sz w:val="24"/>
          <w:szCs w:val="24"/>
        </w:rPr>
        <w:t>who</w:t>
      </w:r>
      <w:r w:rsidR="00D3144C">
        <w:rPr>
          <w:sz w:val="24"/>
          <w:szCs w:val="24"/>
        </w:rPr>
        <w:t xml:space="preserve"> also</w:t>
      </w:r>
      <w:r w:rsidR="006E1E5C">
        <w:rPr>
          <w:sz w:val="24"/>
          <w:szCs w:val="24"/>
        </w:rPr>
        <w:t xml:space="preserve"> had seized the Empire after a prolonged period of civil war a</w:t>
      </w:r>
      <w:r w:rsidR="000B3781">
        <w:rPr>
          <w:sz w:val="24"/>
          <w:szCs w:val="24"/>
        </w:rPr>
        <w:t>nd was faced with securing its</w:t>
      </w:r>
      <w:r w:rsidR="006E1E5C">
        <w:rPr>
          <w:sz w:val="24"/>
          <w:szCs w:val="24"/>
        </w:rPr>
        <w:t xml:space="preserve"> </w:t>
      </w:r>
      <w:r w:rsidR="000B3781">
        <w:rPr>
          <w:sz w:val="24"/>
          <w:szCs w:val="24"/>
        </w:rPr>
        <w:t>administration</w:t>
      </w:r>
      <w:r w:rsidR="006E1E5C">
        <w:rPr>
          <w:sz w:val="24"/>
          <w:szCs w:val="24"/>
        </w:rPr>
        <w:t xml:space="preserve"> and assuaging an anxious populace. </w:t>
      </w:r>
      <w:r w:rsidR="00D3144C">
        <w:rPr>
          <w:sz w:val="24"/>
          <w:szCs w:val="24"/>
        </w:rPr>
        <w:t>I will use the comparison between</w:t>
      </w:r>
      <w:r w:rsidR="006E1E5C">
        <w:rPr>
          <w:sz w:val="24"/>
          <w:szCs w:val="24"/>
        </w:rPr>
        <w:t xml:space="preserve"> the Marble Plan and the </w:t>
      </w:r>
      <w:r w:rsidR="006E1E5C">
        <w:rPr>
          <w:i/>
          <w:sz w:val="24"/>
          <w:szCs w:val="24"/>
        </w:rPr>
        <w:t>Regionaries</w:t>
      </w:r>
      <w:r w:rsidR="006E1E5C">
        <w:rPr>
          <w:sz w:val="24"/>
          <w:szCs w:val="24"/>
        </w:rPr>
        <w:t xml:space="preserve"> </w:t>
      </w:r>
      <w:r w:rsidR="00D3144C">
        <w:rPr>
          <w:sz w:val="24"/>
          <w:szCs w:val="24"/>
        </w:rPr>
        <w:t xml:space="preserve">to </w:t>
      </w:r>
      <w:r w:rsidR="00603173">
        <w:rPr>
          <w:sz w:val="24"/>
          <w:szCs w:val="24"/>
        </w:rPr>
        <w:t>test the</w:t>
      </w:r>
      <w:r w:rsidR="00D3144C">
        <w:rPr>
          <w:sz w:val="24"/>
          <w:szCs w:val="24"/>
        </w:rPr>
        <w:t xml:space="preserve"> hypoth</w:t>
      </w:r>
      <w:r w:rsidR="000B3781">
        <w:rPr>
          <w:sz w:val="24"/>
          <w:szCs w:val="24"/>
        </w:rPr>
        <w:t>esis that it was Aurelian who i</w:t>
      </w:r>
      <w:r w:rsidR="00D3144C">
        <w:rPr>
          <w:sz w:val="24"/>
          <w:szCs w:val="24"/>
        </w:rPr>
        <w:t xml:space="preserve">s the most likely candidate to have commissioned the </w:t>
      </w:r>
      <w:r w:rsidR="00D3144C">
        <w:rPr>
          <w:i/>
          <w:sz w:val="24"/>
          <w:szCs w:val="24"/>
        </w:rPr>
        <w:t>Regionaries</w:t>
      </w:r>
      <w:r w:rsidR="00D3144C">
        <w:rPr>
          <w:sz w:val="24"/>
          <w:szCs w:val="24"/>
        </w:rPr>
        <w:t xml:space="preserve"> and that hence the </w:t>
      </w:r>
      <w:r w:rsidR="00D3144C">
        <w:rPr>
          <w:i/>
          <w:sz w:val="24"/>
          <w:szCs w:val="24"/>
        </w:rPr>
        <w:t>Regionary Catalogues</w:t>
      </w:r>
      <w:r w:rsidR="00D3144C">
        <w:rPr>
          <w:sz w:val="24"/>
          <w:szCs w:val="24"/>
        </w:rPr>
        <w:t xml:space="preserve"> are therefore a late third-century text.</w:t>
      </w:r>
    </w:p>
    <w:p w:rsidR="006E1E5C" w:rsidRDefault="00D3144C" w:rsidP="00722391">
      <w:pPr>
        <w:spacing w:line="480" w:lineRule="auto"/>
        <w:ind w:firstLine="720"/>
        <w:jc w:val="both"/>
        <w:rPr>
          <w:sz w:val="24"/>
          <w:szCs w:val="24"/>
        </w:rPr>
      </w:pPr>
      <w:r>
        <w:rPr>
          <w:sz w:val="24"/>
          <w:szCs w:val="24"/>
        </w:rPr>
        <w:t xml:space="preserve">I will </w:t>
      </w:r>
      <w:r w:rsidR="00F11669">
        <w:rPr>
          <w:sz w:val="24"/>
          <w:szCs w:val="24"/>
        </w:rPr>
        <w:t xml:space="preserve">argue that </w:t>
      </w:r>
      <w:r w:rsidR="00603173">
        <w:rPr>
          <w:sz w:val="24"/>
          <w:szCs w:val="24"/>
        </w:rPr>
        <w:t>my</w:t>
      </w:r>
      <w:r w:rsidR="00F11669">
        <w:rPr>
          <w:sz w:val="24"/>
          <w:szCs w:val="24"/>
        </w:rPr>
        <w:t xml:space="preserve"> hypothesis of </w:t>
      </w:r>
      <w:r w:rsidR="00603173">
        <w:rPr>
          <w:sz w:val="24"/>
          <w:szCs w:val="24"/>
        </w:rPr>
        <w:t>a</w:t>
      </w:r>
      <w:r>
        <w:rPr>
          <w:sz w:val="24"/>
          <w:szCs w:val="24"/>
        </w:rPr>
        <w:t xml:space="preserve"> new dating of the </w:t>
      </w:r>
      <w:r>
        <w:rPr>
          <w:i/>
          <w:sz w:val="24"/>
          <w:szCs w:val="24"/>
        </w:rPr>
        <w:t>Regionary Catalogues</w:t>
      </w:r>
      <w:r>
        <w:rPr>
          <w:sz w:val="24"/>
          <w:szCs w:val="24"/>
        </w:rPr>
        <w:t xml:space="preserve"> makes</w:t>
      </w:r>
      <w:r w:rsidR="00F11669">
        <w:rPr>
          <w:sz w:val="24"/>
          <w:szCs w:val="24"/>
        </w:rPr>
        <w:t xml:space="preserve"> more</w:t>
      </w:r>
      <w:r>
        <w:rPr>
          <w:sz w:val="24"/>
          <w:szCs w:val="24"/>
        </w:rPr>
        <w:t xml:space="preserve"> sense</w:t>
      </w:r>
      <w:r w:rsidR="00F11669">
        <w:rPr>
          <w:sz w:val="24"/>
          <w:szCs w:val="24"/>
        </w:rPr>
        <w:t xml:space="preserve"> than previous dating attempts,</w:t>
      </w:r>
      <w:r>
        <w:rPr>
          <w:sz w:val="24"/>
          <w:szCs w:val="24"/>
        </w:rPr>
        <w:t xml:space="preserve"> when we consider the text in light of Aurelian’s reforms of the city of Rome’s administration</w:t>
      </w:r>
      <w:r w:rsidR="00F97BFB">
        <w:rPr>
          <w:sz w:val="24"/>
          <w:szCs w:val="24"/>
        </w:rPr>
        <w:t>.</w:t>
      </w:r>
      <w:r>
        <w:rPr>
          <w:sz w:val="24"/>
          <w:szCs w:val="24"/>
        </w:rPr>
        <w:t xml:space="preserve"> In particular,</w:t>
      </w:r>
      <w:r w:rsidR="006E1E5C">
        <w:rPr>
          <w:sz w:val="24"/>
          <w:szCs w:val="24"/>
        </w:rPr>
        <w:t xml:space="preserve"> </w:t>
      </w:r>
      <w:r w:rsidR="00104B2B">
        <w:rPr>
          <w:sz w:val="24"/>
          <w:szCs w:val="24"/>
        </w:rPr>
        <w:t xml:space="preserve">I shall argue that </w:t>
      </w:r>
      <w:r>
        <w:rPr>
          <w:sz w:val="24"/>
          <w:szCs w:val="24"/>
        </w:rPr>
        <w:t xml:space="preserve">the </w:t>
      </w:r>
      <w:r>
        <w:rPr>
          <w:i/>
          <w:sz w:val="24"/>
          <w:szCs w:val="24"/>
        </w:rPr>
        <w:t>Regionary Catalogues</w:t>
      </w:r>
      <w:r>
        <w:rPr>
          <w:sz w:val="24"/>
          <w:szCs w:val="24"/>
        </w:rPr>
        <w:t xml:space="preserve"> may have been produced</w:t>
      </w:r>
      <w:r w:rsidR="00F97BFB">
        <w:rPr>
          <w:sz w:val="24"/>
          <w:szCs w:val="24"/>
        </w:rPr>
        <w:t xml:space="preserve"> as a result of </w:t>
      </w:r>
      <w:r w:rsidR="006E1E5C">
        <w:rPr>
          <w:sz w:val="24"/>
          <w:szCs w:val="24"/>
        </w:rPr>
        <w:t xml:space="preserve">the </w:t>
      </w:r>
      <w:r w:rsidR="008B44B0">
        <w:rPr>
          <w:sz w:val="24"/>
          <w:szCs w:val="24"/>
        </w:rPr>
        <w:t>Emperor</w:t>
      </w:r>
      <w:r w:rsidR="006E1E5C">
        <w:rPr>
          <w:sz w:val="24"/>
          <w:szCs w:val="24"/>
        </w:rPr>
        <w:t xml:space="preserve"> Aurelian’s construction of Rome’s new circuit</w:t>
      </w:r>
      <w:r w:rsidR="00F97BFB">
        <w:rPr>
          <w:sz w:val="24"/>
          <w:szCs w:val="24"/>
        </w:rPr>
        <w:t xml:space="preserve"> of walls</w:t>
      </w:r>
      <w:r w:rsidR="006E1E5C">
        <w:rPr>
          <w:sz w:val="24"/>
          <w:szCs w:val="24"/>
        </w:rPr>
        <w:t xml:space="preserve"> and the city’s accompanying urban reforms</w:t>
      </w:r>
      <w:r w:rsidR="00F97BFB">
        <w:rPr>
          <w:sz w:val="24"/>
          <w:szCs w:val="24"/>
        </w:rPr>
        <w:t xml:space="preserve"> that occurred</w:t>
      </w:r>
      <w:r w:rsidR="006E1E5C">
        <w:rPr>
          <w:sz w:val="24"/>
          <w:szCs w:val="24"/>
        </w:rPr>
        <w:t xml:space="preserve"> AD 271-275. The Aurelian Wall’s absence from the </w:t>
      </w:r>
      <w:r w:rsidR="006E1E5C">
        <w:rPr>
          <w:i/>
          <w:sz w:val="24"/>
          <w:szCs w:val="24"/>
        </w:rPr>
        <w:t>Regionaries</w:t>
      </w:r>
      <w:r w:rsidR="006E1E5C">
        <w:rPr>
          <w:sz w:val="24"/>
          <w:szCs w:val="24"/>
        </w:rPr>
        <w:t xml:space="preserve"> is significant and it is more probable that the Wall did not exist at the time of production rather than it was simply left out</w:t>
      </w:r>
      <w:r w:rsidR="00104B2B">
        <w:rPr>
          <w:sz w:val="24"/>
          <w:szCs w:val="24"/>
        </w:rPr>
        <w:t>,</w:t>
      </w:r>
      <w:r w:rsidR="006E1E5C">
        <w:rPr>
          <w:sz w:val="24"/>
          <w:szCs w:val="24"/>
        </w:rPr>
        <w:t xml:space="preserve"> given its importance to the urban administration and the topography of the city. The Wall’s construction was contemporaneous with the City’s largest program of administrative reforms until the reign of Constantine, which is when we possess our earliest date of AD 313 for the </w:t>
      </w:r>
      <w:r w:rsidR="006E1E5C">
        <w:rPr>
          <w:i/>
          <w:sz w:val="24"/>
          <w:szCs w:val="24"/>
        </w:rPr>
        <w:t>Regionaries</w:t>
      </w:r>
      <w:r w:rsidR="006E1E5C">
        <w:rPr>
          <w:sz w:val="24"/>
          <w:szCs w:val="24"/>
        </w:rPr>
        <w:t>.</w:t>
      </w:r>
      <w:r w:rsidR="006E1E5C">
        <w:rPr>
          <w:rStyle w:val="FootnoteReference"/>
          <w:sz w:val="24"/>
          <w:szCs w:val="24"/>
        </w:rPr>
        <w:footnoteReference w:id="79"/>
      </w:r>
      <w:r w:rsidR="006E1E5C">
        <w:rPr>
          <w:sz w:val="24"/>
          <w:szCs w:val="24"/>
        </w:rPr>
        <w:t xml:space="preserve"> Whilst the military defence of the city was the necessary pretext of the Wall, the administration of the City would have had </w:t>
      </w:r>
      <w:r w:rsidR="0077597E">
        <w:rPr>
          <w:sz w:val="24"/>
          <w:szCs w:val="24"/>
        </w:rPr>
        <w:t xml:space="preserve">to change in order to </w:t>
      </w:r>
      <w:r w:rsidR="00840ADC">
        <w:rPr>
          <w:sz w:val="24"/>
          <w:szCs w:val="24"/>
        </w:rPr>
        <w:t>accommodate</w:t>
      </w:r>
      <w:r w:rsidR="006E1E5C">
        <w:rPr>
          <w:sz w:val="24"/>
          <w:szCs w:val="24"/>
        </w:rPr>
        <w:t xml:space="preserve"> </w:t>
      </w:r>
      <w:r w:rsidR="0077597E">
        <w:rPr>
          <w:sz w:val="24"/>
          <w:szCs w:val="24"/>
        </w:rPr>
        <w:t>and accomplish the construction</w:t>
      </w:r>
      <w:r w:rsidR="006E1E5C">
        <w:rPr>
          <w:sz w:val="24"/>
          <w:szCs w:val="24"/>
        </w:rPr>
        <w:t>. It involved an administrative restructuring of urban life</w:t>
      </w:r>
      <w:r w:rsidR="00104B2B">
        <w:rPr>
          <w:sz w:val="24"/>
          <w:szCs w:val="24"/>
        </w:rPr>
        <w:t>,</w:t>
      </w:r>
      <w:r w:rsidR="006E1E5C">
        <w:rPr>
          <w:sz w:val="24"/>
          <w:szCs w:val="24"/>
        </w:rPr>
        <w:t xml:space="preserve"> which would have required a reform of the </w:t>
      </w:r>
      <w:r w:rsidR="006E1E5C">
        <w:rPr>
          <w:i/>
          <w:sz w:val="24"/>
          <w:szCs w:val="24"/>
        </w:rPr>
        <w:t>annona</w:t>
      </w:r>
      <w:r w:rsidR="001E6F4E">
        <w:rPr>
          <w:i/>
          <w:sz w:val="24"/>
          <w:szCs w:val="24"/>
        </w:rPr>
        <w:t>e</w:t>
      </w:r>
      <w:r w:rsidR="00104B2B">
        <w:rPr>
          <w:sz w:val="24"/>
          <w:szCs w:val="24"/>
        </w:rPr>
        <w:t xml:space="preserve"> and its infrastructure</w:t>
      </w:r>
      <w:r w:rsidR="006E1E5C">
        <w:rPr>
          <w:sz w:val="24"/>
          <w:szCs w:val="24"/>
        </w:rPr>
        <w:t xml:space="preserve"> as well as a redefinition of the compulsory services provided to the state by the </w:t>
      </w:r>
      <w:r w:rsidR="006E1E5C">
        <w:rPr>
          <w:i/>
          <w:sz w:val="24"/>
          <w:szCs w:val="24"/>
        </w:rPr>
        <w:t>collegia</w:t>
      </w:r>
      <w:r w:rsidR="006E1E5C">
        <w:rPr>
          <w:sz w:val="24"/>
          <w:szCs w:val="24"/>
        </w:rPr>
        <w:t xml:space="preserve"> of the City.</w:t>
      </w:r>
      <w:r w:rsidR="006E1E5C">
        <w:rPr>
          <w:rStyle w:val="FootnoteReference"/>
          <w:sz w:val="24"/>
          <w:szCs w:val="24"/>
        </w:rPr>
        <w:footnoteReference w:id="80"/>
      </w:r>
      <w:r w:rsidR="006E1E5C">
        <w:rPr>
          <w:sz w:val="24"/>
          <w:szCs w:val="24"/>
        </w:rPr>
        <w:t xml:space="preserve"> The Urban Prefect would have needed to proceed carefully </w:t>
      </w:r>
      <w:r w:rsidR="00BD1EFD">
        <w:rPr>
          <w:sz w:val="24"/>
          <w:szCs w:val="24"/>
        </w:rPr>
        <w:t>whilst</w:t>
      </w:r>
      <w:r w:rsidR="006E1E5C">
        <w:rPr>
          <w:sz w:val="24"/>
          <w:szCs w:val="24"/>
        </w:rPr>
        <w:t xml:space="preserve"> conducting himself and </w:t>
      </w:r>
      <w:r w:rsidR="006E1E5C">
        <w:rPr>
          <w:sz w:val="24"/>
          <w:szCs w:val="24"/>
        </w:rPr>
        <w:lastRenderedPageBreak/>
        <w:t>his work according to the traditions of his office and the City. This guide would also have functioned as a record of those areas affected by the reforms</w:t>
      </w:r>
      <w:r w:rsidR="000B3781">
        <w:rPr>
          <w:sz w:val="24"/>
          <w:szCs w:val="24"/>
        </w:rPr>
        <w:t>,</w:t>
      </w:r>
      <w:r w:rsidR="006E1E5C">
        <w:rPr>
          <w:sz w:val="24"/>
          <w:szCs w:val="24"/>
        </w:rPr>
        <w:t xml:space="preserve"> such as the </w:t>
      </w:r>
      <w:r w:rsidR="006E1E5C">
        <w:rPr>
          <w:i/>
          <w:sz w:val="24"/>
          <w:szCs w:val="24"/>
        </w:rPr>
        <w:t>horrea</w:t>
      </w:r>
      <w:r w:rsidR="006E1E5C">
        <w:rPr>
          <w:sz w:val="24"/>
          <w:szCs w:val="24"/>
        </w:rPr>
        <w:t xml:space="preserve"> or those areas re</w:t>
      </w:r>
      <w:r w:rsidR="000B3781">
        <w:rPr>
          <w:sz w:val="24"/>
          <w:szCs w:val="24"/>
        </w:rPr>
        <w:t>levant to their undertaking, such as</w:t>
      </w:r>
      <w:r w:rsidR="006E1E5C">
        <w:rPr>
          <w:sz w:val="24"/>
          <w:szCs w:val="24"/>
        </w:rPr>
        <w:t xml:space="preserve"> the temples that served the administration.</w:t>
      </w:r>
      <w:r w:rsidR="006E1E5C">
        <w:rPr>
          <w:rStyle w:val="FootnoteReference"/>
          <w:sz w:val="24"/>
          <w:szCs w:val="24"/>
        </w:rPr>
        <w:footnoteReference w:id="81"/>
      </w:r>
      <w:r w:rsidR="006E1E5C">
        <w:rPr>
          <w:sz w:val="24"/>
          <w:szCs w:val="24"/>
        </w:rPr>
        <w:t xml:space="preserve"> </w:t>
      </w:r>
    </w:p>
    <w:p w:rsidR="006E1E5C" w:rsidRDefault="00104B2B" w:rsidP="00722391">
      <w:pPr>
        <w:tabs>
          <w:tab w:val="left" w:pos="1560"/>
        </w:tabs>
        <w:spacing w:line="480" w:lineRule="auto"/>
        <w:ind w:firstLine="720"/>
        <w:jc w:val="both"/>
        <w:rPr>
          <w:sz w:val="24"/>
          <w:szCs w:val="24"/>
        </w:rPr>
      </w:pPr>
      <w:r>
        <w:rPr>
          <w:sz w:val="24"/>
          <w:szCs w:val="24"/>
        </w:rPr>
        <w:t xml:space="preserve">I shall conclude this </w:t>
      </w:r>
      <w:r w:rsidR="006E1E5C">
        <w:rPr>
          <w:sz w:val="24"/>
          <w:szCs w:val="24"/>
        </w:rPr>
        <w:t xml:space="preserve">thesis by discussing the representation of the Roman administration in cartography and topography, to see how the </w:t>
      </w:r>
      <w:r w:rsidR="006E1E5C">
        <w:rPr>
          <w:i/>
          <w:sz w:val="24"/>
          <w:szCs w:val="24"/>
        </w:rPr>
        <w:t>Regionaries</w:t>
      </w:r>
      <w:r w:rsidR="006E1E5C">
        <w:rPr>
          <w:sz w:val="24"/>
          <w:szCs w:val="24"/>
        </w:rPr>
        <w:t xml:space="preserve"> more generally reflect the role and purposes of Roman administrative documents. Given the technological limitations of the time, t</w:t>
      </w:r>
      <w:r w:rsidR="006E1E5C">
        <w:rPr>
          <w:rFonts w:cs="Times New Roman"/>
          <w:sz w:val="24"/>
          <w:szCs w:val="24"/>
        </w:rPr>
        <w:t xml:space="preserve">he statistics of the </w:t>
      </w:r>
      <w:r w:rsidR="006E1E5C">
        <w:rPr>
          <w:rFonts w:cs="Times New Roman"/>
          <w:i/>
          <w:sz w:val="24"/>
          <w:szCs w:val="24"/>
        </w:rPr>
        <w:t>Regionaries</w:t>
      </w:r>
      <w:r w:rsidR="006E1E5C">
        <w:rPr>
          <w:rFonts w:cs="Times New Roman"/>
          <w:sz w:val="24"/>
          <w:szCs w:val="24"/>
        </w:rPr>
        <w:t xml:space="preserve"> and other documents are unlikely to have been updated regularly and</w:t>
      </w:r>
      <w:r>
        <w:rPr>
          <w:rFonts w:cs="Times New Roman"/>
          <w:sz w:val="24"/>
          <w:szCs w:val="24"/>
        </w:rPr>
        <w:t>,</w:t>
      </w:r>
      <w:r w:rsidR="006E1E5C">
        <w:rPr>
          <w:rFonts w:cs="Times New Roman"/>
          <w:sz w:val="24"/>
          <w:szCs w:val="24"/>
        </w:rPr>
        <w:t xml:space="preserve"> consequently</w:t>
      </w:r>
      <w:r>
        <w:rPr>
          <w:rFonts w:cs="Times New Roman"/>
          <w:sz w:val="24"/>
          <w:szCs w:val="24"/>
        </w:rPr>
        <w:t>,</w:t>
      </w:r>
      <w:r w:rsidR="006E1E5C">
        <w:rPr>
          <w:rFonts w:cs="Times New Roman"/>
          <w:sz w:val="24"/>
          <w:szCs w:val="24"/>
        </w:rPr>
        <w:t xml:space="preserve"> are unlikely to have reflected actual technical data on the ground by the fourth century. Instead</w:t>
      </w:r>
      <w:r>
        <w:rPr>
          <w:rFonts w:cs="Times New Roman"/>
          <w:sz w:val="24"/>
          <w:szCs w:val="24"/>
        </w:rPr>
        <w:t>,</w:t>
      </w:r>
      <w:r w:rsidR="006E1E5C">
        <w:rPr>
          <w:rFonts w:cs="Times New Roman"/>
          <w:sz w:val="24"/>
          <w:szCs w:val="24"/>
        </w:rPr>
        <w:t xml:space="preserve"> they must reflect something else that the Romans found useful to their administration. </w:t>
      </w:r>
      <w:r w:rsidR="00EB3070">
        <w:rPr>
          <w:sz w:val="24"/>
          <w:szCs w:val="24"/>
        </w:rPr>
        <w:t>M</w:t>
      </w:r>
      <w:r w:rsidR="006E1E5C">
        <w:rPr>
          <w:sz w:val="24"/>
          <w:szCs w:val="24"/>
        </w:rPr>
        <w:t xml:space="preserve">ore important </w:t>
      </w:r>
      <w:r>
        <w:rPr>
          <w:sz w:val="24"/>
          <w:szCs w:val="24"/>
        </w:rPr>
        <w:t>than accurate data</w:t>
      </w:r>
      <w:r w:rsidR="00EB3070">
        <w:rPr>
          <w:sz w:val="24"/>
          <w:szCs w:val="24"/>
        </w:rPr>
        <w:t xml:space="preserve"> would be those items</w:t>
      </w:r>
      <w:r w:rsidR="006E1E5C">
        <w:rPr>
          <w:sz w:val="24"/>
          <w:szCs w:val="24"/>
        </w:rPr>
        <w:t xml:space="preserve"> that addressed the social concerns that drove the Roman administration</w:t>
      </w:r>
      <w:r w:rsidR="008706A1">
        <w:rPr>
          <w:sz w:val="24"/>
          <w:szCs w:val="24"/>
        </w:rPr>
        <w:t xml:space="preserve">. </w:t>
      </w:r>
      <w:r w:rsidR="00EB3070">
        <w:rPr>
          <w:sz w:val="24"/>
          <w:szCs w:val="24"/>
        </w:rPr>
        <w:t>They demonstrated the areas of importance and interest that both the administrators and the administered would have found significant</w:t>
      </w:r>
      <w:r w:rsidR="006E1E5C">
        <w:rPr>
          <w:sz w:val="24"/>
          <w:szCs w:val="24"/>
        </w:rPr>
        <w:t xml:space="preserve">. </w:t>
      </w:r>
      <w:r>
        <w:rPr>
          <w:sz w:val="24"/>
          <w:szCs w:val="24"/>
        </w:rPr>
        <w:t>A Roman admini</w:t>
      </w:r>
      <w:r w:rsidR="000B3781">
        <w:rPr>
          <w:sz w:val="24"/>
          <w:szCs w:val="24"/>
        </w:rPr>
        <w:t>strator demonstrating that his</w:t>
      </w:r>
      <w:r w:rsidR="00EB3070">
        <w:rPr>
          <w:sz w:val="24"/>
          <w:szCs w:val="24"/>
        </w:rPr>
        <w:t xml:space="preserve"> administration upheld traditional valu</w:t>
      </w:r>
      <w:r>
        <w:rPr>
          <w:sz w:val="24"/>
          <w:szCs w:val="24"/>
        </w:rPr>
        <w:t>es such as honour and glory was</w:t>
      </w:r>
      <w:r w:rsidR="006E1E5C">
        <w:rPr>
          <w:sz w:val="24"/>
          <w:szCs w:val="24"/>
        </w:rPr>
        <w:t xml:space="preserve"> an administrative purpose</w:t>
      </w:r>
      <w:r w:rsidR="00602500">
        <w:rPr>
          <w:sz w:val="24"/>
          <w:szCs w:val="24"/>
        </w:rPr>
        <w:t xml:space="preserve"> in its own rights</w:t>
      </w:r>
      <w:r w:rsidR="009D5A24">
        <w:rPr>
          <w:sz w:val="24"/>
          <w:szCs w:val="24"/>
        </w:rPr>
        <w:t>.</w:t>
      </w:r>
      <w:r w:rsidR="00EB3070">
        <w:rPr>
          <w:sz w:val="24"/>
          <w:szCs w:val="24"/>
        </w:rPr>
        <w:t xml:space="preserve"> </w:t>
      </w:r>
      <w:r w:rsidR="009D5A24">
        <w:rPr>
          <w:sz w:val="24"/>
          <w:szCs w:val="24"/>
        </w:rPr>
        <w:t>I</w:t>
      </w:r>
      <w:r w:rsidR="000B3781">
        <w:rPr>
          <w:sz w:val="24"/>
          <w:szCs w:val="24"/>
        </w:rPr>
        <w:t>t demonstrated that he</w:t>
      </w:r>
      <w:r w:rsidR="00EB3070">
        <w:rPr>
          <w:sz w:val="24"/>
          <w:szCs w:val="24"/>
        </w:rPr>
        <w:t xml:space="preserve"> shared the same values as those </w:t>
      </w:r>
      <w:r>
        <w:rPr>
          <w:sz w:val="24"/>
          <w:szCs w:val="24"/>
        </w:rPr>
        <w:t>other administrators</w:t>
      </w:r>
      <w:r w:rsidR="00EB3070">
        <w:rPr>
          <w:sz w:val="24"/>
          <w:szCs w:val="24"/>
        </w:rPr>
        <w:t xml:space="preserve"> </w:t>
      </w:r>
      <w:r w:rsidR="000B3781">
        <w:rPr>
          <w:sz w:val="24"/>
          <w:szCs w:val="24"/>
        </w:rPr>
        <w:t>whose co-operation he</w:t>
      </w:r>
      <w:r w:rsidR="009D5A24">
        <w:rPr>
          <w:sz w:val="24"/>
          <w:szCs w:val="24"/>
        </w:rPr>
        <w:t xml:space="preserve"> would need in order to </w:t>
      </w:r>
      <w:r w:rsidR="000B3781">
        <w:rPr>
          <w:sz w:val="24"/>
          <w:szCs w:val="24"/>
        </w:rPr>
        <w:t>conduct his duties effectively. He</w:t>
      </w:r>
      <w:r w:rsidR="00EB3070">
        <w:rPr>
          <w:sz w:val="24"/>
          <w:szCs w:val="24"/>
        </w:rPr>
        <w:t xml:space="preserve"> served to ornament the administration’s power and so increased it. In this context</w:t>
      </w:r>
      <w:r w:rsidR="00CB4155">
        <w:rPr>
          <w:sz w:val="24"/>
          <w:szCs w:val="24"/>
        </w:rPr>
        <w:t>,</w:t>
      </w:r>
      <w:r w:rsidR="00EB3070">
        <w:rPr>
          <w:sz w:val="24"/>
          <w:szCs w:val="24"/>
        </w:rPr>
        <w:t xml:space="preserve"> a</w:t>
      </w:r>
      <w:r w:rsidR="006E1E5C">
        <w:rPr>
          <w:sz w:val="24"/>
          <w:szCs w:val="24"/>
        </w:rPr>
        <w:t xml:space="preserve">dministrative documents like the </w:t>
      </w:r>
      <w:r w:rsidR="00EB3070">
        <w:rPr>
          <w:i/>
          <w:sz w:val="24"/>
          <w:szCs w:val="24"/>
        </w:rPr>
        <w:t xml:space="preserve">Regionaries, </w:t>
      </w:r>
      <w:r w:rsidR="00EB3070">
        <w:rPr>
          <w:sz w:val="24"/>
          <w:szCs w:val="24"/>
        </w:rPr>
        <w:t>and the</w:t>
      </w:r>
      <w:r w:rsidR="006E1E5C">
        <w:rPr>
          <w:sz w:val="24"/>
          <w:szCs w:val="24"/>
        </w:rPr>
        <w:t xml:space="preserve"> </w:t>
      </w:r>
      <w:r w:rsidR="006E1E5C">
        <w:rPr>
          <w:i/>
          <w:sz w:val="24"/>
          <w:szCs w:val="24"/>
        </w:rPr>
        <w:t>Notitia Dignitatum</w:t>
      </w:r>
      <w:r w:rsidR="00EB3070">
        <w:rPr>
          <w:sz w:val="24"/>
          <w:szCs w:val="24"/>
        </w:rPr>
        <w:t xml:space="preserve"> were better served by being </w:t>
      </w:r>
      <w:r w:rsidR="006E1E5C">
        <w:rPr>
          <w:sz w:val="24"/>
          <w:szCs w:val="24"/>
        </w:rPr>
        <w:t xml:space="preserve">written in a style that </w:t>
      </w:r>
      <w:r w:rsidR="000B3781">
        <w:rPr>
          <w:sz w:val="24"/>
          <w:szCs w:val="24"/>
        </w:rPr>
        <w:t>might be termed panegyrical</w:t>
      </w:r>
      <w:r w:rsidR="00EB3070">
        <w:rPr>
          <w:sz w:val="24"/>
          <w:szCs w:val="24"/>
        </w:rPr>
        <w:t>.</w:t>
      </w:r>
      <w:r w:rsidR="006E1E5C">
        <w:rPr>
          <w:sz w:val="24"/>
          <w:szCs w:val="24"/>
        </w:rPr>
        <w:t xml:space="preserve"> This view of the Roman administration works because ultimately</w:t>
      </w:r>
      <w:r w:rsidR="00CB4155">
        <w:rPr>
          <w:sz w:val="24"/>
          <w:szCs w:val="24"/>
        </w:rPr>
        <w:t>,</w:t>
      </w:r>
      <w:r w:rsidR="006E1E5C">
        <w:rPr>
          <w:sz w:val="24"/>
          <w:szCs w:val="24"/>
        </w:rPr>
        <w:t xml:space="preserve"> depictions</w:t>
      </w:r>
      <w:r w:rsidR="00CB4155">
        <w:rPr>
          <w:sz w:val="24"/>
          <w:szCs w:val="24"/>
        </w:rPr>
        <w:t xml:space="preserve"> of the administration worked for</w:t>
      </w:r>
      <w:r w:rsidR="006E1E5C">
        <w:rPr>
          <w:sz w:val="24"/>
          <w:szCs w:val="24"/>
        </w:rPr>
        <w:t xml:space="preserve"> the same purpose as the laws and policies of the administration.</w:t>
      </w:r>
      <w:r w:rsidR="002A47C9">
        <w:rPr>
          <w:sz w:val="24"/>
          <w:szCs w:val="24"/>
        </w:rPr>
        <w:t xml:space="preserve"> In the third century, </w:t>
      </w:r>
      <w:r w:rsidR="0087599E">
        <w:rPr>
          <w:sz w:val="24"/>
          <w:szCs w:val="24"/>
        </w:rPr>
        <w:t>emperors</w:t>
      </w:r>
      <w:r w:rsidR="002A47C9">
        <w:rPr>
          <w:sz w:val="24"/>
          <w:szCs w:val="24"/>
        </w:rPr>
        <w:t xml:space="preserve"> struggled to reassert authority over a fragmented Empire. In order to do </w:t>
      </w:r>
      <w:r w:rsidR="002A47C9">
        <w:rPr>
          <w:sz w:val="24"/>
          <w:szCs w:val="24"/>
        </w:rPr>
        <w:lastRenderedPageBreak/>
        <w:t>this effectively</w:t>
      </w:r>
      <w:r w:rsidR="00CB4155">
        <w:rPr>
          <w:sz w:val="24"/>
          <w:szCs w:val="24"/>
        </w:rPr>
        <w:t>,</w:t>
      </w:r>
      <w:r w:rsidR="002A47C9">
        <w:rPr>
          <w:sz w:val="24"/>
          <w:szCs w:val="24"/>
        </w:rPr>
        <w:t xml:space="preserve"> they had</w:t>
      </w:r>
      <w:r w:rsidR="00CB4155">
        <w:rPr>
          <w:sz w:val="24"/>
          <w:szCs w:val="24"/>
        </w:rPr>
        <w:t xml:space="preserve"> to</w:t>
      </w:r>
      <w:r w:rsidR="002A47C9">
        <w:rPr>
          <w:sz w:val="24"/>
          <w:szCs w:val="24"/>
        </w:rPr>
        <w:t xml:space="preserve"> demonstrate</w:t>
      </w:r>
      <w:r w:rsidR="00CB4155">
        <w:rPr>
          <w:sz w:val="24"/>
          <w:szCs w:val="24"/>
        </w:rPr>
        <w:t xml:space="preserve"> that</w:t>
      </w:r>
      <w:r w:rsidR="002A47C9">
        <w:rPr>
          <w:sz w:val="24"/>
          <w:szCs w:val="24"/>
        </w:rPr>
        <w:t xml:space="preserve"> they shared the traditions and values of those they governed, even as they enforced their will. These documents</w:t>
      </w:r>
      <w:r w:rsidR="006E1E5C">
        <w:rPr>
          <w:sz w:val="24"/>
          <w:szCs w:val="24"/>
        </w:rPr>
        <w:t xml:space="preserve"> visualised</w:t>
      </w:r>
      <w:r w:rsidR="002A47C9">
        <w:rPr>
          <w:sz w:val="24"/>
          <w:szCs w:val="24"/>
        </w:rPr>
        <w:t>,</w:t>
      </w:r>
      <w:r w:rsidR="006E1E5C">
        <w:rPr>
          <w:sz w:val="24"/>
          <w:szCs w:val="24"/>
        </w:rPr>
        <w:t xml:space="preserve"> and so reinforced</w:t>
      </w:r>
      <w:r w:rsidR="002A47C9">
        <w:rPr>
          <w:sz w:val="24"/>
          <w:szCs w:val="24"/>
        </w:rPr>
        <w:t>,</w:t>
      </w:r>
      <w:r w:rsidR="006E1E5C">
        <w:rPr>
          <w:sz w:val="24"/>
          <w:szCs w:val="24"/>
        </w:rPr>
        <w:t xml:space="preserve"> the political and social hierarchies that the Empire depended </w:t>
      </w:r>
      <w:r w:rsidR="002A47C9">
        <w:rPr>
          <w:sz w:val="24"/>
          <w:szCs w:val="24"/>
        </w:rPr>
        <w:t xml:space="preserve">on for its smooth functioning. </w:t>
      </w:r>
    </w:p>
    <w:p w:rsidR="006E1E5C" w:rsidRDefault="006E1E5C" w:rsidP="00722391">
      <w:pPr>
        <w:spacing w:line="480" w:lineRule="auto"/>
        <w:ind w:firstLine="720"/>
        <w:jc w:val="both"/>
        <w:rPr>
          <w:sz w:val="24"/>
          <w:szCs w:val="24"/>
        </w:rPr>
      </w:pPr>
      <w:r>
        <w:rPr>
          <w:sz w:val="24"/>
          <w:szCs w:val="24"/>
        </w:rPr>
        <w:t xml:space="preserve">My methodology for the examination of the </w:t>
      </w:r>
      <w:r>
        <w:rPr>
          <w:i/>
          <w:sz w:val="24"/>
          <w:szCs w:val="24"/>
        </w:rPr>
        <w:t>Regionary Catalogues</w:t>
      </w:r>
      <w:r>
        <w:rPr>
          <w:sz w:val="24"/>
          <w:szCs w:val="24"/>
        </w:rPr>
        <w:t xml:space="preserve">’s administrative potential will include the traditional approach of examining what the statistics can tell us about Roman urban administration, but </w:t>
      </w:r>
      <w:r w:rsidR="000B3781">
        <w:rPr>
          <w:sz w:val="24"/>
          <w:szCs w:val="24"/>
        </w:rPr>
        <w:t xml:space="preserve">will </w:t>
      </w:r>
      <w:r>
        <w:rPr>
          <w:sz w:val="24"/>
          <w:szCs w:val="24"/>
        </w:rPr>
        <w:t>also demonstrate how the symbolism and cultural valu</w:t>
      </w:r>
      <w:r w:rsidR="00816137">
        <w:rPr>
          <w:sz w:val="24"/>
          <w:szCs w:val="24"/>
        </w:rPr>
        <w:t xml:space="preserve">e of the document </w:t>
      </w:r>
      <w:r>
        <w:rPr>
          <w:sz w:val="24"/>
          <w:szCs w:val="24"/>
        </w:rPr>
        <w:t xml:space="preserve">served an administrative purpose. By allowing for the administrative potential of cultural symbolism and tradition, I can effectively separate the </w:t>
      </w:r>
      <w:r>
        <w:rPr>
          <w:i/>
          <w:sz w:val="24"/>
          <w:szCs w:val="24"/>
        </w:rPr>
        <w:t>Regionaries</w:t>
      </w:r>
      <w:r>
        <w:rPr>
          <w:sz w:val="24"/>
          <w:szCs w:val="24"/>
        </w:rPr>
        <w:t xml:space="preserve"> into layers, avoiding focusing on the document as a singular whole and instead</w:t>
      </w:r>
      <w:r w:rsidR="000A490C">
        <w:rPr>
          <w:sz w:val="24"/>
          <w:szCs w:val="24"/>
        </w:rPr>
        <w:t>,</w:t>
      </w:r>
      <w:r>
        <w:rPr>
          <w:sz w:val="24"/>
          <w:szCs w:val="24"/>
        </w:rPr>
        <w:t xml:space="preserve"> appreciating it for those administrative aspects that a</w:t>
      </w:r>
      <w:r w:rsidR="0077597E">
        <w:rPr>
          <w:sz w:val="24"/>
          <w:szCs w:val="24"/>
        </w:rPr>
        <w:t>re relevant to the appropriate period of time</w:t>
      </w:r>
      <w:r w:rsidR="000A490C">
        <w:rPr>
          <w:sz w:val="24"/>
          <w:szCs w:val="24"/>
        </w:rPr>
        <w:t xml:space="preserve">. This will allow me to </w:t>
      </w:r>
      <w:r>
        <w:rPr>
          <w:sz w:val="24"/>
          <w:szCs w:val="24"/>
        </w:rPr>
        <w:t xml:space="preserve">show how the </w:t>
      </w:r>
      <w:r>
        <w:rPr>
          <w:i/>
          <w:sz w:val="24"/>
          <w:szCs w:val="24"/>
        </w:rPr>
        <w:t xml:space="preserve">Regionaries </w:t>
      </w:r>
      <w:r w:rsidR="000A490C">
        <w:rPr>
          <w:sz w:val="24"/>
          <w:szCs w:val="24"/>
        </w:rPr>
        <w:t xml:space="preserve">worked </w:t>
      </w:r>
      <w:r>
        <w:rPr>
          <w:sz w:val="24"/>
          <w:szCs w:val="24"/>
        </w:rPr>
        <w:t>as</w:t>
      </w:r>
      <w:r w:rsidR="000B3781">
        <w:rPr>
          <w:sz w:val="24"/>
          <w:szCs w:val="24"/>
        </w:rPr>
        <w:t xml:space="preserve"> a</w:t>
      </w:r>
      <w:r>
        <w:rPr>
          <w:sz w:val="24"/>
          <w:szCs w:val="24"/>
        </w:rPr>
        <w:t xml:space="preserve"> practical aid to the urban administration, but also </w:t>
      </w:r>
      <w:r w:rsidR="000A490C">
        <w:rPr>
          <w:sz w:val="24"/>
          <w:szCs w:val="24"/>
        </w:rPr>
        <w:t xml:space="preserve">to </w:t>
      </w:r>
      <w:r>
        <w:rPr>
          <w:sz w:val="24"/>
          <w:szCs w:val="24"/>
        </w:rPr>
        <w:t>demonstrate how the</w:t>
      </w:r>
      <w:r>
        <w:rPr>
          <w:i/>
          <w:sz w:val="24"/>
          <w:szCs w:val="24"/>
        </w:rPr>
        <w:t xml:space="preserve"> Regionaries</w:t>
      </w:r>
      <w:r w:rsidR="000A490C">
        <w:rPr>
          <w:i/>
          <w:sz w:val="24"/>
          <w:szCs w:val="24"/>
        </w:rPr>
        <w:t>’</w:t>
      </w:r>
      <w:r>
        <w:rPr>
          <w:sz w:val="24"/>
          <w:szCs w:val="24"/>
        </w:rPr>
        <w:t xml:space="preserve"> value as a written catalogue possesse</w:t>
      </w:r>
      <w:r w:rsidR="000B3781">
        <w:rPr>
          <w:sz w:val="24"/>
          <w:szCs w:val="24"/>
        </w:rPr>
        <w:t>d an administrative potential of</w:t>
      </w:r>
      <w:r>
        <w:rPr>
          <w:sz w:val="24"/>
          <w:szCs w:val="24"/>
        </w:rPr>
        <w:t xml:space="preserve"> its own</w:t>
      </w:r>
      <w:r w:rsidR="000A490C">
        <w:rPr>
          <w:sz w:val="24"/>
          <w:szCs w:val="24"/>
        </w:rPr>
        <w:t>,</w:t>
      </w:r>
      <w:r>
        <w:rPr>
          <w:sz w:val="24"/>
          <w:szCs w:val="24"/>
        </w:rPr>
        <w:t xml:space="preserve"> which eventually led to it being re-purposed for increasingly literary purposes. This examination of the </w:t>
      </w:r>
      <w:r>
        <w:rPr>
          <w:i/>
          <w:sz w:val="24"/>
          <w:szCs w:val="24"/>
        </w:rPr>
        <w:t>Regionary Catalogues</w:t>
      </w:r>
      <w:r>
        <w:rPr>
          <w:sz w:val="24"/>
          <w:szCs w:val="24"/>
        </w:rPr>
        <w:t xml:space="preserve"> in layers means that I will be able to avoid the modern/ancient dichotomy that serves to render the administrative potential of the </w:t>
      </w:r>
      <w:r>
        <w:rPr>
          <w:i/>
          <w:sz w:val="24"/>
          <w:szCs w:val="24"/>
        </w:rPr>
        <w:t>Regionary Catalogues</w:t>
      </w:r>
      <w:r>
        <w:rPr>
          <w:sz w:val="24"/>
          <w:szCs w:val="24"/>
        </w:rPr>
        <w:t xml:space="preserve"> </w:t>
      </w:r>
      <w:r w:rsidR="000B3781">
        <w:rPr>
          <w:sz w:val="24"/>
          <w:szCs w:val="24"/>
        </w:rPr>
        <w:t xml:space="preserve">unreliable </w:t>
      </w:r>
      <w:r>
        <w:rPr>
          <w:sz w:val="24"/>
          <w:szCs w:val="24"/>
        </w:rPr>
        <w:t>in the eyes of much of the pr</w:t>
      </w:r>
      <w:r w:rsidR="000B3781">
        <w:rPr>
          <w:sz w:val="24"/>
          <w:szCs w:val="24"/>
        </w:rPr>
        <w:t>evious historiography</w:t>
      </w:r>
      <w:r>
        <w:rPr>
          <w:sz w:val="24"/>
          <w:szCs w:val="24"/>
        </w:rPr>
        <w:t>. With this new approach</w:t>
      </w:r>
      <w:r w:rsidR="000A490C">
        <w:rPr>
          <w:sz w:val="24"/>
          <w:szCs w:val="24"/>
        </w:rPr>
        <w:t>,</w:t>
      </w:r>
      <w:r>
        <w:rPr>
          <w:sz w:val="24"/>
          <w:szCs w:val="24"/>
        </w:rPr>
        <w:t xml:space="preserve"> I will be able to reconcile the </w:t>
      </w:r>
      <w:r w:rsidR="00D3144C">
        <w:rPr>
          <w:sz w:val="24"/>
          <w:szCs w:val="24"/>
        </w:rPr>
        <w:t>traditional historiography of R</w:t>
      </w:r>
      <w:r>
        <w:rPr>
          <w:sz w:val="24"/>
          <w:szCs w:val="24"/>
        </w:rPr>
        <w:t>oman urban administration with more modern work on the symbolic/literary potential of administrative documents.</w:t>
      </w:r>
      <w:r>
        <w:rPr>
          <w:rStyle w:val="FootnoteReference"/>
          <w:sz w:val="24"/>
          <w:szCs w:val="24"/>
        </w:rPr>
        <w:footnoteReference w:id="82"/>
      </w:r>
      <w:r>
        <w:rPr>
          <w:sz w:val="24"/>
          <w:szCs w:val="24"/>
        </w:rPr>
        <w:t xml:space="preserve"> </w:t>
      </w:r>
    </w:p>
    <w:p w:rsidR="00970930" w:rsidRDefault="00970930" w:rsidP="00722391">
      <w:pPr>
        <w:spacing w:line="480" w:lineRule="auto"/>
        <w:jc w:val="both"/>
        <w:sectPr w:rsidR="00970930" w:rsidSect="005947CB">
          <w:footerReference w:type="default" r:id="rId9"/>
          <w:pgSz w:w="11906" w:h="16838"/>
          <w:pgMar w:top="1440" w:right="1440" w:bottom="1440" w:left="1440" w:header="708" w:footer="708" w:gutter="0"/>
          <w:pgNumType w:start="1"/>
          <w:cols w:space="708"/>
          <w:docGrid w:linePitch="360"/>
        </w:sectPr>
      </w:pPr>
    </w:p>
    <w:p w:rsidR="00690CCE" w:rsidRPr="00B87B77" w:rsidRDefault="00690CCE" w:rsidP="00B87B77">
      <w:pPr>
        <w:tabs>
          <w:tab w:val="left" w:pos="3261"/>
        </w:tabs>
        <w:spacing w:line="480" w:lineRule="auto"/>
        <w:jc w:val="center"/>
        <w:rPr>
          <w:sz w:val="48"/>
          <w:szCs w:val="48"/>
          <w:u w:val="single"/>
        </w:rPr>
      </w:pPr>
      <w:r w:rsidRPr="00690CCE">
        <w:rPr>
          <w:noProof/>
          <w:sz w:val="48"/>
          <w:szCs w:val="48"/>
          <w:lang w:eastAsia="en-GB"/>
        </w:rPr>
        <w:lastRenderedPageBreak/>
        <w:drawing>
          <wp:anchor distT="0" distB="0" distL="114300" distR="114300" simplePos="0" relativeHeight="251663360" behindDoc="1" locked="0" layoutInCell="1" allowOverlap="1" wp14:anchorId="61AA3F3F" wp14:editId="5B4948C6">
            <wp:simplePos x="0" y="0"/>
            <wp:positionH relativeFrom="column">
              <wp:posOffset>78740</wp:posOffset>
            </wp:positionH>
            <wp:positionV relativeFrom="paragraph">
              <wp:posOffset>2096770</wp:posOffset>
            </wp:positionV>
            <wp:extent cx="5674995" cy="5911850"/>
            <wp:effectExtent l="0" t="0" r="1905" b="0"/>
            <wp:wrapTight wrapText="bothSides">
              <wp:wrapPolygon edited="0">
                <wp:start x="0" y="0"/>
                <wp:lineTo x="0" y="21507"/>
                <wp:lineTo x="21535" y="21507"/>
                <wp:lineTo x="21535" y="0"/>
                <wp:lineTo x="0" y="0"/>
              </wp:wrapPolygon>
            </wp:wrapTight>
            <wp:docPr id="2" name="Picture 2" descr="https://upload.wikimedia.org/wikipedia/commons/d/d4/01_dedicatio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4/01_dedicatio35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995" cy="591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6D7" w:rsidRPr="00690CCE">
        <w:rPr>
          <w:sz w:val="48"/>
          <w:szCs w:val="48"/>
          <w:u w:val="single"/>
        </w:rPr>
        <w:t xml:space="preserve">Chapter One: “To you perceptive Reader, My History” The Implications of the Different Receptions of the </w:t>
      </w:r>
      <w:r w:rsidR="00E756D7" w:rsidRPr="00690CCE">
        <w:rPr>
          <w:i/>
          <w:sz w:val="48"/>
          <w:szCs w:val="48"/>
          <w:u w:val="single"/>
        </w:rPr>
        <w:t>Regionary Catalogues</w:t>
      </w:r>
      <w:r w:rsidR="00B777B2">
        <w:rPr>
          <w:rStyle w:val="FootnoteReference"/>
          <w:i/>
          <w:sz w:val="48"/>
          <w:szCs w:val="48"/>
          <w:u w:val="single"/>
        </w:rPr>
        <w:footnoteReference w:id="83"/>
      </w:r>
    </w:p>
    <w:p w:rsidR="009C4CB0" w:rsidRDefault="00E756D7" w:rsidP="00722391">
      <w:pPr>
        <w:tabs>
          <w:tab w:val="left" w:pos="3261"/>
        </w:tabs>
        <w:spacing w:line="480" w:lineRule="auto"/>
        <w:jc w:val="both"/>
        <w:rPr>
          <w:sz w:val="24"/>
          <w:szCs w:val="24"/>
        </w:rPr>
      </w:pPr>
      <w:r w:rsidRPr="008D0435">
        <w:rPr>
          <w:sz w:val="24"/>
          <w:szCs w:val="24"/>
        </w:rPr>
        <w:lastRenderedPageBreak/>
        <w:t xml:space="preserve">Elmer Merrill said in his study of the </w:t>
      </w:r>
      <w:r w:rsidRPr="008D0435">
        <w:rPr>
          <w:i/>
          <w:sz w:val="24"/>
          <w:szCs w:val="24"/>
        </w:rPr>
        <w:t>Regionaries</w:t>
      </w:r>
      <w:r w:rsidRPr="008D0435">
        <w:rPr>
          <w:sz w:val="24"/>
          <w:szCs w:val="24"/>
        </w:rPr>
        <w:t xml:space="preserve"> that, ‘Some young student may do us a considerable service by a comparative study of all the extant manuscripts of both </w:t>
      </w:r>
      <w:r w:rsidRPr="008D0435">
        <w:rPr>
          <w:i/>
          <w:sz w:val="24"/>
          <w:szCs w:val="24"/>
        </w:rPr>
        <w:t>Notitia</w:t>
      </w:r>
      <w:r w:rsidRPr="008D0435">
        <w:rPr>
          <w:sz w:val="24"/>
          <w:szCs w:val="24"/>
        </w:rPr>
        <w:t xml:space="preserve"> and </w:t>
      </w:r>
      <w:r w:rsidRPr="008D0435">
        <w:rPr>
          <w:i/>
          <w:sz w:val="24"/>
          <w:szCs w:val="24"/>
        </w:rPr>
        <w:t>Curiosum</w:t>
      </w:r>
      <w:r w:rsidRPr="008D0435">
        <w:rPr>
          <w:sz w:val="24"/>
          <w:szCs w:val="24"/>
        </w:rPr>
        <w:t xml:space="preserve"> in light of the other documents more or less allied with them.’</w:t>
      </w:r>
      <w:r w:rsidRPr="008D0435">
        <w:rPr>
          <w:rStyle w:val="FootnoteReference"/>
          <w:sz w:val="24"/>
          <w:szCs w:val="24"/>
        </w:rPr>
        <w:footnoteReference w:id="84"/>
      </w:r>
      <w:r w:rsidRPr="008D0435">
        <w:rPr>
          <w:sz w:val="24"/>
          <w:szCs w:val="24"/>
        </w:rPr>
        <w:t xml:space="preserve"> </w:t>
      </w:r>
    </w:p>
    <w:p w:rsidR="00E756D7" w:rsidRPr="009C4CB0" w:rsidRDefault="009C4CB0" w:rsidP="009C4CB0">
      <w:pPr>
        <w:tabs>
          <w:tab w:val="left" w:pos="0"/>
        </w:tabs>
        <w:spacing w:line="480" w:lineRule="auto"/>
        <w:jc w:val="both"/>
        <w:rPr>
          <w:sz w:val="24"/>
          <w:szCs w:val="24"/>
        </w:rPr>
      </w:pPr>
      <w:r>
        <w:rPr>
          <w:sz w:val="24"/>
          <w:szCs w:val="24"/>
        </w:rPr>
        <w:tab/>
      </w:r>
      <w:r w:rsidR="00E756D7" w:rsidRPr="008D0435">
        <w:rPr>
          <w:sz w:val="24"/>
          <w:szCs w:val="24"/>
        </w:rPr>
        <w:t>Whilst it wou</w:t>
      </w:r>
      <w:r w:rsidR="00A059B2">
        <w:rPr>
          <w:sz w:val="24"/>
          <w:szCs w:val="24"/>
        </w:rPr>
        <w:t xml:space="preserve">ld be hubris to claim to be </w:t>
      </w:r>
      <w:r>
        <w:rPr>
          <w:sz w:val="24"/>
          <w:szCs w:val="24"/>
        </w:rPr>
        <w:t>Merri</w:t>
      </w:r>
      <w:r w:rsidR="002F6883">
        <w:rPr>
          <w:sz w:val="24"/>
          <w:szCs w:val="24"/>
        </w:rPr>
        <w:t>l</w:t>
      </w:r>
      <w:r>
        <w:rPr>
          <w:sz w:val="24"/>
          <w:szCs w:val="24"/>
        </w:rPr>
        <w:t>l’s prophesised</w:t>
      </w:r>
      <w:r w:rsidR="00E756D7" w:rsidRPr="008D0435">
        <w:rPr>
          <w:sz w:val="24"/>
          <w:szCs w:val="24"/>
        </w:rPr>
        <w:t xml:space="preserve"> student, such a s</w:t>
      </w:r>
      <w:r>
        <w:rPr>
          <w:sz w:val="24"/>
          <w:szCs w:val="24"/>
        </w:rPr>
        <w:t>tudy will undoubtedly</w:t>
      </w:r>
      <w:r w:rsidR="000B3781">
        <w:rPr>
          <w:sz w:val="24"/>
          <w:szCs w:val="24"/>
        </w:rPr>
        <w:t xml:space="preserve"> provide a useful aid</w:t>
      </w:r>
      <w:r w:rsidR="00E756D7" w:rsidRPr="008D0435">
        <w:rPr>
          <w:sz w:val="24"/>
          <w:szCs w:val="24"/>
        </w:rPr>
        <w:t xml:space="preserve"> into determining not only what the original purpose of the </w:t>
      </w:r>
      <w:r w:rsidR="00E756D7" w:rsidRPr="008D0435">
        <w:rPr>
          <w:i/>
          <w:sz w:val="24"/>
          <w:szCs w:val="24"/>
        </w:rPr>
        <w:t>Regionaries</w:t>
      </w:r>
      <w:r w:rsidR="00E756D7" w:rsidRPr="008D0435">
        <w:rPr>
          <w:sz w:val="24"/>
          <w:szCs w:val="24"/>
        </w:rPr>
        <w:t xml:space="preserve"> had been</w:t>
      </w:r>
      <w:r w:rsidR="002F6883">
        <w:rPr>
          <w:sz w:val="24"/>
          <w:szCs w:val="24"/>
        </w:rPr>
        <w:t xml:space="preserve"> and how the layers could have changed this</w:t>
      </w:r>
      <w:r w:rsidR="00E756D7" w:rsidRPr="008D0435">
        <w:rPr>
          <w:sz w:val="24"/>
          <w:szCs w:val="24"/>
        </w:rPr>
        <w:t>,</w:t>
      </w:r>
      <w:r w:rsidR="00A059B2">
        <w:rPr>
          <w:sz w:val="24"/>
          <w:szCs w:val="24"/>
        </w:rPr>
        <w:t xml:space="preserve"> but</w:t>
      </w:r>
      <w:r w:rsidR="00E756D7" w:rsidRPr="008D0435">
        <w:rPr>
          <w:sz w:val="24"/>
          <w:szCs w:val="24"/>
        </w:rPr>
        <w:t xml:space="preserve"> also what purposes later groups believed what the </w:t>
      </w:r>
      <w:r w:rsidR="00E756D7" w:rsidRPr="008D0435">
        <w:rPr>
          <w:i/>
          <w:sz w:val="24"/>
          <w:szCs w:val="24"/>
        </w:rPr>
        <w:t>Regionaries</w:t>
      </w:r>
      <w:r w:rsidR="00E756D7" w:rsidRPr="008D0435">
        <w:rPr>
          <w:sz w:val="24"/>
          <w:szCs w:val="24"/>
        </w:rPr>
        <w:t xml:space="preserve"> could be put to. The </w:t>
      </w:r>
      <w:r w:rsidR="00E756D7" w:rsidRPr="008D0435">
        <w:rPr>
          <w:i/>
          <w:sz w:val="24"/>
          <w:szCs w:val="24"/>
        </w:rPr>
        <w:t>Regionary Catalogues</w:t>
      </w:r>
      <w:r w:rsidR="00E756D7" w:rsidRPr="008D0435">
        <w:rPr>
          <w:sz w:val="24"/>
          <w:szCs w:val="24"/>
        </w:rPr>
        <w:t xml:space="preserve"> are generally considered to be a singular text, yet they appear as two different versio</w:t>
      </w:r>
      <w:r w:rsidR="000B3781">
        <w:rPr>
          <w:sz w:val="24"/>
          <w:szCs w:val="24"/>
        </w:rPr>
        <w:t>ns. By the first point from</w:t>
      </w:r>
      <w:r w:rsidR="00A059B2">
        <w:rPr>
          <w:sz w:val="24"/>
          <w:szCs w:val="24"/>
        </w:rPr>
        <w:t xml:space="preserve"> which we possess</w:t>
      </w:r>
      <w:r w:rsidR="00E756D7" w:rsidRPr="008D0435">
        <w:rPr>
          <w:sz w:val="24"/>
          <w:szCs w:val="24"/>
        </w:rPr>
        <w:t xml:space="preserve"> surviving manuscripts of the </w:t>
      </w:r>
      <w:r w:rsidR="00E756D7" w:rsidRPr="008D0435">
        <w:rPr>
          <w:i/>
          <w:sz w:val="24"/>
          <w:szCs w:val="24"/>
        </w:rPr>
        <w:t>Regionaries</w:t>
      </w:r>
      <w:r w:rsidR="00E756D7" w:rsidRPr="008D0435">
        <w:rPr>
          <w:sz w:val="24"/>
          <w:szCs w:val="24"/>
        </w:rPr>
        <w:t>, in the 8</w:t>
      </w:r>
      <w:r w:rsidR="00E756D7" w:rsidRPr="008D0435">
        <w:rPr>
          <w:sz w:val="24"/>
          <w:szCs w:val="24"/>
          <w:vertAlign w:val="superscript"/>
        </w:rPr>
        <w:t>th</w:t>
      </w:r>
      <w:r w:rsidR="00E756D7" w:rsidRPr="008D0435">
        <w:rPr>
          <w:sz w:val="24"/>
          <w:szCs w:val="24"/>
        </w:rPr>
        <w:t xml:space="preserve"> Century, they </w:t>
      </w:r>
      <w:r w:rsidR="000B3781">
        <w:rPr>
          <w:sz w:val="24"/>
          <w:szCs w:val="24"/>
        </w:rPr>
        <w:t>had</w:t>
      </w:r>
      <w:r w:rsidR="00A059B2">
        <w:rPr>
          <w:sz w:val="24"/>
          <w:szCs w:val="24"/>
        </w:rPr>
        <w:t xml:space="preserve"> been</w:t>
      </w:r>
      <w:r w:rsidR="00E756D7" w:rsidRPr="008D0435">
        <w:rPr>
          <w:sz w:val="24"/>
          <w:szCs w:val="24"/>
        </w:rPr>
        <w:t xml:space="preserve"> separated into two different forms now known as the </w:t>
      </w:r>
      <w:r w:rsidR="00E756D7" w:rsidRPr="008D0435">
        <w:rPr>
          <w:i/>
          <w:sz w:val="24"/>
          <w:szCs w:val="24"/>
        </w:rPr>
        <w:t>Notitia</w:t>
      </w:r>
      <w:r w:rsidR="00E756D7" w:rsidRPr="008D0435">
        <w:rPr>
          <w:sz w:val="24"/>
          <w:szCs w:val="24"/>
        </w:rPr>
        <w:t xml:space="preserve"> and the </w:t>
      </w:r>
      <w:r w:rsidR="00E756D7" w:rsidRPr="008D0435">
        <w:rPr>
          <w:i/>
          <w:sz w:val="24"/>
          <w:szCs w:val="24"/>
        </w:rPr>
        <w:t>Curiosum</w:t>
      </w:r>
      <w:r w:rsidR="00E756D7" w:rsidRPr="008D0435">
        <w:rPr>
          <w:sz w:val="24"/>
          <w:szCs w:val="24"/>
        </w:rPr>
        <w:t xml:space="preserve">, collected into very different codices </w:t>
      </w:r>
      <w:r w:rsidR="00A059B2">
        <w:rPr>
          <w:sz w:val="24"/>
          <w:szCs w:val="24"/>
        </w:rPr>
        <w:t>scattered across the continent</w:t>
      </w:r>
      <w:r w:rsidR="00E756D7" w:rsidRPr="008D0435">
        <w:rPr>
          <w:sz w:val="24"/>
          <w:szCs w:val="24"/>
        </w:rPr>
        <w:t>.</w:t>
      </w:r>
    </w:p>
    <w:p w:rsidR="00E756D7" w:rsidRPr="008D0435" w:rsidRDefault="00E756D7" w:rsidP="00722391">
      <w:pPr>
        <w:tabs>
          <w:tab w:val="left" w:pos="1134"/>
        </w:tabs>
        <w:spacing w:line="480" w:lineRule="auto"/>
        <w:jc w:val="both"/>
        <w:rPr>
          <w:sz w:val="24"/>
          <w:szCs w:val="24"/>
        </w:rPr>
      </w:pPr>
      <w:r w:rsidRPr="008D0435">
        <w:rPr>
          <w:rFonts w:cs="Times New Roman"/>
          <w:bCs/>
          <w:sz w:val="24"/>
          <w:szCs w:val="24"/>
        </w:rPr>
        <w:tab/>
        <w:t xml:space="preserve">My examination of the </w:t>
      </w:r>
      <w:r w:rsidRPr="008D0435">
        <w:rPr>
          <w:rFonts w:cs="Times New Roman"/>
          <w:bCs/>
          <w:i/>
          <w:sz w:val="24"/>
          <w:szCs w:val="24"/>
        </w:rPr>
        <w:t>Regionaries’</w:t>
      </w:r>
      <w:r w:rsidRPr="008D0435">
        <w:rPr>
          <w:rFonts w:cs="Times New Roman"/>
          <w:bCs/>
          <w:sz w:val="24"/>
          <w:szCs w:val="24"/>
        </w:rPr>
        <w:t xml:space="preserve"> different contexts of reception shall begin by examining the production contexts of the manuscripts in the eighth and ninth centuries and work backwards from these to the differing layers of the </w:t>
      </w:r>
      <w:r w:rsidRPr="008D0435">
        <w:rPr>
          <w:rFonts w:cs="Times New Roman"/>
          <w:bCs/>
          <w:i/>
          <w:sz w:val="24"/>
          <w:szCs w:val="24"/>
        </w:rPr>
        <w:t>Regionaries</w:t>
      </w:r>
      <w:r w:rsidRPr="008D0435">
        <w:rPr>
          <w:rFonts w:cs="Times New Roman"/>
          <w:bCs/>
          <w:sz w:val="24"/>
          <w:szCs w:val="24"/>
        </w:rPr>
        <w:t xml:space="preserve"> in the 4</w:t>
      </w:r>
      <w:r w:rsidRPr="008D0435">
        <w:rPr>
          <w:rFonts w:cs="Times New Roman"/>
          <w:bCs/>
          <w:sz w:val="24"/>
          <w:szCs w:val="24"/>
          <w:vertAlign w:val="superscript"/>
        </w:rPr>
        <w:t>th</w:t>
      </w:r>
      <w:r w:rsidRPr="008D0435">
        <w:rPr>
          <w:rFonts w:cs="Times New Roman"/>
          <w:bCs/>
          <w:sz w:val="24"/>
          <w:szCs w:val="24"/>
        </w:rPr>
        <w:t xml:space="preserve"> century. I say “contexts” as it is clear that the </w:t>
      </w:r>
      <w:r w:rsidRPr="008D0435">
        <w:rPr>
          <w:rFonts w:cs="Times New Roman"/>
          <w:bCs/>
          <w:i/>
          <w:sz w:val="24"/>
          <w:szCs w:val="24"/>
        </w:rPr>
        <w:t>Regionaries</w:t>
      </w:r>
      <w:r w:rsidRPr="008D0435">
        <w:rPr>
          <w:rFonts w:cs="Times New Roman"/>
          <w:bCs/>
          <w:sz w:val="24"/>
          <w:szCs w:val="24"/>
        </w:rPr>
        <w:t xml:space="preserve"> went through a variety of additions and alterations before becoming the documents that we possess from our manuscript tradition. This examination will help shed some light on the different concepts behind the </w:t>
      </w:r>
      <w:r w:rsidRPr="008D0435">
        <w:rPr>
          <w:rFonts w:cs="Times New Roman"/>
          <w:bCs/>
          <w:i/>
          <w:sz w:val="24"/>
          <w:szCs w:val="24"/>
        </w:rPr>
        <w:t>Regionaries</w:t>
      </w:r>
      <w:r w:rsidRPr="008D0435">
        <w:rPr>
          <w:sz w:val="24"/>
          <w:szCs w:val="24"/>
        </w:rPr>
        <w:t xml:space="preserve"> by establishing the context of the layers that will be discussed</w:t>
      </w:r>
      <w:r w:rsidR="00A059B2">
        <w:rPr>
          <w:sz w:val="24"/>
          <w:szCs w:val="24"/>
        </w:rPr>
        <w:t xml:space="preserve"> further</w:t>
      </w:r>
      <w:r w:rsidRPr="008D0435">
        <w:rPr>
          <w:sz w:val="24"/>
          <w:szCs w:val="24"/>
        </w:rPr>
        <w:t xml:space="preserve"> in later Chapters, as well as attempting to address the issue of how we have two different manuscript traditions for the same text. The range of different m</w:t>
      </w:r>
      <w:r w:rsidR="004B6A67">
        <w:rPr>
          <w:sz w:val="24"/>
          <w:szCs w:val="24"/>
        </w:rPr>
        <w:t>anuscript traditions that are responsible for the</w:t>
      </w:r>
      <w:r w:rsidRPr="008D0435">
        <w:rPr>
          <w:sz w:val="24"/>
          <w:szCs w:val="24"/>
        </w:rPr>
        <w:t xml:space="preserve"> transmission and the diversity of the </w:t>
      </w:r>
      <w:r w:rsidRPr="008D0435">
        <w:rPr>
          <w:i/>
          <w:sz w:val="24"/>
          <w:szCs w:val="24"/>
        </w:rPr>
        <w:t>Regionaries’</w:t>
      </w:r>
      <w:r w:rsidRPr="008D0435">
        <w:rPr>
          <w:sz w:val="24"/>
          <w:szCs w:val="24"/>
        </w:rPr>
        <w:t xml:space="preserve"> contents remind us that whatever </w:t>
      </w:r>
      <w:r w:rsidRPr="008D0435">
        <w:rPr>
          <w:sz w:val="24"/>
          <w:szCs w:val="24"/>
        </w:rPr>
        <w:lastRenderedPageBreak/>
        <w:t xml:space="preserve">message the </w:t>
      </w:r>
      <w:r w:rsidRPr="008D0435">
        <w:rPr>
          <w:i/>
          <w:sz w:val="24"/>
          <w:szCs w:val="24"/>
        </w:rPr>
        <w:t>Regionaries</w:t>
      </w:r>
      <w:r w:rsidR="004B6A67">
        <w:rPr>
          <w:i/>
          <w:sz w:val="24"/>
          <w:szCs w:val="24"/>
        </w:rPr>
        <w:t>’s</w:t>
      </w:r>
      <w:r w:rsidRPr="008D0435">
        <w:rPr>
          <w:sz w:val="24"/>
          <w:szCs w:val="24"/>
        </w:rPr>
        <w:t xml:space="preserve"> creators may have intended, the intentions of its successive users, compilers and adaptors </w:t>
      </w:r>
      <w:r w:rsidR="00A059B2">
        <w:rPr>
          <w:sz w:val="24"/>
          <w:szCs w:val="24"/>
        </w:rPr>
        <w:t>are</w:t>
      </w:r>
      <w:r w:rsidRPr="008D0435">
        <w:rPr>
          <w:sz w:val="24"/>
          <w:szCs w:val="24"/>
        </w:rPr>
        <w:t xml:space="preserve"> likely</w:t>
      </w:r>
      <w:r w:rsidR="00A059B2">
        <w:rPr>
          <w:sz w:val="24"/>
          <w:szCs w:val="24"/>
        </w:rPr>
        <w:t xml:space="preserve"> to have</w:t>
      </w:r>
      <w:r w:rsidRPr="008D0435">
        <w:rPr>
          <w:sz w:val="24"/>
          <w:szCs w:val="24"/>
        </w:rPr>
        <w:t xml:space="preserve"> been distinct and variable.</w:t>
      </w:r>
      <w:r w:rsidRPr="008D0435">
        <w:rPr>
          <w:rStyle w:val="FootnoteReference"/>
          <w:sz w:val="24"/>
          <w:szCs w:val="24"/>
        </w:rPr>
        <w:footnoteReference w:id="85"/>
      </w:r>
      <w:r w:rsidRPr="008D0435">
        <w:rPr>
          <w:sz w:val="24"/>
          <w:szCs w:val="24"/>
        </w:rPr>
        <w:t xml:space="preserve">  Therefore I will also examine the different manuscript copies of the </w:t>
      </w:r>
      <w:r w:rsidRPr="008D0435">
        <w:rPr>
          <w:i/>
          <w:sz w:val="24"/>
          <w:szCs w:val="24"/>
        </w:rPr>
        <w:t>Regionaries</w:t>
      </w:r>
      <w:r w:rsidRPr="008D0435">
        <w:rPr>
          <w:sz w:val="24"/>
          <w:szCs w:val="24"/>
        </w:rPr>
        <w:t xml:space="preserve"> as well as the context of their transmission and reception. Crucially</w:t>
      </w:r>
      <w:r w:rsidR="004B6A67">
        <w:rPr>
          <w:sz w:val="24"/>
          <w:szCs w:val="24"/>
        </w:rPr>
        <w:t>,</w:t>
      </w:r>
      <w:r w:rsidRPr="008D0435">
        <w:rPr>
          <w:sz w:val="24"/>
          <w:szCs w:val="24"/>
        </w:rPr>
        <w:t xml:space="preserve"> all of the surviving copies of the </w:t>
      </w:r>
      <w:r w:rsidRPr="008D0435">
        <w:rPr>
          <w:i/>
          <w:sz w:val="24"/>
          <w:szCs w:val="24"/>
        </w:rPr>
        <w:t>Regionary Catalogues</w:t>
      </w:r>
      <w:r w:rsidRPr="008D0435">
        <w:rPr>
          <w:sz w:val="24"/>
          <w:szCs w:val="24"/>
        </w:rPr>
        <w:t xml:space="preserve"> exist from copies of Carolingian manuscripts.</w:t>
      </w:r>
      <w:r w:rsidRPr="008D0435">
        <w:rPr>
          <w:rStyle w:val="FootnoteReference"/>
          <w:sz w:val="24"/>
          <w:szCs w:val="24"/>
        </w:rPr>
        <w:footnoteReference w:id="86"/>
      </w:r>
      <w:r w:rsidRPr="008D0435">
        <w:rPr>
          <w:sz w:val="24"/>
          <w:szCs w:val="24"/>
        </w:rPr>
        <w:t xml:space="preserve"> As such it will be important to pay particular attention to the Carolingian production context as it was in this period that our earliest codices containing the </w:t>
      </w:r>
      <w:r w:rsidRPr="008D0435">
        <w:rPr>
          <w:i/>
          <w:sz w:val="24"/>
          <w:szCs w:val="24"/>
        </w:rPr>
        <w:t xml:space="preserve">Regionaries </w:t>
      </w:r>
      <w:r w:rsidRPr="008D0435">
        <w:rPr>
          <w:sz w:val="24"/>
          <w:szCs w:val="24"/>
        </w:rPr>
        <w:t xml:space="preserve">were produced. As a final note I would also like to draw attention to and explore the continued lack of Christian buildings in the manuscript tradition and the influences this may have had upon their transmission. </w:t>
      </w:r>
      <w:r w:rsidRPr="008D0435">
        <w:rPr>
          <w:rFonts w:cs="Times New Roman"/>
          <w:bCs/>
          <w:sz w:val="24"/>
          <w:szCs w:val="24"/>
        </w:rPr>
        <w:t>By examining the seemingly erratic updating process in reverse, we can see how easy it was to repurpose the document and gain a greater insight into the document’s potential purposes by trying to trace it back to its original form</w:t>
      </w:r>
      <w:r w:rsidRPr="008D0435">
        <w:rPr>
          <w:sz w:val="24"/>
          <w:szCs w:val="24"/>
        </w:rPr>
        <w:t>.</w:t>
      </w:r>
      <w:r w:rsidRPr="008D0435">
        <w:rPr>
          <w:rStyle w:val="FootnoteReference"/>
          <w:sz w:val="24"/>
          <w:szCs w:val="24"/>
        </w:rPr>
        <w:footnoteReference w:id="87"/>
      </w:r>
      <w:r w:rsidRPr="008D0435">
        <w:rPr>
          <w:sz w:val="24"/>
          <w:szCs w:val="24"/>
        </w:rPr>
        <w:t xml:space="preserve">  </w:t>
      </w:r>
    </w:p>
    <w:p w:rsidR="00E756D7" w:rsidRPr="008D0435" w:rsidRDefault="00E756D7" w:rsidP="00722391">
      <w:pPr>
        <w:tabs>
          <w:tab w:val="left" w:pos="1134"/>
        </w:tabs>
        <w:spacing w:line="480" w:lineRule="auto"/>
        <w:jc w:val="both"/>
        <w:rPr>
          <w:sz w:val="24"/>
          <w:szCs w:val="24"/>
        </w:rPr>
      </w:pPr>
      <w:r w:rsidRPr="008D0435">
        <w:rPr>
          <w:sz w:val="24"/>
          <w:szCs w:val="24"/>
        </w:rPr>
        <w:tab/>
      </w:r>
      <w:r w:rsidRPr="008D0435">
        <w:rPr>
          <w:sz w:val="24"/>
          <w:szCs w:val="24"/>
        </w:rPr>
        <w:tab/>
        <w:t xml:space="preserve">There are three different approaches we can take to the study of the </w:t>
      </w:r>
      <w:r w:rsidRPr="008D0435">
        <w:rPr>
          <w:i/>
          <w:sz w:val="24"/>
          <w:szCs w:val="24"/>
        </w:rPr>
        <w:t>Regionary Catalogues</w:t>
      </w:r>
      <w:r w:rsidR="00A059B2">
        <w:rPr>
          <w:sz w:val="24"/>
          <w:szCs w:val="24"/>
        </w:rPr>
        <w:t xml:space="preserve"> manuscript tradition. The two</w:t>
      </w:r>
      <w:r w:rsidRPr="008D0435">
        <w:rPr>
          <w:sz w:val="24"/>
          <w:szCs w:val="24"/>
        </w:rPr>
        <w:t xml:space="preserve"> traditional approach</w:t>
      </w:r>
      <w:r w:rsidR="00A059B2">
        <w:rPr>
          <w:sz w:val="24"/>
          <w:szCs w:val="24"/>
        </w:rPr>
        <w:t>es have</w:t>
      </w:r>
      <w:r w:rsidRPr="008D0435">
        <w:rPr>
          <w:sz w:val="24"/>
          <w:szCs w:val="24"/>
        </w:rPr>
        <w:t xml:space="preserve"> been to either examine them as a literary source (in which case what matters is the singular “text” rather than the different variety of sources) or to proceed with a codicological study and study each manuscript as an individual object. I will be integrating</w:t>
      </w:r>
      <w:r w:rsidR="00A059B2">
        <w:rPr>
          <w:sz w:val="24"/>
          <w:szCs w:val="24"/>
        </w:rPr>
        <w:t xml:space="preserve"> a third,</w:t>
      </w:r>
      <w:r w:rsidRPr="008D0435">
        <w:rPr>
          <w:sz w:val="24"/>
          <w:szCs w:val="24"/>
        </w:rPr>
        <w:t xml:space="preserve"> genetic criticism</w:t>
      </w:r>
      <w:r w:rsidR="00A059B2">
        <w:rPr>
          <w:sz w:val="24"/>
          <w:szCs w:val="24"/>
        </w:rPr>
        <w:t>,</w:t>
      </w:r>
      <w:r w:rsidRPr="008D0435">
        <w:rPr>
          <w:sz w:val="24"/>
          <w:szCs w:val="24"/>
        </w:rPr>
        <w:t xml:space="preserve"> into my main approach, whilst also using codicological study for the demonstration of the </w:t>
      </w:r>
      <w:r w:rsidRPr="008D0435">
        <w:rPr>
          <w:i/>
          <w:sz w:val="24"/>
          <w:szCs w:val="24"/>
        </w:rPr>
        <w:t>Regionary Catalogues’</w:t>
      </w:r>
      <w:r w:rsidRPr="008D0435">
        <w:rPr>
          <w:sz w:val="24"/>
          <w:szCs w:val="24"/>
        </w:rPr>
        <w:t xml:space="preserve"> importance in later contexts. Codicology’s focus on comparing the physical aspects of the object to demonstra</w:t>
      </w:r>
      <w:r w:rsidR="004B6A67">
        <w:rPr>
          <w:sz w:val="24"/>
          <w:szCs w:val="24"/>
        </w:rPr>
        <w:t>te the evolution of the “codex”, then</w:t>
      </w:r>
      <w:r w:rsidRPr="008D0435">
        <w:rPr>
          <w:sz w:val="24"/>
          <w:szCs w:val="24"/>
        </w:rPr>
        <w:t xml:space="preserve"> </w:t>
      </w:r>
      <w:r w:rsidR="004B6A67">
        <w:rPr>
          <w:sz w:val="24"/>
          <w:szCs w:val="24"/>
        </w:rPr>
        <w:t>comparing and contrasting</w:t>
      </w:r>
      <w:r w:rsidRPr="008D0435">
        <w:rPr>
          <w:sz w:val="24"/>
          <w:szCs w:val="24"/>
        </w:rPr>
        <w:t xml:space="preserve"> </w:t>
      </w:r>
      <w:r w:rsidR="00B54555">
        <w:rPr>
          <w:sz w:val="24"/>
          <w:szCs w:val="24"/>
        </w:rPr>
        <w:t>it</w:t>
      </w:r>
      <w:r w:rsidRPr="008D0435">
        <w:rPr>
          <w:sz w:val="24"/>
          <w:szCs w:val="24"/>
        </w:rPr>
        <w:t xml:space="preserve"> with the textual contents of the item will be useful to show the use and </w:t>
      </w:r>
      <w:r w:rsidRPr="008D0435">
        <w:rPr>
          <w:sz w:val="24"/>
          <w:szCs w:val="24"/>
        </w:rPr>
        <w:lastRenderedPageBreak/>
        <w:t xml:space="preserve">importance of the </w:t>
      </w:r>
      <w:r w:rsidRPr="008D0435">
        <w:rPr>
          <w:i/>
          <w:sz w:val="24"/>
          <w:szCs w:val="24"/>
        </w:rPr>
        <w:t>Regionaries</w:t>
      </w:r>
      <w:r w:rsidRPr="008D0435">
        <w:rPr>
          <w:sz w:val="24"/>
          <w:szCs w:val="24"/>
        </w:rPr>
        <w:t xml:space="preserve"> in the later period.</w:t>
      </w:r>
      <w:r w:rsidRPr="008D0435">
        <w:rPr>
          <w:rStyle w:val="FootnoteReference"/>
          <w:sz w:val="24"/>
          <w:szCs w:val="24"/>
        </w:rPr>
        <w:footnoteReference w:id="88"/>
      </w:r>
      <w:r w:rsidRPr="008D0435">
        <w:rPr>
          <w:sz w:val="24"/>
          <w:szCs w:val="24"/>
        </w:rPr>
        <w:t xml:space="preserve"> </w:t>
      </w:r>
      <w:r w:rsidRPr="008D0435">
        <w:rPr>
          <w:rFonts w:cs="RealpageSCH3"/>
          <w:sz w:val="24"/>
          <w:szCs w:val="24"/>
        </w:rPr>
        <w:t>The importance of codicological evidence for our understanding of the state of any manuscript at any particular stage in</w:t>
      </w:r>
      <w:r w:rsidR="00D060B3">
        <w:rPr>
          <w:rFonts w:cs="RealpageSCH3"/>
          <w:sz w:val="24"/>
          <w:szCs w:val="24"/>
        </w:rPr>
        <w:t xml:space="preserve"> its development is obvious. The</w:t>
      </w:r>
      <w:r w:rsidRPr="008D0435">
        <w:rPr>
          <w:rFonts w:cs="RealpageSCH3"/>
          <w:sz w:val="24"/>
          <w:szCs w:val="24"/>
        </w:rPr>
        <w:t>s</w:t>
      </w:r>
      <w:r w:rsidR="00D060B3">
        <w:rPr>
          <w:rFonts w:cs="RealpageSCH3"/>
          <w:sz w:val="24"/>
          <w:szCs w:val="24"/>
        </w:rPr>
        <w:t>e forms of evidence are</w:t>
      </w:r>
      <w:r w:rsidRPr="008D0435">
        <w:rPr>
          <w:rFonts w:cs="RealpageSCH3"/>
          <w:sz w:val="24"/>
          <w:szCs w:val="24"/>
        </w:rPr>
        <w:t xml:space="preserve"> of potential textual significance as it may alert us to possible changes of exemplar or of copyist, or other discontinuities in production, which may have direct textual consequences</w:t>
      </w:r>
      <w:r w:rsidRPr="008D0435">
        <w:rPr>
          <w:sz w:val="24"/>
          <w:szCs w:val="24"/>
        </w:rPr>
        <w:t>.</w:t>
      </w:r>
      <w:r w:rsidRPr="008D0435">
        <w:rPr>
          <w:rStyle w:val="FootnoteReference"/>
          <w:sz w:val="24"/>
          <w:szCs w:val="24"/>
        </w:rPr>
        <w:footnoteReference w:id="89"/>
      </w:r>
      <w:r w:rsidRPr="008D0435">
        <w:rPr>
          <w:sz w:val="24"/>
          <w:szCs w:val="24"/>
        </w:rPr>
        <w:t xml:space="preserve"> Whilst the benefits of codicology are not to be underestimated they are difficult to apply to the </w:t>
      </w:r>
      <w:r w:rsidRPr="008D0435">
        <w:rPr>
          <w:i/>
          <w:sz w:val="24"/>
          <w:szCs w:val="24"/>
        </w:rPr>
        <w:t>Regionary Catalogues</w:t>
      </w:r>
      <w:r w:rsidRPr="008D0435">
        <w:rPr>
          <w:sz w:val="24"/>
          <w:szCs w:val="24"/>
        </w:rPr>
        <w:t xml:space="preserve"> due to the varied and widespread evolution of both the text and manuscripts. We can apply a codicological study to each individual manuscript that the </w:t>
      </w:r>
      <w:r w:rsidRPr="008D0435">
        <w:rPr>
          <w:i/>
          <w:sz w:val="24"/>
          <w:szCs w:val="24"/>
        </w:rPr>
        <w:t>Regionaries</w:t>
      </w:r>
      <w:r w:rsidRPr="008D0435">
        <w:rPr>
          <w:sz w:val="24"/>
          <w:szCs w:val="24"/>
        </w:rPr>
        <w:t xml:space="preserve"> survives in but this has limitations. The manuscripts are dated at the earliest to the Caro</w:t>
      </w:r>
      <w:r w:rsidR="00B54555">
        <w:rPr>
          <w:sz w:val="24"/>
          <w:szCs w:val="24"/>
        </w:rPr>
        <w:t xml:space="preserve">lingian era and mostly to the </w:t>
      </w:r>
      <w:r w:rsidRPr="008D0435">
        <w:rPr>
          <w:sz w:val="24"/>
          <w:szCs w:val="24"/>
        </w:rPr>
        <w:t xml:space="preserve">copies of the </w:t>
      </w:r>
      <w:r w:rsidRPr="008D0435">
        <w:rPr>
          <w:i/>
          <w:sz w:val="24"/>
          <w:szCs w:val="24"/>
        </w:rPr>
        <w:t>Regionaries</w:t>
      </w:r>
      <w:r w:rsidRPr="008D0435">
        <w:rPr>
          <w:sz w:val="24"/>
          <w:szCs w:val="24"/>
        </w:rPr>
        <w:t xml:space="preserve"> produced during the Carolingian Renaissance.</w:t>
      </w:r>
      <w:r w:rsidRPr="008D0435">
        <w:rPr>
          <w:rStyle w:val="FootnoteReference"/>
          <w:sz w:val="24"/>
          <w:szCs w:val="24"/>
        </w:rPr>
        <w:footnoteReference w:id="90"/>
      </w:r>
      <w:r w:rsidRPr="008D0435">
        <w:rPr>
          <w:sz w:val="24"/>
          <w:szCs w:val="24"/>
        </w:rPr>
        <w:t xml:space="preserve"> For a wider study of the whole manuscript tradition and its implications, we need to look elsewhere for our approach.</w:t>
      </w:r>
    </w:p>
    <w:p w:rsidR="00E756D7" w:rsidRPr="008D0435" w:rsidRDefault="00E756D7" w:rsidP="00722391">
      <w:pPr>
        <w:tabs>
          <w:tab w:val="left" w:pos="1134"/>
        </w:tabs>
        <w:spacing w:line="480" w:lineRule="auto"/>
        <w:jc w:val="both"/>
        <w:rPr>
          <w:rFonts w:cs="Times New Roman"/>
          <w:bCs/>
          <w:sz w:val="24"/>
          <w:szCs w:val="24"/>
        </w:rPr>
      </w:pPr>
      <w:r w:rsidRPr="008D0435">
        <w:rPr>
          <w:sz w:val="24"/>
          <w:szCs w:val="24"/>
        </w:rPr>
        <w:tab/>
        <w:t>Therefore I will also be uti</w:t>
      </w:r>
      <w:r w:rsidR="008D7961">
        <w:rPr>
          <w:sz w:val="24"/>
          <w:szCs w:val="24"/>
        </w:rPr>
        <w:t>lising “Genetic Criticism” for this part of my</w:t>
      </w:r>
      <w:r w:rsidRPr="008D0435">
        <w:rPr>
          <w:sz w:val="24"/>
          <w:szCs w:val="24"/>
        </w:rPr>
        <w:t xml:space="preserve"> study of the </w:t>
      </w:r>
      <w:r w:rsidR="007D570B">
        <w:rPr>
          <w:i/>
          <w:sz w:val="24"/>
          <w:szCs w:val="24"/>
        </w:rPr>
        <w:t>Region</w:t>
      </w:r>
      <w:r w:rsidR="008D7961">
        <w:rPr>
          <w:i/>
          <w:sz w:val="24"/>
          <w:szCs w:val="24"/>
        </w:rPr>
        <w:t>aries</w:t>
      </w:r>
      <w:r w:rsidRPr="008D0435">
        <w:rPr>
          <w:sz w:val="24"/>
          <w:szCs w:val="24"/>
        </w:rPr>
        <w:t xml:space="preserve"> and its tradition in addition to a more traditional codicological study of the text. I follow Falconer’s definition, which states that “genetic criticism” is, ‘any act of interpretation </w:t>
      </w:r>
      <w:r w:rsidRPr="008D0435">
        <w:rPr>
          <w:rFonts w:cs="Times New Roman"/>
          <w:bCs/>
          <w:sz w:val="24"/>
          <w:szCs w:val="24"/>
        </w:rPr>
        <w:t>or commentary, any critical question or answer that is based directly on preparatory material or variant states of all or part of a given text, whether in manuscript or in print.’</w:t>
      </w:r>
      <w:r w:rsidRPr="008D0435">
        <w:rPr>
          <w:rStyle w:val="FootnoteReference"/>
          <w:rFonts w:cs="Times New Roman"/>
          <w:bCs/>
          <w:sz w:val="24"/>
          <w:szCs w:val="24"/>
        </w:rPr>
        <w:footnoteReference w:id="91"/>
      </w:r>
      <w:r w:rsidRPr="008D0435">
        <w:rPr>
          <w:rFonts w:cs="Times New Roman"/>
          <w:bCs/>
          <w:sz w:val="24"/>
          <w:szCs w:val="24"/>
        </w:rPr>
        <w:t xml:space="preserve"> </w:t>
      </w:r>
      <w:r w:rsidRPr="00A059B2">
        <w:rPr>
          <w:rFonts w:cs="Times New Roman"/>
          <w:bCs/>
          <w:sz w:val="24"/>
          <w:szCs w:val="24"/>
        </w:rPr>
        <w:t>Whereas Codicology would have us privilege one manuscript copy over another, with Genetic Criticism, we can conduct a more useful study of the whole manuscript tradition</w:t>
      </w:r>
      <w:r w:rsidR="00A059B2" w:rsidRPr="00A059B2">
        <w:rPr>
          <w:rFonts w:cs="Times New Roman"/>
          <w:bCs/>
          <w:sz w:val="24"/>
          <w:szCs w:val="24"/>
        </w:rPr>
        <w:t xml:space="preserve"> including those aspects of the </w:t>
      </w:r>
      <w:r w:rsidR="00A059B2" w:rsidRPr="00A059B2">
        <w:rPr>
          <w:rFonts w:cs="Times New Roman"/>
          <w:bCs/>
          <w:i/>
          <w:sz w:val="24"/>
          <w:szCs w:val="24"/>
        </w:rPr>
        <w:t>Regionaries</w:t>
      </w:r>
      <w:r w:rsidR="00A059B2" w:rsidRPr="00A059B2">
        <w:rPr>
          <w:rFonts w:cs="Times New Roman"/>
          <w:bCs/>
          <w:sz w:val="24"/>
          <w:szCs w:val="24"/>
        </w:rPr>
        <w:t xml:space="preserve"> before our extant manuscript copies</w:t>
      </w:r>
      <w:r w:rsidRPr="008D0435">
        <w:rPr>
          <w:rFonts w:cs="Times New Roman"/>
          <w:bCs/>
          <w:sz w:val="24"/>
          <w:szCs w:val="24"/>
        </w:rPr>
        <w:t>. Traditional textual criticism has often privileged the idea</w:t>
      </w:r>
      <w:r w:rsidR="00B54555">
        <w:rPr>
          <w:rFonts w:cs="Times New Roman"/>
          <w:bCs/>
          <w:sz w:val="24"/>
          <w:szCs w:val="24"/>
        </w:rPr>
        <w:t xml:space="preserve"> of the text as a single object,</w:t>
      </w:r>
      <w:r w:rsidRPr="008D0435">
        <w:rPr>
          <w:rFonts w:cs="Times New Roman"/>
          <w:bCs/>
          <w:sz w:val="24"/>
          <w:szCs w:val="24"/>
        </w:rPr>
        <w:t xml:space="preserve"> </w:t>
      </w:r>
      <w:r w:rsidRPr="008D0435">
        <w:rPr>
          <w:rFonts w:cs="Times New Roman"/>
          <w:bCs/>
          <w:sz w:val="24"/>
          <w:szCs w:val="24"/>
        </w:rPr>
        <w:lastRenderedPageBreak/>
        <w:t xml:space="preserve">despite the increasing evidence that our surviving text is actually a cluster of different textual </w:t>
      </w:r>
      <w:r w:rsidR="001E0974">
        <w:rPr>
          <w:rFonts w:cs="Times New Roman"/>
          <w:bCs/>
          <w:sz w:val="24"/>
          <w:szCs w:val="24"/>
        </w:rPr>
        <w:t>traditions that have evolved ov</w:t>
      </w:r>
      <w:r w:rsidRPr="008D0435">
        <w:rPr>
          <w:rFonts w:cs="Times New Roman"/>
          <w:bCs/>
          <w:sz w:val="24"/>
          <w:szCs w:val="24"/>
        </w:rPr>
        <w:t xml:space="preserve">er time. </w:t>
      </w:r>
      <w:r w:rsidR="00B54555">
        <w:rPr>
          <w:rFonts w:cs="Times New Roman"/>
          <w:bCs/>
          <w:sz w:val="24"/>
          <w:szCs w:val="24"/>
        </w:rPr>
        <w:t>Since</w:t>
      </w:r>
      <w:r w:rsidRPr="008D0435">
        <w:rPr>
          <w:rFonts w:cs="Times New Roman"/>
          <w:bCs/>
          <w:sz w:val="24"/>
          <w:szCs w:val="24"/>
        </w:rPr>
        <w:t xml:space="preserve"> we possess two different textual traditions of the same document, the </w:t>
      </w:r>
      <w:r w:rsidRPr="008D0435">
        <w:rPr>
          <w:rFonts w:cs="Times New Roman"/>
          <w:bCs/>
          <w:i/>
          <w:sz w:val="24"/>
          <w:szCs w:val="24"/>
        </w:rPr>
        <w:t>Notitia</w:t>
      </w:r>
      <w:r w:rsidRPr="008D0435">
        <w:rPr>
          <w:rFonts w:cs="Times New Roman"/>
          <w:bCs/>
          <w:sz w:val="24"/>
          <w:szCs w:val="24"/>
        </w:rPr>
        <w:t xml:space="preserve"> and the </w:t>
      </w:r>
      <w:r w:rsidRPr="008D0435">
        <w:rPr>
          <w:rFonts w:cs="Times New Roman"/>
          <w:bCs/>
          <w:i/>
          <w:sz w:val="24"/>
          <w:szCs w:val="24"/>
        </w:rPr>
        <w:t>Curiosum</w:t>
      </w:r>
      <w:r w:rsidRPr="008D0435">
        <w:rPr>
          <w:rFonts w:cs="Times New Roman"/>
          <w:bCs/>
          <w:sz w:val="24"/>
          <w:szCs w:val="24"/>
        </w:rPr>
        <w:t xml:space="preserve">, how do we decide which is the “proper” </w:t>
      </w:r>
      <w:r w:rsidR="00F647C5">
        <w:rPr>
          <w:rFonts w:cs="Times New Roman"/>
          <w:bCs/>
          <w:sz w:val="24"/>
          <w:szCs w:val="24"/>
        </w:rPr>
        <w:t>(</w:t>
      </w:r>
      <w:r w:rsidRPr="008D0435">
        <w:rPr>
          <w:rFonts w:cs="Times New Roman"/>
          <w:bCs/>
          <w:sz w:val="24"/>
          <w:szCs w:val="24"/>
        </w:rPr>
        <w:t>or more accurate version</w:t>
      </w:r>
      <w:r w:rsidR="00F647C5">
        <w:rPr>
          <w:rFonts w:cs="Times New Roman"/>
          <w:bCs/>
          <w:sz w:val="24"/>
          <w:szCs w:val="24"/>
        </w:rPr>
        <w:t>)</w:t>
      </w:r>
      <w:r w:rsidR="00B54555">
        <w:rPr>
          <w:rFonts w:cs="Times New Roman"/>
          <w:bCs/>
          <w:sz w:val="24"/>
          <w:szCs w:val="24"/>
        </w:rPr>
        <w:t xml:space="preserve"> </w:t>
      </w:r>
      <w:r w:rsidRPr="008D0435">
        <w:rPr>
          <w:rFonts w:cs="Times New Roman"/>
          <w:bCs/>
          <w:sz w:val="24"/>
          <w:szCs w:val="24"/>
        </w:rPr>
        <w:t>without recourse to external information about the text? Convention and traditional historical training often require a historian to then place this in some sort of stemmatic hierarchy.</w:t>
      </w:r>
      <w:r w:rsidRPr="008D0435">
        <w:rPr>
          <w:rStyle w:val="FootnoteReference"/>
          <w:rFonts w:cs="Times New Roman"/>
          <w:bCs/>
          <w:sz w:val="24"/>
          <w:szCs w:val="24"/>
        </w:rPr>
        <w:footnoteReference w:id="92"/>
      </w:r>
      <w:r w:rsidRPr="008D0435">
        <w:rPr>
          <w:rFonts w:cs="Times New Roman"/>
          <w:bCs/>
          <w:sz w:val="24"/>
          <w:szCs w:val="24"/>
        </w:rPr>
        <w:t xml:space="preserve"> Given the dispersed nature of the </w:t>
      </w:r>
      <w:r w:rsidRPr="008D0435">
        <w:rPr>
          <w:rFonts w:cs="Times New Roman"/>
          <w:bCs/>
          <w:i/>
          <w:sz w:val="24"/>
          <w:szCs w:val="24"/>
        </w:rPr>
        <w:t>Regionary Catalogues</w:t>
      </w:r>
      <w:r w:rsidR="00B54555">
        <w:rPr>
          <w:rFonts w:cs="Times New Roman"/>
          <w:bCs/>
          <w:i/>
          <w:sz w:val="24"/>
          <w:szCs w:val="24"/>
        </w:rPr>
        <w:t>’</w:t>
      </w:r>
      <w:r w:rsidRPr="008D0435">
        <w:rPr>
          <w:rFonts w:cs="Times New Roman"/>
          <w:bCs/>
          <w:sz w:val="24"/>
          <w:szCs w:val="24"/>
        </w:rPr>
        <w:t xml:space="preserve"> manuscript tradition (the two different copies and their dispersed survival), and</w:t>
      </w:r>
      <w:r w:rsidR="00F647C5">
        <w:rPr>
          <w:rFonts w:cs="Times New Roman"/>
          <w:bCs/>
          <w:sz w:val="24"/>
          <w:szCs w:val="24"/>
        </w:rPr>
        <w:t xml:space="preserve"> the absence of definitive</w:t>
      </w:r>
      <w:r w:rsidRPr="008D0435">
        <w:rPr>
          <w:rFonts w:cs="Times New Roman"/>
          <w:bCs/>
          <w:sz w:val="24"/>
          <w:szCs w:val="24"/>
        </w:rPr>
        <w:t xml:space="preserve"> knowledge of what the </w:t>
      </w:r>
      <w:r w:rsidRPr="008D0435">
        <w:rPr>
          <w:rFonts w:cs="Times New Roman"/>
          <w:bCs/>
          <w:i/>
          <w:sz w:val="24"/>
          <w:szCs w:val="24"/>
        </w:rPr>
        <w:t>Regionaries</w:t>
      </w:r>
      <w:r w:rsidRPr="008D0435">
        <w:rPr>
          <w:rFonts w:cs="Times New Roman"/>
          <w:bCs/>
          <w:sz w:val="24"/>
          <w:szCs w:val="24"/>
        </w:rPr>
        <w:t xml:space="preserve"> actually were, it is possible </w:t>
      </w:r>
      <w:r w:rsidR="008D7961">
        <w:rPr>
          <w:rFonts w:cs="Times New Roman"/>
          <w:bCs/>
          <w:sz w:val="24"/>
          <w:szCs w:val="24"/>
        </w:rPr>
        <w:t>(</w:t>
      </w:r>
      <w:r w:rsidRPr="008D0435">
        <w:rPr>
          <w:rFonts w:cs="Times New Roman"/>
          <w:bCs/>
          <w:sz w:val="24"/>
          <w:szCs w:val="24"/>
        </w:rPr>
        <w:t>but unfruitful</w:t>
      </w:r>
      <w:r w:rsidR="008D7961">
        <w:rPr>
          <w:rFonts w:cs="Times New Roman"/>
          <w:bCs/>
          <w:sz w:val="24"/>
          <w:szCs w:val="24"/>
        </w:rPr>
        <w:t>)</w:t>
      </w:r>
      <w:r w:rsidRPr="008D0435">
        <w:rPr>
          <w:rFonts w:cs="Times New Roman"/>
          <w:bCs/>
          <w:sz w:val="24"/>
          <w:szCs w:val="24"/>
        </w:rPr>
        <w:t xml:space="preserve"> to conceive of the </w:t>
      </w:r>
      <w:r w:rsidRPr="008D0435">
        <w:rPr>
          <w:rFonts w:cs="Times New Roman"/>
          <w:bCs/>
          <w:i/>
          <w:sz w:val="24"/>
          <w:szCs w:val="24"/>
        </w:rPr>
        <w:t xml:space="preserve">Regionaries </w:t>
      </w:r>
      <w:r w:rsidRPr="008D0435">
        <w:rPr>
          <w:rFonts w:cs="Times New Roman"/>
          <w:bCs/>
          <w:sz w:val="24"/>
          <w:szCs w:val="24"/>
        </w:rPr>
        <w:t>as a singular textual entity that could be placed in such a hierarchy. Whilst my argument</w:t>
      </w:r>
      <w:r w:rsidR="00B54555">
        <w:rPr>
          <w:rFonts w:cs="Times New Roman"/>
          <w:bCs/>
          <w:sz w:val="24"/>
          <w:szCs w:val="24"/>
        </w:rPr>
        <w:t xml:space="preserve"> is</w:t>
      </w:r>
      <w:r w:rsidRPr="008D0435">
        <w:rPr>
          <w:rFonts w:cs="Times New Roman"/>
          <w:bCs/>
          <w:sz w:val="24"/>
          <w:szCs w:val="24"/>
        </w:rPr>
        <w:t xml:space="preserve"> that the </w:t>
      </w:r>
      <w:r w:rsidRPr="008D0435">
        <w:rPr>
          <w:rFonts w:cs="Times New Roman"/>
          <w:bCs/>
          <w:i/>
          <w:sz w:val="24"/>
          <w:szCs w:val="24"/>
        </w:rPr>
        <w:t>Regionaries</w:t>
      </w:r>
      <w:r w:rsidRPr="008D0435">
        <w:rPr>
          <w:rFonts w:cs="Times New Roman"/>
          <w:bCs/>
          <w:sz w:val="24"/>
          <w:szCs w:val="24"/>
        </w:rPr>
        <w:t xml:space="preserve"> do descend from a common proto-source, it is hard to determine whether or not the actual manuscript copies descend from a singular source. The principle that where witnesses diverge one must be true is difficult to apply to the case of the </w:t>
      </w:r>
      <w:r w:rsidRPr="008D0435">
        <w:rPr>
          <w:rFonts w:cs="Times New Roman"/>
          <w:bCs/>
          <w:i/>
          <w:sz w:val="24"/>
          <w:szCs w:val="24"/>
        </w:rPr>
        <w:t xml:space="preserve">Notitia </w:t>
      </w:r>
      <w:r w:rsidRPr="008D0435">
        <w:rPr>
          <w:rFonts w:cs="Times New Roman"/>
          <w:bCs/>
          <w:sz w:val="24"/>
          <w:szCs w:val="24"/>
        </w:rPr>
        <w:t xml:space="preserve">and the </w:t>
      </w:r>
      <w:r w:rsidRPr="008D0435">
        <w:rPr>
          <w:rFonts w:cs="Times New Roman"/>
          <w:bCs/>
          <w:i/>
          <w:sz w:val="24"/>
          <w:szCs w:val="24"/>
        </w:rPr>
        <w:t>Curiosum</w:t>
      </w:r>
      <w:r w:rsidRPr="008D0435">
        <w:rPr>
          <w:rFonts w:cs="Times New Roman"/>
          <w:bCs/>
          <w:sz w:val="24"/>
          <w:szCs w:val="24"/>
        </w:rPr>
        <w:t xml:space="preserve"> since both have their own textual merits. A best reading cannot solely be determined by stemmatic analysis</w:t>
      </w:r>
      <w:r w:rsidR="00B54555">
        <w:rPr>
          <w:rFonts w:cs="Times New Roman"/>
          <w:bCs/>
          <w:sz w:val="24"/>
          <w:szCs w:val="24"/>
        </w:rPr>
        <w:t>,</w:t>
      </w:r>
      <w:r w:rsidRPr="008D0435">
        <w:rPr>
          <w:rFonts w:cs="Times New Roman"/>
          <w:bCs/>
          <w:sz w:val="24"/>
          <w:szCs w:val="24"/>
        </w:rPr>
        <w:t xml:space="preserve"> requiring recourse to another evaluative method anyway.</w:t>
      </w:r>
    </w:p>
    <w:p w:rsidR="00F647C5" w:rsidRDefault="00E756D7" w:rsidP="00722391">
      <w:pPr>
        <w:tabs>
          <w:tab w:val="left" w:pos="0"/>
        </w:tabs>
        <w:spacing w:line="480" w:lineRule="auto"/>
        <w:jc w:val="both"/>
        <w:rPr>
          <w:rFonts w:cs="Times New Roman"/>
          <w:bCs/>
          <w:sz w:val="24"/>
          <w:szCs w:val="24"/>
        </w:rPr>
      </w:pPr>
      <w:r w:rsidRPr="008D0435">
        <w:rPr>
          <w:rFonts w:cs="Times New Roman"/>
          <w:bCs/>
          <w:sz w:val="24"/>
          <w:szCs w:val="24"/>
        </w:rPr>
        <w:tab/>
        <w:t>Like the textual/stemmatic criticism from which it began, genetic criticism is relational (as a critic needs two or more states of the same text); hierarchical (certain states</w:t>
      </w:r>
      <w:r w:rsidR="002D4202">
        <w:rPr>
          <w:rFonts w:cs="Times New Roman"/>
          <w:bCs/>
          <w:sz w:val="24"/>
          <w:szCs w:val="24"/>
        </w:rPr>
        <w:t xml:space="preserve"> have more data than others</w:t>
      </w:r>
      <w:r w:rsidRPr="008D0435">
        <w:rPr>
          <w:rFonts w:cs="Times New Roman"/>
          <w:bCs/>
          <w:sz w:val="24"/>
          <w:szCs w:val="24"/>
        </w:rPr>
        <w:t>); and teleological (how one state leads to the other helps to illuminate its purpose).</w:t>
      </w:r>
      <w:r w:rsidRPr="008D0435">
        <w:rPr>
          <w:rStyle w:val="FootnoteReference"/>
          <w:rFonts w:cs="Times New Roman"/>
          <w:bCs/>
          <w:sz w:val="24"/>
          <w:szCs w:val="24"/>
        </w:rPr>
        <w:footnoteReference w:id="93"/>
      </w:r>
      <w:r w:rsidRPr="008D0435">
        <w:rPr>
          <w:rFonts w:cs="Times New Roman"/>
          <w:bCs/>
          <w:sz w:val="24"/>
          <w:szCs w:val="24"/>
        </w:rPr>
        <w:t xml:space="preserve"> When applied to manuscript studies, genetic criticism does not focus on attempting</w:t>
      </w:r>
      <w:r w:rsidR="00B54555">
        <w:rPr>
          <w:rFonts w:cs="Times New Roman"/>
          <w:bCs/>
          <w:sz w:val="24"/>
          <w:szCs w:val="24"/>
        </w:rPr>
        <w:t xml:space="preserve"> to establish</w:t>
      </w:r>
      <w:r w:rsidRPr="008D0435">
        <w:rPr>
          <w:rFonts w:cs="Times New Roman"/>
          <w:bCs/>
          <w:sz w:val="24"/>
          <w:szCs w:val="24"/>
        </w:rPr>
        <w:t xml:space="preserve"> a “best manuscript”, but rather instead evaluates every stage of the text equally. It is important to remember</w:t>
      </w:r>
      <w:r w:rsidR="00B54555">
        <w:rPr>
          <w:rFonts w:cs="Times New Roman"/>
          <w:bCs/>
          <w:sz w:val="24"/>
          <w:szCs w:val="24"/>
        </w:rPr>
        <w:t xml:space="preserve"> that</w:t>
      </w:r>
      <w:r w:rsidRPr="008D0435">
        <w:rPr>
          <w:rFonts w:cs="Times New Roman"/>
          <w:bCs/>
          <w:sz w:val="24"/>
          <w:szCs w:val="24"/>
        </w:rPr>
        <w:t xml:space="preserve"> this is</w:t>
      </w:r>
      <w:r w:rsidR="00B54555">
        <w:rPr>
          <w:rFonts w:cs="Times New Roman"/>
          <w:bCs/>
          <w:sz w:val="24"/>
          <w:szCs w:val="24"/>
        </w:rPr>
        <w:t xml:space="preserve"> no</w:t>
      </w:r>
      <w:r w:rsidRPr="008D0435">
        <w:rPr>
          <w:rFonts w:cs="Times New Roman"/>
          <w:bCs/>
          <w:sz w:val="24"/>
          <w:szCs w:val="24"/>
        </w:rPr>
        <w:t>t a simple collection of documents and texts that are valued equally, but</w:t>
      </w:r>
      <w:r w:rsidR="00B54555">
        <w:rPr>
          <w:rFonts w:cs="Times New Roman"/>
          <w:bCs/>
          <w:sz w:val="24"/>
          <w:szCs w:val="24"/>
        </w:rPr>
        <w:t xml:space="preserve"> rather a process of</w:t>
      </w:r>
      <w:r w:rsidRPr="008D0435">
        <w:rPr>
          <w:rFonts w:cs="Times New Roman"/>
          <w:bCs/>
          <w:sz w:val="24"/>
          <w:szCs w:val="24"/>
        </w:rPr>
        <w:t xml:space="preserve"> using every stage of a </w:t>
      </w:r>
      <w:r w:rsidRPr="008D0435">
        <w:rPr>
          <w:rFonts w:cs="Times New Roman"/>
          <w:bCs/>
          <w:sz w:val="24"/>
          <w:szCs w:val="24"/>
        </w:rPr>
        <w:lastRenderedPageBreak/>
        <w:t>work to demonstrate the textual variation of the stages that led to a particular finished text.</w:t>
      </w:r>
      <w:r w:rsidRPr="008D0435">
        <w:rPr>
          <w:rStyle w:val="FootnoteReference"/>
          <w:rFonts w:cs="Times New Roman"/>
          <w:bCs/>
          <w:sz w:val="24"/>
          <w:szCs w:val="24"/>
        </w:rPr>
        <w:footnoteReference w:id="94"/>
      </w:r>
      <w:r w:rsidRPr="008D0435">
        <w:rPr>
          <w:rFonts w:cs="Times New Roman"/>
          <w:bCs/>
          <w:sz w:val="24"/>
          <w:szCs w:val="24"/>
        </w:rPr>
        <w:t xml:space="preserve"> The notion that two textual states may simply co-exist is certainly appealing to any study of the </w:t>
      </w:r>
      <w:r w:rsidRPr="008D0435">
        <w:rPr>
          <w:rFonts w:cs="Times New Roman"/>
          <w:bCs/>
          <w:i/>
          <w:sz w:val="24"/>
          <w:szCs w:val="24"/>
        </w:rPr>
        <w:t>Regionary Catalogues</w:t>
      </w:r>
      <w:r w:rsidRPr="008D0435">
        <w:rPr>
          <w:rFonts w:cs="Times New Roman"/>
          <w:bCs/>
          <w:sz w:val="24"/>
          <w:szCs w:val="24"/>
        </w:rPr>
        <w:t>, and unlike</w:t>
      </w:r>
      <w:r w:rsidR="00B54555">
        <w:rPr>
          <w:rFonts w:cs="Times New Roman"/>
          <w:bCs/>
          <w:sz w:val="24"/>
          <w:szCs w:val="24"/>
        </w:rPr>
        <w:t xml:space="preserve"> in</w:t>
      </w:r>
      <w:r w:rsidRPr="008D0435">
        <w:rPr>
          <w:rFonts w:cs="Times New Roman"/>
          <w:bCs/>
          <w:sz w:val="24"/>
          <w:szCs w:val="24"/>
        </w:rPr>
        <w:t xml:space="preserve"> traditional stemmatic criticism we do not need a singular “</w:t>
      </w:r>
      <w:r w:rsidR="00840ADC" w:rsidRPr="008D0435">
        <w:rPr>
          <w:rFonts w:cs="Times New Roman"/>
          <w:bCs/>
          <w:sz w:val="24"/>
          <w:szCs w:val="24"/>
        </w:rPr>
        <w:t>hyper archetype</w:t>
      </w:r>
      <w:r w:rsidRPr="008D0435">
        <w:rPr>
          <w:rFonts w:cs="Times New Roman"/>
          <w:bCs/>
          <w:sz w:val="24"/>
          <w:szCs w:val="24"/>
        </w:rPr>
        <w:t>” for it to work.</w:t>
      </w:r>
      <w:r w:rsidRPr="008D0435">
        <w:rPr>
          <w:rStyle w:val="FootnoteReference"/>
          <w:rFonts w:cs="Times New Roman"/>
          <w:bCs/>
          <w:sz w:val="24"/>
          <w:szCs w:val="24"/>
        </w:rPr>
        <w:footnoteReference w:id="95"/>
      </w:r>
      <w:r w:rsidRPr="008D0435">
        <w:rPr>
          <w:rFonts w:cs="Times New Roman"/>
          <w:bCs/>
          <w:sz w:val="24"/>
          <w:szCs w:val="24"/>
        </w:rPr>
        <w:t xml:space="preserve"> Therefore with the two different manuscript traditions of the </w:t>
      </w:r>
      <w:r w:rsidRPr="008D0435">
        <w:rPr>
          <w:rFonts w:cs="Times New Roman"/>
          <w:bCs/>
          <w:i/>
          <w:sz w:val="24"/>
          <w:szCs w:val="24"/>
        </w:rPr>
        <w:t>Regionaries</w:t>
      </w:r>
      <w:r w:rsidRPr="008D0435">
        <w:rPr>
          <w:rFonts w:cs="Times New Roman"/>
          <w:bCs/>
          <w:sz w:val="24"/>
          <w:szCs w:val="24"/>
        </w:rPr>
        <w:t xml:space="preserve"> we have our relational (two comparable but different texts); hierarchical (one text contains more items than the other); and teleological (how each layer of the </w:t>
      </w:r>
      <w:r w:rsidRPr="008D0435">
        <w:rPr>
          <w:rFonts w:cs="Times New Roman"/>
          <w:bCs/>
          <w:i/>
          <w:sz w:val="24"/>
          <w:szCs w:val="24"/>
        </w:rPr>
        <w:t>Regionaries</w:t>
      </w:r>
      <w:r w:rsidRPr="008D0435">
        <w:rPr>
          <w:rFonts w:cs="Times New Roman"/>
          <w:bCs/>
          <w:sz w:val="24"/>
          <w:szCs w:val="24"/>
        </w:rPr>
        <w:t xml:space="preserve"> contributed to the other) which is what the study of layers will hope to explore. </w:t>
      </w:r>
    </w:p>
    <w:p w:rsidR="00E756D7" w:rsidRPr="008D0435" w:rsidRDefault="00F647C5" w:rsidP="002D4202">
      <w:pPr>
        <w:tabs>
          <w:tab w:val="left" w:pos="0"/>
        </w:tabs>
        <w:spacing w:line="480" w:lineRule="auto"/>
        <w:jc w:val="both"/>
        <w:rPr>
          <w:rFonts w:cs="Times New Roman"/>
          <w:bCs/>
          <w:sz w:val="24"/>
          <w:szCs w:val="24"/>
        </w:rPr>
      </w:pPr>
      <w:r>
        <w:rPr>
          <w:rFonts w:cs="Times New Roman"/>
          <w:bCs/>
          <w:sz w:val="24"/>
          <w:szCs w:val="24"/>
        </w:rPr>
        <w:tab/>
      </w:r>
      <w:r w:rsidR="00E756D7" w:rsidRPr="008D0435">
        <w:rPr>
          <w:rFonts w:cs="Times New Roman"/>
          <w:bCs/>
          <w:sz w:val="24"/>
          <w:szCs w:val="24"/>
        </w:rPr>
        <w:t>Some critics have argued that Genetic Criticism is, ‘searching for a phenomenon that is in effect unobservable, unobjectifiable: the origin of a literary work. Its object of inquiry is essentially unstable, or rather its object of study is the very instability of the “pre-text”.’</w:t>
      </w:r>
      <w:r w:rsidR="00E756D7" w:rsidRPr="008D0435">
        <w:rPr>
          <w:rStyle w:val="FootnoteReference"/>
          <w:rFonts w:cs="Times New Roman"/>
          <w:bCs/>
          <w:sz w:val="24"/>
          <w:szCs w:val="24"/>
        </w:rPr>
        <w:footnoteReference w:id="96"/>
      </w:r>
      <w:r w:rsidR="00E756D7" w:rsidRPr="008D0435">
        <w:rPr>
          <w:rFonts w:cs="Times New Roman"/>
          <w:bCs/>
          <w:sz w:val="24"/>
          <w:szCs w:val="24"/>
        </w:rPr>
        <w:t xml:space="preserve"> Laurent Jenny argues that, ‘it seeks, rather, to undo these same texts and to suspend their interpretations’, that it renders the critical relationship null and void by removing the judgement that privileges one “correct” form of the text above the others.</w:t>
      </w:r>
      <w:r w:rsidR="00E756D7" w:rsidRPr="008D0435">
        <w:rPr>
          <w:rStyle w:val="FootnoteReference"/>
          <w:rFonts w:cs="Times New Roman"/>
          <w:bCs/>
          <w:sz w:val="24"/>
          <w:szCs w:val="24"/>
        </w:rPr>
        <w:footnoteReference w:id="97"/>
      </w:r>
      <w:r w:rsidR="00E756D7" w:rsidRPr="008D0435">
        <w:rPr>
          <w:rFonts w:cs="Times New Roman"/>
          <w:bCs/>
          <w:sz w:val="24"/>
          <w:szCs w:val="24"/>
        </w:rPr>
        <w:t xml:space="preserve"> This appears to be a particular theme amongst critics of genetic criticism that adherents of genetic criticism are attempting to develop an interpretation of the “pre-text” which is by definition always incomplete and therefore impossible.</w:t>
      </w:r>
      <w:r w:rsidR="00E756D7" w:rsidRPr="008D0435">
        <w:rPr>
          <w:rStyle w:val="FootnoteReference"/>
          <w:rFonts w:cs="Times New Roman"/>
          <w:bCs/>
          <w:sz w:val="24"/>
          <w:szCs w:val="24"/>
        </w:rPr>
        <w:footnoteReference w:id="98"/>
      </w:r>
      <w:r w:rsidR="00E756D7" w:rsidRPr="008D0435">
        <w:rPr>
          <w:rFonts w:cs="Times New Roman"/>
          <w:bCs/>
          <w:sz w:val="24"/>
          <w:szCs w:val="24"/>
        </w:rPr>
        <w:t xml:space="preserve"> However this is an overly narrow view that subscribes to a far too traditional view of textual criticism, one that privileges the hermeneutic model of the “</w:t>
      </w:r>
      <w:r w:rsidR="00182EFE">
        <w:rPr>
          <w:rFonts w:cs="Times New Roman"/>
          <w:bCs/>
          <w:sz w:val="24"/>
          <w:szCs w:val="24"/>
        </w:rPr>
        <w:t>Sacred</w:t>
      </w:r>
      <w:r w:rsidR="00E756D7" w:rsidRPr="008D0435">
        <w:rPr>
          <w:rFonts w:cs="Times New Roman"/>
          <w:bCs/>
          <w:sz w:val="24"/>
          <w:szCs w:val="24"/>
        </w:rPr>
        <w:t xml:space="preserve"> Book”, the idea that there is a singular, perfect example </w:t>
      </w:r>
      <w:r w:rsidR="00E756D7" w:rsidRPr="008D0435">
        <w:rPr>
          <w:rFonts w:cs="Times New Roman"/>
          <w:bCs/>
          <w:sz w:val="24"/>
          <w:szCs w:val="24"/>
        </w:rPr>
        <w:lastRenderedPageBreak/>
        <w:t>of the text which critics can interpret.</w:t>
      </w:r>
      <w:r w:rsidR="00E756D7" w:rsidRPr="008D0435">
        <w:rPr>
          <w:rStyle w:val="FootnoteReference"/>
          <w:rFonts w:cs="Times New Roman"/>
          <w:bCs/>
          <w:sz w:val="24"/>
          <w:szCs w:val="24"/>
        </w:rPr>
        <w:footnoteReference w:id="99"/>
      </w:r>
      <w:r w:rsidR="00E756D7" w:rsidRPr="008D0435">
        <w:rPr>
          <w:rFonts w:cs="Times New Roman"/>
          <w:bCs/>
          <w:sz w:val="24"/>
          <w:szCs w:val="24"/>
        </w:rPr>
        <w:t xml:space="preserve"> If we were to subscribe to this view, any study of the manuscript tradition becomes pointless as we can never get beyond our Carolingian survivals to the Roman originals. Furthermore, the dual existence of the </w:t>
      </w:r>
      <w:r w:rsidR="00E756D7" w:rsidRPr="008D0435">
        <w:rPr>
          <w:rFonts w:cs="Times New Roman"/>
          <w:bCs/>
          <w:i/>
          <w:sz w:val="24"/>
          <w:szCs w:val="24"/>
        </w:rPr>
        <w:t>Notitia</w:t>
      </w:r>
      <w:r w:rsidR="00E756D7" w:rsidRPr="008D0435">
        <w:rPr>
          <w:rFonts w:cs="Times New Roman"/>
          <w:bCs/>
          <w:sz w:val="24"/>
          <w:szCs w:val="24"/>
        </w:rPr>
        <w:t xml:space="preserve"> and </w:t>
      </w:r>
      <w:r w:rsidR="00E756D7" w:rsidRPr="008D0435">
        <w:rPr>
          <w:rFonts w:cs="Times New Roman"/>
          <w:bCs/>
          <w:i/>
          <w:sz w:val="24"/>
          <w:szCs w:val="24"/>
        </w:rPr>
        <w:t>Curiosum</w:t>
      </w:r>
      <w:r w:rsidR="00E756D7" w:rsidRPr="008D0435">
        <w:rPr>
          <w:rFonts w:cs="Times New Roman"/>
          <w:bCs/>
          <w:sz w:val="24"/>
          <w:szCs w:val="24"/>
        </w:rPr>
        <w:t xml:space="preserve"> copies of the </w:t>
      </w:r>
      <w:r w:rsidR="00E756D7" w:rsidRPr="008D0435">
        <w:rPr>
          <w:rFonts w:cs="Times New Roman"/>
          <w:bCs/>
          <w:i/>
          <w:sz w:val="24"/>
          <w:szCs w:val="24"/>
        </w:rPr>
        <w:t xml:space="preserve">Regionary Catalogues </w:t>
      </w:r>
      <w:r w:rsidR="00E756D7" w:rsidRPr="008D0435">
        <w:rPr>
          <w:rFonts w:cs="Times New Roman"/>
          <w:bCs/>
          <w:sz w:val="24"/>
          <w:szCs w:val="24"/>
        </w:rPr>
        <w:t>m</w:t>
      </w:r>
      <w:r w:rsidR="00B54555">
        <w:rPr>
          <w:rFonts w:cs="Times New Roman"/>
          <w:bCs/>
          <w:sz w:val="24"/>
          <w:szCs w:val="24"/>
        </w:rPr>
        <w:t xml:space="preserve">akes it a struggle to decide </w:t>
      </w:r>
      <w:r w:rsidR="00E756D7" w:rsidRPr="008D0435">
        <w:rPr>
          <w:rFonts w:cs="Times New Roman"/>
          <w:bCs/>
          <w:sz w:val="24"/>
          <w:szCs w:val="24"/>
        </w:rPr>
        <w:t>which manus</w:t>
      </w:r>
      <w:r w:rsidR="00D060B3">
        <w:rPr>
          <w:rFonts w:cs="Times New Roman"/>
          <w:bCs/>
          <w:sz w:val="24"/>
          <w:szCs w:val="24"/>
        </w:rPr>
        <w:t xml:space="preserve">cript to privilege as the earliest </w:t>
      </w:r>
      <w:r w:rsidR="00E756D7" w:rsidRPr="008D0435">
        <w:rPr>
          <w:rFonts w:cs="Times New Roman"/>
          <w:bCs/>
          <w:sz w:val="24"/>
          <w:szCs w:val="24"/>
        </w:rPr>
        <w:t>or even the correct one. What Genetic criticism does not do is generate a “return to history”, by unearthing an original, perfect copy of the text. Instead it records a series of textual events</w:t>
      </w:r>
      <w:r w:rsidR="00B54555">
        <w:rPr>
          <w:rFonts w:cs="Times New Roman"/>
          <w:bCs/>
          <w:sz w:val="24"/>
          <w:szCs w:val="24"/>
        </w:rPr>
        <w:t xml:space="preserve"> so</w:t>
      </w:r>
      <w:r w:rsidR="00E756D7" w:rsidRPr="008D0435">
        <w:rPr>
          <w:rFonts w:cs="Times New Roman"/>
          <w:bCs/>
          <w:sz w:val="24"/>
          <w:szCs w:val="24"/>
        </w:rPr>
        <w:t xml:space="preserve"> that, even when the critic gives shape and meaning to those events, the focus remains on how the text has grown rather than the wider critical-context of what the “pure” purpose of the text was.</w:t>
      </w:r>
      <w:r w:rsidR="00E756D7" w:rsidRPr="008D0435">
        <w:rPr>
          <w:rStyle w:val="FootnoteReference"/>
          <w:rFonts w:cs="Times New Roman"/>
          <w:bCs/>
          <w:sz w:val="24"/>
          <w:szCs w:val="24"/>
        </w:rPr>
        <w:footnoteReference w:id="100"/>
      </w:r>
      <w:r w:rsidR="00E756D7" w:rsidRPr="008D0435">
        <w:rPr>
          <w:rFonts w:cs="Times New Roman"/>
          <w:bCs/>
          <w:sz w:val="24"/>
          <w:szCs w:val="24"/>
        </w:rPr>
        <w:t xml:space="preserve"> Lacking a definitive creator, date of creation or even form, the </w:t>
      </w:r>
      <w:r w:rsidR="00E756D7" w:rsidRPr="008D0435">
        <w:rPr>
          <w:rFonts w:cs="Times New Roman"/>
          <w:bCs/>
          <w:i/>
          <w:sz w:val="24"/>
          <w:szCs w:val="24"/>
        </w:rPr>
        <w:t>Regionaries</w:t>
      </w:r>
      <w:r w:rsidR="00E756D7" w:rsidRPr="008D0435">
        <w:rPr>
          <w:rFonts w:cs="Times New Roman"/>
          <w:bCs/>
          <w:sz w:val="24"/>
          <w:szCs w:val="24"/>
        </w:rPr>
        <w:t xml:space="preserve"> and their manuscript tradition are well suited to genetic criticism for a study of themsel</w:t>
      </w:r>
      <w:r w:rsidR="002D4202">
        <w:rPr>
          <w:rFonts w:cs="Times New Roman"/>
          <w:bCs/>
          <w:sz w:val="24"/>
          <w:szCs w:val="24"/>
        </w:rPr>
        <w:t>ves and their extant documents.</w:t>
      </w:r>
    </w:p>
    <w:p w:rsidR="00E756D7" w:rsidRPr="008D0435" w:rsidRDefault="00E756D7" w:rsidP="00722391">
      <w:pPr>
        <w:widowControl w:val="0"/>
        <w:suppressLineNumbers/>
        <w:autoSpaceDE w:val="0"/>
        <w:autoSpaceDN w:val="0"/>
        <w:adjustRightInd w:val="0"/>
        <w:spacing w:after="0" w:line="480" w:lineRule="auto"/>
        <w:jc w:val="both"/>
        <w:rPr>
          <w:rFonts w:cs="Times New Roman"/>
          <w:bCs/>
          <w:sz w:val="24"/>
          <w:szCs w:val="24"/>
          <w:u w:val="single"/>
        </w:rPr>
      </w:pPr>
    </w:p>
    <w:p w:rsidR="00E756D7" w:rsidRPr="008D0435" w:rsidRDefault="00E756D7" w:rsidP="00722391">
      <w:pPr>
        <w:widowControl w:val="0"/>
        <w:suppressLineNumbers/>
        <w:autoSpaceDE w:val="0"/>
        <w:autoSpaceDN w:val="0"/>
        <w:adjustRightInd w:val="0"/>
        <w:spacing w:after="0" w:line="480" w:lineRule="auto"/>
        <w:jc w:val="both"/>
        <w:rPr>
          <w:rFonts w:cs="Times New Roman"/>
          <w:bCs/>
          <w:sz w:val="24"/>
          <w:szCs w:val="24"/>
          <w:u w:val="single"/>
        </w:rPr>
      </w:pPr>
      <w:r w:rsidRPr="008D0435">
        <w:rPr>
          <w:rFonts w:cs="Times New Roman"/>
          <w:bCs/>
          <w:sz w:val="24"/>
          <w:szCs w:val="24"/>
          <w:u w:val="single"/>
        </w:rPr>
        <w:t xml:space="preserve">The Manuscripts of the </w:t>
      </w:r>
      <w:r w:rsidRPr="008D0435">
        <w:rPr>
          <w:rFonts w:cs="Times New Roman"/>
          <w:bCs/>
          <w:i/>
          <w:sz w:val="24"/>
          <w:szCs w:val="24"/>
          <w:u w:val="single"/>
        </w:rPr>
        <w:t>Regionary Catalogues</w:t>
      </w:r>
      <w:r w:rsidRPr="008D0435">
        <w:rPr>
          <w:rFonts w:cs="Times New Roman"/>
          <w:bCs/>
          <w:sz w:val="24"/>
          <w:szCs w:val="24"/>
          <w:u w:val="single"/>
        </w:rPr>
        <w:t>:</w:t>
      </w:r>
    </w:p>
    <w:p w:rsidR="00E756D7" w:rsidRPr="008D0435" w:rsidRDefault="00E756D7" w:rsidP="00722391">
      <w:pPr>
        <w:widowControl w:val="0"/>
        <w:suppressLineNumbers/>
        <w:autoSpaceDE w:val="0"/>
        <w:autoSpaceDN w:val="0"/>
        <w:adjustRightInd w:val="0"/>
        <w:spacing w:after="0" w:line="480" w:lineRule="auto"/>
        <w:jc w:val="both"/>
        <w:rPr>
          <w:rFonts w:cs="Times New Roman"/>
          <w:bCs/>
          <w:sz w:val="24"/>
          <w:szCs w:val="24"/>
          <w:u w:val="single"/>
        </w:rPr>
      </w:pPr>
    </w:p>
    <w:p w:rsidR="00E756D7" w:rsidRPr="008D0435" w:rsidRDefault="00E756D7" w:rsidP="00722391">
      <w:pPr>
        <w:widowControl w:val="0"/>
        <w:suppressLineNumbers/>
        <w:autoSpaceDE w:val="0"/>
        <w:autoSpaceDN w:val="0"/>
        <w:adjustRightInd w:val="0"/>
        <w:spacing w:after="0" w:line="480" w:lineRule="auto"/>
        <w:jc w:val="both"/>
        <w:rPr>
          <w:rFonts w:cs="Times New Roman"/>
          <w:bCs/>
          <w:sz w:val="24"/>
          <w:szCs w:val="24"/>
        </w:rPr>
      </w:pPr>
      <w:r w:rsidRPr="008D0435">
        <w:rPr>
          <w:rFonts w:cs="Times New Roman"/>
          <w:bCs/>
          <w:sz w:val="24"/>
          <w:szCs w:val="24"/>
        </w:rPr>
        <w:t xml:space="preserve">All of our surviving copies of the </w:t>
      </w:r>
      <w:r w:rsidRPr="008D0435">
        <w:rPr>
          <w:rFonts w:cs="Times New Roman"/>
          <w:bCs/>
          <w:i/>
          <w:sz w:val="24"/>
          <w:szCs w:val="24"/>
        </w:rPr>
        <w:t>Regionary Catalogues</w:t>
      </w:r>
      <w:r w:rsidRPr="008D0435">
        <w:rPr>
          <w:rFonts w:cs="Times New Roman"/>
          <w:bCs/>
          <w:sz w:val="24"/>
          <w:szCs w:val="24"/>
        </w:rPr>
        <w:t xml:space="preserve"> were made during the 8</w:t>
      </w:r>
      <w:r w:rsidRPr="008D0435">
        <w:rPr>
          <w:rFonts w:cs="Times New Roman"/>
          <w:bCs/>
          <w:sz w:val="24"/>
          <w:szCs w:val="24"/>
          <w:vertAlign w:val="superscript"/>
        </w:rPr>
        <w:t>th</w:t>
      </w:r>
      <w:r w:rsidRPr="008D0435">
        <w:rPr>
          <w:rFonts w:cs="Times New Roman"/>
          <w:bCs/>
          <w:sz w:val="24"/>
          <w:szCs w:val="24"/>
        </w:rPr>
        <w:t xml:space="preserve"> and 9</w:t>
      </w:r>
      <w:r w:rsidRPr="008D0435">
        <w:rPr>
          <w:rFonts w:cs="Times New Roman"/>
          <w:bCs/>
          <w:sz w:val="24"/>
          <w:szCs w:val="24"/>
          <w:vertAlign w:val="superscript"/>
        </w:rPr>
        <w:t>th</w:t>
      </w:r>
      <w:r w:rsidRPr="008D0435">
        <w:rPr>
          <w:rFonts w:cs="Times New Roman"/>
          <w:bCs/>
          <w:sz w:val="24"/>
          <w:szCs w:val="24"/>
        </w:rPr>
        <w:t xml:space="preserve"> centuries. The Roman Empire in the West had died (although Charlemag</w:t>
      </w:r>
      <w:r w:rsidR="00B54555">
        <w:rPr>
          <w:rFonts w:cs="Times New Roman"/>
          <w:bCs/>
          <w:sz w:val="24"/>
          <w:szCs w:val="24"/>
        </w:rPr>
        <w:t>ne had tried to bring it back), a</w:t>
      </w:r>
      <w:r w:rsidRPr="008D0435">
        <w:rPr>
          <w:rFonts w:cs="Times New Roman"/>
          <w:bCs/>
          <w:sz w:val="24"/>
          <w:szCs w:val="24"/>
        </w:rPr>
        <w:t>nd the end result of a process that had begun with Augustine draining ‘the Empire of its spiritual significance’ (in response to pagan criticisms of Christianity over the V</w:t>
      </w:r>
      <w:r w:rsidR="00B54555">
        <w:rPr>
          <w:rFonts w:cs="Times New Roman"/>
          <w:bCs/>
          <w:sz w:val="24"/>
          <w:szCs w:val="24"/>
        </w:rPr>
        <w:t xml:space="preserve">isigothic sack of Rome in 410) </w:t>
      </w:r>
      <w:r w:rsidRPr="008D0435">
        <w:rPr>
          <w:rFonts w:cs="Times New Roman"/>
          <w:bCs/>
          <w:sz w:val="24"/>
          <w:szCs w:val="24"/>
        </w:rPr>
        <w:t>had led to the city of Rome becoming less and less important.</w:t>
      </w:r>
      <w:r w:rsidRPr="008D0435">
        <w:rPr>
          <w:rStyle w:val="FootnoteReference"/>
          <w:rFonts w:cs="Times New Roman"/>
          <w:bCs/>
          <w:sz w:val="24"/>
          <w:szCs w:val="24"/>
        </w:rPr>
        <w:footnoteReference w:id="101"/>
      </w:r>
      <w:r w:rsidRPr="008D0435">
        <w:rPr>
          <w:rFonts w:cs="Times New Roman"/>
          <w:bCs/>
          <w:sz w:val="24"/>
          <w:szCs w:val="24"/>
        </w:rPr>
        <w:t xml:space="preserve"> The </w:t>
      </w:r>
      <w:r w:rsidR="0087599E">
        <w:rPr>
          <w:rFonts w:cs="Times New Roman"/>
          <w:bCs/>
          <w:sz w:val="24"/>
          <w:szCs w:val="24"/>
        </w:rPr>
        <w:t>emperors</w:t>
      </w:r>
      <w:r w:rsidRPr="008D0435">
        <w:rPr>
          <w:rFonts w:cs="Times New Roman"/>
          <w:bCs/>
          <w:sz w:val="24"/>
          <w:szCs w:val="24"/>
        </w:rPr>
        <w:t>, who had survived in the east, ha</w:t>
      </w:r>
      <w:r w:rsidR="00B54555">
        <w:rPr>
          <w:rFonts w:cs="Times New Roman"/>
          <w:bCs/>
          <w:sz w:val="24"/>
          <w:szCs w:val="24"/>
        </w:rPr>
        <w:t>d</w:t>
      </w:r>
      <w:r w:rsidR="008E78E8">
        <w:rPr>
          <w:rFonts w:cs="Times New Roman"/>
          <w:bCs/>
          <w:sz w:val="24"/>
          <w:szCs w:val="24"/>
        </w:rPr>
        <w:t xml:space="preserve"> long since</w:t>
      </w:r>
      <w:r w:rsidR="00B54555">
        <w:rPr>
          <w:rFonts w:cs="Times New Roman"/>
          <w:bCs/>
          <w:sz w:val="24"/>
          <w:szCs w:val="24"/>
        </w:rPr>
        <w:t xml:space="preserve"> ceased to visit the city. T</w:t>
      </w:r>
      <w:r w:rsidRPr="008D0435">
        <w:rPr>
          <w:rFonts w:cs="Times New Roman"/>
          <w:bCs/>
          <w:sz w:val="24"/>
          <w:szCs w:val="24"/>
        </w:rPr>
        <w:t xml:space="preserve">he Empire continued </w:t>
      </w:r>
      <w:r w:rsidR="00F647C5">
        <w:rPr>
          <w:rFonts w:cs="Times New Roman"/>
          <w:bCs/>
          <w:sz w:val="24"/>
          <w:szCs w:val="24"/>
        </w:rPr>
        <w:t>to maintain a foothold in Italy but</w:t>
      </w:r>
      <w:r w:rsidR="00F647C5" w:rsidRPr="00F647C5">
        <w:rPr>
          <w:rFonts w:cs="Times New Roman"/>
          <w:bCs/>
          <w:sz w:val="24"/>
          <w:szCs w:val="24"/>
        </w:rPr>
        <w:t xml:space="preserve"> </w:t>
      </w:r>
      <w:r w:rsidR="00F647C5" w:rsidRPr="008D0435">
        <w:rPr>
          <w:rFonts w:cs="Times New Roman"/>
          <w:bCs/>
          <w:sz w:val="24"/>
          <w:szCs w:val="24"/>
        </w:rPr>
        <w:t>after its re-conquest in the 6</w:t>
      </w:r>
      <w:r w:rsidR="00F647C5" w:rsidRPr="008D0435">
        <w:rPr>
          <w:rFonts w:cs="Times New Roman"/>
          <w:bCs/>
          <w:sz w:val="24"/>
          <w:szCs w:val="24"/>
          <w:vertAlign w:val="superscript"/>
        </w:rPr>
        <w:t>th</w:t>
      </w:r>
      <w:r w:rsidR="00F647C5" w:rsidRPr="008D0435">
        <w:rPr>
          <w:rFonts w:cs="Times New Roman"/>
          <w:bCs/>
          <w:sz w:val="24"/>
          <w:szCs w:val="24"/>
        </w:rPr>
        <w:t xml:space="preserve"> </w:t>
      </w:r>
      <w:r w:rsidR="00F647C5" w:rsidRPr="008D0435">
        <w:rPr>
          <w:rFonts w:cs="Times New Roman"/>
          <w:bCs/>
          <w:sz w:val="24"/>
          <w:szCs w:val="24"/>
        </w:rPr>
        <w:lastRenderedPageBreak/>
        <w:t>century</w:t>
      </w:r>
      <w:r w:rsidRPr="008D0435">
        <w:rPr>
          <w:rFonts w:cs="Times New Roman"/>
          <w:bCs/>
          <w:sz w:val="24"/>
          <w:szCs w:val="24"/>
        </w:rPr>
        <w:t xml:space="preserve"> it would be governed from Ravenna, not Rome. Rome’s own physical heritage had been increasingly stripped away by its own inhabitants. It was now a city without significant power or influence. It commanded no armies or territory. The only noteworthy political figure of the city, the Pope, was increasingly dependent on foreign warlords to avoid simply being murdered in the street.</w:t>
      </w:r>
      <w:r w:rsidRPr="008D0435">
        <w:rPr>
          <w:rStyle w:val="FootnoteReference"/>
          <w:rFonts w:cs="Times New Roman"/>
          <w:bCs/>
          <w:sz w:val="24"/>
          <w:szCs w:val="24"/>
        </w:rPr>
        <w:footnoteReference w:id="102"/>
      </w:r>
    </w:p>
    <w:p w:rsidR="005A222E" w:rsidRDefault="00B54555" w:rsidP="00722391">
      <w:pPr>
        <w:tabs>
          <w:tab w:val="left" w:pos="0"/>
        </w:tabs>
        <w:spacing w:line="480" w:lineRule="auto"/>
        <w:ind w:firstLine="709"/>
        <w:jc w:val="both"/>
        <w:rPr>
          <w:sz w:val="24"/>
          <w:szCs w:val="24"/>
        </w:rPr>
      </w:pPr>
      <w:r>
        <w:rPr>
          <w:sz w:val="24"/>
          <w:szCs w:val="24"/>
        </w:rPr>
        <w:t>I</w:t>
      </w:r>
      <w:r w:rsidR="00E756D7" w:rsidRPr="008D0435">
        <w:rPr>
          <w:sz w:val="24"/>
          <w:szCs w:val="24"/>
        </w:rPr>
        <w:t>t is</w:t>
      </w:r>
      <w:r>
        <w:rPr>
          <w:sz w:val="24"/>
          <w:szCs w:val="24"/>
        </w:rPr>
        <w:t xml:space="preserve"> therefore</w:t>
      </w:r>
      <w:r w:rsidR="00E756D7" w:rsidRPr="008D0435">
        <w:rPr>
          <w:sz w:val="24"/>
          <w:szCs w:val="24"/>
        </w:rPr>
        <w:t xml:space="preserve"> hardly surprising that the </w:t>
      </w:r>
      <w:r w:rsidR="00E756D7" w:rsidRPr="008D0435">
        <w:rPr>
          <w:i/>
          <w:sz w:val="24"/>
          <w:szCs w:val="24"/>
        </w:rPr>
        <w:t>Regionaries</w:t>
      </w:r>
      <w:r w:rsidR="00E756D7" w:rsidRPr="008D0435">
        <w:rPr>
          <w:sz w:val="24"/>
          <w:szCs w:val="24"/>
        </w:rPr>
        <w:t xml:space="preserve"> did not survive in Rome proper. Gothic and Vandal invasions and looting had led to the destruction of many of the city’s great buildings and monuments, which would have included many of the city’s libraries.</w:t>
      </w:r>
      <w:r w:rsidR="00E756D7" w:rsidRPr="008D0435">
        <w:rPr>
          <w:rStyle w:val="FootnoteReference"/>
          <w:sz w:val="24"/>
          <w:szCs w:val="24"/>
        </w:rPr>
        <w:footnoteReference w:id="103"/>
      </w:r>
      <w:r w:rsidR="00E756D7" w:rsidRPr="008D0435">
        <w:rPr>
          <w:sz w:val="24"/>
          <w:szCs w:val="24"/>
        </w:rPr>
        <w:t xml:space="preserve"> Ravenna, as the </w:t>
      </w:r>
      <w:r w:rsidR="008B44B0">
        <w:rPr>
          <w:sz w:val="24"/>
          <w:szCs w:val="24"/>
        </w:rPr>
        <w:t>imperial</w:t>
      </w:r>
      <w:r w:rsidR="00E756D7" w:rsidRPr="008D0435">
        <w:rPr>
          <w:sz w:val="24"/>
          <w:szCs w:val="24"/>
        </w:rPr>
        <w:t xml:space="preserve"> capital from 402 onwards, and the centre of Byzantine rule in Italy, contained a great deal of texts that were concerned with the direct dealings of government.</w:t>
      </w:r>
      <w:r w:rsidR="00E756D7" w:rsidRPr="008D0435">
        <w:rPr>
          <w:rStyle w:val="FootnoteReference"/>
          <w:sz w:val="24"/>
          <w:szCs w:val="24"/>
        </w:rPr>
        <w:footnoteReference w:id="104"/>
      </w:r>
      <w:r w:rsidR="00E756D7" w:rsidRPr="008D0435">
        <w:rPr>
          <w:sz w:val="24"/>
          <w:szCs w:val="24"/>
        </w:rPr>
        <w:t xml:space="preserve"> The monastery set up by</w:t>
      </w:r>
      <w:r w:rsidR="008E78E8">
        <w:rPr>
          <w:sz w:val="24"/>
          <w:szCs w:val="24"/>
        </w:rPr>
        <w:t xml:space="preserve"> the late Roman author</w:t>
      </w:r>
      <w:r w:rsidR="00E756D7" w:rsidRPr="008D0435">
        <w:rPr>
          <w:sz w:val="24"/>
          <w:szCs w:val="24"/>
        </w:rPr>
        <w:t xml:space="preserve"> Cassiodorus at Vivarium contained a great number of Latin manuscripts necessary for a w</w:t>
      </w:r>
      <w:r w:rsidR="00201C35">
        <w:rPr>
          <w:sz w:val="24"/>
          <w:szCs w:val="24"/>
        </w:rPr>
        <w:t>ell-rounded Christian education and</w:t>
      </w:r>
      <w:r w:rsidR="00E756D7" w:rsidRPr="008D0435">
        <w:rPr>
          <w:sz w:val="24"/>
          <w:szCs w:val="24"/>
        </w:rPr>
        <w:t xml:space="preserve"> although the library was later destroyed it ensured many of the city’s manuscripts survived elsewhere.</w:t>
      </w:r>
      <w:r w:rsidR="00E756D7" w:rsidRPr="008D0435">
        <w:rPr>
          <w:rStyle w:val="FootnoteReference"/>
          <w:sz w:val="24"/>
          <w:szCs w:val="24"/>
        </w:rPr>
        <w:footnoteReference w:id="105"/>
      </w:r>
      <w:r w:rsidR="00E756D7" w:rsidRPr="008D0435">
        <w:rPr>
          <w:sz w:val="24"/>
          <w:szCs w:val="24"/>
        </w:rPr>
        <w:t xml:space="preserve">  </w:t>
      </w:r>
    </w:p>
    <w:p w:rsidR="00E756D7" w:rsidRPr="008D0435" w:rsidRDefault="00B54555" w:rsidP="00722391">
      <w:pPr>
        <w:tabs>
          <w:tab w:val="left" w:pos="0"/>
        </w:tabs>
        <w:spacing w:line="480" w:lineRule="auto"/>
        <w:ind w:firstLine="709"/>
        <w:jc w:val="both"/>
        <w:rPr>
          <w:sz w:val="24"/>
          <w:szCs w:val="24"/>
        </w:rPr>
      </w:pPr>
      <w:r>
        <w:rPr>
          <w:sz w:val="24"/>
          <w:szCs w:val="24"/>
        </w:rPr>
        <w:t xml:space="preserve">The oldest surviving copy of the </w:t>
      </w:r>
      <w:r w:rsidRPr="00B54555">
        <w:rPr>
          <w:i/>
          <w:sz w:val="24"/>
          <w:szCs w:val="24"/>
        </w:rPr>
        <w:t>Curiosum</w:t>
      </w:r>
      <w:r w:rsidR="00E756D7" w:rsidRPr="008D0435">
        <w:rPr>
          <w:sz w:val="24"/>
          <w:szCs w:val="24"/>
        </w:rPr>
        <w:t xml:space="preserve"> is contained in the </w:t>
      </w:r>
      <w:r w:rsidR="00E756D7" w:rsidRPr="008D0435">
        <w:rPr>
          <w:i/>
          <w:sz w:val="24"/>
          <w:szCs w:val="24"/>
        </w:rPr>
        <w:t>Codex Vaticanus Latinus 3321</w:t>
      </w:r>
      <w:r w:rsidR="00E756D7" w:rsidRPr="008D0435">
        <w:rPr>
          <w:sz w:val="24"/>
          <w:szCs w:val="24"/>
        </w:rPr>
        <w:t xml:space="preserve"> membr. S. VIII ff 234</w:t>
      </w:r>
      <w:r>
        <w:rPr>
          <w:sz w:val="24"/>
          <w:szCs w:val="24"/>
        </w:rPr>
        <w:t xml:space="preserve"> and is dated to the eight</w:t>
      </w:r>
      <w:r w:rsidR="001E0974">
        <w:rPr>
          <w:sz w:val="24"/>
          <w:szCs w:val="24"/>
        </w:rPr>
        <w:t>h</w:t>
      </w:r>
      <w:r>
        <w:rPr>
          <w:sz w:val="24"/>
          <w:szCs w:val="24"/>
        </w:rPr>
        <w:t xml:space="preserve"> century</w:t>
      </w:r>
      <w:r w:rsidR="00E756D7" w:rsidRPr="008D0435">
        <w:rPr>
          <w:sz w:val="24"/>
          <w:szCs w:val="24"/>
        </w:rPr>
        <w:t xml:space="preserve">. It was collated with several glossaries and grammar guides, as well as the massively popular </w:t>
      </w:r>
      <w:r w:rsidR="00E756D7" w:rsidRPr="008D0435">
        <w:rPr>
          <w:i/>
          <w:sz w:val="24"/>
          <w:szCs w:val="24"/>
        </w:rPr>
        <w:t>Etymologies</w:t>
      </w:r>
      <w:r w:rsidR="00E756D7" w:rsidRPr="008D0435">
        <w:rPr>
          <w:sz w:val="24"/>
          <w:szCs w:val="24"/>
        </w:rPr>
        <w:t xml:space="preserve"> of Isidore.</w:t>
      </w:r>
      <w:r w:rsidR="00E756D7" w:rsidRPr="008D0435">
        <w:rPr>
          <w:rStyle w:val="FootnoteReference"/>
          <w:sz w:val="24"/>
          <w:szCs w:val="24"/>
        </w:rPr>
        <w:footnoteReference w:id="106"/>
      </w:r>
      <w:r w:rsidR="00E756D7" w:rsidRPr="008D0435">
        <w:rPr>
          <w:sz w:val="24"/>
          <w:szCs w:val="24"/>
        </w:rPr>
        <w:t xml:space="preserve"> It seems to be largely fo</w:t>
      </w:r>
      <w:r>
        <w:rPr>
          <w:sz w:val="24"/>
          <w:szCs w:val="24"/>
        </w:rPr>
        <w:t>cused on verbal and grammar aid</w:t>
      </w:r>
      <w:r w:rsidR="00E756D7" w:rsidRPr="008D0435">
        <w:rPr>
          <w:sz w:val="24"/>
          <w:szCs w:val="24"/>
        </w:rPr>
        <w:t xml:space="preserve">s and its descendants </w:t>
      </w:r>
      <w:r w:rsidR="00E756D7" w:rsidRPr="008D0435">
        <w:rPr>
          <w:sz w:val="24"/>
          <w:szCs w:val="24"/>
        </w:rPr>
        <w:lastRenderedPageBreak/>
        <w:t>remained in central Italy</w:t>
      </w:r>
      <w:r>
        <w:rPr>
          <w:sz w:val="24"/>
          <w:szCs w:val="24"/>
        </w:rPr>
        <w:t>,</w:t>
      </w:r>
      <w:r w:rsidR="00E756D7" w:rsidRPr="008D0435">
        <w:rPr>
          <w:sz w:val="24"/>
          <w:szCs w:val="24"/>
        </w:rPr>
        <w:t xml:space="preserve"> with one later copy being traceable to the Abbey of Monte Cassino</w:t>
      </w:r>
      <w:r w:rsidR="00E756D7">
        <w:rPr>
          <w:sz w:val="24"/>
          <w:szCs w:val="24"/>
        </w:rPr>
        <w:t xml:space="preserve"> in the 11</w:t>
      </w:r>
      <w:r w:rsidR="00E756D7" w:rsidRPr="008E5CAF">
        <w:rPr>
          <w:sz w:val="24"/>
          <w:szCs w:val="24"/>
          <w:vertAlign w:val="superscript"/>
        </w:rPr>
        <w:t>th</w:t>
      </w:r>
      <w:r w:rsidR="00E756D7">
        <w:rPr>
          <w:sz w:val="24"/>
          <w:szCs w:val="24"/>
        </w:rPr>
        <w:t xml:space="preserve"> century</w:t>
      </w:r>
      <w:r w:rsidR="00E756D7" w:rsidRPr="008D0435">
        <w:rPr>
          <w:sz w:val="24"/>
          <w:szCs w:val="24"/>
        </w:rPr>
        <w:t>.</w:t>
      </w:r>
      <w:r w:rsidR="00E756D7" w:rsidRPr="008D0435">
        <w:rPr>
          <w:rStyle w:val="FootnoteReference"/>
          <w:sz w:val="24"/>
          <w:szCs w:val="24"/>
        </w:rPr>
        <w:footnoteReference w:id="107"/>
      </w:r>
    </w:p>
    <w:p w:rsidR="00E756D7" w:rsidRDefault="00B674AD" w:rsidP="00722391">
      <w:pPr>
        <w:tabs>
          <w:tab w:val="left" w:pos="0"/>
        </w:tabs>
        <w:spacing w:line="480" w:lineRule="auto"/>
        <w:ind w:firstLine="709"/>
        <w:jc w:val="both"/>
        <w:rPr>
          <w:sz w:val="24"/>
          <w:szCs w:val="24"/>
        </w:rPr>
      </w:pPr>
      <w:r>
        <w:rPr>
          <w:sz w:val="24"/>
          <w:szCs w:val="24"/>
        </w:rPr>
        <w:t>However t</w:t>
      </w:r>
      <w:r w:rsidR="00E756D7" w:rsidRPr="008D0435">
        <w:rPr>
          <w:sz w:val="24"/>
          <w:szCs w:val="24"/>
        </w:rPr>
        <w:t xml:space="preserve">he </w:t>
      </w:r>
      <w:r w:rsidR="00E756D7" w:rsidRPr="00985A8A">
        <w:rPr>
          <w:i/>
          <w:sz w:val="24"/>
          <w:szCs w:val="24"/>
        </w:rPr>
        <w:t>Regionaries</w:t>
      </w:r>
      <w:r w:rsidR="005A222E">
        <w:rPr>
          <w:sz w:val="24"/>
          <w:szCs w:val="24"/>
        </w:rPr>
        <w:t xml:space="preserve"> appear</w:t>
      </w:r>
      <w:r w:rsidR="00E756D7" w:rsidRPr="008D0435">
        <w:rPr>
          <w:sz w:val="24"/>
          <w:szCs w:val="24"/>
        </w:rPr>
        <w:t xml:space="preserve"> in much greater numbers across northern Europe.</w:t>
      </w:r>
      <w:r w:rsidR="00E756D7" w:rsidRPr="008D0435">
        <w:rPr>
          <w:rStyle w:val="FootnoteReference"/>
          <w:sz w:val="24"/>
          <w:szCs w:val="24"/>
        </w:rPr>
        <w:footnoteReference w:id="108"/>
      </w:r>
      <w:r w:rsidR="00201C35">
        <w:rPr>
          <w:sz w:val="24"/>
          <w:szCs w:val="24"/>
        </w:rPr>
        <w:t xml:space="preserve"> T</w:t>
      </w:r>
      <w:r w:rsidR="00E756D7" w:rsidRPr="008D0435">
        <w:rPr>
          <w:sz w:val="24"/>
          <w:szCs w:val="24"/>
        </w:rPr>
        <w:t xml:space="preserve">he </w:t>
      </w:r>
      <w:r w:rsidR="00E756D7" w:rsidRPr="008D0435">
        <w:rPr>
          <w:i/>
          <w:sz w:val="24"/>
          <w:szCs w:val="24"/>
        </w:rPr>
        <w:t>Notitia</w:t>
      </w:r>
      <w:r w:rsidR="00E756D7" w:rsidRPr="008D0435">
        <w:rPr>
          <w:sz w:val="24"/>
          <w:szCs w:val="24"/>
        </w:rPr>
        <w:t xml:space="preserve"> survived in the heartlands of the Carolingian Empire, as a result of the Carolingian Renaissance, at places such as Lyon, Aachen and Tours.</w:t>
      </w:r>
      <w:r w:rsidR="00E756D7" w:rsidRPr="008D0435">
        <w:rPr>
          <w:rStyle w:val="FootnoteReference"/>
          <w:sz w:val="24"/>
          <w:szCs w:val="24"/>
        </w:rPr>
        <w:footnoteReference w:id="109"/>
      </w:r>
      <w:r w:rsidR="00E756D7" w:rsidRPr="008D0435">
        <w:rPr>
          <w:sz w:val="24"/>
          <w:szCs w:val="24"/>
        </w:rPr>
        <w:t xml:space="preserve"> The content of the 8</w:t>
      </w:r>
      <w:r w:rsidR="00E756D7" w:rsidRPr="008D0435">
        <w:rPr>
          <w:sz w:val="24"/>
          <w:szCs w:val="24"/>
          <w:vertAlign w:val="superscript"/>
        </w:rPr>
        <w:t>th</w:t>
      </w:r>
      <w:r w:rsidR="00E756D7" w:rsidRPr="008D0435">
        <w:rPr>
          <w:sz w:val="24"/>
          <w:szCs w:val="24"/>
        </w:rPr>
        <w:t xml:space="preserve"> Century </w:t>
      </w:r>
      <w:r w:rsidR="00E756D7" w:rsidRPr="008D0435">
        <w:rPr>
          <w:i/>
          <w:sz w:val="24"/>
          <w:szCs w:val="24"/>
        </w:rPr>
        <w:t>Codex Spirensis</w:t>
      </w:r>
      <w:r w:rsidR="00E756D7" w:rsidRPr="008D0435">
        <w:rPr>
          <w:sz w:val="24"/>
          <w:szCs w:val="24"/>
        </w:rPr>
        <w:t xml:space="preserve">, our most reliable manuscript copy of the </w:t>
      </w:r>
      <w:r w:rsidR="00E756D7" w:rsidRPr="008D0435">
        <w:rPr>
          <w:i/>
          <w:sz w:val="24"/>
          <w:szCs w:val="24"/>
        </w:rPr>
        <w:t>Notitia</w:t>
      </w:r>
      <w:r w:rsidR="00E756D7" w:rsidRPr="008D0435">
        <w:rPr>
          <w:sz w:val="24"/>
          <w:szCs w:val="24"/>
        </w:rPr>
        <w:t xml:space="preserve">, places the </w:t>
      </w:r>
      <w:r w:rsidR="00E756D7" w:rsidRPr="008D0435">
        <w:rPr>
          <w:i/>
          <w:sz w:val="24"/>
          <w:szCs w:val="24"/>
        </w:rPr>
        <w:t xml:space="preserve">Notitia </w:t>
      </w:r>
      <w:r w:rsidR="00E756D7" w:rsidRPr="008D0435">
        <w:rPr>
          <w:sz w:val="24"/>
          <w:szCs w:val="24"/>
        </w:rPr>
        <w:t xml:space="preserve">of the </w:t>
      </w:r>
      <w:r w:rsidR="00E756D7" w:rsidRPr="008D0435">
        <w:rPr>
          <w:i/>
          <w:sz w:val="24"/>
          <w:szCs w:val="24"/>
        </w:rPr>
        <w:t>Regionaries</w:t>
      </w:r>
      <w:r w:rsidR="00E756D7" w:rsidRPr="008D0435">
        <w:rPr>
          <w:sz w:val="24"/>
          <w:szCs w:val="24"/>
        </w:rPr>
        <w:t xml:space="preserve"> alongside their cousin, the </w:t>
      </w:r>
      <w:r w:rsidR="00E756D7" w:rsidRPr="008D0435">
        <w:rPr>
          <w:i/>
          <w:sz w:val="24"/>
          <w:szCs w:val="24"/>
        </w:rPr>
        <w:t>Notitia of Constantinople</w:t>
      </w:r>
      <w:r w:rsidR="00E756D7" w:rsidRPr="008D0435">
        <w:rPr>
          <w:sz w:val="24"/>
          <w:szCs w:val="24"/>
        </w:rPr>
        <w:t xml:space="preserve">; the famous </w:t>
      </w:r>
      <w:r w:rsidR="00E756D7" w:rsidRPr="008D0435">
        <w:rPr>
          <w:i/>
          <w:sz w:val="24"/>
          <w:szCs w:val="24"/>
        </w:rPr>
        <w:t>Notitia Dignitatum</w:t>
      </w:r>
      <w:r w:rsidR="00E756D7" w:rsidRPr="008D0435">
        <w:rPr>
          <w:sz w:val="24"/>
          <w:szCs w:val="24"/>
        </w:rPr>
        <w:t xml:space="preserve">; the </w:t>
      </w:r>
      <w:r w:rsidR="00E756D7" w:rsidRPr="008D0435">
        <w:rPr>
          <w:i/>
          <w:sz w:val="24"/>
          <w:szCs w:val="24"/>
        </w:rPr>
        <w:t>Notitia Galliarum</w:t>
      </w:r>
      <w:r w:rsidR="00E756D7" w:rsidRPr="008D0435">
        <w:rPr>
          <w:sz w:val="24"/>
          <w:szCs w:val="24"/>
        </w:rPr>
        <w:t xml:space="preserve">, a register of the cities and provinces of Late Antique Gaul; and the </w:t>
      </w:r>
      <w:r w:rsidR="00643B1F">
        <w:rPr>
          <w:i/>
          <w:sz w:val="24"/>
          <w:szCs w:val="24"/>
        </w:rPr>
        <w:t>Antonine Itinerary</w:t>
      </w:r>
      <w:r w:rsidR="00E756D7" w:rsidRPr="008D0435">
        <w:rPr>
          <w:sz w:val="24"/>
          <w:szCs w:val="24"/>
        </w:rPr>
        <w:t>, a map of the postal stations of the Empire.</w:t>
      </w:r>
      <w:r w:rsidR="00E756D7" w:rsidRPr="008D0435">
        <w:rPr>
          <w:rStyle w:val="FootnoteReference"/>
          <w:sz w:val="24"/>
          <w:szCs w:val="24"/>
        </w:rPr>
        <w:footnoteReference w:id="110"/>
      </w:r>
      <w:r w:rsidR="00E756D7" w:rsidRPr="008D0435">
        <w:rPr>
          <w:sz w:val="24"/>
          <w:szCs w:val="24"/>
        </w:rPr>
        <w:t xml:space="preserve"> J.C Mann described the </w:t>
      </w:r>
      <w:r w:rsidR="00E756D7" w:rsidRPr="008D0435">
        <w:rPr>
          <w:i/>
          <w:sz w:val="24"/>
          <w:szCs w:val="24"/>
        </w:rPr>
        <w:t>Codex Spirensis</w:t>
      </w:r>
      <w:r w:rsidR="00E756D7" w:rsidRPr="008D0435">
        <w:rPr>
          <w:sz w:val="24"/>
          <w:szCs w:val="24"/>
        </w:rPr>
        <w:t xml:space="preserve">’s genesis as being a  result of, ‘when Charlemagne was crowned </w:t>
      </w:r>
      <w:r w:rsidR="008B44B0">
        <w:rPr>
          <w:sz w:val="24"/>
          <w:szCs w:val="24"/>
        </w:rPr>
        <w:t>emperor</w:t>
      </w:r>
      <w:r w:rsidR="00E756D7" w:rsidRPr="008D0435">
        <w:rPr>
          <w:sz w:val="24"/>
          <w:szCs w:val="24"/>
        </w:rPr>
        <w:t xml:space="preserve"> in AD 800… the associates and supporters of the Carolingian </w:t>
      </w:r>
      <w:r w:rsidR="008B44B0">
        <w:rPr>
          <w:sz w:val="24"/>
          <w:szCs w:val="24"/>
        </w:rPr>
        <w:t>emperor</w:t>
      </w:r>
      <w:r w:rsidR="00E756D7" w:rsidRPr="008D0435">
        <w:rPr>
          <w:sz w:val="24"/>
          <w:szCs w:val="24"/>
        </w:rPr>
        <w:t>[s] will no doubt have been interested in any information to be found on the way that the Romans had governed’.</w:t>
      </w:r>
      <w:r w:rsidR="00E756D7" w:rsidRPr="008D0435">
        <w:rPr>
          <w:rStyle w:val="FootnoteReference"/>
          <w:sz w:val="24"/>
          <w:szCs w:val="24"/>
        </w:rPr>
        <w:footnoteReference w:id="111"/>
      </w:r>
      <w:r w:rsidR="00E756D7" w:rsidRPr="008D0435">
        <w:rPr>
          <w:sz w:val="24"/>
          <w:szCs w:val="24"/>
        </w:rPr>
        <w:t xml:space="preserve"> Having conquered northern and central Italy the Carolingians would have had access to</w:t>
      </w:r>
      <w:r w:rsidR="007A3F5E">
        <w:rPr>
          <w:sz w:val="24"/>
          <w:szCs w:val="24"/>
        </w:rPr>
        <w:t xml:space="preserve"> what remained of</w:t>
      </w:r>
      <w:r w:rsidR="00E756D7" w:rsidRPr="008D0435">
        <w:rPr>
          <w:sz w:val="24"/>
          <w:szCs w:val="24"/>
        </w:rPr>
        <w:t xml:space="preserve"> the archives and libraries of Ravenna and Vivarium. Those documents that were found useful would have been transferred back to France and Germany for use by the Carolingian government, who would go onto see the documents copied further.</w:t>
      </w:r>
      <w:r w:rsidR="00E756D7" w:rsidRPr="008D0435">
        <w:rPr>
          <w:rStyle w:val="FootnoteReference"/>
          <w:sz w:val="24"/>
          <w:szCs w:val="24"/>
        </w:rPr>
        <w:footnoteReference w:id="112"/>
      </w:r>
      <w:r w:rsidR="00E756D7" w:rsidRPr="008D0435">
        <w:rPr>
          <w:sz w:val="24"/>
          <w:szCs w:val="24"/>
        </w:rPr>
        <w:t xml:space="preserve"> The “</w:t>
      </w:r>
      <w:r w:rsidR="00E756D7" w:rsidRPr="008D0435">
        <w:rPr>
          <w:i/>
          <w:sz w:val="24"/>
          <w:szCs w:val="24"/>
        </w:rPr>
        <w:t>Notitia</w:t>
      </w:r>
      <w:r w:rsidR="00B54555">
        <w:rPr>
          <w:sz w:val="24"/>
          <w:szCs w:val="24"/>
        </w:rPr>
        <w:t xml:space="preserve"> group” of the Codex was</w:t>
      </w:r>
      <w:r w:rsidR="00E756D7" w:rsidRPr="008D0435">
        <w:rPr>
          <w:sz w:val="24"/>
          <w:szCs w:val="24"/>
        </w:rPr>
        <w:t xml:space="preserve"> packaged alongside texts such as </w:t>
      </w:r>
      <w:r w:rsidR="00E756D7" w:rsidRPr="008D0435">
        <w:rPr>
          <w:i/>
          <w:sz w:val="24"/>
          <w:szCs w:val="24"/>
        </w:rPr>
        <w:t>De Mensura Orbis Terrae</w:t>
      </w:r>
      <w:r w:rsidR="00E756D7" w:rsidRPr="008D0435">
        <w:rPr>
          <w:sz w:val="24"/>
          <w:szCs w:val="24"/>
        </w:rPr>
        <w:t xml:space="preserve"> (based on a geographical survey ordered by Theodosius II) and the </w:t>
      </w:r>
      <w:r w:rsidR="00E756D7" w:rsidRPr="008D0435">
        <w:rPr>
          <w:i/>
          <w:sz w:val="24"/>
          <w:szCs w:val="24"/>
        </w:rPr>
        <w:t>De Gradibus Cognationum</w:t>
      </w:r>
      <w:r w:rsidR="00E756D7" w:rsidRPr="008D0435">
        <w:rPr>
          <w:sz w:val="24"/>
          <w:szCs w:val="24"/>
        </w:rPr>
        <w:t xml:space="preserve"> (a legal text discussing the varying degrees </w:t>
      </w:r>
      <w:r w:rsidR="00E756D7" w:rsidRPr="008D0435">
        <w:rPr>
          <w:sz w:val="24"/>
          <w:szCs w:val="24"/>
        </w:rPr>
        <w:lastRenderedPageBreak/>
        <w:t>of kinship).</w:t>
      </w:r>
      <w:r w:rsidR="00E756D7" w:rsidRPr="008D0435">
        <w:rPr>
          <w:rStyle w:val="FootnoteReference"/>
          <w:sz w:val="24"/>
          <w:szCs w:val="24"/>
        </w:rPr>
        <w:footnoteReference w:id="113"/>
      </w:r>
      <w:r w:rsidR="00E756D7" w:rsidRPr="008D0435">
        <w:rPr>
          <w:sz w:val="24"/>
          <w:szCs w:val="24"/>
        </w:rPr>
        <w:t xml:space="preserve">  Scientific manuals and educational aids for grammar and rhetoric continue</w:t>
      </w:r>
      <w:r w:rsidR="006F6463">
        <w:rPr>
          <w:sz w:val="24"/>
          <w:szCs w:val="24"/>
        </w:rPr>
        <w:t>d</w:t>
      </w:r>
      <w:r w:rsidR="00E756D7" w:rsidRPr="008D0435">
        <w:rPr>
          <w:sz w:val="24"/>
          <w:szCs w:val="24"/>
        </w:rPr>
        <w:t xml:space="preserve"> to be extremely popular. Giles Brow</w:t>
      </w:r>
      <w:r w:rsidR="001E0974">
        <w:rPr>
          <w:sz w:val="24"/>
          <w:szCs w:val="24"/>
        </w:rPr>
        <w:t>n</w:t>
      </w:r>
      <w:r w:rsidR="00E756D7" w:rsidRPr="008D0435">
        <w:rPr>
          <w:sz w:val="24"/>
          <w:szCs w:val="24"/>
        </w:rPr>
        <w:t xml:space="preserve"> suggested that, ‘Where possible pagan culture could be given a Christian gloss; where not it might be tolerated because it was useful… Pagan authors, moreover, contained much practical knowledge that was worth having’.</w:t>
      </w:r>
      <w:r w:rsidR="00E756D7" w:rsidRPr="008D0435">
        <w:rPr>
          <w:rStyle w:val="FootnoteReference"/>
          <w:sz w:val="24"/>
          <w:szCs w:val="24"/>
        </w:rPr>
        <w:footnoteReference w:id="114"/>
      </w:r>
      <w:r w:rsidR="00E756D7" w:rsidRPr="008D0435">
        <w:rPr>
          <w:sz w:val="24"/>
          <w:szCs w:val="24"/>
        </w:rPr>
        <w:t xml:space="preserve"> Lacking any Christian motifs or buildings</w:t>
      </w:r>
      <w:r w:rsidR="00B54555">
        <w:rPr>
          <w:sz w:val="24"/>
          <w:szCs w:val="24"/>
        </w:rPr>
        <w:t xml:space="preserve"> and possessing the numbers of s</w:t>
      </w:r>
      <w:r w:rsidR="00E756D7" w:rsidRPr="008D0435">
        <w:rPr>
          <w:sz w:val="24"/>
          <w:szCs w:val="24"/>
        </w:rPr>
        <w:t xml:space="preserve">hrines of the City and listing several of the most significant temples of pagan Rome, it is hard to see how we cannot construe the </w:t>
      </w:r>
      <w:r w:rsidR="00E756D7" w:rsidRPr="008D0435">
        <w:rPr>
          <w:i/>
          <w:sz w:val="24"/>
          <w:szCs w:val="24"/>
        </w:rPr>
        <w:t>Regionaries</w:t>
      </w:r>
      <w:r w:rsidR="00E756D7" w:rsidRPr="008D0435">
        <w:rPr>
          <w:sz w:val="24"/>
          <w:szCs w:val="24"/>
        </w:rPr>
        <w:t xml:space="preserve"> as possessing “pagan” characteristics.</w:t>
      </w:r>
      <w:r w:rsidR="00E756D7" w:rsidRPr="008D0435">
        <w:rPr>
          <w:rStyle w:val="FootnoteReference"/>
          <w:sz w:val="24"/>
          <w:szCs w:val="24"/>
        </w:rPr>
        <w:footnoteReference w:id="115"/>
      </w:r>
      <w:r w:rsidR="00E756D7" w:rsidRPr="008D0435">
        <w:rPr>
          <w:sz w:val="24"/>
          <w:szCs w:val="24"/>
        </w:rPr>
        <w:t xml:space="preserve"> But it must be remembered that these were public buildi</w:t>
      </w:r>
      <w:r w:rsidR="00B54555">
        <w:rPr>
          <w:sz w:val="24"/>
          <w:szCs w:val="24"/>
        </w:rPr>
        <w:t>ngs and a concern of the state (</w:t>
      </w:r>
      <w:r w:rsidR="00E756D7" w:rsidRPr="008D0435">
        <w:rPr>
          <w:sz w:val="24"/>
          <w:szCs w:val="24"/>
        </w:rPr>
        <w:t xml:space="preserve">as </w:t>
      </w:r>
      <w:r w:rsidR="00B54555">
        <w:rPr>
          <w:sz w:val="24"/>
          <w:szCs w:val="24"/>
        </w:rPr>
        <w:t>we shall see in a later chapter). They were as many</w:t>
      </w:r>
      <w:r w:rsidR="00E756D7" w:rsidRPr="008D0435">
        <w:rPr>
          <w:sz w:val="24"/>
          <w:szCs w:val="24"/>
        </w:rPr>
        <w:t xml:space="preserve"> administrative centres as they were p</w:t>
      </w:r>
      <w:r w:rsidR="00B54555">
        <w:rPr>
          <w:sz w:val="24"/>
          <w:szCs w:val="24"/>
        </w:rPr>
        <w:t>laces of worship. It is not the fact that these texts were Roman that made</w:t>
      </w:r>
      <w:r w:rsidR="00E756D7" w:rsidRPr="008D0435">
        <w:rPr>
          <w:sz w:val="24"/>
          <w:szCs w:val="24"/>
        </w:rPr>
        <w:t xml:space="preserve"> them desirable but the knowledge that they contain</w:t>
      </w:r>
      <w:r w:rsidR="00B54555">
        <w:rPr>
          <w:sz w:val="24"/>
          <w:szCs w:val="24"/>
        </w:rPr>
        <w:t>ed</w:t>
      </w:r>
      <w:r w:rsidR="00E756D7" w:rsidRPr="008D0435">
        <w:rPr>
          <w:sz w:val="24"/>
          <w:szCs w:val="24"/>
        </w:rPr>
        <w:t>.</w:t>
      </w:r>
      <w:r w:rsidR="00E756D7" w:rsidRPr="008D0435">
        <w:rPr>
          <w:rStyle w:val="FootnoteReference"/>
          <w:sz w:val="24"/>
          <w:szCs w:val="24"/>
        </w:rPr>
        <w:footnoteReference w:id="116"/>
      </w:r>
      <w:r w:rsidR="00E756D7" w:rsidRPr="008D0435">
        <w:rPr>
          <w:sz w:val="24"/>
          <w:szCs w:val="24"/>
        </w:rPr>
        <w:t xml:space="preserve"> Roman laws contained inspiration for Carolingian legal codes, mathematical texts could be put to use in engineering, and histories </w:t>
      </w:r>
      <w:r w:rsidR="00B54555">
        <w:rPr>
          <w:sz w:val="24"/>
          <w:szCs w:val="24"/>
        </w:rPr>
        <w:t xml:space="preserve">were </w:t>
      </w:r>
      <w:r w:rsidR="00E756D7" w:rsidRPr="008D0435">
        <w:rPr>
          <w:sz w:val="24"/>
          <w:szCs w:val="24"/>
        </w:rPr>
        <w:t xml:space="preserve">searched for inspiration or warnings. </w:t>
      </w:r>
    </w:p>
    <w:p w:rsidR="00E756D7" w:rsidRPr="008D0435" w:rsidRDefault="00E756D7" w:rsidP="007F1BDB">
      <w:pPr>
        <w:tabs>
          <w:tab w:val="left" w:pos="0"/>
        </w:tabs>
        <w:spacing w:line="480" w:lineRule="auto"/>
        <w:ind w:firstLine="709"/>
        <w:jc w:val="both"/>
        <w:rPr>
          <w:sz w:val="24"/>
          <w:szCs w:val="24"/>
        </w:rPr>
      </w:pPr>
      <w:r w:rsidRPr="008D0435">
        <w:rPr>
          <w:sz w:val="24"/>
          <w:szCs w:val="24"/>
        </w:rPr>
        <w:t xml:space="preserve">When we examine the manuscript collections that contain the </w:t>
      </w:r>
      <w:r w:rsidRPr="008D0435">
        <w:rPr>
          <w:i/>
          <w:sz w:val="24"/>
          <w:szCs w:val="24"/>
        </w:rPr>
        <w:t xml:space="preserve">Regionary Catalogues, </w:t>
      </w:r>
      <w:r w:rsidRPr="008D0435">
        <w:rPr>
          <w:sz w:val="24"/>
          <w:szCs w:val="24"/>
        </w:rPr>
        <w:t xml:space="preserve">both the </w:t>
      </w:r>
      <w:r w:rsidRPr="008D0435">
        <w:rPr>
          <w:i/>
          <w:sz w:val="24"/>
          <w:szCs w:val="24"/>
        </w:rPr>
        <w:t>Notitia</w:t>
      </w:r>
      <w:r w:rsidRPr="008D0435">
        <w:rPr>
          <w:sz w:val="24"/>
          <w:szCs w:val="24"/>
        </w:rPr>
        <w:t xml:space="preserve"> and the </w:t>
      </w:r>
      <w:r w:rsidRPr="008D0435">
        <w:rPr>
          <w:i/>
          <w:sz w:val="24"/>
          <w:szCs w:val="24"/>
        </w:rPr>
        <w:t>Curiosum</w:t>
      </w:r>
      <w:r w:rsidR="007A3F5E">
        <w:rPr>
          <w:sz w:val="24"/>
          <w:szCs w:val="24"/>
        </w:rPr>
        <w:t xml:space="preserve"> are most</w:t>
      </w:r>
      <w:r w:rsidR="00B54555">
        <w:rPr>
          <w:sz w:val="24"/>
          <w:szCs w:val="24"/>
        </w:rPr>
        <w:t xml:space="preserve"> commonly grouped with histories, g</w:t>
      </w:r>
      <w:r w:rsidRPr="008D0435">
        <w:rPr>
          <w:sz w:val="24"/>
          <w:szCs w:val="24"/>
        </w:rPr>
        <w:t>rammar guides, and mathematical texts.</w:t>
      </w:r>
      <w:r w:rsidRPr="008D0435">
        <w:rPr>
          <w:rStyle w:val="FootnoteReference"/>
          <w:sz w:val="24"/>
          <w:szCs w:val="24"/>
        </w:rPr>
        <w:footnoteReference w:id="117"/>
      </w:r>
      <w:r w:rsidRPr="008D0435">
        <w:rPr>
          <w:sz w:val="24"/>
          <w:szCs w:val="24"/>
        </w:rPr>
        <w:t xml:space="preserve"> </w:t>
      </w:r>
      <w:r w:rsidR="007A3F5E">
        <w:rPr>
          <w:sz w:val="24"/>
          <w:szCs w:val="24"/>
        </w:rPr>
        <w:t>However whereas t</w:t>
      </w:r>
      <w:r w:rsidRPr="008D0435">
        <w:rPr>
          <w:sz w:val="24"/>
          <w:szCs w:val="24"/>
        </w:rPr>
        <w:t xml:space="preserve">he </w:t>
      </w:r>
      <w:r w:rsidRPr="008D0435">
        <w:rPr>
          <w:i/>
          <w:sz w:val="24"/>
          <w:szCs w:val="24"/>
        </w:rPr>
        <w:t>Notitia</w:t>
      </w:r>
      <w:r w:rsidR="007A3F5E">
        <w:rPr>
          <w:sz w:val="24"/>
          <w:szCs w:val="24"/>
        </w:rPr>
        <w:t xml:space="preserve"> was</w:t>
      </w:r>
      <w:r w:rsidRPr="008D0435">
        <w:rPr>
          <w:sz w:val="24"/>
          <w:szCs w:val="24"/>
        </w:rPr>
        <w:t xml:space="preserve"> collected with texts that are much m</w:t>
      </w:r>
      <w:r w:rsidR="007A3F5E">
        <w:rPr>
          <w:sz w:val="24"/>
          <w:szCs w:val="24"/>
        </w:rPr>
        <w:t>ore focused on the wider Empire</w:t>
      </w:r>
      <w:r w:rsidRPr="008D0435">
        <w:rPr>
          <w:sz w:val="24"/>
          <w:szCs w:val="24"/>
        </w:rPr>
        <w:t xml:space="preserve"> such as the </w:t>
      </w:r>
      <w:r w:rsidRPr="008D0435">
        <w:rPr>
          <w:i/>
          <w:sz w:val="24"/>
          <w:szCs w:val="24"/>
        </w:rPr>
        <w:t xml:space="preserve">Notitia Dignitatum </w:t>
      </w:r>
      <w:r w:rsidRPr="008D0435">
        <w:rPr>
          <w:sz w:val="24"/>
          <w:szCs w:val="24"/>
        </w:rPr>
        <w:t xml:space="preserve">and </w:t>
      </w:r>
      <w:r w:rsidRPr="008D0435">
        <w:rPr>
          <w:i/>
          <w:sz w:val="24"/>
          <w:szCs w:val="24"/>
        </w:rPr>
        <w:t>Itinerarium Antonini</w:t>
      </w:r>
      <w:r w:rsidRPr="008D0435">
        <w:rPr>
          <w:sz w:val="24"/>
          <w:szCs w:val="24"/>
        </w:rPr>
        <w:t xml:space="preserve">, the </w:t>
      </w:r>
      <w:r w:rsidRPr="008D0435">
        <w:rPr>
          <w:i/>
          <w:sz w:val="24"/>
          <w:szCs w:val="24"/>
        </w:rPr>
        <w:t xml:space="preserve">Curiosum </w:t>
      </w:r>
      <w:r w:rsidR="007A3F5E">
        <w:rPr>
          <w:sz w:val="24"/>
          <w:szCs w:val="24"/>
        </w:rPr>
        <w:t>w</w:t>
      </w:r>
      <w:r w:rsidR="00B54555">
        <w:rPr>
          <w:sz w:val="24"/>
          <w:szCs w:val="24"/>
        </w:rPr>
        <w:t>as collected with documents such as</w:t>
      </w:r>
      <w:r w:rsidRPr="008D0435">
        <w:rPr>
          <w:sz w:val="24"/>
          <w:szCs w:val="24"/>
        </w:rPr>
        <w:t xml:space="preserve"> the </w:t>
      </w:r>
      <w:r w:rsidRPr="008D0435">
        <w:rPr>
          <w:i/>
          <w:sz w:val="24"/>
          <w:szCs w:val="24"/>
        </w:rPr>
        <w:t xml:space="preserve">Capitolum </w:t>
      </w:r>
      <w:r w:rsidRPr="008D0435">
        <w:rPr>
          <w:i/>
          <w:sz w:val="24"/>
          <w:szCs w:val="24"/>
        </w:rPr>
        <w:lastRenderedPageBreak/>
        <w:t>Rome</w:t>
      </w:r>
      <w:r w:rsidRPr="008D0435">
        <w:rPr>
          <w:sz w:val="24"/>
          <w:szCs w:val="24"/>
        </w:rPr>
        <w:t xml:space="preserve">, the </w:t>
      </w:r>
      <w:r w:rsidRPr="008D0435">
        <w:rPr>
          <w:i/>
          <w:sz w:val="24"/>
          <w:szCs w:val="24"/>
        </w:rPr>
        <w:t>Liber Pontificalis</w:t>
      </w:r>
      <w:r w:rsidRPr="008D0435">
        <w:rPr>
          <w:sz w:val="24"/>
          <w:szCs w:val="24"/>
        </w:rPr>
        <w:t xml:space="preserve">, and the </w:t>
      </w:r>
      <w:r w:rsidRPr="008D0435">
        <w:rPr>
          <w:i/>
          <w:sz w:val="24"/>
          <w:szCs w:val="24"/>
        </w:rPr>
        <w:t>De Aquarum Ductibus Romam Rigantibus</w:t>
      </w:r>
      <w:r w:rsidRPr="008D0435">
        <w:rPr>
          <w:sz w:val="24"/>
          <w:szCs w:val="24"/>
        </w:rPr>
        <w:t xml:space="preserve"> alongside the grammar guides and histories. </w:t>
      </w:r>
      <w:r>
        <w:rPr>
          <w:sz w:val="24"/>
          <w:szCs w:val="24"/>
        </w:rPr>
        <w:t xml:space="preserve">The </w:t>
      </w:r>
      <w:r>
        <w:rPr>
          <w:i/>
          <w:sz w:val="24"/>
          <w:szCs w:val="24"/>
        </w:rPr>
        <w:t>Curiosum’s</w:t>
      </w:r>
      <w:r>
        <w:rPr>
          <w:sz w:val="24"/>
          <w:szCs w:val="24"/>
        </w:rPr>
        <w:t xml:space="preserve"> relative lack of popularity in its transmission in contrast to the </w:t>
      </w:r>
      <w:r>
        <w:rPr>
          <w:i/>
          <w:sz w:val="24"/>
          <w:szCs w:val="24"/>
        </w:rPr>
        <w:t>Notitia</w:t>
      </w:r>
      <w:r>
        <w:rPr>
          <w:sz w:val="24"/>
          <w:szCs w:val="24"/>
        </w:rPr>
        <w:t xml:space="preserve"> could well be explained by its association with the church and central Italy. The Papacy’s increasingly unamicable relations with the Byzantine </w:t>
      </w:r>
      <w:r w:rsidR="0087599E">
        <w:rPr>
          <w:sz w:val="24"/>
          <w:szCs w:val="24"/>
        </w:rPr>
        <w:t>emperors</w:t>
      </w:r>
      <w:r>
        <w:rPr>
          <w:sz w:val="24"/>
          <w:szCs w:val="24"/>
        </w:rPr>
        <w:t xml:space="preserve"> would hardly incentivise</w:t>
      </w:r>
      <w:r w:rsidR="00B54555">
        <w:rPr>
          <w:sz w:val="24"/>
          <w:szCs w:val="24"/>
        </w:rPr>
        <w:t xml:space="preserve"> them</w:t>
      </w:r>
      <w:r>
        <w:rPr>
          <w:sz w:val="24"/>
          <w:szCs w:val="24"/>
        </w:rPr>
        <w:t xml:space="preserve"> to reproduce a manuscript that glorified the </w:t>
      </w:r>
      <w:r w:rsidR="00B54555">
        <w:rPr>
          <w:sz w:val="24"/>
          <w:szCs w:val="24"/>
        </w:rPr>
        <w:t xml:space="preserve">city of the </w:t>
      </w:r>
      <w:r>
        <w:rPr>
          <w:sz w:val="24"/>
          <w:szCs w:val="24"/>
        </w:rPr>
        <w:t>Empire</w:t>
      </w:r>
      <w:r w:rsidR="006F6463">
        <w:rPr>
          <w:sz w:val="24"/>
          <w:szCs w:val="24"/>
        </w:rPr>
        <w:t xml:space="preserve"> rather than</w:t>
      </w:r>
      <w:r>
        <w:rPr>
          <w:sz w:val="24"/>
          <w:szCs w:val="24"/>
        </w:rPr>
        <w:t xml:space="preserve"> the</w:t>
      </w:r>
      <w:r w:rsidR="00B54555">
        <w:rPr>
          <w:sz w:val="24"/>
          <w:szCs w:val="24"/>
        </w:rPr>
        <w:t xml:space="preserve"> city of the Church</w:t>
      </w:r>
      <w:r w:rsidR="000C306D">
        <w:rPr>
          <w:sz w:val="24"/>
          <w:szCs w:val="24"/>
        </w:rPr>
        <w:t>.</w:t>
      </w:r>
      <w:r w:rsidR="000C306D" w:rsidRPr="000C306D">
        <w:rPr>
          <w:sz w:val="24"/>
          <w:szCs w:val="24"/>
        </w:rPr>
        <w:t xml:space="preserve"> </w:t>
      </w:r>
      <w:r w:rsidR="000C306D">
        <w:rPr>
          <w:sz w:val="24"/>
          <w:szCs w:val="24"/>
        </w:rPr>
        <w:t>This</w:t>
      </w:r>
      <w:r w:rsidR="000C306D" w:rsidRPr="008D0435">
        <w:rPr>
          <w:sz w:val="24"/>
          <w:szCs w:val="24"/>
        </w:rPr>
        <w:t xml:space="preserve"> would make sense given its continued survival near to Rome.</w:t>
      </w:r>
      <w:r w:rsidR="000C306D" w:rsidRPr="008D0435">
        <w:rPr>
          <w:rStyle w:val="FootnoteReference"/>
          <w:sz w:val="24"/>
          <w:szCs w:val="24"/>
        </w:rPr>
        <w:footnoteReference w:id="118"/>
      </w:r>
      <w:r w:rsidRPr="008D0435">
        <w:rPr>
          <w:sz w:val="24"/>
          <w:szCs w:val="24"/>
        </w:rPr>
        <w:t xml:space="preserve"> It would be an easy choice then, to suggest that the </w:t>
      </w:r>
      <w:r w:rsidRPr="008D0435">
        <w:rPr>
          <w:i/>
          <w:sz w:val="24"/>
          <w:szCs w:val="24"/>
        </w:rPr>
        <w:t>Notitia</w:t>
      </w:r>
      <w:r w:rsidRPr="008D0435">
        <w:rPr>
          <w:sz w:val="24"/>
          <w:szCs w:val="24"/>
        </w:rPr>
        <w:t xml:space="preserve"> </w:t>
      </w:r>
      <w:r>
        <w:rPr>
          <w:sz w:val="24"/>
          <w:szCs w:val="24"/>
        </w:rPr>
        <w:t>was</w:t>
      </w:r>
      <w:r w:rsidRPr="008D0435">
        <w:rPr>
          <w:sz w:val="24"/>
          <w:szCs w:val="24"/>
        </w:rPr>
        <w:t xml:space="preserve"> selected</w:t>
      </w:r>
      <w:r>
        <w:rPr>
          <w:sz w:val="24"/>
          <w:szCs w:val="24"/>
        </w:rPr>
        <w:t xml:space="preserve"> instead</w:t>
      </w:r>
      <w:r w:rsidRPr="008D0435">
        <w:rPr>
          <w:sz w:val="24"/>
          <w:szCs w:val="24"/>
        </w:rPr>
        <w:t xml:space="preserve"> for the Carolingian codices on the basis of some grand Carolingian project to burnish the Roman </w:t>
      </w:r>
      <w:r w:rsidR="008B44B0">
        <w:rPr>
          <w:sz w:val="24"/>
          <w:szCs w:val="24"/>
        </w:rPr>
        <w:t>imperial</w:t>
      </w:r>
      <w:r w:rsidRPr="008D0435">
        <w:rPr>
          <w:sz w:val="24"/>
          <w:szCs w:val="24"/>
        </w:rPr>
        <w:t xml:space="preserve"> credentials of Charlemagne’s burgeoning empire.</w:t>
      </w:r>
      <w:r w:rsidR="007F1BDB" w:rsidRPr="007F1BDB">
        <w:rPr>
          <w:sz w:val="24"/>
          <w:szCs w:val="24"/>
        </w:rPr>
        <w:t xml:space="preserve"> </w:t>
      </w:r>
      <w:r w:rsidR="007F1BDB" w:rsidRPr="008D0435">
        <w:rPr>
          <w:sz w:val="24"/>
          <w:szCs w:val="24"/>
        </w:rPr>
        <w:t>Charlemagne’s extensive programme of religious and educational reforms is recognised to have been a result of him attempting to both buttress the cultural and historical credentials of the Carolingians and create a new unifying paradigm</w:t>
      </w:r>
      <w:r w:rsidR="007F1BDB">
        <w:rPr>
          <w:sz w:val="24"/>
          <w:szCs w:val="24"/>
        </w:rPr>
        <w:t xml:space="preserve"> around which</w:t>
      </w:r>
      <w:r w:rsidR="007F1BDB" w:rsidRPr="008D0435">
        <w:rPr>
          <w:sz w:val="24"/>
          <w:szCs w:val="24"/>
        </w:rPr>
        <w:t xml:space="preserve"> to </w:t>
      </w:r>
      <w:r w:rsidR="007F1BDB">
        <w:rPr>
          <w:sz w:val="24"/>
          <w:szCs w:val="24"/>
        </w:rPr>
        <w:t>help rally the new empire</w:t>
      </w:r>
      <w:r w:rsidR="007F1BDB" w:rsidRPr="008D0435">
        <w:rPr>
          <w:sz w:val="24"/>
          <w:szCs w:val="24"/>
        </w:rPr>
        <w:t>.</w:t>
      </w:r>
      <w:r w:rsidR="007F1BDB" w:rsidRPr="008D0435">
        <w:rPr>
          <w:rStyle w:val="FootnoteReference"/>
          <w:sz w:val="24"/>
          <w:szCs w:val="24"/>
        </w:rPr>
        <w:footnoteReference w:id="119"/>
      </w:r>
      <w:r w:rsidR="007F1BDB" w:rsidRPr="008D0435">
        <w:rPr>
          <w:sz w:val="24"/>
          <w:szCs w:val="24"/>
        </w:rPr>
        <w:t xml:space="preserve"> In this situation the line</w:t>
      </w:r>
      <w:r w:rsidR="007F1BDB">
        <w:rPr>
          <w:sz w:val="24"/>
          <w:szCs w:val="24"/>
        </w:rPr>
        <w:t xml:space="preserve"> between</w:t>
      </w:r>
      <w:r w:rsidR="007F1BDB" w:rsidRPr="008D0435">
        <w:rPr>
          <w:sz w:val="24"/>
          <w:szCs w:val="24"/>
        </w:rPr>
        <w:t xml:space="preserve"> what is practic</w:t>
      </w:r>
      <w:r w:rsidR="007F1BDB">
        <w:rPr>
          <w:sz w:val="24"/>
          <w:szCs w:val="24"/>
        </w:rPr>
        <w:t>ally useful and what may seem to be</w:t>
      </w:r>
      <w:r w:rsidR="007F1BDB" w:rsidRPr="008D0435">
        <w:rPr>
          <w:sz w:val="24"/>
          <w:szCs w:val="24"/>
        </w:rPr>
        <w:t xml:space="preserve"> ideologically window dressing can become blurred. Rome’s </w:t>
      </w:r>
      <w:r w:rsidR="008B44B0">
        <w:rPr>
          <w:sz w:val="24"/>
          <w:szCs w:val="24"/>
        </w:rPr>
        <w:t>imperial</w:t>
      </w:r>
      <w:r w:rsidR="007F1BDB" w:rsidRPr="008D0435">
        <w:rPr>
          <w:sz w:val="24"/>
          <w:szCs w:val="24"/>
        </w:rPr>
        <w:t xml:space="preserve"> heritage was still impressive and worthy of respect. Its descendant in the east</w:t>
      </w:r>
      <w:r w:rsidR="007F1BDB">
        <w:rPr>
          <w:sz w:val="24"/>
          <w:szCs w:val="24"/>
        </w:rPr>
        <w:t>,</w:t>
      </w:r>
      <w:r w:rsidR="007F1BDB" w:rsidRPr="008D0435">
        <w:rPr>
          <w:sz w:val="24"/>
          <w:szCs w:val="24"/>
        </w:rPr>
        <w:t xml:space="preserve"> the Byzantine Empire</w:t>
      </w:r>
      <w:r w:rsidR="007F1BDB">
        <w:rPr>
          <w:sz w:val="24"/>
          <w:szCs w:val="24"/>
        </w:rPr>
        <w:t>,</w:t>
      </w:r>
      <w:r w:rsidR="007F1BDB" w:rsidRPr="008D0435">
        <w:rPr>
          <w:sz w:val="24"/>
          <w:szCs w:val="24"/>
        </w:rPr>
        <w:t xml:space="preserve"> remained a significant power. </w:t>
      </w:r>
      <w:r w:rsidRPr="008D0435">
        <w:rPr>
          <w:sz w:val="24"/>
          <w:szCs w:val="24"/>
        </w:rPr>
        <w:t xml:space="preserve">But the Carolingian Empire could never hope to compete with the classical </w:t>
      </w:r>
      <w:r w:rsidR="008B44B0">
        <w:rPr>
          <w:sz w:val="24"/>
          <w:szCs w:val="24"/>
        </w:rPr>
        <w:t>imperial</w:t>
      </w:r>
      <w:r w:rsidRPr="008D0435">
        <w:rPr>
          <w:sz w:val="24"/>
          <w:szCs w:val="24"/>
        </w:rPr>
        <w:t xml:space="preserve"> heritage of the remains of the Eastern Empire. </w:t>
      </w:r>
      <w:r w:rsidR="007F1BDB" w:rsidRPr="008D0435">
        <w:rPr>
          <w:sz w:val="24"/>
          <w:szCs w:val="24"/>
        </w:rPr>
        <w:t xml:space="preserve">But unlike the Byzantines, the Carolingians did not solely rely on their constitutional heritage for their </w:t>
      </w:r>
      <w:r w:rsidR="008B44B0">
        <w:rPr>
          <w:sz w:val="24"/>
          <w:szCs w:val="24"/>
        </w:rPr>
        <w:t>imperial</w:t>
      </w:r>
      <w:r w:rsidR="007F1BDB" w:rsidRPr="008D0435">
        <w:rPr>
          <w:sz w:val="24"/>
          <w:szCs w:val="24"/>
        </w:rPr>
        <w:t xml:space="preserve"> identity.</w:t>
      </w:r>
      <w:r w:rsidR="007F1BDB" w:rsidRPr="008D0435">
        <w:rPr>
          <w:rStyle w:val="FootnoteReference"/>
          <w:sz w:val="24"/>
          <w:szCs w:val="24"/>
        </w:rPr>
        <w:footnoteReference w:id="120"/>
      </w:r>
      <w:r w:rsidR="007F1BDB" w:rsidRPr="007F1BDB">
        <w:rPr>
          <w:sz w:val="24"/>
          <w:szCs w:val="24"/>
        </w:rPr>
        <w:t xml:space="preserve"> </w:t>
      </w:r>
      <w:r w:rsidR="007F1BDB" w:rsidRPr="008D0435">
        <w:rPr>
          <w:sz w:val="24"/>
          <w:szCs w:val="24"/>
        </w:rPr>
        <w:t>The Carolingian Empire was built upon its military power and relationship with the Catholic Church.</w:t>
      </w:r>
      <w:r w:rsidR="007F1BDB" w:rsidRPr="008D0435">
        <w:rPr>
          <w:rStyle w:val="FootnoteReference"/>
          <w:sz w:val="24"/>
          <w:szCs w:val="24"/>
        </w:rPr>
        <w:footnoteReference w:id="121"/>
      </w:r>
      <w:r w:rsidR="007F1BDB" w:rsidRPr="008D0435">
        <w:rPr>
          <w:sz w:val="24"/>
          <w:szCs w:val="24"/>
        </w:rPr>
        <w:t xml:space="preserve"> Just like the </w:t>
      </w:r>
      <w:r w:rsidR="007F1BDB" w:rsidRPr="008D0435">
        <w:rPr>
          <w:i/>
          <w:sz w:val="24"/>
          <w:szCs w:val="24"/>
        </w:rPr>
        <w:t>Foederati</w:t>
      </w:r>
      <w:r w:rsidR="007F1BDB" w:rsidRPr="008D0435">
        <w:rPr>
          <w:sz w:val="24"/>
          <w:szCs w:val="24"/>
        </w:rPr>
        <w:t xml:space="preserve"> that the Franks were </w:t>
      </w:r>
      <w:r w:rsidR="007F1BDB" w:rsidRPr="008D0435">
        <w:rPr>
          <w:sz w:val="24"/>
          <w:szCs w:val="24"/>
        </w:rPr>
        <w:lastRenderedPageBreak/>
        <w:t>descended from, the Carolingian Dynasty was reliant on the army. Charles Martel and Pippin (Charlemagne’s Grandfather an</w:t>
      </w:r>
      <w:r w:rsidR="007F1BDB">
        <w:rPr>
          <w:sz w:val="24"/>
          <w:szCs w:val="24"/>
        </w:rPr>
        <w:t xml:space="preserve">d Father respectively) had gained power </w:t>
      </w:r>
      <w:r w:rsidR="007F1BDB" w:rsidRPr="008D0435">
        <w:rPr>
          <w:sz w:val="24"/>
          <w:szCs w:val="24"/>
        </w:rPr>
        <w:t>through their command of the Fran</w:t>
      </w:r>
      <w:r w:rsidR="007F1BDB">
        <w:rPr>
          <w:sz w:val="24"/>
          <w:szCs w:val="24"/>
        </w:rPr>
        <w:t>kish army in service of the Merovingian Kings</w:t>
      </w:r>
      <w:r w:rsidR="007F1BDB" w:rsidRPr="008D0435">
        <w:rPr>
          <w:sz w:val="24"/>
          <w:szCs w:val="24"/>
        </w:rPr>
        <w:t>. The Pope’s awarding of a Papal Crown</w:t>
      </w:r>
      <w:r w:rsidR="007F1BDB">
        <w:rPr>
          <w:sz w:val="24"/>
          <w:szCs w:val="24"/>
        </w:rPr>
        <w:t xml:space="preserve"> to Pippin</w:t>
      </w:r>
      <w:r w:rsidR="007F1BDB" w:rsidRPr="008D0435">
        <w:rPr>
          <w:sz w:val="24"/>
          <w:szCs w:val="24"/>
        </w:rPr>
        <w:t xml:space="preserve"> was a tacit recognition of the fact that he who controlled the army was the true ruler.</w:t>
      </w:r>
      <w:r w:rsidR="007F1BDB" w:rsidRPr="008D0435">
        <w:rPr>
          <w:rStyle w:val="FootnoteReference"/>
          <w:sz w:val="24"/>
          <w:szCs w:val="24"/>
        </w:rPr>
        <w:footnoteReference w:id="122"/>
      </w:r>
      <w:r w:rsidR="007F1BDB">
        <w:rPr>
          <w:sz w:val="24"/>
          <w:szCs w:val="24"/>
        </w:rPr>
        <w:t xml:space="preserve"> </w:t>
      </w:r>
      <w:r w:rsidRPr="008D0435">
        <w:rPr>
          <w:sz w:val="24"/>
          <w:szCs w:val="24"/>
        </w:rPr>
        <w:t>Both the Carolingians and the Catholic Church had a vested interest in creating a new non-classical Roman historiography in order to be able to assert their own claims to cultural supremacy.</w:t>
      </w:r>
      <w:r w:rsidRPr="008D0435">
        <w:rPr>
          <w:rStyle w:val="FootnoteReference"/>
          <w:sz w:val="24"/>
          <w:szCs w:val="24"/>
        </w:rPr>
        <w:footnoteReference w:id="123"/>
      </w:r>
      <w:r w:rsidRPr="008D0435">
        <w:rPr>
          <w:sz w:val="24"/>
          <w:szCs w:val="24"/>
        </w:rPr>
        <w:t xml:space="preserve"> They would certainly be unlikely to place too much emphasis on the history and traditions of their great rival</w:t>
      </w:r>
      <w:r w:rsidR="00B54555">
        <w:rPr>
          <w:sz w:val="24"/>
          <w:szCs w:val="24"/>
        </w:rPr>
        <w:t xml:space="preserve"> without finding a way to</w:t>
      </w:r>
      <w:r w:rsidR="00175110">
        <w:rPr>
          <w:sz w:val="24"/>
          <w:szCs w:val="24"/>
        </w:rPr>
        <w:t xml:space="preserve"> claim them as their own</w:t>
      </w:r>
      <w:r w:rsidRPr="008D0435">
        <w:rPr>
          <w:sz w:val="24"/>
          <w:szCs w:val="24"/>
        </w:rPr>
        <w:t xml:space="preserve">. </w:t>
      </w:r>
    </w:p>
    <w:p w:rsidR="006137F3" w:rsidRDefault="00E756D7" w:rsidP="00722EAB">
      <w:pPr>
        <w:tabs>
          <w:tab w:val="left" w:pos="0"/>
        </w:tabs>
        <w:spacing w:line="480" w:lineRule="auto"/>
        <w:ind w:firstLine="709"/>
        <w:jc w:val="both"/>
        <w:rPr>
          <w:sz w:val="24"/>
          <w:szCs w:val="24"/>
        </w:rPr>
      </w:pPr>
      <w:r w:rsidRPr="008D0435">
        <w:rPr>
          <w:sz w:val="24"/>
          <w:szCs w:val="24"/>
        </w:rPr>
        <w:t>Roman learning certainly remained a popular source for Carolingians to ornament their own works with</w:t>
      </w:r>
      <w:r w:rsidR="00E7782B">
        <w:rPr>
          <w:sz w:val="24"/>
          <w:szCs w:val="24"/>
        </w:rPr>
        <w:t xml:space="preserve">. </w:t>
      </w:r>
      <w:r w:rsidRPr="008D0435">
        <w:rPr>
          <w:sz w:val="24"/>
          <w:szCs w:val="24"/>
        </w:rPr>
        <w:t>Roman Art and Architecture adorned Royal Chapels and Palaces. Roman writers had their works reproduced at Lorsch, Corbie, Tours and Fleury throughout the period.</w:t>
      </w:r>
      <w:r w:rsidR="00E7782B" w:rsidRPr="00E7782B">
        <w:rPr>
          <w:sz w:val="24"/>
          <w:szCs w:val="24"/>
        </w:rPr>
        <w:t xml:space="preserve"> </w:t>
      </w:r>
      <w:r w:rsidR="00E7782B">
        <w:rPr>
          <w:sz w:val="24"/>
          <w:szCs w:val="24"/>
        </w:rPr>
        <w:t xml:space="preserve">Modern copies of the </w:t>
      </w:r>
      <w:r w:rsidR="00E7782B">
        <w:rPr>
          <w:i/>
          <w:sz w:val="24"/>
          <w:szCs w:val="24"/>
        </w:rPr>
        <w:t>Codex-Calendar</w:t>
      </w:r>
      <w:r w:rsidR="00E7782B">
        <w:rPr>
          <w:sz w:val="24"/>
          <w:szCs w:val="24"/>
        </w:rPr>
        <w:t xml:space="preserve"> </w:t>
      </w:r>
      <w:r w:rsidR="00E7782B">
        <w:rPr>
          <w:i/>
          <w:sz w:val="24"/>
          <w:szCs w:val="24"/>
        </w:rPr>
        <w:t xml:space="preserve">of 354 </w:t>
      </w:r>
      <w:r w:rsidR="00E7782B">
        <w:rPr>
          <w:sz w:val="24"/>
          <w:szCs w:val="24"/>
        </w:rPr>
        <w:t>are all traced to a Carolingian manuscript produced in the 9</w:t>
      </w:r>
      <w:r w:rsidR="00E7782B" w:rsidRPr="002D4202">
        <w:rPr>
          <w:sz w:val="24"/>
          <w:szCs w:val="24"/>
          <w:vertAlign w:val="superscript"/>
        </w:rPr>
        <w:t>th</w:t>
      </w:r>
      <w:r w:rsidR="00E7782B">
        <w:rPr>
          <w:sz w:val="24"/>
          <w:szCs w:val="24"/>
        </w:rPr>
        <w:t xml:space="preserve"> century</w:t>
      </w:r>
      <w:r w:rsidR="00E7782B" w:rsidRPr="008D0435">
        <w:rPr>
          <w:sz w:val="24"/>
          <w:szCs w:val="24"/>
        </w:rPr>
        <w:t>.</w:t>
      </w:r>
      <w:r w:rsidR="00E7782B">
        <w:rPr>
          <w:rStyle w:val="FootnoteReference"/>
          <w:sz w:val="24"/>
          <w:szCs w:val="24"/>
        </w:rPr>
        <w:footnoteReference w:id="124"/>
      </w:r>
      <w:r w:rsidR="00E7782B" w:rsidRPr="008D0435">
        <w:rPr>
          <w:sz w:val="24"/>
          <w:szCs w:val="24"/>
        </w:rPr>
        <w:t xml:space="preserve"> </w:t>
      </w:r>
      <w:r w:rsidR="006137F3" w:rsidRPr="008D0435">
        <w:rPr>
          <w:rFonts w:cs="Times New Roman"/>
          <w:bCs/>
          <w:sz w:val="24"/>
          <w:szCs w:val="24"/>
        </w:rPr>
        <w:t xml:space="preserve">In AD 354, three years before Constantius II presented the obelisk to the City, the wealthy aristocrat Valentinus received </w:t>
      </w:r>
      <w:r w:rsidR="006137F3">
        <w:rPr>
          <w:rFonts w:cs="Times New Roman"/>
          <w:bCs/>
          <w:sz w:val="24"/>
          <w:szCs w:val="24"/>
        </w:rPr>
        <w:t>the</w:t>
      </w:r>
      <w:r w:rsidR="006137F3" w:rsidRPr="008D0435">
        <w:rPr>
          <w:rFonts w:cs="Times New Roman"/>
          <w:bCs/>
          <w:sz w:val="24"/>
          <w:szCs w:val="24"/>
        </w:rPr>
        <w:t xml:space="preserve"> lavishly illustrated calendar for the year from the famous illustrator Furius Dionysius Filocalus. Alongside the calendar, the Codex contained depictions of the Consul</w:t>
      </w:r>
      <w:r w:rsidR="006137F3">
        <w:rPr>
          <w:rFonts w:cs="Times New Roman"/>
          <w:bCs/>
          <w:sz w:val="24"/>
          <w:szCs w:val="24"/>
        </w:rPr>
        <w:t xml:space="preserve">s of that year, the </w:t>
      </w:r>
      <w:r w:rsidR="0087599E">
        <w:rPr>
          <w:rFonts w:cs="Times New Roman"/>
          <w:bCs/>
          <w:sz w:val="24"/>
          <w:szCs w:val="24"/>
        </w:rPr>
        <w:t>Emperors</w:t>
      </w:r>
      <w:r w:rsidR="006137F3">
        <w:rPr>
          <w:rFonts w:cs="Times New Roman"/>
          <w:bCs/>
          <w:sz w:val="24"/>
          <w:szCs w:val="24"/>
        </w:rPr>
        <w:t>,</w:t>
      </w:r>
      <w:r w:rsidR="006137F3" w:rsidRPr="008D0435">
        <w:rPr>
          <w:rFonts w:cs="Times New Roman"/>
          <w:bCs/>
          <w:sz w:val="24"/>
          <w:szCs w:val="24"/>
        </w:rPr>
        <w:t xml:space="preserve"> astrological signs and pictorial personifications of the major cities of the Empire. The unillustrated items included lists of the Consuls, Prefects and Bishops of the City of </w:t>
      </w:r>
      <w:r w:rsidR="006137F3" w:rsidRPr="008D0435">
        <w:rPr>
          <w:rFonts w:cs="Times New Roman"/>
          <w:bCs/>
          <w:sz w:val="24"/>
          <w:szCs w:val="24"/>
        </w:rPr>
        <w:lastRenderedPageBreak/>
        <w:t xml:space="preserve">Rome up to that date and the </w:t>
      </w:r>
      <w:r w:rsidR="006137F3" w:rsidRPr="008D0435">
        <w:rPr>
          <w:rFonts w:cs="Times New Roman"/>
          <w:bCs/>
          <w:i/>
          <w:sz w:val="24"/>
          <w:szCs w:val="24"/>
        </w:rPr>
        <w:t>Notitia</w:t>
      </w:r>
      <w:r w:rsidR="006137F3" w:rsidRPr="008D0435">
        <w:rPr>
          <w:rFonts w:cs="Times New Roman"/>
          <w:bCs/>
          <w:sz w:val="24"/>
          <w:szCs w:val="24"/>
        </w:rPr>
        <w:t xml:space="preserve"> copy of the </w:t>
      </w:r>
      <w:r w:rsidR="006137F3" w:rsidRPr="008D0435">
        <w:rPr>
          <w:rFonts w:cs="Times New Roman"/>
          <w:bCs/>
          <w:i/>
          <w:sz w:val="24"/>
          <w:szCs w:val="24"/>
        </w:rPr>
        <w:t xml:space="preserve">Regionary </w:t>
      </w:r>
      <w:r w:rsidR="006137F3" w:rsidRPr="006137F3">
        <w:rPr>
          <w:rFonts w:cs="Times New Roman"/>
          <w:bCs/>
          <w:i/>
          <w:sz w:val="24"/>
          <w:szCs w:val="24"/>
        </w:rPr>
        <w:t>Catalogues</w:t>
      </w:r>
      <w:r w:rsidR="006137F3" w:rsidRPr="006137F3">
        <w:rPr>
          <w:rFonts w:cs="Times New Roman"/>
          <w:bCs/>
          <w:sz w:val="24"/>
          <w:szCs w:val="24"/>
        </w:rPr>
        <w:t>.</w:t>
      </w:r>
      <w:r w:rsidR="006137F3" w:rsidRPr="006137F3">
        <w:rPr>
          <w:rStyle w:val="FootnoteReference"/>
          <w:rFonts w:cs="Times New Roman"/>
          <w:bCs/>
          <w:sz w:val="24"/>
          <w:szCs w:val="24"/>
        </w:rPr>
        <w:footnoteReference w:id="125"/>
      </w:r>
      <w:r w:rsidR="006137F3">
        <w:rPr>
          <w:sz w:val="24"/>
          <w:szCs w:val="24"/>
        </w:rPr>
        <w:t xml:space="preserve"> T</w:t>
      </w:r>
      <w:r w:rsidR="00E7782B" w:rsidRPr="006137F3">
        <w:rPr>
          <w:sz w:val="24"/>
          <w:szCs w:val="24"/>
        </w:rPr>
        <w:t xml:space="preserve">he </w:t>
      </w:r>
      <w:r w:rsidR="00E7782B" w:rsidRPr="006137F3">
        <w:rPr>
          <w:i/>
          <w:sz w:val="24"/>
          <w:szCs w:val="24"/>
        </w:rPr>
        <w:t>Codex-Calendar</w:t>
      </w:r>
      <w:r w:rsidR="00E7782B" w:rsidRPr="006137F3">
        <w:rPr>
          <w:sz w:val="24"/>
          <w:szCs w:val="24"/>
        </w:rPr>
        <w:t>’s unique insight into the urban patterns of social and religious activity during the critical period of the aristocracy’s transition from paganism to Christianity would maintain its popularity long after its fourth-century creation.</w:t>
      </w:r>
      <w:r w:rsidR="00E7782B" w:rsidRPr="006137F3">
        <w:rPr>
          <w:rStyle w:val="FootnoteReference"/>
          <w:sz w:val="24"/>
          <w:szCs w:val="24"/>
        </w:rPr>
        <w:footnoteReference w:id="126"/>
      </w:r>
      <w:r w:rsidR="00E7782B" w:rsidRPr="006137F3">
        <w:rPr>
          <w:sz w:val="24"/>
          <w:szCs w:val="24"/>
        </w:rPr>
        <w:t xml:space="preserve"> </w:t>
      </w:r>
    </w:p>
    <w:p w:rsidR="00E756D7" w:rsidRPr="008D0435" w:rsidRDefault="00722EAB" w:rsidP="00E7782B">
      <w:pPr>
        <w:tabs>
          <w:tab w:val="left" w:pos="0"/>
        </w:tabs>
        <w:spacing w:line="480" w:lineRule="auto"/>
        <w:ind w:firstLine="709"/>
        <w:jc w:val="both"/>
        <w:rPr>
          <w:sz w:val="24"/>
          <w:szCs w:val="24"/>
        </w:rPr>
      </w:pPr>
      <w:r>
        <w:rPr>
          <w:sz w:val="24"/>
          <w:szCs w:val="24"/>
        </w:rPr>
        <w:t xml:space="preserve">This reproduction of such varied manuscripts like the </w:t>
      </w:r>
      <w:r>
        <w:rPr>
          <w:i/>
          <w:sz w:val="24"/>
          <w:szCs w:val="24"/>
        </w:rPr>
        <w:t>Codex-Calendar</w:t>
      </w:r>
      <w:r>
        <w:rPr>
          <w:sz w:val="24"/>
          <w:szCs w:val="24"/>
        </w:rPr>
        <w:t xml:space="preserve">, has led some historians to suggest </w:t>
      </w:r>
      <w:r w:rsidR="00E756D7" w:rsidRPr="006137F3">
        <w:rPr>
          <w:sz w:val="24"/>
          <w:szCs w:val="24"/>
        </w:rPr>
        <w:t>that Carolingian scholarship was less interested in pilfering particular genres and more interested in developing a more sophisticated understanding of the Latin language.</w:t>
      </w:r>
      <w:r w:rsidRPr="008D0435">
        <w:rPr>
          <w:rStyle w:val="FootnoteReference"/>
          <w:sz w:val="24"/>
          <w:szCs w:val="24"/>
        </w:rPr>
        <w:footnoteReference w:id="127"/>
      </w:r>
      <w:r w:rsidR="00E756D7" w:rsidRPr="008D0435">
        <w:rPr>
          <w:sz w:val="24"/>
          <w:szCs w:val="24"/>
        </w:rPr>
        <w:t xml:space="preserve"> This meant a study of literature, hence the predominance of grammar books, poetry and history in the manuscript collections</w:t>
      </w:r>
      <w:r w:rsidR="00E261D5">
        <w:rPr>
          <w:sz w:val="24"/>
          <w:szCs w:val="24"/>
        </w:rPr>
        <w:t xml:space="preserve"> containing the </w:t>
      </w:r>
      <w:r w:rsidR="00E261D5">
        <w:rPr>
          <w:i/>
          <w:sz w:val="24"/>
          <w:szCs w:val="24"/>
        </w:rPr>
        <w:t xml:space="preserve">Notitia </w:t>
      </w:r>
      <w:r w:rsidR="00E261D5">
        <w:rPr>
          <w:sz w:val="24"/>
          <w:szCs w:val="24"/>
        </w:rPr>
        <w:t xml:space="preserve">and the </w:t>
      </w:r>
      <w:r w:rsidR="00E261D5">
        <w:rPr>
          <w:i/>
          <w:sz w:val="24"/>
          <w:szCs w:val="24"/>
        </w:rPr>
        <w:t>Curiosum</w:t>
      </w:r>
      <w:r w:rsidR="00E756D7" w:rsidRPr="008D0435">
        <w:rPr>
          <w:sz w:val="24"/>
          <w:szCs w:val="24"/>
        </w:rPr>
        <w:t>. Certain classical authors, such as Cicero, Virgil and Horace were necessary because of the influence they had had on the Church Fathers such as Augustine and Isidore, whose works were by far and away the most transmitted texts in the period.</w:t>
      </w:r>
      <w:r w:rsidR="00E756D7" w:rsidRPr="008D0435">
        <w:rPr>
          <w:rStyle w:val="FootnoteReference"/>
          <w:sz w:val="24"/>
          <w:szCs w:val="24"/>
        </w:rPr>
        <w:footnoteReference w:id="128"/>
      </w:r>
      <w:r w:rsidR="007F1BDB">
        <w:rPr>
          <w:sz w:val="24"/>
          <w:szCs w:val="24"/>
        </w:rPr>
        <w:t xml:space="preserve"> Eusebius, our main historian for Constantine’s reign, remained immensely popular throughout the Carolingian Empire and was part of the effort from ecclesiastics to enhance and exalt the Carolingian rulers.</w:t>
      </w:r>
      <w:r w:rsidR="007F1BDB">
        <w:rPr>
          <w:rStyle w:val="FootnoteReference"/>
          <w:sz w:val="24"/>
          <w:szCs w:val="24"/>
        </w:rPr>
        <w:footnoteReference w:id="129"/>
      </w:r>
      <w:r w:rsidR="007F1BDB">
        <w:rPr>
          <w:sz w:val="24"/>
          <w:szCs w:val="24"/>
        </w:rPr>
        <w:t xml:space="preserve"> Eutropius’ </w:t>
      </w:r>
      <w:r w:rsidR="007F1BDB">
        <w:rPr>
          <w:i/>
          <w:sz w:val="24"/>
          <w:szCs w:val="24"/>
        </w:rPr>
        <w:t>Breviarium</w:t>
      </w:r>
      <w:r w:rsidR="007F1BDB">
        <w:rPr>
          <w:sz w:val="24"/>
          <w:szCs w:val="24"/>
        </w:rPr>
        <w:t>, a history of the Roman Empire, was combined by Paul the Deacon with added material from Orosius and Jerome to produce a new history with a greater focus on Christianity.</w:t>
      </w:r>
      <w:r w:rsidR="007F1BDB">
        <w:rPr>
          <w:rStyle w:val="FootnoteReference"/>
          <w:sz w:val="24"/>
          <w:szCs w:val="24"/>
        </w:rPr>
        <w:footnoteReference w:id="130"/>
      </w:r>
      <w:r w:rsidR="00E756D7" w:rsidRPr="008D0435">
        <w:rPr>
          <w:sz w:val="24"/>
          <w:szCs w:val="24"/>
        </w:rPr>
        <w:t xml:space="preserve"> Obviously Roman texts could be put to good use by the Carolingian empire. It allowed them to create a new cultural order that had its roots in the </w:t>
      </w:r>
      <w:r w:rsidR="00E756D7" w:rsidRPr="008D0435">
        <w:rPr>
          <w:sz w:val="24"/>
          <w:szCs w:val="24"/>
        </w:rPr>
        <w:lastRenderedPageBreak/>
        <w:t>past but was firmly ground</w:t>
      </w:r>
      <w:r w:rsidR="00175110">
        <w:rPr>
          <w:sz w:val="24"/>
          <w:szCs w:val="24"/>
        </w:rPr>
        <w:t>ed in the Christian present. P</w:t>
      </w:r>
      <w:r w:rsidR="00E756D7" w:rsidRPr="008D0435">
        <w:rPr>
          <w:sz w:val="24"/>
          <w:szCs w:val="24"/>
        </w:rPr>
        <w:t>atronage of learning and education was expected of a Christian King, but the emphasis was to be on Christian learning.</w:t>
      </w:r>
      <w:r w:rsidR="00E756D7" w:rsidRPr="008D0435">
        <w:rPr>
          <w:rStyle w:val="FootnoteReference"/>
          <w:sz w:val="24"/>
          <w:szCs w:val="24"/>
        </w:rPr>
        <w:footnoteReference w:id="131"/>
      </w:r>
      <w:r w:rsidR="00E756D7" w:rsidRPr="008D0435">
        <w:rPr>
          <w:sz w:val="24"/>
          <w:szCs w:val="24"/>
        </w:rPr>
        <w:t xml:space="preserve"> </w:t>
      </w:r>
      <w:r w:rsidR="007F1BDB">
        <w:rPr>
          <w:sz w:val="24"/>
          <w:szCs w:val="24"/>
        </w:rPr>
        <w:t>Non-Christian t</w:t>
      </w:r>
      <w:r w:rsidR="007F1BDB" w:rsidRPr="008D0435">
        <w:rPr>
          <w:sz w:val="24"/>
          <w:szCs w:val="24"/>
        </w:rPr>
        <w:t xml:space="preserve">exts that could contribute to one’s education and spiritual enlightenment could be justified as having a practical purpose; other texts might be copied for personal reasons (i.e. because they were impressive). The </w:t>
      </w:r>
      <w:r w:rsidR="007F1BDB" w:rsidRPr="008D0435">
        <w:rPr>
          <w:i/>
          <w:sz w:val="24"/>
          <w:szCs w:val="24"/>
        </w:rPr>
        <w:t>Regionaries</w:t>
      </w:r>
      <w:r w:rsidR="007F1BDB" w:rsidRPr="008D0435">
        <w:rPr>
          <w:sz w:val="24"/>
          <w:szCs w:val="24"/>
        </w:rPr>
        <w:t xml:space="preserve"> would have been largely meaningless (and useless) to the militaristic and Christian Carolingians beyond their ability to impress people and their association with other documents. </w:t>
      </w:r>
      <w:r w:rsidR="00E756D7" w:rsidRPr="008D0435">
        <w:rPr>
          <w:sz w:val="24"/>
          <w:szCs w:val="24"/>
        </w:rPr>
        <w:t xml:space="preserve"> </w:t>
      </w:r>
    </w:p>
    <w:p w:rsidR="00E756D7" w:rsidRPr="008D0435" w:rsidRDefault="00E756D7" w:rsidP="00722391">
      <w:pPr>
        <w:tabs>
          <w:tab w:val="left" w:pos="0"/>
        </w:tabs>
        <w:spacing w:line="480" w:lineRule="auto"/>
        <w:ind w:firstLine="709"/>
        <w:jc w:val="both"/>
        <w:rPr>
          <w:sz w:val="24"/>
          <w:szCs w:val="24"/>
        </w:rPr>
      </w:pPr>
      <w:r w:rsidRPr="008D0435">
        <w:rPr>
          <w:sz w:val="24"/>
          <w:szCs w:val="24"/>
        </w:rPr>
        <w:t>How do</w:t>
      </w:r>
      <w:r>
        <w:rPr>
          <w:sz w:val="24"/>
          <w:szCs w:val="24"/>
        </w:rPr>
        <w:t>es</w:t>
      </w:r>
      <w:r w:rsidRPr="008D0435">
        <w:rPr>
          <w:sz w:val="24"/>
          <w:szCs w:val="24"/>
        </w:rPr>
        <w:t xml:space="preserve"> the </w:t>
      </w:r>
      <w:r w:rsidR="006F6463">
        <w:rPr>
          <w:i/>
          <w:sz w:val="24"/>
          <w:szCs w:val="24"/>
        </w:rPr>
        <w:t>Regionaries</w:t>
      </w:r>
      <w:r>
        <w:rPr>
          <w:i/>
          <w:sz w:val="24"/>
          <w:szCs w:val="24"/>
        </w:rPr>
        <w:t xml:space="preserve"> </w:t>
      </w:r>
      <w:r w:rsidRPr="008D0435">
        <w:rPr>
          <w:sz w:val="24"/>
          <w:szCs w:val="24"/>
        </w:rPr>
        <w:t>manuscript transmission fit into this growing decline of interest in traditional Roman culture in favour of pragmatically us</w:t>
      </w:r>
      <w:r w:rsidR="00175110">
        <w:rPr>
          <w:sz w:val="24"/>
          <w:szCs w:val="24"/>
        </w:rPr>
        <w:t xml:space="preserve">eful texts? At first glance </w:t>
      </w:r>
      <w:r>
        <w:rPr>
          <w:sz w:val="24"/>
          <w:szCs w:val="24"/>
        </w:rPr>
        <w:t xml:space="preserve">both the </w:t>
      </w:r>
      <w:r>
        <w:rPr>
          <w:i/>
          <w:sz w:val="24"/>
          <w:szCs w:val="24"/>
        </w:rPr>
        <w:t xml:space="preserve">Notitia </w:t>
      </w:r>
      <w:r>
        <w:rPr>
          <w:sz w:val="24"/>
          <w:szCs w:val="24"/>
        </w:rPr>
        <w:t xml:space="preserve">and the </w:t>
      </w:r>
      <w:r>
        <w:rPr>
          <w:i/>
          <w:sz w:val="24"/>
          <w:szCs w:val="24"/>
        </w:rPr>
        <w:t>Curiosum</w:t>
      </w:r>
      <w:r>
        <w:rPr>
          <w:sz w:val="24"/>
          <w:szCs w:val="24"/>
        </w:rPr>
        <w:t xml:space="preserve"> </w:t>
      </w:r>
      <w:r w:rsidRPr="008D0435">
        <w:rPr>
          <w:sz w:val="24"/>
          <w:szCs w:val="24"/>
        </w:rPr>
        <w:t>contain useful data. They contain a certain amount of information connected with the governing of the Cit</w:t>
      </w:r>
      <w:r w:rsidR="00175110">
        <w:rPr>
          <w:sz w:val="24"/>
          <w:szCs w:val="24"/>
        </w:rPr>
        <w:t>y of Rome in the fourth century, b</w:t>
      </w:r>
      <w:r w:rsidRPr="008D0435">
        <w:rPr>
          <w:sz w:val="24"/>
          <w:szCs w:val="24"/>
        </w:rPr>
        <w:t>ut there is no evidence to suggest that anyone used them for any sort of administrative or didactic purpose. Whilst the figures they possess are interesting, any practical value that they may have had would be hopelessly outdated by the 8</w:t>
      </w:r>
      <w:r w:rsidRPr="008D0435">
        <w:rPr>
          <w:sz w:val="24"/>
          <w:szCs w:val="24"/>
          <w:vertAlign w:val="superscript"/>
        </w:rPr>
        <w:t>th</w:t>
      </w:r>
      <w:r w:rsidRPr="008D0435">
        <w:rPr>
          <w:sz w:val="24"/>
          <w:szCs w:val="24"/>
        </w:rPr>
        <w:t xml:space="preserve"> and 9</w:t>
      </w:r>
      <w:r w:rsidRPr="008D0435">
        <w:rPr>
          <w:sz w:val="24"/>
          <w:szCs w:val="24"/>
          <w:vertAlign w:val="superscript"/>
        </w:rPr>
        <w:t>th</w:t>
      </w:r>
      <w:r w:rsidRPr="008D0435">
        <w:rPr>
          <w:sz w:val="24"/>
          <w:szCs w:val="24"/>
        </w:rPr>
        <w:t xml:space="preserve"> centuries. The </w:t>
      </w:r>
      <w:r w:rsidRPr="008D0435">
        <w:rPr>
          <w:i/>
          <w:sz w:val="24"/>
          <w:szCs w:val="24"/>
        </w:rPr>
        <w:t>Catalogues</w:t>
      </w:r>
      <w:r w:rsidRPr="008D0435">
        <w:rPr>
          <w:sz w:val="24"/>
          <w:szCs w:val="24"/>
        </w:rPr>
        <w:t xml:space="preserve"> lack any practical topographical or pictorial information about the city. Anyone not an inhabitant of Rome during the 4</w:t>
      </w:r>
      <w:r w:rsidRPr="008D0435">
        <w:rPr>
          <w:sz w:val="24"/>
          <w:szCs w:val="24"/>
          <w:vertAlign w:val="superscript"/>
        </w:rPr>
        <w:t>th</w:t>
      </w:r>
      <w:r w:rsidRPr="008D0435">
        <w:rPr>
          <w:sz w:val="24"/>
          <w:szCs w:val="24"/>
        </w:rPr>
        <w:t xml:space="preserve"> century would </w:t>
      </w:r>
      <w:r w:rsidR="006F6463">
        <w:rPr>
          <w:sz w:val="24"/>
          <w:szCs w:val="24"/>
        </w:rPr>
        <w:t>struggle</w:t>
      </w:r>
      <w:r w:rsidRPr="008D0435">
        <w:rPr>
          <w:sz w:val="24"/>
          <w:szCs w:val="24"/>
        </w:rPr>
        <w:t xml:space="preserve"> to interpret them into any form of effective guide. Even demonstrating Rome’s former size and significance would be more nostalgic for the time of Constantine, rather than</w:t>
      </w:r>
      <w:r w:rsidR="006F6463">
        <w:rPr>
          <w:sz w:val="24"/>
          <w:szCs w:val="24"/>
        </w:rPr>
        <w:t xml:space="preserve"> a</w:t>
      </w:r>
      <w:r w:rsidRPr="008D0435">
        <w:rPr>
          <w:sz w:val="24"/>
          <w:szCs w:val="24"/>
        </w:rPr>
        <w:t xml:space="preserve"> useful or an accurate depiction of th</w:t>
      </w:r>
      <w:r w:rsidR="00175110">
        <w:rPr>
          <w:sz w:val="24"/>
          <w:szCs w:val="24"/>
        </w:rPr>
        <w:t>e City’s traditional heritage. It might be a</w:t>
      </w:r>
      <w:r w:rsidRPr="008D0435">
        <w:rPr>
          <w:sz w:val="24"/>
          <w:szCs w:val="24"/>
        </w:rPr>
        <w:t xml:space="preserve"> curiosity for the schol</w:t>
      </w:r>
      <w:r w:rsidR="006F6463">
        <w:rPr>
          <w:sz w:val="24"/>
          <w:szCs w:val="24"/>
        </w:rPr>
        <w:t>ar or aristocrat who possessed that</w:t>
      </w:r>
      <w:r w:rsidRPr="008D0435">
        <w:rPr>
          <w:sz w:val="24"/>
          <w:szCs w:val="24"/>
        </w:rPr>
        <w:t xml:space="preserve"> very modern fascination with the “Otherness” of pagan Rome, but given the preponderance of information that would only appeal to particular </w:t>
      </w:r>
      <w:r w:rsidR="00722EAB" w:rsidRPr="008D0435">
        <w:rPr>
          <w:sz w:val="24"/>
          <w:szCs w:val="24"/>
        </w:rPr>
        <w:t>enthusiasts;</w:t>
      </w:r>
      <w:r w:rsidRPr="008D0435">
        <w:rPr>
          <w:sz w:val="24"/>
          <w:szCs w:val="24"/>
        </w:rPr>
        <w:t xml:space="preserve"> it is hardly a document from which lessons can</w:t>
      </w:r>
      <w:r w:rsidR="006F6463">
        <w:rPr>
          <w:sz w:val="24"/>
          <w:szCs w:val="24"/>
        </w:rPr>
        <w:t xml:space="preserve"> easily</w:t>
      </w:r>
      <w:r w:rsidRPr="008D0435">
        <w:rPr>
          <w:sz w:val="24"/>
          <w:szCs w:val="24"/>
        </w:rPr>
        <w:t xml:space="preserve"> be drawn. So if the </w:t>
      </w:r>
      <w:r w:rsidRPr="008D0435">
        <w:rPr>
          <w:i/>
          <w:sz w:val="24"/>
          <w:szCs w:val="24"/>
        </w:rPr>
        <w:t>Regionary Catalogues</w:t>
      </w:r>
      <w:r w:rsidRPr="008D0435">
        <w:rPr>
          <w:sz w:val="24"/>
          <w:szCs w:val="24"/>
        </w:rPr>
        <w:t xml:space="preserve"> were not inherently practical texts, or at least had ceased to be so by the Carolingian period, then </w:t>
      </w:r>
      <w:r w:rsidRPr="008D0435">
        <w:rPr>
          <w:sz w:val="24"/>
          <w:szCs w:val="24"/>
        </w:rPr>
        <w:lastRenderedPageBreak/>
        <w:t>they must have had some other desirable quality.</w:t>
      </w:r>
      <w:r w:rsidRPr="008E5CAF">
        <w:rPr>
          <w:sz w:val="24"/>
          <w:szCs w:val="24"/>
        </w:rPr>
        <w:t xml:space="preserve"> </w:t>
      </w:r>
      <w:r>
        <w:rPr>
          <w:sz w:val="24"/>
          <w:szCs w:val="24"/>
        </w:rPr>
        <w:t xml:space="preserve">The </w:t>
      </w:r>
      <w:r>
        <w:rPr>
          <w:i/>
          <w:sz w:val="24"/>
          <w:szCs w:val="24"/>
        </w:rPr>
        <w:t>Notitia</w:t>
      </w:r>
      <w:r w:rsidR="006F6463">
        <w:rPr>
          <w:sz w:val="24"/>
          <w:szCs w:val="24"/>
        </w:rPr>
        <w:t>’s emphasis on</w:t>
      </w:r>
      <w:r>
        <w:rPr>
          <w:sz w:val="24"/>
          <w:szCs w:val="24"/>
        </w:rPr>
        <w:t xml:space="preserve"> various monuments associated with a number of great Roman </w:t>
      </w:r>
      <w:r w:rsidR="0087599E">
        <w:rPr>
          <w:sz w:val="24"/>
          <w:szCs w:val="24"/>
        </w:rPr>
        <w:t>emperors</w:t>
      </w:r>
      <w:r>
        <w:rPr>
          <w:sz w:val="24"/>
          <w:szCs w:val="24"/>
        </w:rPr>
        <w:t xml:space="preserve"> would ma</w:t>
      </w:r>
      <w:r w:rsidR="00175110">
        <w:rPr>
          <w:sz w:val="24"/>
          <w:szCs w:val="24"/>
        </w:rPr>
        <w:t>ke it a much more desirable document</w:t>
      </w:r>
      <w:r>
        <w:rPr>
          <w:sz w:val="24"/>
          <w:szCs w:val="24"/>
        </w:rPr>
        <w:t xml:space="preserve"> in contrast to the </w:t>
      </w:r>
      <w:r>
        <w:rPr>
          <w:i/>
          <w:sz w:val="24"/>
          <w:szCs w:val="24"/>
        </w:rPr>
        <w:t>Curiosum</w:t>
      </w:r>
      <w:r>
        <w:rPr>
          <w:sz w:val="24"/>
          <w:szCs w:val="24"/>
        </w:rPr>
        <w:t xml:space="preserve"> which lacks a great deal of the </w:t>
      </w:r>
      <w:r w:rsidR="008B44B0">
        <w:rPr>
          <w:sz w:val="24"/>
          <w:szCs w:val="24"/>
        </w:rPr>
        <w:t>imperial</w:t>
      </w:r>
      <w:r>
        <w:rPr>
          <w:sz w:val="24"/>
          <w:szCs w:val="24"/>
        </w:rPr>
        <w:t xml:space="preserve"> emphasis of the </w:t>
      </w:r>
      <w:r>
        <w:rPr>
          <w:i/>
          <w:sz w:val="24"/>
          <w:szCs w:val="24"/>
        </w:rPr>
        <w:t>Notitia</w:t>
      </w:r>
      <w:r w:rsidR="005A222E">
        <w:rPr>
          <w:sz w:val="24"/>
          <w:szCs w:val="24"/>
        </w:rPr>
        <w:t>. And i</w:t>
      </w:r>
      <w:r w:rsidRPr="008D0435">
        <w:rPr>
          <w:sz w:val="24"/>
          <w:szCs w:val="24"/>
        </w:rPr>
        <w:t xml:space="preserve">f we return to the example of the </w:t>
      </w:r>
      <w:r w:rsidRPr="008D0435">
        <w:rPr>
          <w:i/>
          <w:sz w:val="24"/>
          <w:szCs w:val="24"/>
        </w:rPr>
        <w:t>Codex-Calendar</w:t>
      </w:r>
      <w:r w:rsidRPr="008D0435">
        <w:rPr>
          <w:sz w:val="24"/>
          <w:szCs w:val="24"/>
        </w:rPr>
        <w:t xml:space="preserve"> then we not only have a document that contains interesting facts but is a beautifully illustrated item in its own right, as much a piece of art as it is anything else</w:t>
      </w:r>
      <w:r>
        <w:rPr>
          <w:sz w:val="24"/>
          <w:szCs w:val="24"/>
        </w:rPr>
        <w:t xml:space="preserve">. </w:t>
      </w:r>
      <w:r w:rsidRPr="008D0435">
        <w:rPr>
          <w:sz w:val="24"/>
          <w:szCs w:val="24"/>
        </w:rPr>
        <w:t>When Charlemagne’s li</w:t>
      </w:r>
      <w:r w:rsidR="00175110">
        <w:rPr>
          <w:sz w:val="24"/>
          <w:szCs w:val="24"/>
        </w:rPr>
        <w:t xml:space="preserve">brary collection was sold off </w:t>
      </w:r>
      <w:r w:rsidRPr="008D0435">
        <w:rPr>
          <w:sz w:val="24"/>
          <w:szCs w:val="24"/>
        </w:rPr>
        <w:t xml:space="preserve">on his death, his son Louis purchased an elaborate ivory map of the </w:t>
      </w:r>
      <w:r w:rsidRPr="008D0435">
        <w:rPr>
          <w:i/>
          <w:sz w:val="24"/>
          <w:szCs w:val="24"/>
        </w:rPr>
        <w:t>Notitia Dignitatum</w:t>
      </w:r>
      <w:r w:rsidRPr="008D0435">
        <w:rPr>
          <w:sz w:val="24"/>
          <w:szCs w:val="24"/>
        </w:rPr>
        <w:t xml:space="preserve"> alongside a copy of the </w:t>
      </w:r>
      <w:r w:rsidRPr="008D0435">
        <w:rPr>
          <w:i/>
          <w:sz w:val="24"/>
          <w:szCs w:val="24"/>
        </w:rPr>
        <w:t>Codex-Calendar</w:t>
      </w:r>
      <w:r w:rsidRPr="008D0435">
        <w:rPr>
          <w:sz w:val="24"/>
          <w:szCs w:val="24"/>
        </w:rPr>
        <w:t xml:space="preserve"> and illustrated copies of Terence and the Constellation Catalogue of Aratus.</w:t>
      </w:r>
      <w:r w:rsidRPr="008D0435">
        <w:rPr>
          <w:rStyle w:val="FootnoteReference"/>
          <w:sz w:val="24"/>
          <w:szCs w:val="24"/>
        </w:rPr>
        <w:footnoteReference w:id="132"/>
      </w:r>
      <w:r w:rsidRPr="008D0435">
        <w:rPr>
          <w:sz w:val="24"/>
          <w:szCs w:val="24"/>
        </w:rPr>
        <w:t xml:space="preserve"> In</w:t>
      </w:r>
      <w:r w:rsidR="00E7782B">
        <w:rPr>
          <w:sz w:val="24"/>
          <w:szCs w:val="24"/>
        </w:rPr>
        <w:t xml:space="preserve"> both cases the Carolingians were</w:t>
      </w:r>
      <w:r w:rsidRPr="008D0435">
        <w:rPr>
          <w:sz w:val="24"/>
          <w:szCs w:val="24"/>
        </w:rPr>
        <w:t xml:space="preserve"> as concerne</w:t>
      </w:r>
      <w:r w:rsidR="00175110">
        <w:rPr>
          <w:sz w:val="24"/>
          <w:szCs w:val="24"/>
        </w:rPr>
        <w:t>d with the physical objects as with</w:t>
      </w:r>
      <w:r w:rsidRPr="008D0435">
        <w:rPr>
          <w:sz w:val="24"/>
          <w:szCs w:val="24"/>
        </w:rPr>
        <w:t xml:space="preserve"> the actual intellectual content. It is easy to become over focused on the textual content of the manuscript tradition and lose sight of the physicality of the objects themselves. </w:t>
      </w:r>
    </w:p>
    <w:p w:rsidR="00E756D7" w:rsidRPr="008D0435" w:rsidRDefault="00E756D7" w:rsidP="00722391">
      <w:pPr>
        <w:tabs>
          <w:tab w:val="left" w:pos="0"/>
        </w:tabs>
        <w:spacing w:line="480" w:lineRule="auto"/>
        <w:ind w:firstLine="709"/>
        <w:jc w:val="both"/>
        <w:rPr>
          <w:sz w:val="24"/>
          <w:szCs w:val="24"/>
        </w:rPr>
      </w:pPr>
      <w:r w:rsidRPr="008D0435">
        <w:rPr>
          <w:sz w:val="24"/>
          <w:szCs w:val="24"/>
        </w:rPr>
        <w:t>In this context the</w:t>
      </w:r>
      <w:r w:rsidR="00E7782B">
        <w:rPr>
          <w:sz w:val="24"/>
          <w:szCs w:val="24"/>
        </w:rPr>
        <w:t xml:space="preserve"> textual content of the</w:t>
      </w:r>
      <w:r w:rsidRPr="008D0435">
        <w:rPr>
          <w:sz w:val="24"/>
          <w:szCs w:val="24"/>
        </w:rPr>
        <w:t xml:space="preserve"> </w:t>
      </w:r>
      <w:r>
        <w:rPr>
          <w:i/>
          <w:sz w:val="24"/>
          <w:szCs w:val="24"/>
        </w:rPr>
        <w:t>Notitia</w:t>
      </w:r>
      <w:r w:rsidR="00E7782B">
        <w:rPr>
          <w:i/>
          <w:sz w:val="24"/>
          <w:szCs w:val="24"/>
        </w:rPr>
        <w:t xml:space="preserve"> Dignitatum</w:t>
      </w:r>
      <w:r>
        <w:rPr>
          <w:i/>
          <w:sz w:val="24"/>
          <w:szCs w:val="24"/>
        </w:rPr>
        <w:t xml:space="preserve"> </w:t>
      </w:r>
      <w:r>
        <w:rPr>
          <w:sz w:val="24"/>
          <w:szCs w:val="24"/>
        </w:rPr>
        <w:t>was</w:t>
      </w:r>
      <w:r w:rsidR="00E7782B">
        <w:rPr>
          <w:sz w:val="24"/>
          <w:szCs w:val="24"/>
        </w:rPr>
        <w:t xml:space="preserve"> reproduced due to the</w:t>
      </w:r>
      <w:r w:rsidRPr="008D0435">
        <w:rPr>
          <w:sz w:val="24"/>
          <w:szCs w:val="24"/>
        </w:rPr>
        <w:t xml:space="preserve"> artistic value</w:t>
      </w:r>
      <w:r w:rsidR="00E7782B">
        <w:rPr>
          <w:sz w:val="24"/>
          <w:szCs w:val="24"/>
        </w:rPr>
        <w:t xml:space="preserve"> derived from the physical illustrations of the document</w:t>
      </w:r>
      <w:r w:rsidRPr="008D0435">
        <w:rPr>
          <w:sz w:val="24"/>
          <w:szCs w:val="24"/>
        </w:rPr>
        <w:t>. The effort and craft for creating a written manuscript meant even written text was often beautifully crafted.</w:t>
      </w:r>
      <w:r w:rsidRPr="008D0435">
        <w:rPr>
          <w:rStyle w:val="FootnoteReference"/>
          <w:sz w:val="24"/>
          <w:szCs w:val="24"/>
        </w:rPr>
        <w:footnoteReference w:id="133"/>
      </w:r>
      <w:r w:rsidRPr="008D0435">
        <w:rPr>
          <w:sz w:val="24"/>
          <w:szCs w:val="24"/>
        </w:rPr>
        <w:t xml:space="preserve"> They continued to be collected into and transmitted through elaborately illustrated</w:t>
      </w:r>
      <w:r w:rsidRPr="008D0435">
        <w:rPr>
          <w:i/>
          <w:sz w:val="24"/>
          <w:szCs w:val="24"/>
        </w:rPr>
        <w:t xml:space="preserve"> </w:t>
      </w:r>
      <w:r w:rsidRPr="008D0435">
        <w:rPr>
          <w:sz w:val="24"/>
          <w:szCs w:val="24"/>
        </w:rPr>
        <w:t>codices that have an artistic merit as well as a literary one.</w:t>
      </w:r>
      <w:r w:rsidRPr="008D0435">
        <w:rPr>
          <w:rStyle w:val="FootnoteReference"/>
          <w:sz w:val="24"/>
          <w:szCs w:val="24"/>
        </w:rPr>
        <w:footnoteReference w:id="134"/>
      </w:r>
      <w:r w:rsidRPr="008D0435">
        <w:rPr>
          <w:sz w:val="24"/>
          <w:szCs w:val="24"/>
        </w:rPr>
        <w:t xml:space="preserve"> The possession of books was an indication of social status and wealth amongst the Carolingian elites. In such a paradigm it is hardly unsurprising that a manuscript became as much an </w:t>
      </w:r>
      <w:r w:rsidR="004C2737">
        <w:rPr>
          <w:i/>
          <w:sz w:val="24"/>
          <w:szCs w:val="24"/>
        </w:rPr>
        <w:t>objet d’a</w:t>
      </w:r>
      <w:r w:rsidRPr="008D0435">
        <w:rPr>
          <w:i/>
          <w:sz w:val="24"/>
          <w:szCs w:val="24"/>
        </w:rPr>
        <w:t>rt</w:t>
      </w:r>
      <w:r w:rsidRPr="008D0435">
        <w:rPr>
          <w:sz w:val="24"/>
          <w:szCs w:val="24"/>
        </w:rPr>
        <w:t xml:space="preserve"> as it was a literary text.</w:t>
      </w:r>
    </w:p>
    <w:p w:rsidR="00E756D7" w:rsidRPr="008D0435" w:rsidRDefault="00B674AD" w:rsidP="00722391">
      <w:pPr>
        <w:widowControl w:val="0"/>
        <w:suppressLineNumbers/>
        <w:tabs>
          <w:tab w:val="left" w:pos="4395"/>
        </w:tabs>
        <w:autoSpaceDE w:val="0"/>
        <w:autoSpaceDN w:val="0"/>
        <w:adjustRightInd w:val="0"/>
        <w:spacing w:after="0" w:line="480" w:lineRule="auto"/>
        <w:ind w:firstLine="720"/>
        <w:jc w:val="both"/>
        <w:rPr>
          <w:rFonts w:cs="Times New Roman"/>
          <w:bCs/>
          <w:sz w:val="24"/>
          <w:szCs w:val="24"/>
        </w:rPr>
      </w:pPr>
      <w:r>
        <w:rPr>
          <w:rFonts w:cs="Times New Roman"/>
          <w:bCs/>
          <w:sz w:val="24"/>
          <w:szCs w:val="24"/>
        </w:rPr>
        <w:t xml:space="preserve">In contrast to the </w:t>
      </w:r>
      <w:r w:rsidRPr="00B674AD">
        <w:rPr>
          <w:rFonts w:cs="Times New Roman"/>
          <w:bCs/>
          <w:i/>
          <w:sz w:val="24"/>
          <w:szCs w:val="24"/>
        </w:rPr>
        <w:t>Curiosum</w:t>
      </w:r>
      <w:r>
        <w:rPr>
          <w:rFonts w:cs="Times New Roman"/>
          <w:bCs/>
          <w:sz w:val="24"/>
          <w:szCs w:val="24"/>
        </w:rPr>
        <w:t>, t</w:t>
      </w:r>
      <w:r w:rsidR="00E756D7" w:rsidRPr="00B674AD">
        <w:rPr>
          <w:rFonts w:cs="Times New Roman"/>
          <w:bCs/>
          <w:sz w:val="24"/>
          <w:szCs w:val="24"/>
        </w:rPr>
        <w:t>he</w:t>
      </w:r>
      <w:r w:rsidR="00E756D7" w:rsidRPr="008D0435">
        <w:rPr>
          <w:rFonts w:cs="Times New Roman"/>
          <w:bCs/>
          <w:sz w:val="24"/>
          <w:szCs w:val="24"/>
        </w:rPr>
        <w:t xml:space="preserve"> </w:t>
      </w:r>
      <w:r w:rsidR="00E756D7" w:rsidRPr="008D0435">
        <w:rPr>
          <w:rFonts w:cs="Times New Roman"/>
          <w:bCs/>
          <w:i/>
          <w:sz w:val="24"/>
          <w:szCs w:val="24"/>
        </w:rPr>
        <w:t>Notitia</w:t>
      </w:r>
      <w:r w:rsidR="00E756D7" w:rsidRPr="008D0435">
        <w:rPr>
          <w:rFonts w:cs="Times New Roman"/>
          <w:bCs/>
          <w:sz w:val="24"/>
          <w:szCs w:val="24"/>
        </w:rPr>
        <w:t xml:space="preserve"> manuscripts have survived in two groups. </w:t>
      </w:r>
      <w:r w:rsidR="00E756D7" w:rsidRPr="008D0435">
        <w:rPr>
          <w:rFonts w:cs="Times New Roman"/>
          <w:bCs/>
          <w:sz w:val="24"/>
          <w:szCs w:val="24"/>
        </w:rPr>
        <w:lastRenderedPageBreak/>
        <w:t>The first as w</w:t>
      </w:r>
      <w:r w:rsidR="00175110">
        <w:rPr>
          <w:rFonts w:cs="Times New Roman"/>
          <w:bCs/>
          <w:sz w:val="24"/>
          <w:szCs w:val="24"/>
        </w:rPr>
        <w:t xml:space="preserve">e have already discussed, is represented by </w:t>
      </w:r>
      <w:r w:rsidR="00E756D7" w:rsidRPr="008D0435">
        <w:rPr>
          <w:rFonts w:cs="Times New Roman"/>
          <w:bCs/>
          <w:sz w:val="24"/>
          <w:szCs w:val="24"/>
        </w:rPr>
        <w:t xml:space="preserve">the </w:t>
      </w:r>
      <w:r w:rsidR="00E756D7" w:rsidRPr="008D0435">
        <w:rPr>
          <w:rFonts w:cs="Times New Roman"/>
          <w:bCs/>
          <w:i/>
          <w:sz w:val="24"/>
          <w:szCs w:val="24"/>
        </w:rPr>
        <w:t>Codex Spirensis</w:t>
      </w:r>
      <w:r w:rsidR="00E756D7" w:rsidRPr="008D0435">
        <w:rPr>
          <w:rFonts w:cs="Times New Roman"/>
          <w:bCs/>
          <w:sz w:val="24"/>
          <w:szCs w:val="24"/>
        </w:rPr>
        <w:t xml:space="preserve">. The second is the copy of the </w:t>
      </w:r>
      <w:r w:rsidR="00E756D7" w:rsidRPr="008D0435">
        <w:rPr>
          <w:rFonts w:cs="Times New Roman"/>
          <w:bCs/>
          <w:i/>
          <w:sz w:val="24"/>
          <w:szCs w:val="24"/>
        </w:rPr>
        <w:t>Notitia</w:t>
      </w:r>
      <w:r w:rsidR="00175110">
        <w:rPr>
          <w:rFonts w:cs="Times New Roman"/>
          <w:bCs/>
          <w:sz w:val="24"/>
          <w:szCs w:val="24"/>
        </w:rPr>
        <w:t xml:space="preserve"> that survives </w:t>
      </w:r>
      <w:r w:rsidR="00E756D7" w:rsidRPr="008D0435">
        <w:rPr>
          <w:rFonts w:cs="Times New Roman"/>
          <w:bCs/>
          <w:sz w:val="24"/>
          <w:szCs w:val="24"/>
        </w:rPr>
        <w:t xml:space="preserve">as part of the </w:t>
      </w:r>
      <w:r w:rsidR="00E756D7" w:rsidRPr="008D0435">
        <w:rPr>
          <w:rFonts w:cs="Times New Roman"/>
          <w:bCs/>
          <w:i/>
          <w:sz w:val="24"/>
          <w:szCs w:val="24"/>
        </w:rPr>
        <w:t>354</w:t>
      </w:r>
      <w:r w:rsidR="00E756D7" w:rsidRPr="008D0435">
        <w:rPr>
          <w:rFonts w:cs="Times New Roman"/>
          <w:bCs/>
          <w:sz w:val="24"/>
          <w:szCs w:val="24"/>
        </w:rPr>
        <w:t xml:space="preserve"> </w:t>
      </w:r>
      <w:r w:rsidR="00E756D7" w:rsidRPr="008D0435">
        <w:rPr>
          <w:rFonts w:cs="Times New Roman"/>
          <w:bCs/>
          <w:i/>
          <w:sz w:val="24"/>
          <w:szCs w:val="24"/>
        </w:rPr>
        <w:t>Codex-Calendar</w:t>
      </w:r>
      <w:r w:rsidR="00E756D7" w:rsidRPr="008D0435">
        <w:rPr>
          <w:rFonts w:cs="Times New Roman"/>
          <w:bCs/>
          <w:sz w:val="24"/>
          <w:szCs w:val="24"/>
        </w:rPr>
        <w:t xml:space="preserve">. The </w:t>
      </w:r>
      <w:r w:rsidR="00E756D7" w:rsidRPr="008D0435">
        <w:rPr>
          <w:rFonts w:cs="Times New Roman"/>
          <w:bCs/>
          <w:i/>
          <w:sz w:val="24"/>
          <w:szCs w:val="24"/>
        </w:rPr>
        <w:t>Codex Vindobonensis 3416</w:t>
      </w:r>
      <w:r w:rsidR="00E756D7" w:rsidRPr="008D0435">
        <w:rPr>
          <w:rFonts w:cs="Times New Roman"/>
          <w:bCs/>
          <w:sz w:val="24"/>
          <w:szCs w:val="24"/>
        </w:rPr>
        <w:t xml:space="preserve"> (from the fifteenth century) contains our oldest copy of the </w:t>
      </w:r>
      <w:r w:rsidR="00E756D7" w:rsidRPr="008D0435">
        <w:rPr>
          <w:rFonts w:cs="Times New Roman"/>
          <w:bCs/>
          <w:i/>
          <w:sz w:val="24"/>
          <w:szCs w:val="24"/>
        </w:rPr>
        <w:t>354 Codex-Calendar</w:t>
      </w:r>
      <w:r w:rsidR="00E756D7" w:rsidRPr="008D0435">
        <w:rPr>
          <w:rFonts w:cs="Times New Roman"/>
          <w:bCs/>
          <w:sz w:val="24"/>
          <w:szCs w:val="24"/>
        </w:rPr>
        <w:t xml:space="preserve"> that contained the </w:t>
      </w:r>
      <w:r w:rsidR="00E756D7" w:rsidRPr="008D0435">
        <w:rPr>
          <w:rFonts w:cs="Times New Roman"/>
          <w:bCs/>
          <w:i/>
          <w:sz w:val="24"/>
          <w:szCs w:val="24"/>
        </w:rPr>
        <w:t>Regionary Catalogues</w:t>
      </w:r>
      <w:r w:rsidR="00E756D7" w:rsidRPr="008D0435">
        <w:rPr>
          <w:rFonts w:cs="Times New Roman"/>
          <w:bCs/>
          <w:sz w:val="24"/>
          <w:szCs w:val="24"/>
        </w:rPr>
        <w:t>. It was a direct copy of the now lost 9</w:t>
      </w:r>
      <w:r w:rsidR="00E756D7" w:rsidRPr="008D0435">
        <w:rPr>
          <w:rFonts w:cs="Times New Roman"/>
          <w:bCs/>
          <w:sz w:val="24"/>
          <w:szCs w:val="24"/>
          <w:vertAlign w:val="superscript"/>
        </w:rPr>
        <w:t>th</w:t>
      </w:r>
      <w:r w:rsidR="00E756D7" w:rsidRPr="008D0435">
        <w:rPr>
          <w:rFonts w:cs="Times New Roman"/>
          <w:bCs/>
          <w:sz w:val="24"/>
          <w:szCs w:val="24"/>
        </w:rPr>
        <w:t xml:space="preserve"> century </w:t>
      </w:r>
      <w:r w:rsidR="00E756D7" w:rsidRPr="008D0435">
        <w:rPr>
          <w:rFonts w:cs="Times New Roman"/>
          <w:bCs/>
          <w:i/>
          <w:sz w:val="24"/>
          <w:szCs w:val="24"/>
        </w:rPr>
        <w:t>Codex Luxemburgensis</w:t>
      </w:r>
      <w:r w:rsidR="00E756D7" w:rsidRPr="008D0435">
        <w:rPr>
          <w:rFonts w:cs="Times New Roman"/>
          <w:bCs/>
          <w:sz w:val="24"/>
          <w:szCs w:val="24"/>
        </w:rPr>
        <w:t xml:space="preserve">. It is used as our primary source for the </w:t>
      </w:r>
      <w:r w:rsidR="00E756D7" w:rsidRPr="008D0435">
        <w:rPr>
          <w:rFonts w:cs="Times New Roman"/>
          <w:bCs/>
          <w:i/>
          <w:sz w:val="24"/>
          <w:szCs w:val="24"/>
        </w:rPr>
        <w:t>Codex-Calendar</w:t>
      </w:r>
      <w:r w:rsidR="00E756D7" w:rsidRPr="008D0435">
        <w:rPr>
          <w:rFonts w:cs="Times New Roman"/>
          <w:bCs/>
          <w:sz w:val="24"/>
          <w:szCs w:val="24"/>
        </w:rPr>
        <w:t xml:space="preserve"> as it was copied before the </w:t>
      </w:r>
      <w:r w:rsidR="00E756D7" w:rsidRPr="008D0435">
        <w:rPr>
          <w:rFonts w:cs="Times New Roman"/>
          <w:bCs/>
          <w:i/>
          <w:sz w:val="24"/>
          <w:szCs w:val="24"/>
        </w:rPr>
        <w:t>Luxemburgensis</w:t>
      </w:r>
      <w:r w:rsidR="00E756D7" w:rsidRPr="008D0435">
        <w:rPr>
          <w:rFonts w:cs="Times New Roman"/>
          <w:bCs/>
          <w:sz w:val="24"/>
          <w:szCs w:val="24"/>
        </w:rPr>
        <w:t xml:space="preserve"> lost several pages. More importantly the </w:t>
      </w:r>
      <w:r w:rsidR="00E756D7" w:rsidRPr="008D0435">
        <w:rPr>
          <w:rFonts w:cs="Times New Roman"/>
          <w:bCs/>
          <w:i/>
          <w:sz w:val="24"/>
          <w:szCs w:val="24"/>
        </w:rPr>
        <w:t>Luxemburgensis</w:t>
      </w:r>
      <w:r w:rsidR="00E756D7" w:rsidRPr="008D0435">
        <w:rPr>
          <w:rFonts w:cs="Times New Roman"/>
          <w:bCs/>
          <w:sz w:val="24"/>
          <w:szCs w:val="24"/>
        </w:rPr>
        <w:t xml:space="preserve"> was believ</w:t>
      </w:r>
      <w:r w:rsidR="00175110">
        <w:rPr>
          <w:rFonts w:cs="Times New Roman"/>
          <w:bCs/>
          <w:sz w:val="24"/>
          <w:szCs w:val="24"/>
        </w:rPr>
        <w:t>ed to a true copy of the fourth-</w:t>
      </w:r>
      <w:r w:rsidR="00E756D7" w:rsidRPr="008D0435">
        <w:rPr>
          <w:rFonts w:cs="Times New Roman"/>
          <w:bCs/>
          <w:sz w:val="24"/>
          <w:szCs w:val="24"/>
        </w:rPr>
        <w:t>century original.</w:t>
      </w:r>
      <w:r w:rsidR="00E756D7" w:rsidRPr="008D0435">
        <w:rPr>
          <w:rStyle w:val="FootnoteReference"/>
          <w:rFonts w:cs="Times New Roman"/>
          <w:bCs/>
          <w:sz w:val="24"/>
          <w:szCs w:val="24"/>
        </w:rPr>
        <w:footnoteReference w:id="135"/>
      </w:r>
      <w:r w:rsidR="00E756D7" w:rsidRPr="008D0435">
        <w:rPr>
          <w:rFonts w:cs="Times New Roman"/>
          <w:bCs/>
          <w:sz w:val="24"/>
          <w:szCs w:val="24"/>
        </w:rPr>
        <w:t xml:space="preserve"> If the </w:t>
      </w:r>
      <w:r w:rsidR="00E756D7" w:rsidRPr="008D0435">
        <w:rPr>
          <w:rFonts w:cs="Times New Roman"/>
          <w:bCs/>
          <w:i/>
          <w:sz w:val="24"/>
          <w:szCs w:val="24"/>
        </w:rPr>
        <w:t>Luxemburgensis</w:t>
      </w:r>
      <w:r w:rsidR="00E756D7" w:rsidRPr="008D0435">
        <w:rPr>
          <w:rFonts w:cs="Times New Roman"/>
          <w:bCs/>
          <w:sz w:val="24"/>
          <w:szCs w:val="24"/>
        </w:rPr>
        <w:t xml:space="preserve"> was i</w:t>
      </w:r>
      <w:r w:rsidR="00175110">
        <w:rPr>
          <w:rFonts w:cs="Times New Roman"/>
          <w:bCs/>
          <w:sz w:val="24"/>
          <w:szCs w:val="24"/>
        </w:rPr>
        <w:t>ndeed a true copy of the fourth-</w:t>
      </w:r>
      <w:r w:rsidR="00E756D7" w:rsidRPr="008D0435">
        <w:rPr>
          <w:rFonts w:cs="Times New Roman"/>
          <w:bCs/>
          <w:sz w:val="24"/>
          <w:szCs w:val="24"/>
        </w:rPr>
        <w:t>century codex-calendar</w:t>
      </w:r>
      <w:r w:rsidR="00175110">
        <w:rPr>
          <w:rFonts w:cs="Times New Roman"/>
          <w:bCs/>
          <w:sz w:val="24"/>
          <w:szCs w:val="24"/>
        </w:rPr>
        <w:t>,</w:t>
      </w:r>
      <w:r w:rsidR="00E756D7" w:rsidRPr="008D0435">
        <w:rPr>
          <w:rFonts w:cs="Times New Roman"/>
          <w:bCs/>
          <w:sz w:val="24"/>
          <w:szCs w:val="24"/>
        </w:rPr>
        <w:t xml:space="preserve"> this would mean that</w:t>
      </w:r>
      <w:r w:rsidR="00175110">
        <w:rPr>
          <w:rFonts w:cs="Times New Roman"/>
          <w:bCs/>
          <w:sz w:val="24"/>
          <w:szCs w:val="24"/>
        </w:rPr>
        <w:t>,</w:t>
      </w:r>
      <w:r w:rsidR="00E756D7" w:rsidRPr="008D0435">
        <w:rPr>
          <w:rFonts w:cs="Times New Roman"/>
          <w:bCs/>
          <w:sz w:val="24"/>
          <w:szCs w:val="24"/>
        </w:rPr>
        <w:t xml:space="preserve"> in contrast to the </w:t>
      </w:r>
      <w:r w:rsidR="00E756D7" w:rsidRPr="008D0435">
        <w:rPr>
          <w:rFonts w:cs="Times New Roman"/>
          <w:bCs/>
          <w:i/>
          <w:sz w:val="24"/>
          <w:szCs w:val="24"/>
        </w:rPr>
        <w:t>Curiosum</w:t>
      </w:r>
      <w:r w:rsidR="00175110">
        <w:rPr>
          <w:rFonts w:cs="Times New Roman"/>
          <w:bCs/>
          <w:sz w:val="24"/>
          <w:szCs w:val="24"/>
        </w:rPr>
        <w:t>, we possess a fourth-</w:t>
      </w:r>
      <w:r w:rsidR="00E756D7" w:rsidRPr="008D0435">
        <w:rPr>
          <w:rFonts w:cs="Times New Roman"/>
          <w:bCs/>
          <w:sz w:val="24"/>
          <w:szCs w:val="24"/>
        </w:rPr>
        <w:t xml:space="preserve">century copy of the </w:t>
      </w:r>
      <w:r w:rsidR="00E756D7" w:rsidRPr="008D0435">
        <w:rPr>
          <w:rFonts w:cs="Times New Roman"/>
          <w:bCs/>
          <w:i/>
          <w:sz w:val="24"/>
          <w:szCs w:val="24"/>
        </w:rPr>
        <w:t>Notitia</w:t>
      </w:r>
      <w:r w:rsidR="00E756D7" w:rsidRPr="008D0435">
        <w:rPr>
          <w:rFonts w:cs="Times New Roman"/>
          <w:bCs/>
          <w:sz w:val="24"/>
          <w:szCs w:val="24"/>
        </w:rPr>
        <w:t xml:space="preserve"> through the </w:t>
      </w:r>
      <w:r w:rsidR="00E756D7" w:rsidRPr="008D0435">
        <w:rPr>
          <w:rFonts w:cs="Times New Roman"/>
          <w:bCs/>
          <w:i/>
          <w:sz w:val="24"/>
          <w:szCs w:val="24"/>
        </w:rPr>
        <w:t>Codex-Calendar of 354</w:t>
      </w:r>
      <w:r w:rsidR="00E756D7" w:rsidRPr="008D0435">
        <w:rPr>
          <w:rFonts w:cs="Times New Roman"/>
          <w:bCs/>
          <w:sz w:val="24"/>
          <w:szCs w:val="24"/>
        </w:rPr>
        <w:t>.</w:t>
      </w:r>
    </w:p>
    <w:p w:rsidR="00E756D7" w:rsidRPr="008D0435" w:rsidRDefault="00E756D7" w:rsidP="00722391">
      <w:pPr>
        <w:widowControl w:val="0"/>
        <w:suppressLineNumbers/>
        <w:autoSpaceDE w:val="0"/>
        <w:autoSpaceDN w:val="0"/>
        <w:adjustRightInd w:val="0"/>
        <w:spacing w:after="0" w:line="480" w:lineRule="auto"/>
        <w:ind w:firstLine="720"/>
        <w:jc w:val="both"/>
        <w:rPr>
          <w:rFonts w:cs="Times New Roman"/>
          <w:bCs/>
          <w:sz w:val="24"/>
          <w:szCs w:val="24"/>
        </w:rPr>
      </w:pPr>
      <w:r w:rsidRPr="008D0435">
        <w:rPr>
          <w:rFonts w:cs="Times New Roman"/>
          <w:bCs/>
          <w:sz w:val="24"/>
          <w:szCs w:val="24"/>
        </w:rPr>
        <w:t xml:space="preserve">The first finished appearance of the </w:t>
      </w:r>
      <w:r w:rsidRPr="008D0435">
        <w:rPr>
          <w:rFonts w:cs="Times New Roman"/>
          <w:bCs/>
          <w:i/>
          <w:sz w:val="24"/>
          <w:szCs w:val="24"/>
        </w:rPr>
        <w:t>Notitia</w:t>
      </w:r>
      <w:r w:rsidRPr="008D0435">
        <w:rPr>
          <w:rFonts w:cs="Times New Roman"/>
          <w:bCs/>
          <w:sz w:val="24"/>
          <w:szCs w:val="24"/>
        </w:rPr>
        <w:t xml:space="preserve"> MS is therefore easily dated by its presence in the </w:t>
      </w:r>
      <w:r w:rsidRPr="008D0435">
        <w:rPr>
          <w:rFonts w:cs="Times New Roman"/>
          <w:bCs/>
          <w:i/>
          <w:sz w:val="24"/>
          <w:szCs w:val="24"/>
        </w:rPr>
        <w:t xml:space="preserve">Codex-Calendar. </w:t>
      </w:r>
      <w:r w:rsidRPr="008D0435">
        <w:rPr>
          <w:rFonts w:cs="Times New Roman"/>
          <w:bCs/>
          <w:sz w:val="24"/>
          <w:szCs w:val="24"/>
        </w:rPr>
        <w:t xml:space="preserve">The </w:t>
      </w:r>
      <w:r w:rsidRPr="008D0435">
        <w:rPr>
          <w:rFonts w:cs="Times New Roman"/>
          <w:bCs/>
          <w:i/>
          <w:sz w:val="24"/>
          <w:szCs w:val="24"/>
        </w:rPr>
        <w:t>Notitia</w:t>
      </w:r>
      <w:r w:rsidR="00B674AD">
        <w:rPr>
          <w:rFonts w:cs="Times New Roman"/>
          <w:bCs/>
          <w:sz w:val="24"/>
          <w:szCs w:val="24"/>
        </w:rPr>
        <w:t xml:space="preserve"> has</w:t>
      </w:r>
      <w:r w:rsidRPr="008D0435">
        <w:rPr>
          <w:rFonts w:cs="Times New Roman"/>
          <w:bCs/>
          <w:sz w:val="24"/>
          <w:szCs w:val="24"/>
        </w:rPr>
        <w:t xml:space="preserve"> been </w:t>
      </w:r>
      <w:r w:rsidR="00175110">
        <w:rPr>
          <w:rFonts w:cs="Times New Roman"/>
          <w:bCs/>
          <w:sz w:val="24"/>
          <w:szCs w:val="24"/>
        </w:rPr>
        <w:t>described as</w:t>
      </w:r>
      <w:r w:rsidR="006137F3">
        <w:rPr>
          <w:rFonts w:cs="Times New Roman"/>
          <w:bCs/>
          <w:sz w:val="24"/>
          <w:szCs w:val="24"/>
        </w:rPr>
        <w:t xml:space="preserve"> odd one out as it is</w:t>
      </w:r>
      <w:r w:rsidR="006137F3" w:rsidRPr="008D0435">
        <w:rPr>
          <w:rFonts w:cs="Times New Roman"/>
          <w:bCs/>
          <w:sz w:val="24"/>
          <w:szCs w:val="24"/>
        </w:rPr>
        <w:t xml:space="preserve"> the only item concerned with topographical/geographical information</w:t>
      </w:r>
      <w:r w:rsidR="006137F3">
        <w:rPr>
          <w:rFonts w:cs="Times New Roman"/>
          <w:bCs/>
          <w:sz w:val="24"/>
          <w:szCs w:val="24"/>
        </w:rPr>
        <w:t xml:space="preserve"> i</w:t>
      </w:r>
      <w:r w:rsidRPr="008D0435">
        <w:rPr>
          <w:rFonts w:cs="Times New Roman"/>
          <w:bCs/>
          <w:sz w:val="24"/>
          <w:szCs w:val="24"/>
        </w:rPr>
        <w:t xml:space="preserve">n a </w:t>
      </w:r>
      <w:r w:rsidRPr="008D0435">
        <w:rPr>
          <w:rFonts w:cs="Times New Roman"/>
          <w:bCs/>
          <w:i/>
          <w:sz w:val="24"/>
          <w:szCs w:val="24"/>
        </w:rPr>
        <w:t>Codex</w:t>
      </w:r>
      <w:r w:rsidRPr="008D0435">
        <w:rPr>
          <w:rFonts w:cs="Times New Roman"/>
          <w:bCs/>
          <w:sz w:val="24"/>
          <w:szCs w:val="24"/>
        </w:rPr>
        <w:t xml:space="preserve"> </w:t>
      </w:r>
      <w:r w:rsidR="006137F3">
        <w:rPr>
          <w:rFonts w:cs="Times New Roman"/>
          <w:bCs/>
          <w:sz w:val="24"/>
          <w:szCs w:val="24"/>
        </w:rPr>
        <w:t>generally concerned with</w:t>
      </w:r>
      <w:r w:rsidR="00175110">
        <w:rPr>
          <w:rFonts w:cs="Times New Roman"/>
          <w:bCs/>
          <w:sz w:val="24"/>
          <w:szCs w:val="24"/>
        </w:rPr>
        <w:t xml:space="preserve"> chronological information</w:t>
      </w:r>
      <w:r w:rsidRPr="008D0435">
        <w:rPr>
          <w:rFonts w:cs="Times New Roman"/>
          <w:bCs/>
          <w:sz w:val="24"/>
          <w:szCs w:val="24"/>
        </w:rPr>
        <w:t>.</w:t>
      </w:r>
      <w:r w:rsidRPr="008D0435">
        <w:rPr>
          <w:rStyle w:val="FootnoteReference"/>
          <w:rFonts w:cs="Times New Roman"/>
          <w:bCs/>
          <w:sz w:val="24"/>
          <w:szCs w:val="24"/>
        </w:rPr>
        <w:footnoteReference w:id="136"/>
      </w:r>
      <w:r w:rsidRPr="008D0435">
        <w:rPr>
          <w:rFonts w:cs="Times New Roman"/>
          <w:bCs/>
          <w:sz w:val="24"/>
          <w:szCs w:val="24"/>
        </w:rPr>
        <w:t xml:space="preserve"> But whilst the </w:t>
      </w:r>
      <w:r w:rsidRPr="008D0435">
        <w:rPr>
          <w:rFonts w:cs="Times New Roman"/>
          <w:bCs/>
          <w:i/>
          <w:sz w:val="24"/>
          <w:szCs w:val="24"/>
        </w:rPr>
        <w:t>Notitia</w:t>
      </w:r>
      <w:r w:rsidRPr="008D0435">
        <w:rPr>
          <w:rFonts w:cs="Times New Roman"/>
          <w:bCs/>
          <w:sz w:val="24"/>
          <w:szCs w:val="24"/>
        </w:rPr>
        <w:t xml:space="preserve"> is certainly not </w:t>
      </w:r>
      <w:r w:rsidR="00175110">
        <w:rPr>
          <w:rFonts w:cs="Times New Roman"/>
          <w:bCs/>
          <w:sz w:val="24"/>
          <w:szCs w:val="24"/>
        </w:rPr>
        <w:t xml:space="preserve">a </w:t>
      </w:r>
      <w:r w:rsidRPr="008D0435">
        <w:rPr>
          <w:rFonts w:cs="Times New Roman"/>
          <w:bCs/>
          <w:sz w:val="24"/>
          <w:szCs w:val="24"/>
        </w:rPr>
        <w:t xml:space="preserve">chronological list, it does fit thematically with the delivery of a “traditional” Roman worldview that is presented with the </w:t>
      </w:r>
      <w:r w:rsidRPr="008D0435">
        <w:rPr>
          <w:rFonts w:cs="Times New Roman"/>
          <w:bCs/>
          <w:i/>
          <w:sz w:val="24"/>
          <w:szCs w:val="24"/>
        </w:rPr>
        <w:t>Codex</w:t>
      </w:r>
      <w:r w:rsidRPr="008D0435">
        <w:rPr>
          <w:rFonts w:cs="Times New Roman"/>
          <w:bCs/>
          <w:sz w:val="24"/>
          <w:szCs w:val="24"/>
        </w:rPr>
        <w:t xml:space="preserve">. The aristocratic recipient of the </w:t>
      </w:r>
      <w:r w:rsidRPr="008D0435">
        <w:rPr>
          <w:rFonts w:cs="Times New Roman"/>
          <w:bCs/>
          <w:i/>
          <w:sz w:val="24"/>
          <w:szCs w:val="24"/>
        </w:rPr>
        <w:t>Codex-Calendar</w:t>
      </w:r>
      <w:r w:rsidRPr="008D0435">
        <w:rPr>
          <w:rFonts w:cs="Times New Roman"/>
          <w:bCs/>
          <w:sz w:val="24"/>
          <w:szCs w:val="24"/>
        </w:rPr>
        <w:t xml:space="preserve"> was part of a shared culture that “cut across religious differences” in favour of revering traditional Roman culture, history and knowledge.</w:t>
      </w:r>
      <w:r w:rsidRPr="008D0435">
        <w:rPr>
          <w:rStyle w:val="FootnoteReference"/>
          <w:rFonts w:cs="Times New Roman"/>
          <w:bCs/>
          <w:sz w:val="24"/>
          <w:szCs w:val="24"/>
        </w:rPr>
        <w:footnoteReference w:id="137"/>
      </w:r>
      <w:r w:rsidRPr="008D0435">
        <w:rPr>
          <w:rFonts w:cs="Times New Roman"/>
          <w:bCs/>
          <w:sz w:val="24"/>
          <w:szCs w:val="24"/>
        </w:rPr>
        <w:t xml:space="preserve"> The Christian documents </w:t>
      </w:r>
      <w:r w:rsidR="00175110">
        <w:rPr>
          <w:rFonts w:cs="Times New Roman"/>
          <w:bCs/>
          <w:sz w:val="24"/>
          <w:szCs w:val="24"/>
        </w:rPr>
        <w:t xml:space="preserve">that appear within </w:t>
      </w:r>
      <w:r w:rsidRPr="008D0435">
        <w:rPr>
          <w:rFonts w:cs="Times New Roman"/>
          <w:bCs/>
          <w:sz w:val="24"/>
          <w:szCs w:val="24"/>
        </w:rPr>
        <w:t xml:space="preserve">it speak to the growing accommodation of the Roman elite to Christianity, with an age (and therefore authority) that allows them to be considered part of the city’s </w:t>
      </w:r>
      <w:r w:rsidRPr="008D0435">
        <w:rPr>
          <w:rFonts w:cs="Times New Roman"/>
          <w:bCs/>
          <w:i/>
          <w:sz w:val="24"/>
          <w:szCs w:val="24"/>
        </w:rPr>
        <w:t>mos maiorum</w:t>
      </w:r>
      <w:r w:rsidRPr="008D0435">
        <w:rPr>
          <w:rFonts w:cs="Times New Roman"/>
          <w:bCs/>
          <w:sz w:val="24"/>
          <w:szCs w:val="24"/>
        </w:rPr>
        <w:t xml:space="preserve"> rather </w:t>
      </w:r>
      <w:r w:rsidRPr="008D0435">
        <w:rPr>
          <w:rFonts w:cs="Times New Roman"/>
          <w:bCs/>
          <w:i/>
          <w:sz w:val="24"/>
          <w:szCs w:val="24"/>
        </w:rPr>
        <w:t>res nova</w:t>
      </w:r>
      <w:r w:rsidR="00175110">
        <w:rPr>
          <w:rFonts w:cs="Times New Roman"/>
          <w:bCs/>
          <w:i/>
          <w:sz w:val="24"/>
          <w:szCs w:val="24"/>
        </w:rPr>
        <w:t>e</w:t>
      </w:r>
      <w:r w:rsidRPr="008D0435">
        <w:rPr>
          <w:rFonts w:cs="Times New Roman"/>
          <w:bCs/>
          <w:sz w:val="24"/>
          <w:szCs w:val="24"/>
        </w:rPr>
        <w:t>.</w:t>
      </w:r>
    </w:p>
    <w:p w:rsidR="00E756D7" w:rsidRPr="008D0435" w:rsidRDefault="00E756D7" w:rsidP="00722391">
      <w:pPr>
        <w:widowControl w:val="0"/>
        <w:suppressLineNumbers/>
        <w:tabs>
          <w:tab w:val="left" w:pos="4395"/>
        </w:tabs>
        <w:autoSpaceDE w:val="0"/>
        <w:autoSpaceDN w:val="0"/>
        <w:adjustRightInd w:val="0"/>
        <w:spacing w:after="0" w:line="480" w:lineRule="auto"/>
        <w:ind w:firstLine="720"/>
        <w:jc w:val="both"/>
        <w:rPr>
          <w:rFonts w:cs="Times New Roman"/>
          <w:bCs/>
          <w:sz w:val="24"/>
          <w:szCs w:val="24"/>
        </w:rPr>
      </w:pPr>
      <w:r w:rsidRPr="008D0435">
        <w:rPr>
          <w:rFonts w:cs="Times New Roman"/>
          <w:bCs/>
          <w:sz w:val="24"/>
          <w:szCs w:val="24"/>
        </w:rPr>
        <w:t xml:space="preserve">Javier </w:t>
      </w:r>
      <w:r w:rsidR="009E7336">
        <w:rPr>
          <w:rFonts w:cs="Times New Roman"/>
          <w:bCs/>
          <w:sz w:val="24"/>
          <w:szCs w:val="24"/>
        </w:rPr>
        <w:t>Arce</w:t>
      </w:r>
      <w:r w:rsidRPr="008D0435">
        <w:rPr>
          <w:rFonts w:cs="Times New Roman"/>
          <w:bCs/>
          <w:sz w:val="24"/>
          <w:szCs w:val="24"/>
        </w:rPr>
        <w:t xml:space="preserve"> has mention</w:t>
      </w:r>
      <w:r w:rsidR="00175110">
        <w:rPr>
          <w:rFonts w:cs="Times New Roman"/>
          <w:bCs/>
          <w:sz w:val="24"/>
          <w:szCs w:val="24"/>
        </w:rPr>
        <w:t>ed</w:t>
      </w:r>
      <w:r w:rsidRPr="008D0435">
        <w:rPr>
          <w:rFonts w:cs="Times New Roman"/>
          <w:bCs/>
          <w:sz w:val="24"/>
          <w:szCs w:val="24"/>
        </w:rPr>
        <w:t xml:space="preserve"> that the </w:t>
      </w:r>
      <w:r w:rsidRPr="008D0435">
        <w:rPr>
          <w:rFonts w:cs="Times New Roman"/>
          <w:bCs/>
          <w:i/>
          <w:sz w:val="24"/>
          <w:szCs w:val="24"/>
        </w:rPr>
        <w:t>Notitia</w:t>
      </w:r>
      <w:r w:rsidRPr="008D0435">
        <w:rPr>
          <w:rFonts w:cs="Times New Roman"/>
          <w:bCs/>
          <w:sz w:val="24"/>
          <w:szCs w:val="24"/>
        </w:rPr>
        <w:t xml:space="preserve"> shares a great deal of similarity with the </w:t>
      </w:r>
      <w:r w:rsidRPr="008D0435">
        <w:rPr>
          <w:rFonts w:cs="Times New Roman"/>
          <w:bCs/>
          <w:sz w:val="24"/>
          <w:szCs w:val="24"/>
        </w:rPr>
        <w:lastRenderedPageBreak/>
        <w:t xml:space="preserve">Consular Lists also included in the </w:t>
      </w:r>
      <w:r w:rsidRPr="008D0435">
        <w:rPr>
          <w:rFonts w:cs="Times New Roman"/>
          <w:bCs/>
          <w:i/>
          <w:sz w:val="24"/>
          <w:szCs w:val="24"/>
        </w:rPr>
        <w:t>Codex-Calendar</w:t>
      </w:r>
      <w:r w:rsidRPr="008D0435">
        <w:rPr>
          <w:rFonts w:cs="Times New Roman"/>
          <w:bCs/>
          <w:sz w:val="24"/>
          <w:szCs w:val="24"/>
        </w:rPr>
        <w:t>: ‘structural brevity, anonymous character, material that can quickly be supplemented over the years, ease of interpolations.’</w:t>
      </w:r>
      <w:r w:rsidRPr="008D0435">
        <w:rPr>
          <w:rStyle w:val="FootnoteReference"/>
          <w:rFonts w:cs="Times New Roman"/>
          <w:bCs/>
          <w:sz w:val="24"/>
          <w:szCs w:val="24"/>
        </w:rPr>
        <w:footnoteReference w:id="138"/>
      </w:r>
      <w:r w:rsidRPr="008D0435">
        <w:rPr>
          <w:rFonts w:cs="Times New Roman"/>
          <w:bCs/>
          <w:sz w:val="24"/>
          <w:szCs w:val="24"/>
        </w:rPr>
        <w:t xml:space="preserve"> As has been mentioned in the </w:t>
      </w:r>
      <w:r w:rsidR="00B674AD">
        <w:rPr>
          <w:rFonts w:cs="Times New Roman"/>
          <w:bCs/>
          <w:sz w:val="24"/>
          <w:szCs w:val="24"/>
        </w:rPr>
        <w:t>introduction</w:t>
      </w:r>
      <w:r w:rsidRPr="008D0435">
        <w:rPr>
          <w:rFonts w:cs="Times New Roman"/>
          <w:bCs/>
          <w:sz w:val="24"/>
          <w:szCs w:val="24"/>
        </w:rPr>
        <w:t xml:space="preserve">, the prime candidate for the original authorship of the </w:t>
      </w:r>
      <w:r w:rsidRPr="008D0435">
        <w:rPr>
          <w:rFonts w:cs="Times New Roman"/>
          <w:bCs/>
          <w:i/>
          <w:sz w:val="24"/>
          <w:szCs w:val="24"/>
        </w:rPr>
        <w:t>Regionary Catalogues</w:t>
      </w:r>
      <w:r w:rsidRPr="008D0435">
        <w:rPr>
          <w:rFonts w:cs="Times New Roman"/>
          <w:bCs/>
          <w:sz w:val="24"/>
          <w:szCs w:val="24"/>
        </w:rPr>
        <w:t xml:space="preserve"> has remained the Urban Prefect. Even those historians who disagree with this as</w:t>
      </w:r>
      <w:r w:rsidR="00175110">
        <w:rPr>
          <w:rFonts w:cs="Times New Roman"/>
          <w:bCs/>
          <w:sz w:val="24"/>
          <w:szCs w:val="24"/>
        </w:rPr>
        <w:t>sumption either accept that</w:t>
      </w:r>
      <w:r w:rsidRPr="008D0435">
        <w:rPr>
          <w:rFonts w:cs="Times New Roman"/>
          <w:bCs/>
          <w:sz w:val="24"/>
          <w:szCs w:val="24"/>
        </w:rPr>
        <w:t xml:space="preserve"> the statistics for the </w:t>
      </w:r>
      <w:r w:rsidRPr="008D0435">
        <w:rPr>
          <w:rFonts w:cs="Times New Roman"/>
          <w:bCs/>
          <w:i/>
          <w:sz w:val="24"/>
          <w:szCs w:val="24"/>
        </w:rPr>
        <w:t>Regionaries</w:t>
      </w:r>
      <w:r w:rsidRPr="008D0435">
        <w:rPr>
          <w:rFonts w:cs="Times New Roman"/>
          <w:bCs/>
          <w:sz w:val="24"/>
          <w:szCs w:val="24"/>
        </w:rPr>
        <w:t xml:space="preserve"> will have come from the Office of the Urban Prefect, or that the </w:t>
      </w:r>
      <w:r w:rsidRPr="008D0435">
        <w:rPr>
          <w:rFonts w:cs="Times New Roman"/>
          <w:bCs/>
          <w:i/>
          <w:sz w:val="24"/>
          <w:szCs w:val="24"/>
        </w:rPr>
        <w:t>Regionaries</w:t>
      </w:r>
      <w:r w:rsidRPr="008D0435">
        <w:rPr>
          <w:rFonts w:cs="Times New Roman"/>
          <w:bCs/>
          <w:sz w:val="24"/>
          <w:szCs w:val="24"/>
        </w:rPr>
        <w:t xml:space="preserve"> and the </w:t>
      </w:r>
      <w:r w:rsidRPr="008D0435">
        <w:rPr>
          <w:rFonts w:cs="Times New Roman"/>
          <w:bCs/>
          <w:i/>
          <w:sz w:val="24"/>
          <w:szCs w:val="24"/>
        </w:rPr>
        <w:t>Codex-Calendar</w:t>
      </w:r>
      <w:r>
        <w:rPr>
          <w:rFonts w:cs="Times New Roman"/>
          <w:bCs/>
          <w:sz w:val="24"/>
          <w:szCs w:val="24"/>
        </w:rPr>
        <w:t xml:space="preserve"> would have been</w:t>
      </w:r>
      <w:r w:rsidR="00175110">
        <w:rPr>
          <w:rFonts w:cs="Times New Roman"/>
          <w:bCs/>
          <w:sz w:val="24"/>
          <w:szCs w:val="24"/>
        </w:rPr>
        <w:t xml:space="preserve"> produced within</w:t>
      </w:r>
      <w:r w:rsidRPr="008D0435">
        <w:rPr>
          <w:rFonts w:cs="Times New Roman"/>
          <w:bCs/>
          <w:sz w:val="24"/>
          <w:szCs w:val="24"/>
        </w:rPr>
        <w:t xml:space="preserve"> the Urban Prefect’s social circle.</w:t>
      </w:r>
      <w:r w:rsidRPr="008D0435">
        <w:rPr>
          <w:rStyle w:val="FootnoteReference"/>
          <w:rFonts w:cs="Times New Roman"/>
          <w:bCs/>
          <w:sz w:val="24"/>
          <w:szCs w:val="24"/>
        </w:rPr>
        <w:footnoteReference w:id="139"/>
      </w:r>
      <w:r w:rsidRPr="008D0435">
        <w:rPr>
          <w:rFonts w:cs="Times New Roman"/>
          <w:bCs/>
          <w:sz w:val="24"/>
          <w:szCs w:val="24"/>
        </w:rPr>
        <w:t xml:space="preserve"> Certainly the </w:t>
      </w:r>
      <w:r w:rsidRPr="008D0435">
        <w:rPr>
          <w:rFonts w:cs="Times New Roman"/>
          <w:bCs/>
          <w:i/>
          <w:sz w:val="24"/>
          <w:szCs w:val="24"/>
        </w:rPr>
        <w:t>Notitia</w:t>
      </w:r>
      <w:r w:rsidRPr="008D0435">
        <w:rPr>
          <w:rFonts w:cs="Times New Roman"/>
          <w:bCs/>
          <w:sz w:val="24"/>
          <w:szCs w:val="24"/>
        </w:rPr>
        <w:t xml:space="preserve">’s </w:t>
      </w:r>
      <w:r w:rsidRPr="008D0435">
        <w:rPr>
          <w:sz w:val="24"/>
          <w:szCs w:val="24"/>
        </w:rPr>
        <w:t>emphasis on traditional buildings and aspects of urban life can be construed both as representation of an administration dominat</w:t>
      </w:r>
      <w:r w:rsidR="00753AD2">
        <w:rPr>
          <w:sz w:val="24"/>
          <w:szCs w:val="24"/>
        </w:rPr>
        <w:t xml:space="preserve">ed by the </w:t>
      </w:r>
      <w:r w:rsidR="0087599E">
        <w:rPr>
          <w:sz w:val="24"/>
          <w:szCs w:val="24"/>
        </w:rPr>
        <w:t>s</w:t>
      </w:r>
      <w:r w:rsidR="008B44B0">
        <w:rPr>
          <w:sz w:val="24"/>
          <w:szCs w:val="24"/>
        </w:rPr>
        <w:t>enatorial</w:t>
      </w:r>
      <w:r w:rsidR="00753AD2">
        <w:rPr>
          <w:sz w:val="24"/>
          <w:szCs w:val="24"/>
        </w:rPr>
        <w:t xml:space="preserve"> elites</w:t>
      </w:r>
      <w:r w:rsidRPr="008D0435">
        <w:rPr>
          <w:sz w:val="24"/>
          <w:szCs w:val="24"/>
        </w:rPr>
        <w:t xml:space="preserve"> and as a literary form of the vanity caused by the compensatory overvaluing of traditional precedent that assu</w:t>
      </w:r>
      <w:r w:rsidR="00753AD2">
        <w:rPr>
          <w:sz w:val="24"/>
          <w:szCs w:val="24"/>
        </w:rPr>
        <w:t>aged the anxieties of the aristocracy of a formerly significant city</w:t>
      </w:r>
      <w:r w:rsidRPr="008D0435">
        <w:rPr>
          <w:sz w:val="24"/>
          <w:szCs w:val="24"/>
        </w:rPr>
        <w:t>.</w:t>
      </w:r>
      <w:r w:rsidRPr="008D0435">
        <w:rPr>
          <w:rStyle w:val="FootnoteReference"/>
          <w:sz w:val="24"/>
          <w:szCs w:val="24"/>
        </w:rPr>
        <w:footnoteReference w:id="140"/>
      </w:r>
      <w:r w:rsidRPr="008D0435">
        <w:rPr>
          <w:rFonts w:cs="Times New Roman"/>
          <w:bCs/>
          <w:sz w:val="24"/>
          <w:szCs w:val="24"/>
        </w:rPr>
        <w:t xml:space="preserve"> In view of the </w:t>
      </w:r>
      <w:r w:rsidRPr="008D0435">
        <w:rPr>
          <w:rFonts w:cs="Times New Roman"/>
          <w:bCs/>
          <w:i/>
          <w:sz w:val="24"/>
          <w:szCs w:val="24"/>
        </w:rPr>
        <w:t>Regionaries</w:t>
      </w:r>
      <w:r w:rsidR="00355934">
        <w:rPr>
          <w:rFonts w:cs="Times New Roman"/>
          <w:bCs/>
          <w:i/>
          <w:sz w:val="24"/>
          <w:szCs w:val="24"/>
        </w:rPr>
        <w:t>’</w:t>
      </w:r>
      <w:r w:rsidRPr="008D0435">
        <w:rPr>
          <w:rFonts w:cs="Times New Roman"/>
          <w:bCs/>
          <w:sz w:val="24"/>
          <w:szCs w:val="24"/>
        </w:rPr>
        <w:t xml:space="preserve"> strong associations with urban government and even stronger associations with the Roman </w:t>
      </w:r>
      <w:r w:rsidR="0087599E">
        <w:rPr>
          <w:rFonts w:cs="Times New Roman"/>
          <w:bCs/>
          <w:sz w:val="24"/>
          <w:szCs w:val="24"/>
        </w:rPr>
        <w:t>s</w:t>
      </w:r>
      <w:r w:rsidR="008B44B0">
        <w:rPr>
          <w:rFonts w:cs="Times New Roman"/>
          <w:bCs/>
          <w:sz w:val="24"/>
          <w:szCs w:val="24"/>
        </w:rPr>
        <w:t>enatorial</w:t>
      </w:r>
      <w:r w:rsidRPr="008D0435">
        <w:rPr>
          <w:rFonts w:cs="Times New Roman"/>
          <w:bCs/>
          <w:sz w:val="24"/>
          <w:szCs w:val="24"/>
        </w:rPr>
        <w:t xml:space="preserve"> aristocracy it makes perfect sense to have been included.</w:t>
      </w:r>
      <w:r w:rsidRPr="008D0435">
        <w:rPr>
          <w:rStyle w:val="FootnoteReference"/>
          <w:rFonts w:cs="Times New Roman"/>
          <w:bCs/>
          <w:sz w:val="24"/>
          <w:szCs w:val="24"/>
        </w:rPr>
        <w:footnoteReference w:id="141"/>
      </w:r>
      <w:r w:rsidRPr="008D0435">
        <w:rPr>
          <w:rFonts w:cs="Times New Roman"/>
          <w:bCs/>
          <w:sz w:val="24"/>
          <w:szCs w:val="24"/>
        </w:rPr>
        <w:t xml:space="preserve"> </w:t>
      </w:r>
    </w:p>
    <w:p w:rsidR="00E756D7" w:rsidRPr="008D0435" w:rsidRDefault="00E756D7" w:rsidP="00722391">
      <w:pPr>
        <w:spacing w:line="480" w:lineRule="auto"/>
        <w:ind w:firstLine="720"/>
        <w:jc w:val="both"/>
        <w:rPr>
          <w:rFonts w:cs="Times New Roman"/>
          <w:bCs/>
          <w:sz w:val="24"/>
          <w:szCs w:val="24"/>
        </w:rPr>
      </w:pPr>
      <w:r w:rsidRPr="008D0435">
        <w:rPr>
          <w:rFonts w:cs="Times New Roman"/>
          <w:bCs/>
          <w:sz w:val="24"/>
          <w:szCs w:val="24"/>
        </w:rPr>
        <w:t xml:space="preserve">A particular sticking point for some scholars is that it is only in the </w:t>
      </w:r>
      <w:r w:rsidRPr="008D0435">
        <w:rPr>
          <w:rFonts w:cs="Times New Roman"/>
          <w:bCs/>
          <w:i/>
          <w:sz w:val="24"/>
          <w:szCs w:val="24"/>
        </w:rPr>
        <w:t>Vindobonensis</w:t>
      </w:r>
      <w:r w:rsidRPr="008D0435">
        <w:rPr>
          <w:rFonts w:cs="Times New Roman"/>
          <w:bCs/>
          <w:sz w:val="24"/>
          <w:szCs w:val="24"/>
        </w:rPr>
        <w:t xml:space="preserve"> copy of the </w:t>
      </w:r>
      <w:r w:rsidRPr="008D0435">
        <w:rPr>
          <w:rFonts w:cs="Times New Roman"/>
          <w:bCs/>
          <w:i/>
          <w:sz w:val="24"/>
          <w:szCs w:val="24"/>
        </w:rPr>
        <w:t>Codex-Calendar</w:t>
      </w:r>
      <w:r w:rsidRPr="008D0435">
        <w:rPr>
          <w:rFonts w:cs="Times New Roman"/>
          <w:bCs/>
          <w:sz w:val="24"/>
          <w:szCs w:val="24"/>
        </w:rPr>
        <w:t xml:space="preserve"> that the </w:t>
      </w:r>
      <w:r w:rsidRPr="008D0435">
        <w:rPr>
          <w:rFonts w:cs="Times New Roman"/>
          <w:bCs/>
          <w:i/>
          <w:sz w:val="24"/>
          <w:szCs w:val="24"/>
        </w:rPr>
        <w:t>Notitia</w:t>
      </w:r>
      <w:r w:rsidRPr="008D0435">
        <w:rPr>
          <w:rFonts w:cs="Times New Roman"/>
          <w:bCs/>
          <w:sz w:val="24"/>
          <w:szCs w:val="24"/>
        </w:rPr>
        <w:t xml:space="preserve"> appears and therefore there has been some debate about whether or not it was truly included with the original </w:t>
      </w:r>
      <w:r w:rsidRPr="008D0435">
        <w:rPr>
          <w:rFonts w:cs="Times New Roman"/>
          <w:bCs/>
          <w:i/>
          <w:sz w:val="24"/>
          <w:szCs w:val="24"/>
        </w:rPr>
        <w:t>Codex-Calendar</w:t>
      </w:r>
      <w:r w:rsidRPr="008D0435">
        <w:rPr>
          <w:rFonts w:cs="Times New Roman"/>
          <w:bCs/>
          <w:sz w:val="24"/>
          <w:szCs w:val="24"/>
        </w:rPr>
        <w:t xml:space="preserve">. Several historians have questioned the inclusion of the </w:t>
      </w:r>
      <w:r w:rsidRPr="008D0435">
        <w:rPr>
          <w:rFonts w:cs="Times New Roman"/>
          <w:bCs/>
          <w:i/>
          <w:sz w:val="24"/>
          <w:szCs w:val="24"/>
        </w:rPr>
        <w:t>Notitia</w:t>
      </w:r>
      <w:r w:rsidRPr="008D0435">
        <w:rPr>
          <w:rFonts w:cs="Times New Roman"/>
          <w:bCs/>
          <w:sz w:val="24"/>
          <w:szCs w:val="24"/>
        </w:rPr>
        <w:t xml:space="preserve"> within the </w:t>
      </w:r>
      <w:r w:rsidRPr="008D0435">
        <w:rPr>
          <w:rFonts w:cs="Times New Roman"/>
          <w:bCs/>
          <w:i/>
          <w:sz w:val="24"/>
          <w:szCs w:val="24"/>
        </w:rPr>
        <w:t>Codex-Calendar</w:t>
      </w:r>
      <w:r w:rsidRPr="008D0435">
        <w:rPr>
          <w:rFonts w:cs="Times New Roman"/>
          <w:bCs/>
          <w:sz w:val="24"/>
          <w:szCs w:val="24"/>
        </w:rPr>
        <w:t xml:space="preserve"> due its survival in only</w:t>
      </w:r>
      <w:r w:rsidR="00175110">
        <w:rPr>
          <w:rFonts w:cs="Times New Roman"/>
          <w:bCs/>
          <w:sz w:val="24"/>
          <w:szCs w:val="24"/>
        </w:rPr>
        <w:t xml:space="preserve"> this</w:t>
      </w:r>
      <w:r w:rsidRPr="008D0435">
        <w:rPr>
          <w:rFonts w:cs="Times New Roman"/>
          <w:bCs/>
          <w:sz w:val="24"/>
          <w:szCs w:val="24"/>
        </w:rPr>
        <w:t xml:space="preserve"> one version of the </w:t>
      </w:r>
      <w:r w:rsidRPr="008D0435">
        <w:rPr>
          <w:rFonts w:cs="Times New Roman"/>
          <w:bCs/>
          <w:i/>
          <w:sz w:val="24"/>
          <w:szCs w:val="24"/>
        </w:rPr>
        <w:t>Codex</w:t>
      </w:r>
      <w:r w:rsidRPr="008D0435">
        <w:rPr>
          <w:rFonts w:cs="Times New Roman"/>
          <w:bCs/>
          <w:sz w:val="24"/>
          <w:szCs w:val="24"/>
        </w:rPr>
        <w:t>.</w:t>
      </w:r>
      <w:r w:rsidRPr="008D0435">
        <w:rPr>
          <w:rStyle w:val="FootnoteReference"/>
          <w:rFonts w:cs="Times New Roman"/>
          <w:bCs/>
          <w:sz w:val="24"/>
          <w:szCs w:val="24"/>
        </w:rPr>
        <w:footnoteReference w:id="142"/>
      </w:r>
      <w:r w:rsidRPr="008D0435">
        <w:rPr>
          <w:rFonts w:cs="Times New Roman"/>
          <w:bCs/>
          <w:sz w:val="24"/>
          <w:szCs w:val="24"/>
        </w:rPr>
        <w:t xml:space="preserve">  Salzmann in particular argues that given the relatively strong survival of the </w:t>
      </w:r>
      <w:r w:rsidRPr="008D0435">
        <w:rPr>
          <w:rFonts w:cs="Times New Roman"/>
          <w:bCs/>
          <w:i/>
          <w:sz w:val="24"/>
          <w:szCs w:val="24"/>
        </w:rPr>
        <w:t>Notitia</w:t>
      </w:r>
      <w:r w:rsidRPr="008D0435">
        <w:rPr>
          <w:rFonts w:cs="Times New Roman"/>
          <w:bCs/>
          <w:sz w:val="24"/>
          <w:szCs w:val="24"/>
        </w:rPr>
        <w:t xml:space="preserve"> elsewhere (found in some twenty-seven different </w:t>
      </w:r>
      <w:r w:rsidRPr="008D0435">
        <w:rPr>
          <w:rFonts w:cs="Times New Roman"/>
          <w:bCs/>
          <w:sz w:val="24"/>
          <w:szCs w:val="24"/>
        </w:rPr>
        <w:lastRenderedPageBreak/>
        <w:t xml:space="preserve">codices), and its difference of subject, the </w:t>
      </w:r>
      <w:r w:rsidRPr="008D0435">
        <w:rPr>
          <w:rFonts w:cs="Times New Roman"/>
          <w:bCs/>
          <w:i/>
          <w:sz w:val="24"/>
          <w:szCs w:val="24"/>
        </w:rPr>
        <w:t>Regionaries</w:t>
      </w:r>
      <w:r w:rsidRPr="008D0435">
        <w:rPr>
          <w:rFonts w:cs="Times New Roman"/>
          <w:bCs/>
          <w:sz w:val="24"/>
          <w:szCs w:val="24"/>
        </w:rPr>
        <w:t xml:space="preserve"> are not likely to have been included in the original document.</w:t>
      </w:r>
      <w:r w:rsidRPr="008D0435">
        <w:rPr>
          <w:rStyle w:val="FootnoteReference"/>
          <w:rFonts w:cs="Times New Roman"/>
          <w:bCs/>
          <w:sz w:val="24"/>
          <w:szCs w:val="24"/>
        </w:rPr>
        <w:footnoteReference w:id="143"/>
      </w:r>
      <w:r w:rsidRPr="008D0435">
        <w:rPr>
          <w:rFonts w:cs="Times New Roman"/>
          <w:bCs/>
          <w:sz w:val="24"/>
          <w:szCs w:val="24"/>
        </w:rPr>
        <w:t xml:space="preserve"> However Theodor Mommsen posited the theory that the </w:t>
      </w:r>
      <w:r w:rsidRPr="008D0435">
        <w:rPr>
          <w:rFonts w:cs="Times New Roman"/>
          <w:bCs/>
          <w:i/>
          <w:sz w:val="24"/>
          <w:szCs w:val="24"/>
        </w:rPr>
        <w:t xml:space="preserve">Codex-Calendar </w:t>
      </w:r>
      <w:r w:rsidRPr="008D0435">
        <w:rPr>
          <w:rFonts w:cs="Times New Roman"/>
          <w:bCs/>
          <w:sz w:val="24"/>
          <w:szCs w:val="24"/>
        </w:rPr>
        <w:t>originally went through two editions. The first, an original of 334 consisted of sections XI (</w:t>
      </w:r>
      <w:r w:rsidRPr="008D0435">
        <w:rPr>
          <w:rFonts w:cs="Times New Roman"/>
          <w:bCs/>
          <w:i/>
          <w:sz w:val="24"/>
          <w:szCs w:val="24"/>
        </w:rPr>
        <w:t>Depositions of the Bishops of Rome 255-352</w:t>
      </w:r>
      <w:r w:rsidRPr="008D0435">
        <w:rPr>
          <w:rFonts w:cs="Times New Roman"/>
          <w:bCs/>
          <w:sz w:val="24"/>
          <w:szCs w:val="24"/>
        </w:rPr>
        <w:t>), XII (</w:t>
      </w:r>
      <w:r w:rsidRPr="008D0435">
        <w:rPr>
          <w:rFonts w:cs="Times New Roman"/>
          <w:bCs/>
          <w:i/>
          <w:sz w:val="24"/>
          <w:szCs w:val="24"/>
        </w:rPr>
        <w:t>Depositions of the Martyrs</w:t>
      </w:r>
      <w:r w:rsidRPr="008D0435">
        <w:rPr>
          <w:rFonts w:cs="Times New Roman"/>
          <w:bCs/>
          <w:sz w:val="24"/>
          <w:szCs w:val="24"/>
        </w:rPr>
        <w:t>), XIII (</w:t>
      </w:r>
      <w:r w:rsidRPr="008D0435">
        <w:rPr>
          <w:rFonts w:cs="Times New Roman"/>
          <w:bCs/>
          <w:i/>
          <w:sz w:val="24"/>
          <w:szCs w:val="24"/>
        </w:rPr>
        <w:t>Lists of the Bishops of Rome</w:t>
      </w:r>
      <w:r w:rsidRPr="008D0435">
        <w:rPr>
          <w:rFonts w:cs="Times New Roman"/>
          <w:bCs/>
          <w:sz w:val="24"/>
          <w:szCs w:val="24"/>
        </w:rPr>
        <w:t xml:space="preserve">), and XIV (the </w:t>
      </w:r>
      <w:r w:rsidRPr="008D0435">
        <w:rPr>
          <w:rFonts w:cs="Times New Roman"/>
          <w:bCs/>
          <w:i/>
          <w:sz w:val="24"/>
          <w:szCs w:val="24"/>
        </w:rPr>
        <w:t>Notitia</w:t>
      </w:r>
      <w:r w:rsidRPr="008D0435">
        <w:rPr>
          <w:rFonts w:cs="Times New Roman"/>
          <w:bCs/>
          <w:sz w:val="24"/>
          <w:szCs w:val="24"/>
        </w:rPr>
        <w:t>).</w:t>
      </w:r>
      <w:r w:rsidRPr="008D0435">
        <w:rPr>
          <w:rStyle w:val="FootnoteReference"/>
          <w:rFonts w:cs="Times New Roman"/>
          <w:bCs/>
          <w:sz w:val="24"/>
          <w:szCs w:val="24"/>
        </w:rPr>
        <w:footnoteReference w:id="144"/>
      </w:r>
      <w:r w:rsidRPr="008D0435">
        <w:rPr>
          <w:rFonts w:cs="Times New Roman"/>
          <w:bCs/>
          <w:sz w:val="24"/>
          <w:szCs w:val="24"/>
        </w:rPr>
        <w:t xml:space="preserve"> This was later updated in early 354</w:t>
      </w:r>
      <w:r w:rsidR="00175110">
        <w:rPr>
          <w:rFonts w:cs="Times New Roman"/>
          <w:bCs/>
          <w:sz w:val="24"/>
          <w:szCs w:val="24"/>
        </w:rPr>
        <w:t xml:space="preserve"> for the final compilation, when</w:t>
      </w:r>
      <w:r w:rsidRPr="008D0435">
        <w:rPr>
          <w:rFonts w:cs="Times New Roman"/>
          <w:bCs/>
          <w:sz w:val="24"/>
          <w:szCs w:val="24"/>
        </w:rPr>
        <w:t xml:space="preserve"> those texts that were more relevant, such as the calendar</w:t>
      </w:r>
      <w:r w:rsidR="00175110">
        <w:rPr>
          <w:rFonts w:cs="Times New Roman"/>
          <w:bCs/>
          <w:sz w:val="24"/>
          <w:szCs w:val="24"/>
        </w:rPr>
        <w:t>,</w:t>
      </w:r>
      <w:r w:rsidRPr="008D0435">
        <w:rPr>
          <w:rFonts w:cs="Times New Roman"/>
          <w:bCs/>
          <w:sz w:val="24"/>
          <w:szCs w:val="24"/>
        </w:rPr>
        <w:t xml:space="preserve"> were updated and those like the </w:t>
      </w:r>
      <w:r w:rsidRPr="008D0435">
        <w:rPr>
          <w:rFonts w:cs="Times New Roman"/>
          <w:bCs/>
          <w:i/>
          <w:sz w:val="24"/>
          <w:szCs w:val="24"/>
        </w:rPr>
        <w:t>Notitia</w:t>
      </w:r>
      <w:r w:rsidRPr="008D0435">
        <w:rPr>
          <w:rFonts w:cs="Times New Roman"/>
          <w:bCs/>
          <w:sz w:val="24"/>
          <w:szCs w:val="24"/>
        </w:rPr>
        <w:t>, whose practical administrative uses had expired and now best served as ornaments, were not.</w:t>
      </w:r>
      <w:r w:rsidRPr="008D0435">
        <w:rPr>
          <w:rStyle w:val="FootnoteReference"/>
          <w:rFonts w:cs="Times New Roman"/>
          <w:bCs/>
          <w:sz w:val="24"/>
          <w:szCs w:val="24"/>
        </w:rPr>
        <w:footnoteReference w:id="145"/>
      </w:r>
      <w:r w:rsidRPr="008D0435">
        <w:rPr>
          <w:rFonts w:cs="Times New Roman"/>
          <w:bCs/>
          <w:sz w:val="24"/>
          <w:szCs w:val="24"/>
        </w:rPr>
        <w:t xml:space="preserve"> It seems counterintuitive to argue that, even though it appears in our best source for the </w:t>
      </w:r>
      <w:r w:rsidRPr="008D0435">
        <w:rPr>
          <w:rFonts w:cs="Times New Roman"/>
          <w:bCs/>
          <w:i/>
          <w:sz w:val="24"/>
          <w:szCs w:val="24"/>
        </w:rPr>
        <w:t>Codex-Calendar</w:t>
      </w:r>
      <w:r w:rsidRPr="008D0435">
        <w:rPr>
          <w:rFonts w:cs="Times New Roman"/>
          <w:bCs/>
          <w:sz w:val="24"/>
          <w:szCs w:val="24"/>
        </w:rPr>
        <w:t xml:space="preserve">, just because the </w:t>
      </w:r>
      <w:r w:rsidRPr="008D0435">
        <w:rPr>
          <w:rFonts w:cs="Times New Roman"/>
          <w:bCs/>
          <w:i/>
          <w:sz w:val="24"/>
          <w:szCs w:val="24"/>
        </w:rPr>
        <w:t>Notitia</w:t>
      </w:r>
      <w:r w:rsidRPr="008D0435">
        <w:rPr>
          <w:rFonts w:cs="Times New Roman"/>
          <w:bCs/>
          <w:sz w:val="24"/>
          <w:szCs w:val="24"/>
        </w:rPr>
        <w:t xml:space="preserve"> does not appear in other manuscripts copied from the </w:t>
      </w:r>
      <w:r w:rsidRPr="008D0435">
        <w:rPr>
          <w:rFonts w:cs="Times New Roman"/>
          <w:bCs/>
          <w:i/>
          <w:sz w:val="24"/>
          <w:szCs w:val="24"/>
        </w:rPr>
        <w:t>Luxembergensis</w:t>
      </w:r>
      <w:r w:rsidRPr="008D0435">
        <w:rPr>
          <w:rFonts w:cs="Times New Roman"/>
          <w:bCs/>
          <w:sz w:val="24"/>
          <w:szCs w:val="24"/>
        </w:rPr>
        <w:t xml:space="preserve"> it is unlikely to have been included with the</w:t>
      </w:r>
      <w:r w:rsidR="00753AD2">
        <w:rPr>
          <w:rFonts w:cs="Times New Roman"/>
          <w:bCs/>
          <w:sz w:val="24"/>
          <w:szCs w:val="24"/>
        </w:rPr>
        <w:t xml:space="preserve"> original</w:t>
      </w:r>
      <w:r w:rsidRPr="008D0435">
        <w:rPr>
          <w:rFonts w:cs="Times New Roman"/>
          <w:bCs/>
          <w:sz w:val="24"/>
          <w:szCs w:val="24"/>
        </w:rPr>
        <w:t xml:space="preserve"> </w:t>
      </w:r>
      <w:r w:rsidR="00753AD2">
        <w:rPr>
          <w:rFonts w:cs="Times New Roman"/>
          <w:bCs/>
          <w:i/>
          <w:sz w:val="24"/>
          <w:szCs w:val="24"/>
        </w:rPr>
        <w:t>Codex-Calendar</w:t>
      </w:r>
      <w:r w:rsidRPr="008D0435">
        <w:rPr>
          <w:rFonts w:cs="Times New Roman"/>
          <w:bCs/>
          <w:sz w:val="24"/>
          <w:szCs w:val="24"/>
        </w:rPr>
        <w:t xml:space="preserve">. Salzmann herself, the main proponent of this view, argues that the </w:t>
      </w:r>
      <w:r w:rsidRPr="008D0435">
        <w:rPr>
          <w:rFonts w:cs="Times New Roman"/>
          <w:bCs/>
          <w:i/>
          <w:sz w:val="24"/>
          <w:szCs w:val="24"/>
        </w:rPr>
        <w:t>Codex-Calendar’s</w:t>
      </w:r>
      <w:r w:rsidRPr="008D0435">
        <w:rPr>
          <w:rFonts w:cs="Times New Roman"/>
          <w:bCs/>
          <w:sz w:val="24"/>
          <w:szCs w:val="24"/>
        </w:rPr>
        <w:t xml:space="preserve"> layout refers the reader to the dominant institutions of the fourth-century city, the Urban Prefects, Consuls and </w:t>
      </w:r>
      <w:r w:rsidR="0087599E">
        <w:rPr>
          <w:rFonts w:cs="Times New Roman"/>
          <w:bCs/>
          <w:sz w:val="24"/>
          <w:szCs w:val="24"/>
        </w:rPr>
        <w:t>Emperors</w:t>
      </w:r>
      <w:r w:rsidRPr="008D0435">
        <w:rPr>
          <w:rFonts w:cs="Times New Roman"/>
          <w:bCs/>
          <w:sz w:val="24"/>
          <w:szCs w:val="24"/>
        </w:rPr>
        <w:t>.</w:t>
      </w:r>
      <w:r w:rsidRPr="008D0435">
        <w:rPr>
          <w:rStyle w:val="FootnoteReference"/>
          <w:rFonts w:cs="Times New Roman"/>
          <w:bCs/>
          <w:sz w:val="24"/>
          <w:szCs w:val="24"/>
        </w:rPr>
        <w:footnoteReference w:id="146"/>
      </w:r>
      <w:r w:rsidRPr="008D0435">
        <w:rPr>
          <w:rFonts w:cs="Times New Roman"/>
          <w:bCs/>
          <w:sz w:val="24"/>
          <w:szCs w:val="24"/>
        </w:rPr>
        <w:t xml:space="preserve"> Furthermore Salzmann argues that, ‘the </w:t>
      </w:r>
      <w:r w:rsidRPr="008D0435">
        <w:rPr>
          <w:rFonts w:cs="Times New Roman"/>
          <w:bCs/>
          <w:i/>
          <w:sz w:val="24"/>
          <w:szCs w:val="24"/>
        </w:rPr>
        <w:t>Codex-Calendar of 354</w:t>
      </w:r>
      <w:r w:rsidRPr="008D0435">
        <w:rPr>
          <w:rFonts w:cs="Times New Roman"/>
          <w:bCs/>
          <w:sz w:val="24"/>
          <w:szCs w:val="24"/>
        </w:rPr>
        <w:t xml:space="preserve"> is a unique document’, therefore her secondary argument against the </w:t>
      </w:r>
      <w:r w:rsidRPr="008D0435">
        <w:rPr>
          <w:rFonts w:cs="Times New Roman"/>
          <w:bCs/>
          <w:i/>
          <w:sz w:val="24"/>
          <w:szCs w:val="24"/>
        </w:rPr>
        <w:t>Regionaries</w:t>
      </w:r>
      <w:r w:rsidRPr="008D0435">
        <w:rPr>
          <w:rFonts w:cs="Times New Roman"/>
          <w:bCs/>
          <w:sz w:val="24"/>
          <w:szCs w:val="24"/>
        </w:rPr>
        <w:t xml:space="preserve"> inclusion is a</w:t>
      </w:r>
      <w:r w:rsidR="00175110">
        <w:rPr>
          <w:rFonts w:cs="Times New Roman"/>
          <w:bCs/>
          <w:sz w:val="24"/>
          <w:szCs w:val="24"/>
        </w:rPr>
        <w:t xml:space="preserve"> questionable</w:t>
      </w:r>
      <w:r w:rsidRPr="008D0435">
        <w:rPr>
          <w:rFonts w:cs="Times New Roman"/>
          <w:bCs/>
          <w:sz w:val="24"/>
          <w:szCs w:val="24"/>
        </w:rPr>
        <w:t xml:space="preserve"> on two accounts.</w:t>
      </w:r>
      <w:r w:rsidRPr="008D0435">
        <w:rPr>
          <w:rStyle w:val="FootnoteReference"/>
          <w:rFonts w:cs="Times New Roman"/>
          <w:bCs/>
          <w:sz w:val="24"/>
          <w:szCs w:val="24"/>
        </w:rPr>
        <w:footnoteReference w:id="147"/>
      </w:r>
      <w:r w:rsidRPr="008D0435">
        <w:rPr>
          <w:rFonts w:cs="Times New Roman"/>
          <w:bCs/>
          <w:sz w:val="24"/>
          <w:szCs w:val="24"/>
        </w:rPr>
        <w:t xml:space="preserve"> Firstly the </w:t>
      </w:r>
      <w:r w:rsidRPr="008D0435">
        <w:rPr>
          <w:rFonts w:cs="Times New Roman"/>
          <w:bCs/>
          <w:i/>
          <w:sz w:val="24"/>
          <w:szCs w:val="24"/>
        </w:rPr>
        <w:t>Regionaries</w:t>
      </w:r>
      <w:r w:rsidRPr="008D0435">
        <w:rPr>
          <w:rFonts w:cs="Times New Roman"/>
          <w:bCs/>
          <w:sz w:val="24"/>
          <w:szCs w:val="24"/>
        </w:rPr>
        <w:t xml:space="preserve"> have a clear association with the reign and policy of Constantine, as do the other parts of the </w:t>
      </w:r>
      <w:r w:rsidRPr="008D0435">
        <w:rPr>
          <w:rFonts w:cs="Times New Roman"/>
          <w:bCs/>
          <w:i/>
          <w:sz w:val="24"/>
          <w:szCs w:val="24"/>
        </w:rPr>
        <w:t>Codex-Calendar</w:t>
      </w:r>
      <w:r w:rsidRPr="008D0435">
        <w:rPr>
          <w:rFonts w:cs="Times New Roman"/>
          <w:bCs/>
          <w:sz w:val="24"/>
          <w:szCs w:val="24"/>
        </w:rPr>
        <w:t>, but more importantly they share a common theme of providing a substantial amount of raw data ab</w:t>
      </w:r>
      <w:r w:rsidR="00175110">
        <w:rPr>
          <w:rFonts w:cs="Times New Roman"/>
          <w:bCs/>
          <w:sz w:val="24"/>
          <w:szCs w:val="24"/>
        </w:rPr>
        <w:t>out Roman history. This went on</w:t>
      </w:r>
      <w:r w:rsidRPr="008D0435">
        <w:rPr>
          <w:rFonts w:cs="Times New Roman"/>
          <w:bCs/>
          <w:sz w:val="24"/>
          <w:szCs w:val="24"/>
        </w:rPr>
        <w:t xml:space="preserve"> to be a recurring theme in the manuscript transmission of the </w:t>
      </w:r>
      <w:r w:rsidRPr="008D0435">
        <w:rPr>
          <w:rFonts w:cs="Times New Roman"/>
          <w:bCs/>
          <w:i/>
          <w:sz w:val="24"/>
          <w:szCs w:val="24"/>
        </w:rPr>
        <w:t>Regionaries</w:t>
      </w:r>
      <w:r w:rsidRPr="008D0435">
        <w:rPr>
          <w:rFonts w:cs="Times New Roman"/>
          <w:bCs/>
          <w:sz w:val="24"/>
          <w:szCs w:val="24"/>
        </w:rPr>
        <w:t>, with the catalogues collected with a wide-vari</w:t>
      </w:r>
      <w:r w:rsidR="00175110">
        <w:rPr>
          <w:rFonts w:cs="Times New Roman"/>
          <w:bCs/>
          <w:sz w:val="24"/>
          <w:szCs w:val="24"/>
        </w:rPr>
        <w:t xml:space="preserve">ety of different documents </w:t>
      </w:r>
      <w:r w:rsidR="00175110">
        <w:rPr>
          <w:rFonts w:cs="Times New Roman"/>
          <w:bCs/>
          <w:sz w:val="24"/>
          <w:szCs w:val="24"/>
        </w:rPr>
        <w:lastRenderedPageBreak/>
        <w:t>which</w:t>
      </w:r>
      <w:r w:rsidRPr="008D0435">
        <w:rPr>
          <w:rFonts w:cs="Times New Roman"/>
          <w:bCs/>
          <w:sz w:val="24"/>
          <w:szCs w:val="24"/>
        </w:rPr>
        <w:t xml:space="preserve">, despite a great variety in genre, share a common theme of depicting the life and culture of Rome. The </w:t>
      </w:r>
      <w:r w:rsidRPr="008D0435">
        <w:rPr>
          <w:rFonts w:cs="Times New Roman"/>
          <w:bCs/>
          <w:i/>
          <w:sz w:val="24"/>
          <w:szCs w:val="24"/>
        </w:rPr>
        <w:t>Codex-Calendar</w:t>
      </w:r>
      <w:r w:rsidRPr="008D0435">
        <w:rPr>
          <w:rFonts w:cs="Times New Roman"/>
          <w:bCs/>
          <w:sz w:val="24"/>
          <w:szCs w:val="24"/>
        </w:rPr>
        <w:t xml:space="preserve"> was a product of attitud</w:t>
      </w:r>
      <w:r w:rsidR="00175110">
        <w:rPr>
          <w:rFonts w:cs="Times New Roman"/>
          <w:bCs/>
          <w:sz w:val="24"/>
          <w:szCs w:val="24"/>
        </w:rPr>
        <w:t xml:space="preserve">es within </w:t>
      </w:r>
      <w:r w:rsidR="00753AD2">
        <w:rPr>
          <w:rFonts w:cs="Times New Roman"/>
          <w:bCs/>
          <w:sz w:val="24"/>
          <w:szCs w:val="24"/>
        </w:rPr>
        <w:t xml:space="preserve">the Roman </w:t>
      </w:r>
      <w:r w:rsidR="0087599E">
        <w:rPr>
          <w:rFonts w:cs="Times New Roman"/>
          <w:bCs/>
          <w:sz w:val="24"/>
          <w:szCs w:val="24"/>
        </w:rPr>
        <w:t>s</w:t>
      </w:r>
      <w:r w:rsidR="008B44B0">
        <w:rPr>
          <w:rFonts w:cs="Times New Roman"/>
          <w:bCs/>
          <w:sz w:val="24"/>
          <w:szCs w:val="24"/>
        </w:rPr>
        <w:t>enatorial</w:t>
      </w:r>
      <w:r w:rsidR="00753AD2">
        <w:rPr>
          <w:rFonts w:cs="Times New Roman"/>
          <w:bCs/>
          <w:sz w:val="24"/>
          <w:szCs w:val="24"/>
        </w:rPr>
        <w:t xml:space="preserve"> aristocracy</w:t>
      </w:r>
      <w:r w:rsidRPr="008D0435">
        <w:rPr>
          <w:rFonts w:cs="Times New Roman"/>
          <w:bCs/>
          <w:sz w:val="24"/>
          <w:szCs w:val="24"/>
        </w:rPr>
        <w:t xml:space="preserve"> in the fourth century. Whilst Christianity may not appear within the </w:t>
      </w:r>
      <w:r w:rsidRPr="008D0435">
        <w:rPr>
          <w:rFonts w:cs="Times New Roman"/>
          <w:bCs/>
          <w:i/>
          <w:sz w:val="24"/>
          <w:szCs w:val="24"/>
        </w:rPr>
        <w:t>Regionaries</w:t>
      </w:r>
      <w:r w:rsidRPr="008D0435">
        <w:rPr>
          <w:rFonts w:cs="Times New Roman"/>
          <w:bCs/>
          <w:sz w:val="24"/>
          <w:szCs w:val="24"/>
        </w:rPr>
        <w:t xml:space="preserve">, the </w:t>
      </w:r>
      <w:r w:rsidRPr="008D0435">
        <w:rPr>
          <w:rFonts w:cs="Times New Roman"/>
          <w:bCs/>
          <w:i/>
          <w:sz w:val="24"/>
          <w:szCs w:val="24"/>
        </w:rPr>
        <w:t xml:space="preserve">Codex-Calendar </w:t>
      </w:r>
      <w:r w:rsidRPr="008D0435">
        <w:rPr>
          <w:rFonts w:cs="Times New Roman"/>
          <w:bCs/>
          <w:sz w:val="24"/>
          <w:szCs w:val="24"/>
        </w:rPr>
        <w:t>demonstrates that traditional Rom</w:t>
      </w:r>
      <w:r w:rsidR="00753AD2">
        <w:rPr>
          <w:rFonts w:cs="Times New Roman"/>
          <w:bCs/>
          <w:sz w:val="24"/>
          <w:szCs w:val="24"/>
        </w:rPr>
        <w:t>an pagan and secular knowledge wa</w:t>
      </w:r>
      <w:r w:rsidRPr="008D0435">
        <w:rPr>
          <w:rFonts w:cs="Times New Roman"/>
          <w:bCs/>
          <w:sz w:val="24"/>
          <w:szCs w:val="24"/>
        </w:rPr>
        <w:t>s commensurate and compatible with Christian practices and history. The work reflects upon the careful balance that continued to be trodden between traditional Roman religious customs and the growing power and dominance of Christianity. But in Rome, or rather amongst its aristocratic class, a much greater emphasis was placed upon the traditions and customs of one’s social class over personal religious affiliation.</w:t>
      </w:r>
      <w:r w:rsidRPr="008D0435">
        <w:rPr>
          <w:rStyle w:val="FootnoteReference"/>
          <w:rFonts w:cs="Times New Roman"/>
          <w:bCs/>
          <w:sz w:val="24"/>
          <w:szCs w:val="24"/>
        </w:rPr>
        <w:footnoteReference w:id="148"/>
      </w:r>
      <w:r w:rsidRPr="008D0435">
        <w:rPr>
          <w:rFonts w:cs="Times New Roman"/>
          <w:bCs/>
          <w:sz w:val="24"/>
          <w:szCs w:val="24"/>
        </w:rPr>
        <w:t xml:space="preserve"> The</w:t>
      </w:r>
      <w:r w:rsidRPr="008D0435">
        <w:rPr>
          <w:rFonts w:cs="Times New Roman"/>
          <w:bCs/>
          <w:i/>
          <w:sz w:val="24"/>
          <w:szCs w:val="24"/>
        </w:rPr>
        <w:t xml:space="preserve"> Notitia</w:t>
      </w:r>
      <w:r w:rsidRPr="008D0435">
        <w:rPr>
          <w:rFonts w:cs="Times New Roman"/>
          <w:bCs/>
          <w:sz w:val="24"/>
          <w:szCs w:val="24"/>
        </w:rPr>
        <w:t>’s</w:t>
      </w:r>
      <w:r w:rsidRPr="008D0435">
        <w:rPr>
          <w:rFonts w:cs="Times New Roman"/>
          <w:bCs/>
          <w:i/>
          <w:sz w:val="24"/>
          <w:szCs w:val="24"/>
        </w:rPr>
        <w:t xml:space="preserve"> </w:t>
      </w:r>
      <w:r w:rsidRPr="008D0435">
        <w:rPr>
          <w:rFonts w:cs="Times New Roman"/>
          <w:bCs/>
          <w:sz w:val="24"/>
          <w:szCs w:val="24"/>
        </w:rPr>
        <w:t xml:space="preserve">inclusion within the personalised </w:t>
      </w:r>
      <w:r w:rsidRPr="008D0435">
        <w:rPr>
          <w:rFonts w:cs="Times New Roman"/>
          <w:bCs/>
          <w:i/>
          <w:sz w:val="24"/>
          <w:szCs w:val="24"/>
        </w:rPr>
        <w:t>Codex-Calendar</w:t>
      </w:r>
      <w:r w:rsidRPr="008D0435">
        <w:rPr>
          <w:rFonts w:cs="Times New Roman"/>
          <w:bCs/>
          <w:sz w:val="24"/>
          <w:szCs w:val="24"/>
        </w:rPr>
        <w:t xml:space="preserve"> suggests an author who thought his recipient at least believed that antiquity and history, if one is wise, were to be adored even if there was</w:t>
      </w:r>
      <w:r w:rsidR="00175110">
        <w:rPr>
          <w:rFonts w:cs="Times New Roman"/>
          <w:bCs/>
          <w:sz w:val="24"/>
          <w:szCs w:val="24"/>
        </w:rPr>
        <w:t xml:space="preserve"> a</w:t>
      </w:r>
      <w:r w:rsidRPr="008D0435">
        <w:rPr>
          <w:rFonts w:cs="Times New Roman"/>
          <w:bCs/>
          <w:sz w:val="24"/>
          <w:szCs w:val="24"/>
        </w:rPr>
        <w:t xml:space="preserve"> new religious paradigm.</w:t>
      </w:r>
      <w:r w:rsidRPr="008D0435">
        <w:rPr>
          <w:rStyle w:val="FootnoteReference"/>
          <w:rFonts w:cs="Times New Roman"/>
          <w:bCs/>
          <w:sz w:val="24"/>
          <w:szCs w:val="24"/>
        </w:rPr>
        <w:footnoteReference w:id="149"/>
      </w:r>
      <w:r w:rsidRPr="008D0435">
        <w:rPr>
          <w:rFonts w:cs="Times New Roman"/>
          <w:bCs/>
          <w:sz w:val="24"/>
          <w:szCs w:val="24"/>
        </w:rPr>
        <w:t xml:space="preserve"> </w:t>
      </w:r>
    </w:p>
    <w:p w:rsidR="00E756D7" w:rsidRDefault="00E756D7" w:rsidP="00722391">
      <w:pPr>
        <w:widowControl w:val="0"/>
        <w:suppressLineNumbers/>
        <w:autoSpaceDE w:val="0"/>
        <w:autoSpaceDN w:val="0"/>
        <w:adjustRightInd w:val="0"/>
        <w:spacing w:after="0" w:line="480" w:lineRule="auto"/>
        <w:ind w:firstLine="720"/>
        <w:jc w:val="both"/>
        <w:rPr>
          <w:rFonts w:cs="Times New Roman"/>
          <w:bCs/>
          <w:sz w:val="24"/>
          <w:szCs w:val="24"/>
        </w:rPr>
      </w:pPr>
      <w:r w:rsidRPr="008D0435">
        <w:rPr>
          <w:rFonts w:cs="Times New Roman"/>
          <w:bCs/>
          <w:sz w:val="24"/>
          <w:szCs w:val="24"/>
        </w:rPr>
        <w:t xml:space="preserve">The </w:t>
      </w:r>
      <w:r w:rsidRPr="008D0435">
        <w:rPr>
          <w:rFonts w:cs="Times New Roman"/>
          <w:bCs/>
          <w:i/>
          <w:sz w:val="24"/>
          <w:szCs w:val="24"/>
        </w:rPr>
        <w:t>Codex-Calendar</w:t>
      </w:r>
      <w:r w:rsidRPr="008D0435">
        <w:rPr>
          <w:rFonts w:cs="Times New Roman"/>
          <w:bCs/>
          <w:sz w:val="24"/>
          <w:szCs w:val="24"/>
        </w:rPr>
        <w:t xml:space="preserve"> was produced in a Rome which </w:t>
      </w:r>
      <w:r w:rsidR="00706024">
        <w:rPr>
          <w:rFonts w:cs="Times New Roman"/>
          <w:bCs/>
          <w:sz w:val="24"/>
          <w:szCs w:val="24"/>
        </w:rPr>
        <w:t>remained</w:t>
      </w:r>
      <w:r w:rsidRPr="008D0435">
        <w:rPr>
          <w:rFonts w:cs="Times New Roman"/>
          <w:bCs/>
          <w:sz w:val="24"/>
          <w:szCs w:val="24"/>
        </w:rPr>
        <w:t xml:space="preserve"> a significant city (if not the most important one) within a unified Empire. Its fourth century audience did not feel </w:t>
      </w:r>
      <w:r w:rsidR="004A2CEC">
        <w:rPr>
          <w:rFonts w:cs="Times New Roman"/>
          <w:bCs/>
          <w:sz w:val="24"/>
          <w:szCs w:val="24"/>
        </w:rPr>
        <w:t>the need to decisively categori</w:t>
      </w:r>
      <w:r w:rsidRPr="008D0435">
        <w:rPr>
          <w:rFonts w:cs="Times New Roman"/>
          <w:bCs/>
          <w:sz w:val="24"/>
          <w:szCs w:val="24"/>
        </w:rPr>
        <w:t>s</w:t>
      </w:r>
      <w:r w:rsidR="004A2CEC">
        <w:rPr>
          <w:rFonts w:cs="Times New Roman"/>
          <w:bCs/>
          <w:sz w:val="24"/>
          <w:szCs w:val="24"/>
        </w:rPr>
        <w:t>e</w:t>
      </w:r>
      <w:r w:rsidRPr="008D0435">
        <w:rPr>
          <w:rFonts w:cs="Times New Roman"/>
          <w:bCs/>
          <w:sz w:val="24"/>
          <w:szCs w:val="24"/>
        </w:rPr>
        <w:t xml:space="preserve"> documents as either “pagan” or “Christian” as modern audiences does. Administrative data, even if outdated, could be used to ornament documents by virtue of their association with the tradition and history of Rome. But by the time of the </w:t>
      </w:r>
      <w:r w:rsidRPr="008D0435">
        <w:rPr>
          <w:rFonts w:cs="Times New Roman"/>
          <w:bCs/>
          <w:i/>
          <w:sz w:val="24"/>
          <w:szCs w:val="24"/>
        </w:rPr>
        <w:t>Codex Spirensis</w:t>
      </w:r>
      <w:r w:rsidRPr="008D0435">
        <w:rPr>
          <w:rFonts w:cs="Times New Roman"/>
          <w:bCs/>
          <w:sz w:val="24"/>
          <w:szCs w:val="24"/>
        </w:rPr>
        <w:t xml:space="preserve"> and </w:t>
      </w:r>
      <w:r w:rsidRPr="008D0435">
        <w:rPr>
          <w:rFonts w:cs="Times New Roman"/>
          <w:bCs/>
          <w:i/>
          <w:sz w:val="24"/>
          <w:szCs w:val="24"/>
        </w:rPr>
        <w:t>Codex Vindobonensis</w:t>
      </w:r>
      <w:r w:rsidRPr="008D0435">
        <w:rPr>
          <w:rFonts w:cs="Times New Roman"/>
          <w:bCs/>
          <w:sz w:val="24"/>
          <w:szCs w:val="24"/>
        </w:rPr>
        <w:t xml:space="preserve"> in the 8</w:t>
      </w:r>
      <w:r w:rsidRPr="008D0435">
        <w:rPr>
          <w:rFonts w:cs="Times New Roman"/>
          <w:bCs/>
          <w:sz w:val="24"/>
          <w:szCs w:val="24"/>
          <w:vertAlign w:val="superscript"/>
        </w:rPr>
        <w:t>th</w:t>
      </w:r>
      <w:r w:rsidRPr="008D0435">
        <w:rPr>
          <w:rFonts w:cs="Times New Roman"/>
          <w:bCs/>
          <w:sz w:val="24"/>
          <w:szCs w:val="24"/>
        </w:rPr>
        <w:t xml:space="preserve"> century the Rome of the Caesars, of Cicero and Virgil, mighty </w:t>
      </w:r>
      <w:r w:rsidRPr="008D0435">
        <w:rPr>
          <w:rFonts w:cs="Times New Roman"/>
          <w:bCs/>
          <w:i/>
          <w:sz w:val="24"/>
          <w:szCs w:val="24"/>
        </w:rPr>
        <w:t xml:space="preserve">basilicae </w:t>
      </w:r>
      <w:r w:rsidRPr="008D0435">
        <w:rPr>
          <w:rFonts w:cs="Times New Roman"/>
          <w:bCs/>
          <w:sz w:val="24"/>
          <w:szCs w:val="24"/>
        </w:rPr>
        <w:t xml:space="preserve">and </w:t>
      </w:r>
      <w:r w:rsidR="00C43F79">
        <w:rPr>
          <w:rFonts w:cs="Times New Roman"/>
          <w:bCs/>
          <w:i/>
          <w:sz w:val="24"/>
          <w:szCs w:val="24"/>
        </w:rPr>
        <w:t>thermae</w:t>
      </w:r>
      <w:r w:rsidRPr="008D0435">
        <w:rPr>
          <w:rFonts w:cs="Times New Roman"/>
          <w:bCs/>
          <w:sz w:val="24"/>
          <w:szCs w:val="24"/>
        </w:rPr>
        <w:t xml:space="preserve"> had been replaced by one of martyrs, convents and Churches. A new idea of Rome had been formed, one in which the classical past of the city of Rome had no place. The</w:t>
      </w:r>
      <w:r>
        <w:rPr>
          <w:rFonts w:cs="Times New Roman"/>
          <w:bCs/>
          <w:sz w:val="24"/>
          <w:szCs w:val="24"/>
        </w:rPr>
        <w:t xml:space="preserve"> necessary</w:t>
      </w:r>
      <w:r w:rsidRPr="008D0435">
        <w:rPr>
          <w:rFonts w:cs="Times New Roman"/>
          <w:bCs/>
          <w:sz w:val="24"/>
          <w:szCs w:val="24"/>
        </w:rPr>
        <w:t xml:space="preserve"> accommodation between Roman aristocratic traditionalism and Christianity</w:t>
      </w:r>
      <w:r w:rsidR="00706024">
        <w:rPr>
          <w:rFonts w:cs="Times New Roman"/>
          <w:bCs/>
          <w:sz w:val="24"/>
          <w:szCs w:val="24"/>
        </w:rPr>
        <w:t xml:space="preserve"> of</w:t>
      </w:r>
      <w:r>
        <w:rPr>
          <w:rFonts w:cs="Times New Roman"/>
          <w:bCs/>
          <w:sz w:val="24"/>
          <w:szCs w:val="24"/>
        </w:rPr>
        <w:t xml:space="preserve"> the mid-fourth century </w:t>
      </w:r>
      <w:r w:rsidRPr="008D0435">
        <w:rPr>
          <w:rFonts w:cs="Times New Roman"/>
          <w:bCs/>
          <w:sz w:val="24"/>
          <w:szCs w:val="24"/>
        </w:rPr>
        <w:t xml:space="preserve">that the </w:t>
      </w:r>
      <w:r w:rsidRPr="008D0435">
        <w:rPr>
          <w:rFonts w:cs="Times New Roman"/>
          <w:bCs/>
          <w:i/>
          <w:sz w:val="24"/>
          <w:szCs w:val="24"/>
        </w:rPr>
        <w:t>Codex-</w:t>
      </w:r>
      <w:r w:rsidRPr="008D0435">
        <w:rPr>
          <w:rFonts w:cs="Times New Roman"/>
          <w:bCs/>
          <w:i/>
          <w:sz w:val="24"/>
          <w:szCs w:val="24"/>
        </w:rPr>
        <w:lastRenderedPageBreak/>
        <w:t>Calendar of 354</w:t>
      </w:r>
      <w:r w:rsidRPr="008D0435">
        <w:rPr>
          <w:rFonts w:cs="Times New Roman"/>
          <w:bCs/>
          <w:sz w:val="24"/>
          <w:szCs w:val="24"/>
        </w:rPr>
        <w:t xml:space="preserve"> represented was no longer necessary. Paganism was a spent force;</w:t>
      </w:r>
      <w:r>
        <w:rPr>
          <w:rFonts w:cs="Times New Roman"/>
          <w:bCs/>
          <w:sz w:val="24"/>
          <w:szCs w:val="24"/>
        </w:rPr>
        <w:t xml:space="preserve"> by the eight</w:t>
      </w:r>
      <w:r w:rsidR="004A2CEC">
        <w:rPr>
          <w:rFonts w:cs="Times New Roman"/>
          <w:bCs/>
          <w:sz w:val="24"/>
          <w:szCs w:val="24"/>
        </w:rPr>
        <w:t>h</w:t>
      </w:r>
      <w:r>
        <w:rPr>
          <w:rFonts w:cs="Times New Roman"/>
          <w:bCs/>
          <w:sz w:val="24"/>
          <w:szCs w:val="24"/>
        </w:rPr>
        <w:t xml:space="preserve"> century</w:t>
      </w:r>
      <w:r w:rsidRPr="008D0435">
        <w:rPr>
          <w:rFonts w:cs="Times New Roman"/>
          <w:bCs/>
          <w:sz w:val="24"/>
          <w:szCs w:val="24"/>
        </w:rPr>
        <w:t xml:space="preserve"> the elites of Rome </w:t>
      </w:r>
      <w:r w:rsidR="00706024">
        <w:rPr>
          <w:rFonts w:cs="Times New Roman"/>
          <w:bCs/>
          <w:sz w:val="24"/>
          <w:szCs w:val="24"/>
        </w:rPr>
        <w:t>had become</w:t>
      </w:r>
      <w:r w:rsidRPr="008D0435">
        <w:rPr>
          <w:rFonts w:cs="Times New Roman"/>
          <w:bCs/>
          <w:sz w:val="24"/>
          <w:szCs w:val="24"/>
        </w:rPr>
        <w:t xml:space="preserve"> the families that dominated the Papacy and the Curia.</w:t>
      </w:r>
      <w:r w:rsidRPr="008D0435">
        <w:rPr>
          <w:rStyle w:val="FootnoteReference"/>
          <w:rFonts w:cs="Times New Roman"/>
          <w:bCs/>
          <w:sz w:val="24"/>
          <w:szCs w:val="24"/>
        </w:rPr>
        <w:footnoteReference w:id="150"/>
      </w:r>
      <w:r w:rsidRPr="008D0435">
        <w:rPr>
          <w:rFonts w:cs="Times New Roman"/>
          <w:bCs/>
          <w:sz w:val="24"/>
          <w:szCs w:val="24"/>
        </w:rPr>
        <w:t xml:space="preserve"> They now built and maintained churches instead of temples and baths. Christian Rome was a repository of eternal values and the triumph of Christianity. Classical pagan Rome was literally cannibalised to provide the buildings blocks of the new Christian Rome.</w:t>
      </w:r>
      <w:r w:rsidRPr="008D0435">
        <w:rPr>
          <w:rStyle w:val="FootnoteReference"/>
          <w:rFonts w:cs="Times New Roman"/>
          <w:bCs/>
          <w:sz w:val="24"/>
          <w:szCs w:val="24"/>
        </w:rPr>
        <w:footnoteReference w:id="151"/>
      </w:r>
      <w:r w:rsidRPr="008D0435">
        <w:rPr>
          <w:rFonts w:cs="Times New Roman"/>
          <w:bCs/>
          <w:sz w:val="24"/>
          <w:szCs w:val="24"/>
        </w:rPr>
        <w:t xml:space="preserve"> By the end of the fourth century Christianity was now the dominant force in society</w:t>
      </w:r>
      <w:r w:rsidR="004A2CEC">
        <w:rPr>
          <w:rFonts w:cs="Times New Roman"/>
          <w:bCs/>
          <w:sz w:val="24"/>
          <w:szCs w:val="24"/>
        </w:rPr>
        <w:t xml:space="preserve"> and politics</w:t>
      </w:r>
      <w:r w:rsidRPr="008D0435">
        <w:rPr>
          <w:rFonts w:cs="Times New Roman"/>
          <w:bCs/>
          <w:sz w:val="24"/>
          <w:szCs w:val="24"/>
        </w:rPr>
        <w:t xml:space="preserve">. </w:t>
      </w:r>
      <w:r>
        <w:rPr>
          <w:rFonts w:cs="Times New Roman"/>
          <w:bCs/>
          <w:sz w:val="24"/>
          <w:szCs w:val="24"/>
        </w:rPr>
        <w:t xml:space="preserve">The persecuted </w:t>
      </w:r>
      <w:r w:rsidR="004A2CEC">
        <w:rPr>
          <w:rFonts w:cs="Times New Roman"/>
          <w:bCs/>
          <w:sz w:val="24"/>
          <w:szCs w:val="24"/>
        </w:rPr>
        <w:t>would soon</w:t>
      </w:r>
      <w:r>
        <w:rPr>
          <w:rFonts w:cs="Times New Roman"/>
          <w:bCs/>
          <w:sz w:val="24"/>
          <w:szCs w:val="24"/>
        </w:rPr>
        <w:t xml:space="preserve"> become the persecutors.</w:t>
      </w:r>
    </w:p>
    <w:p w:rsidR="00621301" w:rsidRDefault="00621301" w:rsidP="00722391">
      <w:pPr>
        <w:widowControl w:val="0"/>
        <w:suppressLineNumbers/>
        <w:autoSpaceDE w:val="0"/>
        <w:autoSpaceDN w:val="0"/>
        <w:adjustRightInd w:val="0"/>
        <w:spacing w:after="0" w:line="480" w:lineRule="auto"/>
        <w:ind w:firstLine="720"/>
        <w:jc w:val="both"/>
        <w:rPr>
          <w:rFonts w:cs="Times New Roman"/>
          <w:bCs/>
          <w:sz w:val="24"/>
          <w:szCs w:val="24"/>
        </w:rPr>
      </w:pPr>
    </w:p>
    <w:p w:rsidR="00E756D7" w:rsidRPr="00621301" w:rsidRDefault="00E756D7" w:rsidP="00722391">
      <w:pPr>
        <w:widowControl w:val="0"/>
        <w:suppressLineNumbers/>
        <w:autoSpaceDE w:val="0"/>
        <w:autoSpaceDN w:val="0"/>
        <w:adjustRightInd w:val="0"/>
        <w:spacing w:after="0" w:line="480" w:lineRule="auto"/>
        <w:jc w:val="both"/>
        <w:rPr>
          <w:rFonts w:cs="Times New Roman"/>
          <w:bCs/>
          <w:sz w:val="24"/>
          <w:szCs w:val="24"/>
        </w:rPr>
      </w:pPr>
      <w:r w:rsidRPr="008D0435">
        <w:rPr>
          <w:rFonts w:cs="Times New Roman"/>
          <w:bCs/>
          <w:sz w:val="24"/>
          <w:szCs w:val="24"/>
          <w:u w:val="single"/>
        </w:rPr>
        <w:t xml:space="preserve">The Different Production Contexts of the </w:t>
      </w:r>
      <w:r w:rsidRPr="008D0435">
        <w:rPr>
          <w:rFonts w:cs="Times New Roman"/>
          <w:bCs/>
          <w:i/>
          <w:sz w:val="24"/>
          <w:szCs w:val="24"/>
          <w:u w:val="single"/>
        </w:rPr>
        <w:t>Regionary Catalogues</w:t>
      </w:r>
      <w:r w:rsidRPr="008D0435">
        <w:rPr>
          <w:rFonts w:cs="Times New Roman"/>
          <w:bCs/>
          <w:sz w:val="24"/>
          <w:szCs w:val="24"/>
          <w:u w:val="single"/>
        </w:rPr>
        <w:t>:</w:t>
      </w:r>
      <w:r w:rsidR="00603173">
        <w:rPr>
          <w:rStyle w:val="FootnoteReference"/>
          <w:rFonts w:cs="Times New Roman"/>
          <w:bCs/>
          <w:sz w:val="24"/>
          <w:szCs w:val="24"/>
          <w:u w:val="single"/>
        </w:rPr>
        <w:footnoteReference w:id="152"/>
      </w:r>
    </w:p>
    <w:p w:rsidR="00E756D7" w:rsidRPr="008D0435" w:rsidRDefault="00E756D7" w:rsidP="00722391">
      <w:pPr>
        <w:widowControl w:val="0"/>
        <w:suppressLineNumbers/>
        <w:autoSpaceDE w:val="0"/>
        <w:autoSpaceDN w:val="0"/>
        <w:adjustRightInd w:val="0"/>
        <w:spacing w:after="0" w:line="480" w:lineRule="auto"/>
        <w:ind w:firstLine="720"/>
        <w:jc w:val="both"/>
        <w:rPr>
          <w:rFonts w:cs="Times New Roman"/>
          <w:bCs/>
          <w:sz w:val="24"/>
          <w:szCs w:val="24"/>
        </w:rPr>
      </w:pPr>
    </w:p>
    <w:p w:rsidR="00E756D7" w:rsidRPr="008D0435" w:rsidRDefault="00753AD2" w:rsidP="00C43F79">
      <w:pPr>
        <w:widowControl w:val="0"/>
        <w:suppressLineNumbers/>
        <w:autoSpaceDE w:val="0"/>
        <w:autoSpaceDN w:val="0"/>
        <w:adjustRightInd w:val="0"/>
        <w:spacing w:after="0" w:line="480" w:lineRule="auto"/>
        <w:jc w:val="both"/>
        <w:rPr>
          <w:rFonts w:cs="Times New Roman"/>
          <w:bCs/>
          <w:sz w:val="24"/>
          <w:szCs w:val="24"/>
        </w:rPr>
      </w:pPr>
      <w:r>
        <w:rPr>
          <w:rFonts w:cs="Times New Roman"/>
          <w:bCs/>
          <w:sz w:val="24"/>
          <w:szCs w:val="24"/>
        </w:rPr>
        <w:t>The 4</w:t>
      </w:r>
      <w:r w:rsidRPr="00753AD2">
        <w:rPr>
          <w:rFonts w:cs="Times New Roman"/>
          <w:bCs/>
          <w:sz w:val="24"/>
          <w:szCs w:val="24"/>
          <w:vertAlign w:val="superscript"/>
        </w:rPr>
        <w:t>th</w:t>
      </w:r>
      <w:r>
        <w:rPr>
          <w:rFonts w:cs="Times New Roman"/>
          <w:bCs/>
          <w:sz w:val="24"/>
          <w:szCs w:val="24"/>
        </w:rPr>
        <w:t xml:space="preserve"> C</w:t>
      </w:r>
      <w:r w:rsidR="00E756D7" w:rsidRPr="008D0435">
        <w:rPr>
          <w:rFonts w:cs="Times New Roman"/>
          <w:bCs/>
          <w:sz w:val="24"/>
          <w:szCs w:val="24"/>
        </w:rPr>
        <w:t xml:space="preserve">entury context of the </w:t>
      </w:r>
      <w:r w:rsidR="00E756D7" w:rsidRPr="008D0435">
        <w:rPr>
          <w:rFonts w:cs="Times New Roman"/>
          <w:bCs/>
          <w:i/>
          <w:sz w:val="24"/>
          <w:szCs w:val="24"/>
        </w:rPr>
        <w:t>Regionary Catalogues</w:t>
      </w:r>
      <w:r w:rsidR="00E756D7" w:rsidRPr="008D0435">
        <w:rPr>
          <w:rFonts w:cs="Times New Roman"/>
          <w:bCs/>
          <w:sz w:val="24"/>
          <w:szCs w:val="24"/>
        </w:rPr>
        <w:t xml:space="preserve"> </w:t>
      </w:r>
      <w:r w:rsidR="001E0974">
        <w:rPr>
          <w:rFonts w:cs="Times New Roman"/>
          <w:bCs/>
          <w:sz w:val="24"/>
          <w:szCs w:val="24"/>
        </w:rPr>
        <w:t xml:space="preserve">is </w:t>
      </w:r>
      <w:r w:rsidR="00621301">
        <w:rPr>
          <w:rFonts w:cs="Times New Roman"/>
          <w:bCs/>
          <w:sz w:val="24"/>
          <w:szCs w:val="24"/>
        </w:rPr>
        <w:t>the easiest</w:t>
      </w:r>
      <w:r w:rsidR="00E756D7" w:rsidRPr="008D0435">
        <w:rPr>
          <w:rFonts w:cs="Times New Roman"/>
          <w:bCs/>
          <w:sz w:val="24"/>
          <w:szCs w:val="24"/>
        </w:rPr>
        <w:t xml:space="preserve"> </w:t>
      </w:r>
      <w:r w:rsidR="00E756D7" w:rsidRPr="002E4A43">
        <w:rPr>
          <w:rFonts w:cs="Times New Roman"/>
          <w:bCs/>
          <w:sz w:val="24"/>
          <w:szCs w:val="24"/>
        </w:rPr>
        <w:t>identifiable</w:t>
      </w:r>
      <w:r w:rsidR="00621301">
        <w:rPr>
          <w:rFonts w:cs="Times New Roman"/>
          <w:bCs/>
          <w:sz w:val="24"/>
          <w:szCs w:val="24"/>
        </w:rPr>
        <w:t xml:space="preserve"> layer</w:t>
      </w:r>
      <w:r w:rsidR="00E756D7" w:rsidRPr="002E4A43">
        <w:rPr>
          <w:rFonts w:cs="Times New Roman"/>
          <w:bCs/>
          <w:sz w:val="24"/>
          <w:szCs w:val="24"/>
        </w:rPr>
        <w:t xml:space="preserve"> due to the increasingly Constantinian nature of </w:t>
      </w:r>
      <w:r>
        <w:rPr>
          <w:rFonts w:cs="Times New Roman"/>
          <w:bCs/>
          <w:sz w:val="24"/>
          <w:szCs w:val="24"/>
        </w:rPr>
        <w:t>its</w:t>
      </w:r>
      <w:r w:rsidR="00E756D7" w:rsidRPr="002E4A43">
        <w:rPr>
          <w:rFonts w:cs="Times New Roman"/>
          <w:bCs/>
          <w:sz w:val="24"/>
          <w:szCs w:val="24"/>
        </w:rPr>
        <w:t xml:space="preserve"> </w:t>
      </w:r>
      <w:r w:rsidR="00E756D7" w:rsidRPr="008D0435">
        <w:rPr>
          <w:rFonts w:cs="Times New Roman"/>
          <w:bCs/>
          <w:sz w:val="24"/>
          <w:szCs w:val="24"/>
        </w:rPr>
        <w:t xml:space="preserve">additions. In these layers we begin to see items of a more symbolic nature being added to the initial proto-document of the </w:t>
      </w:r>
      <w:r w:rsidR="00E756D7" w:rsidRPr="008D0435">
        <w:rPr>
          <w:rFonts w:cs="Times New Roman"/>
          <w:bCs/>
          <w:i/>
          <w:sz w:val="24"/>
          <w:szCs w:val="24"/>
        </w:rPr>
        <w:t>Regionaries</w:t>
      </w:r>
      <w:r w:rsidR="00E756D7" w:rsidRPr="008D0435">
        <w:rPr>
          <w:rFonts w:cs="Times New Roman"/>
          <w:bCs/>
          <w:sz w:val="24"/>
          <w:szCs w:val="24"/>
        </w:rPr>
        <w:t xml:space="preserve">. These new items are more concerned with glorifying the city and the Constantinian dynasty. It is the period within which the significant differences in content between the </w:t>
      </w:r>
      <w:r w:rsidR="00E756D7" w:rsidRPr="008D0435">
        <w:rPr>
          <w:rFonts w:cs="Times New Roman"/>
          <w:bCs/>
          <w:i/>
          <w:sz w:val="24"/>
          <w:szCs w:val="24"/>
        </w:rPr>
        <w:t>Curiosum</w:t>
      </w:r>
      <w:r w:rsidR="00E756D7" w:rsidRPr="008D0435">
        <w:rPr>
          <w:rFonts w:cs="Times New Roman"/>
          <w:bCs/>
          <w:sz w:val="24"/>
          <w:szCs w:val="24"/>
        </w:rPr>
        <w:t xml:space="preserve"> and the </w:t>
      </w:r>
      <w:r w:rsidR="00E756D7" w:rsidRPr="008D0435">
        <w:rPr>
          <w:rFonts w:cs="Times New Roman"/>
          <w:bCs/>
          <w:i/>
          <w:sz w:val="24"/>
          <w:szCs w:val="24"/>
        </w:rPr>
        <w:t>Notitia</w:t>
      </w:r>
      <w:r w:rsidR="00E756D7" w:rsidRPr="008D0435">
        <w:rPr>
          <w:rFonts w:cs="Times New Roman"/>
          <w:bCs/>
          <w:sz w:val="24"/>
          <w:szCs w:val="24"/>
        </w:rPr>
        <w:t xml:space="preserve"> appear. </w:t>
      </w:r>
      <w:r w:rsidR="00722863">
        <w:rPr>
          <w:rFonts w:cs="Times New Roman"/>
          <w:bCs/>
          <w:sz w:val="24"/>
          <w:szCs w:val="24"/>
        </w:rPr>
        <w:t>The specific details are available</w:t>
      </w:r>
      <w:r w:rsidR="00972DCE">
        <w:rPr>
          <w:rFonts w:cs="Times New Roman"/>
          <w:bCs/>
          <w:sz w:val="24"/>
          <w:szCs w:val="24"/>
        </w:rPr>
        <w:t xml:space="preserve"> in Appendix One</w:t>
      </w:r>
      <w:r w:rsidR="00660606">
        <w:rPr>
          <w:rFonts w:cs="Times New Roman"/>
          <w:bCs/>
          <w:sz w:val="24"/>
          <w:szCs w:val="24"/>
        </w:rPr>
        <w:t>: The Differences between the Curiosum and the Notitia;</w:t>
      </w:r>
      <w:r w:rsidR="00722863">
        <w:rPr>
          <w:rFonts w:cs="Times New Roman"/>
          <w:bCs/>
          <w:sz w:val="24"/>
          <w:szCs w:val="24"/>
        </w:rPr>
        <w:t xml:space="preserve"> but t</w:t>
      </w:r>
      <w:r w:rsidR="007D6DDC" w:rsidRPr="008D0435">
        <w:rPr>
          <w:rFonts w:cs="Times New Roman"/>
          <w:bCs/>
          <w:sz w:val="24"/>
          <w:szCs w:val="24"/>
        </w:rPr>
        <w:t xml:space="preserve">he </w:t>
      </w:r>
      <w:r w:rsidR="007D6DDC" w:rsidRPr="008D0435">
        <w:rPr>
          <w:rFonts w:cs="Times New Roman"/>
          <w:bCs/>
          <w:i/>
          <w:sz w:val="24"/>
          <w:szCs w:val="24"/>
        </w:rPr>
        <w:t>Curiosum</w:t>
      </w:r>
      <w:r w:rsidR="007D6DDC" w:rsidRPr="008D0435">
        <w:rPr>
          <w:rFonts w:cs="Times New Roman"/>
          <w:bCs/>
          <w:sz w:val="24"/>
          <w:szCs w:val="24"/>
        </w:rPr>
        <w:t xml:space="preserve"> h</w:t>
      </w:r>
      <w:r w:rsidR="007D6DDC">
        <w:rPr>
          <w:rFonts w:cs="Times New Roman"/>
          <w:bCs/>
          <w:sz w:val="24"/>
          <w:szCs w:val="24"/>
        </w:rPr>
        <w:t>as</w:t>
      </w:r>
      <w:r w:rsidR="007D6DDC" w:rsidRPr="008D0435">
        <w:rPr>
          <w:rFonts w:cs="Times New Roman"/>
          <w:bCs/>
          <w:sz w:val="24"/>
          <w:szCs w:val="24"/>
        </w:rPr>
        <w:t xml:space="preserve"> only one unique building, the </w:t>
      </w:r>
      <w:r w:rsidR="007D6DDC" w:rsidRPr="008D0435">
        <w:rPr>
          <w:rFonts w:cs="Times New Roman"/>
          <w:bCs/>
          <w:i/>
          <w:sz w:val="24"/>
          <w:szCs w:val="24"/>
        </w:rPr>
        <w:t>Minervam Calcidicam</w:t>
      </w:r>
      <w:r w:rsidR="007D6DDC" w:rsidRPr="008D0435">
        <w:rPr>
          <w:rFonts w:cs="Times New Roman"/>
          <w:bCs/>
          <w:sz w:val="24"/>
          <w:szCs w:val="24"/>
        </w:rPr>
        <w:t xml:space="preserve"> in the </w:t>
      </w:r>
      <w:r w:rsidR="007D6DDC" w:rsidRPr="008D0435">
        <w:rPr>
          <w:rFonts w:cs="Times New Roman"/>
          <w:bCs/>
          <w:i/>
          <w:sz w:val="24"/>
          <w:szCs w:val="24"/>
        </w:rPr>
        <w:t>Regio IX</w:t>
      </w:r>
      <w:r w:rsidR="007D6DDC" w:rsidRPr="008D0435">
        <w:rPr>
          <w:rFonts w:cs="Times New Roman"/>
          <w:bCs/>
          <w:sz w:val="24"/>
          <w:szCs w:val="24"/>
        </w:rPr>
        <w:t>, a temple erected by Domitian to Minervae.</w:t>
      </w:r>
      <w:r w:rsidR="007D6DDC" w:rsidRPr="008D0435">
        <w:rPr>
          <w:rStyle w:val="FootnoteReference"/>
          <w:rFonts w:cs="Times New Roman"/>
          <w:bCs/>
          <w:sz w:val="24"/>
          <w:szCs w:val="24"/>
        </w:rPr>
        <w:footnoteReference w:id="153"/>
      </w:r>
      <w:r w:rsidR="007D6DDC" w:rsidRPr="008D0435">
        <w:rPr>
          <w:rFonts w:cs="Times New Roman"/>
          <w:bCs/>
          <w:sz w:val="24"/>
          <w:szCs w:val="24"/>
        </w:rPr>
        <w:t xml:space="preserve"> In contrast the </w:t>
      </w:r>
      <w:r w:rsidR="007D6DDC" w:rsidRPr="008D0435">
        <w:rPr>
          <w:rFonts w:cs="Times New Roman"/>
          <w:bCs/>
          <w:i/>
          <w:sz w:val="24"/>
          <w:szCs w:val="24"/>
        </w:rPr>
        <w:t>Notitia</w:t>
      </w:r>
      <w:r w:rsidR="007D6DDC" w:rsidRPr="008D0435">
        <w:rPr>
          <w:rFonts w:cs="Times New Roman"/>
          <w:bCs/>
          <w:sz w:val="24"/>
          <w:szCs w:val="24"/>
        </w:rPr>
        <w:t xml:space="preserve"> has </w:t>
      </w:r>
      <w:r w:rsidR="007D6DDC">
        <w:rPr>
          <w:rFonts w:cs="Times New Roman"/>
          <w:bCs/>
          <w:sz w:val="24"/>
          <w:szCs w:val="24"/>
        </w:rPr>
        <w:t>eightee</w:t>
      </w:r>
      <w:r w:rsidR="007D6DDC" w:rsidRPr="008D0435">
        <w:rPr>
          <w:rFonts w:cs="Times New Roman"/>
          <w:bCs/>
          <w:sz w:val="24"/>
          <w:szCs w:val="24"/>
        </w:rPr>
        <w:t>n unique buildings.</w:t>
      </w:r>
      <w:r w:rsidR="007D6DDC" w:rsidRPr="008D0435">
        <w:rPr>
          <w:rStyle w:val="FootnoteReference"/>
          <w:rFonts w:cs="Times New Roman"/>
          <w:bCs/>
          <w:sz w:val="24"/>
          <w:szCs w:val="24"/>
        </w:rPr>
        <w:footnoteReference w:id="154"/>
      </w:r>
      <w:r w:rsidR="007D6DDC" w:rsidRPr="008D0435">
        <w:rPr>
          <w:rFonts w:cs="Times New Roman"/>
          <w:bCs/>
          <w:sz w:val="24"/>
          <w:szCs w:val="24"/>
        </w:rPr>
        <w:t xml:space="preserve"> There are also 20 items in the </w:t>
      </w:r>
      <w:r w:rsidR="007D6DDC" w:rsidRPr="008D0435">
        <w:rPr>
          <w:rFonts w:cs="Times New Roman"/>
          <w:bCs/>
          <w:i/>
          <w:sz w:val="24"/>
          <w:szCs w:val="24"/>
        </w:rPr>
        <w:t>Notitia</w:t>
      </w:r>
      <w:r w:rsidR="007D6DDC" w:rsidRPr="008D0435">
        <w:rPr>
          <w:rFonts w:cs="Times New Roman"/>
          <w:bCs/>
          <w:sz w:val="24"/>
          <w:szCs w:val="24"/>
        </w:rPr>
        <w:t xml:space="preserve"> and six items in the </w:t>
      </w:r>
      <w:r w:rsidR="007D6DDC" w:rsidRPr="008D0435">
        <w:rPr>
          <w:rFonts w:cs="Times New Roman"/>
          <w:bCs/>
          <w:i/>
          <w:sz w:val="24"/>
          <w:szCs w:val="24"/>
        </w:rPr>
        <w:t>Curiosum</w:t>
      </w:r>
      <w:r w:rsidR="007D6DDC" w:rsidRPr="008D0435">
        <w:rPr>
          <w:rFonts w:cs="Times New Roman"/>
          <w:bCs/>
          <w:sz w:val="24"/>
          <w:szCs w:val="24"/>
        </w:rPr>
        <w:t xml:space="preserve"> that are</w:t>
      </w:r>
      <w:r w:rsidR="007D6DDC">
        <w:rPr>
          <w:rFonts w:cs="Times New Roman"/>
          <w:bCs/>
          <w:sz w:val="24"/>
          <w:szCs w:val="24"/>
        </w:rPr>
        <w:t xml:space="preserve"> named</w:t>
      </w:r>
      <w:r w:rsidR="007D6DDC" w:rsidRPr="008D0435">
        <w:rPr>
          <w:rFonts w:cs="Times New Roman"/>
          <w:bCs/>
          <w:sz w:val="24"/>
          <w:szCs w:val="24"/>
        </w:rPr>
        <w:t xml:space="preserve"> different</w:t>
      </w:r>
      <w:r w:rsidR="007D6DDC">
        <w:rPr>
          <w:rFonts w:cs="Times New Roman"/>
          <w:bCs/>
          <w:sz w:val="24"/>
          <w:szCs w:val="24"/>
        </w:rPr>
        <w:t>ly,</w:t>
      </w:r>
      <w:r w:rsidR="007D6DDC" w:rsidRPr="008D0435">
        <w:rPr>
          <w:rFonts w:cs="Times New Roman"/>
          <w:bCs/>
          <w:sz w:val="24"/>
          <w:szCs w:val="24"/>
        </w:rPr>
        <w:t xml:space="preserve"> but essentially</w:t>
      </w:r>
      <w:r w:rsidR="007D6DDC">
        <w:rPr>
          <w:rFonts w:cs="Times New Roman"/>
          <w:bCs/>
          <w:sz w:val="24"/>
          <w:szCs w:val="24"/>
        </w:rPr>
        <w:t xml:space="preserve"> describe</w:t>
      </w:r>
      <w:r w:rsidR="007D6DDC" w:rsidRPr="008D0435">
        <w:rPr>
          <w:rFonts w:cs="Times New Roman"/>
          <w:bCs/>
          <w:sz w:val="24"/>
          <w:szCs w:val="24"/>
        </w:rPr>
        <w:t xml:space="preserve"> the same</w:t>
      </w:r>
      <w:r w:rsidR="007D6DDC">
        <w:rPr>
          <w:rFonts w:cs="Times New Roman"/>
          <w:bCs/>
          <w:sz w:val="24"/>
          <w:szCs w:val="24"/>
        </w:rPr>
        <w:t xml:space="preserve"> </w:t>
      </w:r>
      <w:r w:rsidR="007D6DDC">
        <w:rPr>
          <w:rFonts w:cs="Times New Roman"/>
          <w:bCs/>
          <w:sz w:val="24"/>
          <w:szCs w:val="24"/>
        </w:rPr>
        <w:lastRenderedPageBreak/>
        <w:t>item</w:t>
      </w:r>
      <w:r w:rsidR="007D6DDC" w:rsidRPr="008D0435">
        <w:rPr>
          <w:rFonts w:cs="Times New Roman"/>
          <w:bCs/>
          <w:sz w:val="24"/>
          <w:szCs w:val="24"/>
        </w:rPr>
        <w:t>.</w:t>
      </w:r>
      <w:r w:rsidR="007D6DDC" w:rsidRPr="008D0435">
        <w:rPr>
          <w:rStyle w:val="FootnoteReference"/>
          <w:rFonts w:cs="Times New Roman"/>
          <w:bCs/>
          <w:sz w:val="24"/>
          <w:szCs w:val="24"/>
        </w:rPr>
        <w:footnoteReference w:id="155"/>
      </w:r>
      <w:r w:rsidR="007D6DDC" w:rsidRPr="008D0435">
        <w:rPr>
          <w:rFonts w:cs="Times New Roman"/>
          <w:bCs/>
          <w:sz w:val="24"/>
          <w:szCs w:val="24"/>
        </w:rPr>
        <w:t xml:space="preserve"> These similar items are</w:t>
      </w:r>
      <w:r w:rsidR="007D6DDC">
        <w:rPr>
          <w:rFonts w:cs="Times New Roman"/>
          <w:bCs/>
          <w:sz w:val="24"/>
          <w:szCs w:val="24"/>
        </w:rPr>
        <w:t xml:space="preserve"> those</w:t>
      </w:r>
      <w:r w:rsidR="007D6DDC" w:rsidRPr="008D0435">
        <w:rPr>
          <w:rFonts w:cs="Times New Roman"/>
          <w:bCs/>
          <w:sz w:val="24"/>
          <w:szCs w:val="24"/>
        </w:rPr>
        <w:t xml:space="preserve"> where one of the items has appeared in both textual traditions, but in one there is an addition or subtle change (as in an extra item added to another or the same buildings with two names). There are also six other items that are duplicated in both documents but appear in a different fashion </w:t>
      </w:r>
      <w:r w:rsidR="0049637A" w:rsidRPr="008D0435">
        <w:rPr>
          <w:rFonts w:cs="Times New Roman"/>
          <w:bCs/>
          <w:sz w:val="24"/>
          <w:szCs w:val="24"/>
        </w:rPr>
        <w:t>i.e.</w:t>
      </w:r>
      <w:r w:rsidR="007D6DDC" w:rsidRPr="008D0435">
        <w:rPr>
          <w:rFonts w:cs="Times New Roman"/>
          <w:bCs/>
          <w:sz w:val="24"/>
          <w:szCs w:val="24"/>
        </w:rPr>
        <w:t xml:space="preserve"> the </w:t>
      </w:r>
      <w:r w:rsidR="007D6DDC" w:rsidRPr="008D0435">
        <w:rPr>
          <w:rFonts w:cs="Times New Roman"/>
          <w:bCs/>
          <w:i/>
          <w:sz w:val="24"/>
          <w:szCs w:val="24"/>
        </w:rPr>
        <w:t>Curiosum</w:t>
      </w:r>
      <w:r w:rsidR="007D6DDC" w:rsidRPr="008D0435">
        <w:rPr>
          <w:rFonts w:cs="Times New Roman"/>
          <w:bCs/>
          <w:sz w:val="24"/>
          <w:szCs w:val="24"/>
        </w:rPr>
        <w:t xml:space="preserve"> lists the </w:t>
      </w:r>
      <w:r w:rsidR="007D6DDC" w:rsidRPr="008D0435">
        <w:rPr>
          <w:rFonts w:cs="Times New Roman"/>
          <w:bCs/>
          <w:i/>
          <w:sz w:val="24"/>
          <w:szCs w:val="24"/>
        </w:rPr>
        <w:t>thermas Constantinianas</w:t>
      </w:r>
      <w:r w:rsidR="007D6DDC" w:rsidRPr="008D0435">
        <w:rPr>
          <w:rFonts w:cs="Times New Roman"/>
          <w:bCs/>
          <w:sz w:val="24"/>
          <w:szCs w:val="24"/>
        </w:rPr>
        <w:t xml:space="preserve"> and </w:t>
      </w:r>
      <w:r w:rsidR="007D6DDC" w:rsidRPr="008D0435">
        <w:rPr>
          <w:rFonts w:cs="Times New Roman"/>
          <w:bCs/>
          <w:i/>
          <w:sz w:val="24"/>
          <w:szCs w:val="24"/>
        </w:rPr>
        <w:t>thermas Diocletianas</w:t>
      </w:r>
      <w:r w:rsidR="007D6DDC" w:rsidRPr="008D0435">
        <w:rPr>
          <w:rFonts w:cs="Times New Roman"/>
          <w:bCs/>
          <w:sz w:val="24"/>
          <w:szCs w:val="24"/>
        </w:rPr>
        <w:t xml:space="preserve">, whereas the Notitia lists them as the </w:t>
      </w:r>
      <w:r w:rsidR="007D6DDC" w:rsidRPr="008D0435">
        <w:rPr>
          <w:rFonts w:cs="Times New Roman"/>
          <w:bCs/>
          <w:i/>
          <w:sz w:val="24"/>
          <w:szCs w:val="24"/>
        </w:rPr>
        <w:t>thermas Diocletianas</w:t>
      </w:r>
      <w:r w:rsidR="007D6DDC" w:rsidRPr="008D0435">
        <w:rPr>
          <w:rFonts w:cs="Times New Roman"/>
          <w:bCs/>
          <w:sz w:val="24"/>
          <w:szCs w:val="24"/>
        </w:rPr>
        <w:t xml:space="preserve"> </w:t>
      </w:r>
      <w:proofErr w:type="gramStart"/>
      <w:r w:rsidR="007D6DDC">
        <w:rPr>
          <w:rFonts w:cs="Times New Roman"/>
          <w:bCs/>
          <w:i/>
          <w:sz w:val="24"/>
          <w:szCs w:val="24"/>
        </w:rPr>
        <w:t>et</w:t>
      </w:r>
      <w:proofErr w:type="gramEnd"/>
      <w:r w:rsidR="007D6DDC">
        <w:rPr>
          <w:rFonts w:cs="Times New Roman"/>
          <w:bCs/>
          <w:i/>
          <w:sz w:val="24"/>
          <w:szCs w:val="24"/>
        </w:rPr>
        <w:t xml:space="preserve"> Con</w:t>
      </w:r>
      <w:r w:rsidR="007D6DDC" w:rsidRPr="008D0435">
        <w:rPr>
          <w:rFonts w:cs="Times New Roman"/>
          <w:bCs/>
          <w:i/>
          <w:sz w:val="24"/>
          <w:szCs w:val="24"/>
        </w:rPr>
        <w:t>stantinianas</w:t>
      </w:r>
      <w:r w:rsidR="007D6DDC" w:rsidRPr="008D0435">
        <w:rPr>
          <w:rFonts w:cs="Times New Roman"/>
          <w:bCs/>
          <w:sz w:val="24"/>
          <w:szCs w:val="24"/>
        </w:rPr>
        <w:t>.</w:t>
      </w:r>
      <w:r w:rsidR="007D6DDC" w:rsidRPr="008D0435">
        <w:rPr>
          <w:rStyle w:val="FootnoteReference"/>
          <w:rFonts w:cs="Times New Roman"/>
          <w:bCs/>
          <w:sz w:val="24"/>
          <w:szCs w:val="24"/>
        </w:rPr>
        <w:footnoteReference w:id="156"/>
      </w:r>
      <w:r w:rsidR="00722863">
        <w:rPr>
          <w:rFonts w:cs="Times New Roman"/>
          <w:bCs/>
          <w:sz w:val="24"/>
          <w:szCs w:val="24"/>
        </w:rPr>
        <w:t xml:space="preserve"> </w:t>
      </w:r>
      <w:r w:rsidR="00E756D7">
        <w:rPr>
          <w:rFonts w:cs="Times New Roman"/>
          <w:bCs/>
          <w:sz w:val="24"/>
          <w:szCs w:val="24"/>
        </w:rPr>
        <w:t>These differences</w:t>
      </w:r>
      <w:r w:rsidR="00E756D7" w:rsidRPr="008D0435">
        <w:rPr>
          <w:rFonts w:cs="Times New Roman"/>
          <w:bCs/>
          <w:sz w:val="24"/>
          <w:szCs w:val="24"/>
        </w:rPr>
        <w:t xml:space="preserve"> </w:t>
      </w:r>
      <w:r w:rsidR="00E756D7">
        <w:rPr>
          <w:rFonts w:cs="Times New Roman"/>
          <w:bCs/>
          <w:sz w:val="24"/>
          <w:szCs w:val="24"/>
        </w:rPr>
        <w:t>have</w:t>
      </w:r>
      <w:r w:rsidR="00E756D7" w:rsidRPr="008D0435">
        <w:rPr>
          <w:rFonts w:cs="Times New Roman"/>
          <w:bCs/>
          <w:sz w:val="24"/>
          <w:szCs w:val="24"/>
        </w:rPr>
        <w:t xml:space="preserve"> not include</w:t>
      </w:r>
      <w:r w:rsidR="00E756D7">
        <w:rPr>
          <w:rFonts w:cs="Times New Roman"/>
          <w:bCs/>
          <w:sz w:val="24"/>
          <w:szCs w:val="24"/>
        </w:rPr>
        <w:t>d</w:t>
      </w:r>
      <w:r w:rsidR="00E756D7" w:rsidRPr="008D0435">
        <w:rPr>
          <w:rFonts w:cs="Times New Roman"/>
          <w:bCs/>
          <w:sz w:val="24"/>
          <w:szCs w:val="24"/>
        </w:rPr>
        <w:t xml:space="preserve"> the</w:t>
      </w:r>
      <w:r w:rsidR="00E756D7">
        <w:rPr>
          <w:rFonts w:cs="Times New Roman"/>
          <w:bCs/>
          <w:sz w:val="24"/>
          <w:szCs w:val="24"/>
        </w:rPr>
        <w:t xml:space="preserve"> differences in the</w:t>
      </w:r>
      <w:r w:rsidR="00E756D7" w:rsidRPr="008D0435">
        <w:rPr>
          <w:rFonts w:cs="Times New Roman"/>
          <w:bCs/>
          <w:sz w:val="24"/>
          <w:szCs w:val="24"/>
        </w:rPr>
        <w:t xml:space="preserve"> minor figures of </w:t>
      </w:r>
      <w:r w:rsidR="00E756D7" w:rsidRPr="008D0435">
        <w:rPr>
          <w:rFonts w:cs="Times New Roman"/>
          <w:bCs/>
          <w:i/>
          <w:sz w:val="24"/>
          <w:szCs w:val="24"/>
        </w:rPr>
        <w:t>vici</w:t>
      </w:r>
      <w:r w:rsidR="00E756D7" w:rsidRPr="008D0435">
        <w:rPr>
          <w:rFonts w:cs="Times New Roman"/>
          <w:bCs/>
          <w:sz w:val="24"/>
          <w:szCs w:val="24"/>
        </w:rPr>
        <w:t xml:space="preserve">, </w:t>
      </w:r>
      <w:r w:rsidR="00E756D7" w:rsidRPr="008D0435">
        <w:rPr>
          <w:rFonts w:cs="Times New Roman"/>
          <w:bCs/>
          <w:i/>
          <w:sz w:val="24"/>
          <w:szCs w:val="24"/>
        </w:rPr>
        <w:t>aediculae</w:t>
      </w:r>
      <w:r w:rsidR="00E756D7" w:rsidRPr="008D0435">
        <w:rPr>
          <w:rFonts w:cs="Times New Roman"/>
          <w:bCs/>
          <w:sz w:val="24"/>
          <w:szCs w:val="24"/>
        </w:rPr>
        <w:t xml:space="preserve">, </w:t>
      </w:r>
      <w:r w:rsidR="00E756D7" w:rsidRPr="008D0435">
        <w:rPr>
          <w:rFonts w:cs="Times New Roman"/>
          <w:bCs/>
          <w:i/>
          <w:sz w:val="24"/>
          <w:szCs w:val="24"/>
        </w:rPr>
        <w:t>vicomagistri</w:t>
      </w:r>
      <w:r w:rsidR="00E756D7" w:rsidRPr="008D0435">
        <w:rPr>
          <w:rFonts w:cs="Times New Roman"/>
          <w:bCs/>
          <w:sz w:val="24"/>
          <w:szCs w:val="24"/>
        </w:rPr>
        <w:t xml:space="preserve">, </w:t>
      </w:r>
      <w:r w:rsidR="00E756D7" w:rsidRPr="008D0435">
        <w:rPr>
          <w:rFonts w:cs="Times New Roman"/>
          <w:bCs/>
          <w:i/>
          <w:sz w:val="24"/>
          <w:szCs w:val="24"/>
        </w:rPr>
        <w:t>curatores</w:t>
      </w:r>
      <w:r w:rsidR="00E756D7" w:rsidRPr="008D0435">
        <w:rPr>
          <w:rFonts w:cs="Times New Roman"/>
          <w:bCs/>
          <w:sz w:val="24"/>
          <w:szCs w:val="24"/>
        </w:rPr>
        <w:t xml:space="preserve">, </w:t>
      </w:r>
      <w:r w:rsidR="00E756D7" w:rsidRPr="008D0435">
        <w:rPr>
          <w:rFonts w:cs="Times New Roman"/>
          <w:bCs/>
          <w:i/>
          <w:sz w:val="24"/>
          <w:szCs w:val="24"/>
        </w:rPr>
        <w:t>insulae</w:t>
      </w:r>
      <w:r w:rsidR="00E756D7" w:rsidRPr="008D0435">
        <w:rPr>
          <w:rFonts w:cs="Times New Roman"/>
          <w:bCs/>
          <w:sz w:val="24"/>
          <w:szCs w:val="24"/>
        </w:rPr>
        <w:t xml:space="preserve">, </w:t>
      </w:r>
      <w:r w:rsidR="00E756D7" w:rsidRPr="008D0435">
        <w:rPr>
          <w:rFonts w:cs="Times New Roman"/>
          <w:bCs/>
          <w:i/>
          <w:sz w:val="24"/>
          <w:szCs w:val="24"/>
        </w:rPr>
        <w:t>domos</w:t>
      </w:r>
      <w:r w:rsidR="00E756D7" w:rsidRPr="008D0435">
        <w:rPr>
          <w:rFonts w:cs="Times New Roman"/>
          <w:bCs/>
          <w:sz w:val="24"/>
          <w:szCs w:val="24"/>
        </w:rPr>
        <w:t xml:space="preserve">, </w:t>
      </w:r>
      <w:r w:rsidR="00E756D7" w:rsidRPr="008D0435">
        <w:rPr>
          <w:rFonts w:cs="Times New Roman"/>
          <w:bCs/>
          <w:i/>
          <w:sz w:val="24"/>
          <w:szCs w:val="24"/>
        </w:rPr>
        <w:t>horrea</w:t>
      </w:r>
      <w:r w:rsidR="00E756D7" w:rsidRPr="008D0435">
        <w:rPr>
          <w:rFonts w:cs="Times New Roman"/>
          <w:bCs/>
          <w:sz w:val="24"/>
          <w:szCs w:val="24"/>
        </w:rPr>
        <w:t xml:space="preserve">, </w:t>
      </w:r>
      <w:r w:rsidR="00E756D7" w:rsidRPr="008D0435">
        <w:rPr>
          <w:rFonts w:cs="Times New Roman"/>
          <w:bCs/>
          <w:i/>
          <w:sz w:val="24"/>
          <w:szCs w:val="24"/>
        </w:rPr>
        <w:t>balinea</w:t>
      </w:r>
      <w:r w:rsidR="00E756D7" w:rsidRPr="008D0435">
        <w:rPr>
          <w:rFonts w:cs="Times New Roman"/>
          <w:bCs/>
          <w:sz w:val="24"/>
          <w:szCs w:val="24"/>
        </w:rPr>
        <w:t xml:space="preserve">, </w:t>
      </w:r>
      <w:r w:rsidR="00E756D7" w:rsidRPr="008D0435">
        <w:rPr>
          <w:rFonts w:cs="Times New Roman"/>
          <w:bCs/>
          <w:i/>
          <w:sz w:val="24"/>
          <w:szCs w:val="24"/>
        </w:rPr>
        <w:t>lacos</w:t>
      </w:r>
      <w:r w:rsidR="00E756D7" w:rsidRPr="008D0435">
        <w:rPr>
          <w:rFonts w:cs="Times New Roman"/>
          <w:bCs/>
          <w:sz w:val="24"/>
          <w:szCs w:val="24"/>
        </w:rPr>
        <w:t xml:space="preserve">, </w:t>
      </w:r>
      <w:r w:rsidR="00E756D7" w:rsidRPr="008D0435">
        <w:rPr>
          <w:rFonts w:cs="Times New Roman"/>
          <w:bCs/>
          <w:i/>
          <w:sz w:val="24"/>
          <w:szCs w:val="24"/>
        </w:rPr>
        <w:t>pistrina</w:t>
      </w:r>
      <w:r w:rsidR="00E756D7" w:rsidRPr="008D0435">
        <w:rPr>
          <w:rFonts w:cs="Times New Roman"/>
          <w:bCs/>
          <w:sz w:val="24"/>
          <w:szCs w:val="24"/>
        </w:rPr>
        <w:t xml:space="preserve"> and circumference listed at the end of each </w:t>
      </w:r>
      <w:r w:rsidR="00E756D7" w:rsidRPr="008D0435">
        <w:rPr>
          <w:rFonts w:cs="Times New Roman"/>
          <w:bCs/>
          <w:i/>
          <w:sz w:val="24"/>
          <w:szCs w:val="24"/>
        </w:rPr>
        <w:t>Regio</w:t>
      </w:r>
      <w:r w:rsidR="00E756D7" w:rsidRPr="008D0435">
        <w:rPr>
          <w:rFonts w:cs="Times New Roman"/>
          <w:bCs/>
          <w:sz w:val="24"/>
          <w:szCs w:val="24"/>
        </w:rPr>
        <w:t xml:space="preserve"> and the totals of all such items in the Appendices.</w:t>
      </w:r>
      <w:r w:rsidR="00E756D7">
        <w:rPr>
          <w:rStyle w:val="FootnoteReference"/>
          <w:rFonts w:cs="Times New Roman"/>
          <w:bCs/>
          <w:sz w:val="24"/>
          <w:szCs w:val="24"/>
        </w:rPr>
        <w:footnoteReference w:id="157"/>
      </w:r>
      <w:r w:rsidR="00E756D7" w:rsidRPr="008D0435">
        <w:rPr>
          <w:rFonts w:cs="Times New Roman"/>
          <w:bCs/>
          <w:sz w:val="24"/>
          <w:szCs w:val="24"/>
        </w:rPr>
        <w:t xml:space="preserve"> </w:t>
      </w:r>
      <w:r w:rsidR="00E756D7">
        <w:rPr>
          <w:rFonts w:cs="Times New Roman"/>
          <w:bCs/>
          <w:sz w:val="24"/>
          <w:szCs w:val="24"/>
        </w:rPr>
        <w:t xml:space="preserve">Whilst there are some small differences between the </w:t>
      </w:r>
      <w:r w:rsidR="00E756D7" w:rsidRPr="000B242B">
        <w:rPr>
          <w:rFonts w:cs="Times New Roman"/>
          <w:bCs/>
          <w:i/>
          <w:sz w:val="24"/>
          <w:szCs w:val="24"/>
        </w:rPr>
        <w:t>Notitia</w:t>
      </w:r>
      <w:r w:rsidR="00E756D7">
        <w:rPr>
          <w:rFonts w:cs="Times New Roman"/>
          <w:bCs/>
          <w:sz w:val="24"/>
          <w:szCs w:val="24"/>
        </w:rPr>
        <w:t xml:space="preserve"> and the </w:t>
      </w:r>
      <w:r w:rsidR="00E756D7">
        <w:rPr>
          <w:rFonts w:cs="Times New Roman"/>
          <w:bCs/>
          <w:i/>
          <w:sz w:val="24"/>
          <w:szCs w:val="24"/>
        </w:rPr>
        <w:t xml:space="preserve">Curiosum </w:t>
      </w:r>
      <w:r w:rsidR="00E756D7">
        <w:rPr>
          <w:rFonts w:cs="Times New Roman"/>
          <w:bCs/>
          <w:sz w:val="24"/>
          <w:szCs w:val="24"/>
        </w:rPr>
        <w:t>in these figures, t</w:t>
      </w:r>
      <w:r w:rsidR="00E756D7" w:rsidRPr="000B242B">
        <w:rPr>
          <w:rFonts w:cs="Times New Roman"/>
          <w:bCs/>
          <w:sz w:val="24"/>
          <w:szCs w:val="24"/>
        </w:rPr>
        <w:t>hese</w:t>
      </w:r>
      <w:r w:rsidR="00E756D7">
        <w:rPr>
          <w:rFonts w:cs="Times New Roman"/>
          <w:bCs/>
          <w:sz w:val="24"/>
          <w:szCs w:val="24"/>
        </w:rPr>
        <w:t xml:space="preserve"> variations are minor and the importance of these statistics will be discussed in greater detail in the next chapter.</w:t>
      </w:r>
      <w:r w:rsidR="00E756D7" w:rsidRPr="008D0435">
        <w:rPr>
          <w:rFonts w:cs="Times New Roman"/>
          <w:bCs/>
          <w:sz w:val="24"/>
          <w:szCs w:val="24"/>
        </w:rPr>
        <w:t xml:space="preserve"> </w:t>
      </w:r>
    </w:p>
    <w:p w:rsidR="00E756D7" w:rsidRPr="00F85A28" w:rsidRDefault="0054596C" w:rsidP="00722391">
      <w:pPr>
        <w:widowControl w:val="0"/>
        <w:suppressLineNumbers/>
        <w:autoSpaceDE w:val="0"/>
        <w:autoSpaceDN w:val="0"/>
        <w:adjustRightInd w:val="0"/>
        <w:spacing w:after="0" w:line="480" w:lineRule="auto"/>
        <w:ind w:firstLine="720"/>
        <w:jc w:val="both"/>
        <w:rPr>
          <w:rFonts w:cs="Times New Roman"/>
          <w:bCs/>
          <w:sz w:val="24"/>
          <w:szCs w:val="24"/>
        </w:rPr>
      </w:pPr>
      <w:r>
        <w:rPr>
          <w:rFonts w:cs="Times New Roman"/>
          <w:bCs/>
          <w:sz w:val="24"/>
          <w:szCs w:val="24"/>
        </w:rPr>
        <w:t>What</w:t>
      </w:r>
      <w:r w:rsidR="009B34F3">
        <w:rPr>
          <w:rFonts w:cs="Times New Roman"/>
          <w:bCs/>
          <w:sz w:val="24"/>
          <w:szCs w:val="24"/>
        </w:rPr>
        <w:t xml:space="preserve"> can</w:t>
      </w:r>
      <w:r>
        <w:rPr>
          <w:rFonts w:cs="Times New Roman"/>
          <w:bCs/>
          <w:sz w:val="24"/>
          <w:szCs w:val="24"/>
        </w:rPr>
        <w:t xml:space="preserve"> be</w:t>
      </w:r>
      <w:r w:rsidR="009B34F3">
        <w:rPr>
          <w:rFonts w:cs="Times New Roman"/>
          <w:bCs/>
          <w:sz w:val="24"/>
          <w:szCs w:val="24"/>
        </w:rPr>
        <w:t xml:space="preserve"> see</w:t>
      </w:r>
      <w:r>
        <w:rPr>
          <w:rFonts w:cs="Times New Roman"/>
          <w:bCs/>
          <w:sz w:val="24"/>
          <w:szCs w:val="24"/>
        </w:rPr>
        <w:t>n</w:t>
      </w:r>
      <w:r w:rsidR="009B34F3">
        <w:rPr>
          <w:rFonts w:cs="Times New Roman"/>
          <w:bCs/>
          <w:sz w:val="24"/>
          <w:szCs w:val="24"/>
        </w:rPr>
        <w:t xml:space="preserve"> from the </w:t>
      </w:r>
      <w:r>
        <w:rPr>
          <w:rFonts w:cs="Times New Roman"/>
          <w:bCs/>
          <w:sz w:val="24"/>
          <w:szCs w:val="24"/>
        </w:rPr>
        <w:t>differences is that</w:t>
      </w:r>
      <w:r w:rsidR="00E756D7">
        <w:rPr>
          <w:rFonts w:cs="Times New Roman"/>
          <w:bCs/>
          <w:sz w:val="24"/>
          <w:szCs w:val="24"/>
        </w:rPr>
        <w:t xml:space="preserve"> there seems </w:t>
      </w:r>
      <w:r w:rsidR="00257E67">
        <w:rPr>
          <w:rFonts w:cs="Times New Roman"/>
          <w:bCs/>
          <w:sz w:val="24"/>
          <w:szCs w:val="24"/>
        </w:rPr>
        <w:t xml:space="preserve">to be no coherent theme for the differences between the </w:t>
      </w:r>
      <w:r w:rsidR="00257E67">
        <w:rPr>
          <w:rFonts w:cs="Times New Roman"/>
          <w:bCs/>
          <w:i/>
          <w:sz w:val="24"/>
          <w:szCs w:val="24"/>
        </w:rPr>
        <w:t>Notitia</w:t>
      </w:r>
      <w:r w:rsidR="00257E67">
        <w:rPr>
          <w:rFonts w:cs="Times New Roman"/>
          <w:bCs/>
          <w:sz w:val="24"/>
          <w:szCs w:val="24"/>
        </w:rPr>
        <w:t xml:space="preserve"> and the </w:t>
      </w:r>
      <w:r w:rsidR="00257E67">
        <w:rPr>
          <w:rFonts w:cs="Times New Roman"/>
          <w:bCs/>
          <w:i/>
          <w:sz w:val="24"/>
          <w:szCs w:val="24"/>
        </w:rPr>
        <w:t>Curiosum</w:t>
      </w:r>
      <w:r w:rsidR="00E756D7">
        <w:rPr>
          <w:rFonts w:cs="Times New Roman"/>
          <w:bCs/>
          <w:sz w:val="24"/>
          <w:szCs w:val="24"/>
        </w:rPr>
        <w:t xml:space="preserve">. The most common theme in the differences is the addition of extra gods to various shrines and temples, with the </w:t>
      </w:r>
      <w:r w:rsidR="00E756D7">
        <w:rPr>
          <w:rFonts w:cs="Times New Roman"/>
          <w:bCs/>
          <w:i/>
          <w:sz w:val="24"/>
          <w:szCs w:val="24"/>
        </w:rPr>
        <w:t>Notitia</w:t>
      </w:r>
      <w:r w:rsidR="004A2CEC">
        <w:rPr>
          <w:rFonts w:cs="Times New Roman"/>
          <w:bCs/>
          <w:sz w:val="24"/>
          <w:szCs w:val="24"/>
        </w:rPr>
        <w:t xml:space="preserve"> also having the title</w:t>
      </w:r>
      <w:r w:rsidR="00E756D7">
        <w:rPr>
          <w:rFonts w:cs="Times New Roman"/>
          <w:bCs/>
          <w:sz w:val="24"/>
          <w:szCs w:val="24"/>
        </w:rPr>
        <w:t xml:space="preserve"> of </w:t>
      </w:r>
      <w:r w:rsidR="00E756D7">
        <w:rPr>
          <w:rFonts w:cs="Times New Roman"/>
          <w:bCs/>
          <w:i/>
          <w:sz w:val="24"/>
          <w:szCs w:val="24"/>
        </w:rPr>
        <w:t>divi</w:t>
      </w:r>
      <w:r w:rsidR="00E756D7">
        <w:rPr>
          <w:rFonts w:cs="Times New Roman"/>
          <w:bCs/>
          <w:sz w:val="24"/>
          <w:szCs w:val="24"/>
        </w:rPr>
        <w:t xml:space="preserve"> applied to</w:t>
      </w:r>
      <w:r w:rsidR="004A2CEC">
        <w:rPr>
          <w:rFonts w:cs="Times New Roman"/>
          <w:bCs/>
          <w:sz w:val="24"/>
          <w:szCs w:val="24"/>
        </w:rPr>
        <w:t xml:space="preserve"> the names of the </w:t>
      </w:r>
      <w:r w:rsidR="0087599E">
        <w:rPr>
          <w:rFonts w:cs="Times New Roman"/>
          <w:bCs/>
          <w:sz w:val="24"/>
          <w:szCs w:val="24"/>
        </w:rPr>
        <w:t>emperors</w:t>
      </w:r>
      <w:r w:rsidR="004A2CEC">
        <w:rPr>
          <w:rFonts w:cs="Times New Roman"/>
          <w:bCs/>
          <w:sz w:val="24"/>
          <w:szCs w:val="24"/>
        </w:rPr>
        <w:t xml:space="preserve"> attached to</w:t>
      </w:r>
      <w:r w:rsidR="00E756D7">
        <w:rPr>
          <w:rFonts w:cs="Times New Roman"/>
          <w:bCs/>
          <w:sz w:val="24"/>
          <w:szCs w:val="24"/>
        </w:rPr>
        <w:t xml:space="preserve"> a number of </w:t>
      </w:r>
      <w:r w:rsidR="008B44B0">
        <w:rPr>
          <w:rFonts w:cs="Times New Roman"/>
          <w:bCs/>
          <w:sz w:val="24"/>
          <w:szCs w:val="24"/>
        </w:rPr>
        <w:t>imperial</w:t>
      </w:r>
      <w:r w:rsidR="00E756D7">
        <w:rPr>
          <w:rFonts w:cs="Times New Roman"/>
          <w:bCs/>
          <w:sz w:val="24"/>
          <w:szCs w:val="24"/>
        </w:rPr>
        <w:t xml:space="preserve"> monuments. This would nominally suggest that there was a stronger religious theme in the </w:t>
      </w:r>
      <w:r w:rsidR="00E756D7">
        <w:rPr>
          <w:rFonts w:cs="Times New Roman"/>
          <w:bCs/>
          <w:i/>
          <w:sz w:val="24"/>
          <w:szCs w:val="24"/>
        </w:rPr>
        <w:t>Notitia</w:t>
      </w:r>
      <w:r w:rsidR="00E756D7">
        <w:rPr>
          <w:rFonts w:cs="Times New Roman"/>
          <w:bCs/>
          <w:sz w:val="24"/>
          <w:szCs w:val="24"/>
        </w:rPr>
        <w:t xml:space="preserve"> as opposed to the </w:t>
      </w:r>
      <w:r w:rsidR="00E756D7">
        <w:rPr>
          <w:rFonts w:cs="Times New Roman"/>
          <w:bCs/>
          <w:i/>
          <w:sz w:val="24"/>
          <w:szCs w:val="24"/>
        </w:rPr>
        <w:t>Curiosum</w:t>
      </w:r>
      <w:r w:rsidR="00E756D7">
        <w:rPr>
          <w:rFonts w:cs="Times New Roman"/>
          <w:bCs/>
          <w:sz w:val="24"/>
          <w:szCs w:val="24"/>
        </w:rPr>
        <w:t xml:space="preserve"> (although the </w:t>
      </w:r>
      <w:r w:rsidR="00E756D7">
        <w:rPr>
          <w:rFonts w:cs="Times New Roman"/>
          <w:bCs/>
          <w:i/>
          <w:sz w:val="24"/>
          <w:szCs w:val="24"/>
        </w:rPr>
        <w:t>Curiosum</w:t>
      </w:r>
      <w:r w:rsidR="00E756D7">
        <w:rPr>
          <w:rFonts w:cs="Times New Roman"/>
          <w:bCs/>
          <w:sz w:val="24"/>
          <w:szCs w:val="24"/>
        </w:rPr>
        <w:t xml:space="preserve"> does have some extra additions to temples such as the </w:t>
      </w:r>
      <w:r w:rsidR="00E756D7">
        <w:rPr>
          <w:rFonts w:cs="Times New Roman"/>
          <w:bCs/>
          <w:i/>
          <w:sz w:val="24"/>
          <w:szCs w:val="24"/>
        </w:rPr>
        <w:t xml:space="preserve">templum Castorem </w:t>
      </w:r>
      <w:proofErr w:type="gramStart"/>
      <w:r w:rsidR="00E756D7">
        <w:rPr>
          <w:rFonts w:cs="Times New Roman"/>
          <w:bCs/>
          <w:i/>
          <w:sz w:val="24"/>
          <w:szCs w:val="24"/>
        </w:rPr>
        <w:t>et</w:t>
      </w:r>
      <w:proofErr w:type="gramEnd"/>
      <w:r w:rsidR="00E756D7">
        <w:rPr>
          <w:rFonts w:cs="Times New Roman"/>
          <w:bCs/>
          <w:i/>
          <w:sz w:val="24"/>
          <w:szCs w:val="24"/>
        </w:rPr>
        <w:t xml:space="preserve"> Minervae</w:t>
      </w:r>
      <w:r w:rsidR="00E756D7">
        <w:rPr>
          <w:rFonts w:cs="Times New Roman"/>
          <w:bCs/>
          <w:sz w:val="24"/>
          <w:szCs w:val="24"/>
        </w:rPr>
        <w:t xml:space="preserve"> and the </w:t>
      </w:r>
      <w:r w:rsidR="00E756D7">
        <w:rPr>
          <w:rFonts w:cs="Times New Roman"/>
          <w:bCs/>
          <w:i/>
          <w:sz w:val="24"/>
          <w:szCs w:val="24"/>
        </w:rPr>
        <w:t>basilicam Neptuni Matidies Marciani</w:t>
      </w:r>
      <w:r w:rsidR="00E756D7">
        <w:rPr>
          <w:rFonts w:cs="Times New Roman"/>
          <w:bCs/>
          <w:sz w:val="24"/>
          <w:szCs w:val="24"/>
        </w:rPr>
        <w:t>).</w:t>
      </w:r>
      <w:r w:rsidR="00E756D7">
        <w:rPr>
          <w:rStyle w:val="FootnoteReference"/>
          <w:rFonts w:cs="Times New Roman"/>
          <w:bCs/>
          <w:sz w:val="24"/>
          <w:szCs w:val="24"/>
        </w:rPr>
        <w:footnoteReference w:id="158"/>
      </w:r>
      <w:r w:rsidR="00E756D7">
        <w:rPr>
          <w:rFonts w:cs="Times New Roman"/>
          <w:bCs/>
          <w:sz w:val="24"/>
          <w:szCs w:val="24"/>
        </w:rPr>
        <w:t xml:space="preserve"> However when we take into account the variety of seemingly random items such as streets, district names and public squares also added in the </w:t>
      </w:r>
      <w:r w:rsidR="00E756D7">
        <w:rPr>
          <w:rFonts w:cs="Times New Roman"/>
          <w:bCs/>
          <w:i/>
          <w:sz w:val="24"/>
          <w:szCs w:val="24"/>
        </w:rPr>
        <w:t>Notitia</w:t>
      </w:r>
      <w:r w:rsidR="00E756D7">
        <w:rPr>
          <w:rFonts w:cs="Times New Roman"/>
          <w:bCs/>
          <w:sz w:val="24"/>
          <w:szCs w:val="24"/>
        </w:rPr>
        <w:t xml:space="preserve"> </w:t>
      </w:r>
      <w:r w:rsidR="00E756D7">
        <w:rPr>
          <w:rFonts w:cs="Times New Roman"/>
          <w:bCs/>
          <w:sz w:val="24"/>
          <w:szCs w:val="24"/>
        </w:rPr>
        <w:lastRenderedPageBreak/>
        <w:t xml:space="preserve">this becomes diluted. Tentatively it could be argued that the </w:t>
      </w:r>
      <w:r w:rsidR="00E756D7">
        <w:rPr>
          <w:rFonts w:cs="Times New Roman"/>
          <w:bCs/>
          <w:i/>
          <w:sz w:val="24"/>
          <w:szCs w:val="24"/>
        </w:rPr>
        <w:t>Notitia</w:t>
      </w:r>
      <w:r w:rsidR="00E756D7">
        <w:rPr>
          <w:rFonts w:cs="Times New Roman"/>
          <w:bCs/>
          <w:sz w:val="24"/>
          <w:szCs w:val="24"/>
        </w:rPr>
        <w:t xml:space="preserve"> has a stronger “</w:t>
      </w:r>
      <w:r w:rsidR="008B44B0">
        <w:rPr>
          <w:rFonts w:cs="Times New Roman"/>
          <w:bCs/>
          <w:sz w:val="24"/>
          <w:szCs w:val="24"/>
        </w:rPr>
        <w:t>Imperial</w:t>
      </w:r>
      <w:r w:rsidR="00E756D7">
        <w:rPr>
          <w:rFonts w:cs="Times New Roman"/>
          <w:bCs/>
          <w:sz w:val="24"/>
          <w:szCs w:val="24"/>
        </w:rPr>
        <w:t xml:space="preserve"> theme”, as the inclusion of the adjective </w:t>
      </w:r>
      <w:r w:rsidR="00E756D7">
        <w:rPr>
          <w:rFonts w:cs="Times New Roman"/>
          <w:bCs/>
          <w:i/>
          <w:sz w:val="24"/>
          <w:szCs w:val="24"/>
        </w:rPr>
        <w:t>divi</w:t>
      </w:r>
      <w:r w:rsidR="00BE015B">
        <w:rPr>
          <w:rFonts w:cs="Times New Roman"/>
          <w:bCs/>
          <w:sz w:val="24"/>
          <w:szCs w:val="24"/>
        </w:rPr>
        <w:t xml:space="preserve"> </w:t>
      </w:r>
      <w:r w:rsidR="00E756D7" w:rsidRPr="00BE015B">
        <w:rPr>
          <w:rFonts w:cs="Times New Roman"/>
          <w:bCs/>
          <w:sz w:val="24"/>
          <w:szCs w:val="24"/>
        </w:rPr>
        <w:t>to</w:t>
      </w:r>
      <w:r w:rsidR="00E756D7">
        <w:rPr>
          <w:rFonts w:cs="Times New Roman"/>
          <w:bCs/>
          <w:sz w:val="24"/>
          <w:szCs w:val="24"/>
        </w:rPr>
        <w:t xml:space="preserve"> several </w:t>
      </w:r>
      <w:r w:rsidR="008B44B0">
        <w:rPr>
          <w:rFonts w:cs="Times New Roman"/>
          <w:bCs/>
          <w:sz w:val="24"/>
          <w:szCs w:val="24"/>
        </w:rPr>
        <w:t>imperial</w:t>
      </w:r>
      <w:r w:rsidR="00E756D7">
        <w:rPr>
          <w:rFonts w:cs="Times New Roman"/>
          <w:bCs/>
          <w:sz w:val="24"/>
          <w:szCs w:val="24"/>
        </w:rPr>
        <w:t xml:space="preserve"> monuments</w:t>
      </w:r>
      <w:r w:rsidR="007C5405">
        <w:rPr>
          <w:rFonts w:cs="Times New Roman"/>
          <w:bCs/>
          <w:sz w:val="24"/>
          <w:szCs w:val="24"/>
        </w:rPr>
        <w:t xml:space="preserve"> suggests</w:t>
      </w:r>
      <w:r w:rsidR="006A2642">
        <w:rPr>
          <w:rFonts w:cs="Times New Roman"/>
          <w:bCs/>
          <w:sz w:val="24"/>
          <w:szCs w:val="24"/>
        </w:rPr>
        <w:t>. T</w:t>
      </w:r>
      <w:r w:rsidR="00E756D7">
        <w:rPr>
          <w:rFonts w:cs="Times New Roman"/>
          <w:bCs/>
          <w:sz w:val="24"/>
          <w:szCs w:val="24"/>
        </w:rPr>
        <w:t xml:space="preserve">he </w:t>
      </w:r>
      <w:r w:rsidR="00E756D7">
        <w:rPr>
          <w:rFonts w:cs="Times New Roman"/>
          <w:bCs/>
          <w:i/>
          <w:sz w:val="24"/>
          <w:szCs w:val="24"/>
        </w:rPr>
        <w:t>Hadrianeum</w:t>
      </w:r>
      <w:r w:rsidR="006A2642">
        <w:rPr>
          <w:rFonts w:cs="Times New Roman"/>
          <w:bCs/>
          <w:sz w:val="24"/>
          <w:szCs w:val="24"/>
        </w:rPr>
        <w:t xml:space="preserve"> (a temple to the deified Hadrian) and</w:t>
      </w:r>
      <w:r w:rsidR="00E756D7">
        <w:rPr>
          <w:rFonts w:cs="Times New Roman"/>
          <w:bCs/>
          <w:sz w:val="24"/>
          <w:szCs w:val="24"/>
        </w:rPr>
        <w:t xml:space="preserve"> the Equestrian Statue of Con</w:t>
      </w:r>
      <w:r w:rsidR="007C5405">
        <w:rPr>
          <w:rFonts w:cs="Times New Roman"/>
          <w:bCs/>
          <w:sz w:val="24"/>
          <w:szCs w:val="24"/>
        </w:rPr>
        <w:t>stantine</w:t>
      </w:r>
      <w:r w:rsidR="006A2642">
        <w:rPr>
          <w:rFonts w:cs="Times New Roman"/>
          <w:bCs/>
          <w:sz w:val="24"/>
          <w:szCs w:val="24"/>
        </w:rPr>
        <w:t xml:space="preserve"> have an obvious imperial connection </w:t>
      </w:r>
      <w:r w:rsidR="00EA404F">
        <w:rPr>
          <w:rFonts w:cs="Times New Roman"/>
          <w:bCs/>
          <w:sz w:val="24"/>
          <w:szCs w:val="24"/>
        </w:rPr>
        <w:t>to two emperors who were famous for how they strengthened and developed the empire</w:t>
      </w:r>
      <w:r w:rsidR="006A2642">
        <w:rPr>
          <w:rFonts w:cs="Times New Roman"/>
          <w:bCs/>
          <w:sz w:val="24"/>
          <w:szCs w:val="24"/>
        </w:rPr>
        <w:t xml:space="preserve">. </w:t>
      </w:r>
      <w:r w:rsidR="007C5405">
        <w:rPr>
          <w:rFonts w:cs="Times New Roman"/>
          <w:bCs/>
          <w:sz w:val="24"/>
          <w:szCs w:val="24"/>
        </w:rPr>
        <w:t>T</w:t>
      </w:r>
      <w:r w:rsidR="00E756D7">
        <w:rPr>
          <w:rFonts w:cs="Times New Roman"/>
          <w:bCs/>
          <w:sz w:val="24"/>
          <w:szCs w:val="24"/>
        </w:rPr>
        <w:t xml:space="preserve">he </w:t>
      </w:r>
      <w:r w:rsidR="00E756D7">
        <w:rPr>
          <w:rFonts w:cs="Times New Roman"/>
          <w:bCs/>
          <w:i/>
          <w:sz w:val="24"/>
          <w:szCs w:val="24"/>
        </w:rPr>
        <w:t>Castra Praetoria</w:t>
      </w:r>
      <w:r w:rsidR="007C5405">
        <w:rPr>
          <w:rFonts w:cs="Times New Roman"/>
          <w:bCs/>
          <w:sz w:val="24"/>
          <w:szCs w:val="24"/>
        </w:rPr>
        <w:t xml:space="preserve"> was the barracks of the (infamous) Imperial Guard,</w:t>
      </w:r>
      <w:r w:rsidR="00E756D7">
        <w:rPr>
          <w:rFonts w:cs="Times New Roman"/>
          <w:bCs/>
          <w:sz w:val="24"/>
          <w:szCs w:val="24"/>
        </w:rPr>
        <w:t xml:space="preserve"> and the </w:t>
      </w:r>
      <w:r w:rsidR="00E756D7">
        <w:rPr>
          <w:rFonts w:cs="Times New Roman"/>
          <w:bCs/>
          <w:i/>
          <w:sz w:val="24"/>
          <w:szCs w:val="24"/>
        </w:rPr>
        <w:t>aream Palatinam</w:t>
      </w:r>
      <w:r w:rsidR="007C5405">
        <w:rPr>
          <w:rFonts w:cs="Times New Roman"/>
          <w:bCs/>
          <w:sz w:val="24"/>
          <w:szCs w:val="24"/>
        </w:rPr>
        <w:t xml:space="preserve"> served as an open space before the Palatine Palace from which the Emperor would receive the </w:t>
      </w:r>
      <w:r w:rsidR="007D570B">
        <w:rPr>
          <w:rFonts w:cs="Times New Roman"/>
          <w:bCs/>
          <w:i/>
          <w:sz w:val="24"/>
          <w:szCs w:val="24"/>
        </w:rPr>
        <w:t>salutatio</w:t>
      </w:r>
      <w:r w:rsidR="007C5405">
        <w:rPr>
          <w:rFonts w:cs="Times New Roman"/>
          <w:bCs/>
          <w:i/>
          <w:sz w:val="24"/>
          <w:szCs w:val="24"/>
        </w:rPr>
        <w:t xml:space="preserve"> Caesaris</w:t>
      </w:r>
      <w:r w:rsidR="00EA404F">
        <w:rPr>
          <w:rFonts w:cs="Times New Roman"/>
          <w:bCs/>
          <w:sz w:val="24"/>
          <w:szCs w:val="24"/>
        </w:rPr>
        <w:t>, the formal ceremonial greeting of the citizens as clients to the Emperor as their patron</w:t>
      </w:r>
      <w:r w:rsidR="007C5405">
        <w:rPr>
          <w:rFonts w:cs="Times New Roman"/>
          <w:bCs/>
          <w:sz w:val="24"/>
          <w:szCs w:val="24"/>
        </w:rPr>
        <w:t>.</w:t>
      </w:r>
      <w:r w:rsidR="007C5405">
        <w:rPr>
          <w:rStyle w:val="FootnoteReference"/>
          <w:rFonts w:cs="Times New Roman"/>
          <w:bCs/>
          <w:sz w:val="24"/>
          <w:szCs w:val="24"/>
        </w:rPr>
        <w:footnoteReference w:id="159"/>
      </w:r>
      <w:r w:rsidR="007C5405">
        <w:rPr>
          <w:rFonts w:cs="Times New Roman"/>
          <w:bCs/>
          <w:sz w:val="24"/>
          <w:szCs w:val="24"/>
        </w:rPr>
        <w:t xml:space="preserve"> </w:t>
      </w:r>
      <w:r w:rsidR="006A2642">
        <w:rPr>
          <w:rFonts w:cs="Times New Roman"/>
          <w:bCs/>
          <w:sz w:val="24"/>
          <w:szCs w:val="24"/>
        </w:rPr>
        <w:t xml:space="preserve">The </w:t>
      </w:r>
      <w:r w:rsidR="006A2642">
        <w:rPr>
          <w:rFonts w:cs="Times New Roman"/>
          <w:bCs/>
          <w:i/>
          <w:sz w:val="24"/>
          <w:szCs w:val="24"/>
        </w:rPr>
        <w:t>umbilicum Romae</w:t>
      </w:r>
      <w:r w:rsidR="006A2642">
        <w:rPr>
          <w:rFonts w:cs="Times New Roman"/>
          <w:bCs/>
          <w:sz w:val="24"/>
          <w:szCs w:val="24"/>
        </w:rPr>
        <w:t xml:space="preserve"> was the symbolic centre of the city, and therefore by extension the Empire.</w:t>
      </w:r>
      <w:r w:rsidR="006A2642">
        <w:rPr>
          <w:rStyle w:val="FootnoteReference"/>
          <w:rFonts w:cs="Times New Roman"/>
          <w:bCs/>
          <w:sz w:val="24"/>
          <w:szCs w:val="24"/>
        </w:rPr>
        <w:footnoteReference w:id="160"/>
      </w:r>
      <w:r w:rsidR="007C5405">
        <w:rPr>
          <w:rFonts w:cs="Times New Roman"/>
          <w:bCs/>
          <w:sz w:val="24"/>
          <w:szCs w:val="24"/>
        </w:rPr>
        <w:t xml:space="preserve"> This</w:t>
      </w:r>
      <w:r w:rsidR="006A2642">
        <w:rPr>
          <w:rFonts w:cs="Times New Roman"/>
          <w:bCs/>
          <w:sz w:val="24"/>
          <w:szCs w:val="24"/>
        </w:rPr>
        <w:t xml:space="preserve"> </w:t>
      </w:r>
      <w:r w:rsidR="00E756D7">
        <w:rPr>
          <w:rFonts w:cs="Times New Roman"/>
          <w:bCs/>
          <w:sz w:val="24"/>
          <w:szCs w:val="24"/>
        </w:rPr>
        <w:t>indicate</w:t>
      </w:r>
      <w:r w:rsidR="007C5405">
        <w:rPr>
          <w:rFonts w:cs="Times New Roman"/>
          <w:bCs/>
          <w:sz w:val="24"/>
          <w:szCs w:val="24"/>
        </w:rPr>
        <w:t>s</w:t>
      </w:r>
      <w:r w:rsidR="00E756D7">
        <w:rPr>
          <w:rFonts w:cs="Times New Roman"/>
          <w:bCs/>
          <w:sz w:val="24"/>
          <w:szCs w:val="24"/>
        </w:rPr>
        <w:t xml:space="preserve"> a greater concern with those spaces </w:t>
      </w:r>
      <w:r w:rsidR="00EA404F">
        <w:rPr>
          <w:rFonts w:cs="Times New Roman"/>
          <w:bCs/>
          <w:sz w:val="24"/>
          <w:szCs w:val="24"/>
        </w:rPr>
        <w:t xml:space="preserve">and buildings </w:t>
      </w:r>
      <w:r w:rsidR="00E756D7">
        <w:rPr>
          <w:rFonts w:cs="Times New Roman"/>
          <w:bCs/>
          <w:sz w:val="24"/>
          <w:szCs w:val="24"/>
        </w:rPr>
        <w:t xml:space="preserve">concerned with the glorification of the </w:t>
      </w:r>
      <w:r w:rsidR="0087599E">
        <w:rPr>
          <w:rFonts w:cs="Times New Roman"/>
          <w:bCs/>
          <w:sz w:val="24"/>
          <w:szCs w:val="24"/>
        </w:rPr>
        <w:t>e</w:t>
      </w:r>
      <w:r w:rsidR="008B44B0">
        <w:rPr>
          <w:rFonts w:cs="Times New Roman"/>
          <w:bCs/>
          <w:sz w:val="24"/>
          <w:szCs w:val="24"/>
        </w:rPr>
        <w:t>mperor</w:t>
      </w:r>
      <w:r w:rsidR="0087599E">
        <w:rPr>
          <w:rFonts w:cs="Times New Roman"/>
          <w:bCs/>
          <w:sz w:val="24"/>
          <w:szCs w:val="24"/>
        </w:rPr>
        <w:t xml:space="preserve"> and the e</w:t>
      </w:r>
      <w:r w:rsidR="00E756D7">
        <w:rPr>
          <w:rFonts w:cs="Times New Roman"/>
          <w:bCs/>
          <w:sz w:val="24"/>
          <w:szCs w:val="24"/>
        </w:rPr>
        <w:t>mpire</w:t>
      </w:r>
      <w:r w:rsidR="000052E7">
        <w:rPr>
          <w:rFonts w:cs="Times New Roman"/>
          <w:bCs/>
          <w:sz w:val="24"/>
          <w:szCs w:val="24"/>
        </w:rPr>
        <w:t>.</w:t>
      </w:r>
      <w:r w:rsidR="00BE015B">
        <w:rPr>
          <w:rFonts w:cs="Times New Roman"/>
          <w:bCs/>
          <w:sz w:val="24"/>
          <w:szCs w:val="24"/>
        </w:rPr>
        <w:t xml:space="preserve"> This could also suggest that the </w:t>
      </w:r>
      <w:r w:rsidR="00BE015B">
        <w:rPr>
          <w:rFonts w:cs="Times New Roman"/>
          <w:bCs/>
          <w:i/>
          <w:sz w:val="24"/>
          <w:szCs w:val="24"/>
        </w:rPr>
        <w:t>Curiosum</w:t>
      </w:r>
      <w:r w:rsidR="00BE015B">
        <w:rPr>
          <w:rFonts w:cs="Times New Roman"/>
          <w:bCs/>
          <w:sz w:val="24"/>
          <w:szCs w:val="24"/>
        </w:rPr>
        <w:t xml:space="preserve"> had these removed at some point by a Christian copyist</w:t>
      </w:r>
      <w:r w:rsidR="004A2CEC">
        <w:rPr>
          <w:rFonts w:cs="Times New Roman"/>
          <w:bCs/>
          <w:sz w:val="24"/>
          <w:szCs w:val="24"/>
        </w:rPr>
        <w:t xml:space="preserve">. </w:t>
      </w:r>
      <w:r w:rsidR="00E756D7">
        <w:rPr>
          <w:rFonts w:cs="Times New Roman"/>
          <w:bCs/>
          <w:sz w:val="24"/>
          <w:szCs w:val="24"/>
        </w:rPr>
        <w:t xml:space="preserve">In particular there seems to be a </w:t>
      </w:r>
      <w:r w:rsidR="00EA404F">
        <w:rPr>
          <w:rFonts w:cs="Times New Roman"/>
          <w:bCs/>
          <w:sz w:val="24"/>
          <w:szCs w:val="24"/>
        </w:rPr>
        <w:t>further</w:t>
      </w:r>
      <w:r w:rsidR="00E756D7">
        <w:rPr>
          <w:rFonts w:cs="Times New Roman"/>
          <w:bCs/>
          <w:sz w:val="24"/>
          <w:szCs w:val="24"/>
        </w:rPr>
        <w:t xml:space="preserve"> concern with the Flavian and Antonine </w:t>
      </w:r>
      <w:r w:rsidR="0087599E">
        <w:rPr>
          <w:rFonts w:cs="Times New Roman"/>
          <w:bCs/>
          <w:sz w:val="24"/>
          <w:szCs w:val="24"/>
        </w:rPr>
        <w:t>emperors</w:t>
      </w:r>
      <w:r w:rsidR="00E756D7">
        <w:rPr>
          <w:rFonts w:cs="Times New Roman"/>
          <w:bCs/>
          <w:sz w:val="24"/>
          <w:szCs w:val="24"/>
        </w:rPr>
        <w:t>, as can be seen by the fact</w:t>
      </w:r>
      <w:r w:rsidR="007D570B">
        <w:rPr>
          <w:rFonts w:cs="Times New Roman"/>
          <w:bCs/>
          <w:sz w:val="24"/>
          <w:szCs w:val="24"/>
        </w:rPr>
        <w:t xml:space="preserve"> that</w:t>
      </w:r>
      <w:r w:rsidR="00E756D7">
        <w:rPr>
          <w:rFonts w:cs="Times New Roman"/>
          <w:bCs/>
          <w:sz w:val="24"/>
          <w:szCs w:val="24"/>
        </w:rPr>
        <w:t xml:space="preserve"> in the </w:t>
      </w:r>
      <w:r w:rsidR="00E756D7">
        <w:rPr>
          <w:rFonts w:cs="Times New Roman"/>
          <w:bCs/>
          <w:i/>
          <w:sz w:val="24"/>
          <w:szCs w:val="24"/>
        </w:rPr>
        <w:t>Notitia</w:t>
      </w:r>
      <w:r w:rsidR="00E756D7">
        <w:rPr>
          <w:rFonts w:cs="Times New Roman"/>
          <w:bCs/>
          <w:sz w:val="24"/>
          <w:szCs w:val="24"/>
        </w:rPr>
        <w:t xml:space="preserve"> we have the </w:t>
      </w:r>
      <w:r w:rsidR="0049637A">
        <w:rPr>
          <w:rFonts w:cs="Times New Roman"/>
          <w:bCs/>
          <w:i/>
          <w:sz w:val="24"/>
          <w:szCs w:val="24"/>
        </w:rPr>
        <w:t>privata</w:t>
      </w:r>
      <w:r w:rsidR="00E756D7">
        <w:rPr>
          <w:rFonts w:cs="Times New Roman"/>
          <w:bCs/>
          <w:i/>
          <w:sz w:val="24"/>
          <w:szCs w:val="24"/>
        </w:rPr>
        <w:t xml:space="preserve"> Traini</w:t>
      </w:r>
      <w:r w:rsidR="00E756D7">
        <w:rPr>
          <w:rFonts w:cs="Times New Roman"/>
          <w:bCs/>
          <w:sz w:val="24"/>
          <w:szCs w:val="24"/>
        </w:rPr>
        <w:t xml:space="preserve">, the </w:t>
      </w:r>
      <w:r w:rsidR="00E756D7" w:rsidRPr="008D0435">
        <w:rPr>
          <w:rFonts w:cs="Times New Roman"/>
          <w:bCs/>
          <w:i/>
          <w:sz w:val="24"/>
          <w:szCs w:val="24"/>
        </w:rPr>
        <w:t>arcum divi Veri Partici et divi Traiani et Drusi</w:t>
      </w:r>
      <w:r w:rsidR="00E756D7">
        <w:rPr>
          <w:rFonts w:cs="Times New Roman"/>
          <w:bCs/>
          <w:sz w:val="24"/>
          <w:szCs w:val="24"/>
        </w:rPr>
        <w:t xml:space="preserve"> and the </w:t>
      </w:r>
      <w:r w:rsidR="00E756D7">
        <w:rPr>
          <w:rFonts w:cs="Times New Roman"/>
          <w:bCs/>
          <w:i/>
          <w:sz w:val="24"/>
          <w:szCs w:val="24"/>
        </w:rPr>
        <w:t>Hadrianeum</w:t>
      </w:r>
      <w:r w:rsidR="00E756D7">
        <w:rPr>
          <w:rFonts w:cs="Times New Roman"/>
          <w:bCs/>
          <w:sz w:val="24"/>
          <w:szCs w:val="24"/>
        </w:rPr>
        <w:t xml:space="preserve"> and the </w:t>
      </w:r>
      <w:r w:rsidR="00E756D7">
        <w:rPr>
          <w:rFonts w:cs="Times New Roman"/>
          <w:bCs/>
          <w:i/>
          <w:sz w:val="24"/>
          <w:szCs w:val="24"/>
        </w:rPr>
        <w:t>templum divi</w:t>
      </w:r>
      <w:r w:rsidR="00E756D7">
        <w:rPr>
          <w:rFonts w:cs="Times New Roman"/>
          <w:bCs/>
          <w:sz w:val="24"/>
          <w:szCs w:val="24"/>
        </w:rPr>
        <w:t xml:space="preserve"> </w:t>
      </w:r>
      <w:r w:rsidR="00E756D7">
        <w:rPr>
          <w:rFonts w:cs="Times New Roman"/>
          <w:bCs/>
          <w:i/>
          <w:sz w:val="24"/>
          <w:szCs w:val="24"/>
        </w:rPr>
        <w:t>Antonini</w:t>
      </w:r>
      <w:r w:rsidR="00E756D7">
        <w:rPr>
          <w:rFonts w:cs="Times New Roman"/>
          <w:bCs/>
          <w:sz w:val="24"/>
          <w:szCs w:val="24"/>
        </w:rPr>
        <w:t xml:space="preserve"> representing the Antonine </w:t>
      </w:r>
      <w:r w:rsidR="0087599E">
        <w:rPr>
          <w:rFonts w:cs="Times New Roman"/>
          <w:bCs/>
          <w:sz w:val="24"/>
          <w:szCs w:val="24"/>
        </w:rPr>
        <w:t>emperors</w:t>
      </w:r>
      <w:r w:rsidR="00E756D7">
        <w:rPr>
          <w:rFonts w:cs="Times New Roman"/>
          <w:bCs/>
          <w:sz w:val="24"/>
          <w:szCs w:val="24"/>
        </w:rPr>
        <w:t xml:space="preserve">, and </w:t>
      </w:r>
      <w:r w:rsidR="00E756D7" w:rsidRPr="008D0435">
        <w:rPr>
          <w:rFonts w:cs="Times New Roman"/>
          <w:bCs/>
          <w:sz w:val="24"/>
          <w:szCs w:val="24"/>
        </w:rPr>
        <w:t xml:space="preserve">the </w:t>
      </w:r>
      <w:r w:rsidR="00E756D7" w:rsidRPr="008D0435">
        <w:rPr>
          <w:rFonts w:cs="Times New Roman"/>
          <w:bCs/>
          <w:i/>
          <w:sz w:val="24"/>
          <w:szCs w:val="24"/>
        </w:rPr>
        <w:t>malum punicum</w:t>
      </w:r>
      <w:r w:rsidR="00E756D7">
        <w:rPr>
          <w:rFonts w:cs="Times New Roman"/>
          <w:bCs/>
          <w:sz w:val="24"/>
          <w:szCs w:val="24"/>
        </w:rPr>
        <w:t>,</w:t>
      </w:r>
      <w:r w:rsidR="00E756D7" w:rsidRPr="002D2EEC">
        <w:rPr>
          <w:rFonts w:cs="Times New Roman"/>
          <w:bCs/>
          <w:i/>
          <w:sz w:val="24"/>
          <w:szCs w:val="24"/>
        </w:rPr>
        <w:t xml:space="preserve"> </w:t>
      </w:r>
      <w:r w:rsidR="00E756D7" w:rsidRPr="008D0435">
        <w:rPr>
          <w:rFonts w:cs="Times New Roman"/>
          <w:bCs/>
          <w:i/>
          <w:sz w:val="24"/>
          <w:szCs w:val="24"/>
        </w:rPr>
        <w:t>balineum Torquati</w:t>
      </w:r>
      <w:r w:rsidR="00E756D7">
        <w:rPr>
          <w:rFonts w:cs="Times New Roman"/>
          <w:bCs/>
          <w:sz w:val="24"/>
          <w:szCs w:val="24"/>
        </w:rPr>
        <w:t xml:space="preserve"> </w:t>
      </w:r>
      <w:r w:rsidR="00E756D7" w:rsidRPr="008D0435">
        <w:rPr>
          <w:rFonts w:cs="Times New Roman"/>
          <w:bCs/>
          <w:i/>
          <w:sz w:val="24"/>
          <w:szCs w:val="24"/>
        </w:rPr>
        <w:t>Vespasiani</w:t>
      </w:r>
      <w:r w:rsidR="00E756D7">
        <w:rPr>
          <w:rFonts w:cs="Times New Roman"/>
          <w:bCs/>
          <w:sz w:val="24"/>
          <w:szCs w:val="24"/>
        </w:rPr>
        <w:t>,</w:t>
      </w:r>
      <w:r w:rsidR="00E756D7" w:rsidRPr="002D2EEC">
        <w:rPr>
          <w:rFonts w:ascii="Calibri" w:eastAsia="Times New Roman" w:hAnsi="Calibri" w:cs="Times New Roman"/>
          <w:i/>
          <w:sz w:val="24"/>
          <w:szCs w:val="24"/>
          <w:lang w:eastAsia="en-GB"/>
        </w:rPr>
        <w:t xml:space="preserve"> </w:t>
      </w:r>
      <w:r w:rsidR="00E756D7" w:rsidRPr="000B242B">
        <w:rPr>
          <w:rFonts w:ascii="Calibri" w:eastAsia="Times New Roman" w:hAnsi="Calibri" w:cs="Times New Roman"/>
          <w:i/>
          <w:sz w:val="24"/>
          <w:szCs w:val="24"/>
          <w:lang w:eastAsia="en-GB"/>
        </w:rPr>
        <w:t>templum Saturni et Vespasiani et Titi</w:t>
      </w:r>
      <w:r w:rsidR="00E756D7" w:rsidRPr="008D0435">
        <w:rPr>
          <w:rFonts w:cs="Times New Roman"/>
          <w:bCs/>
          <w:sz w:val="24"/>
          <w:szCs w:val="24"/>
        </w:rPr>
        <w:t xml:space="preserve"> </w:t>
      </w:r>
      <w:r w:rsidR="00F85F95">
        <w:rPr>
          <w:rFonts w:cs="Times New Roman"/>
          <w:bCs/>
          <w:sz w:val="24"/>
          <w:szCs w:val="24"/>
        </w:rPr>
        <w:t>for the Flavian dynasty.</w:t>
      </w:r>
      <w:r w:rsidR="00150FD6" w:rsidRPr="00150FD6">
        <w:rPr>
          <w:rFonts w:cs="Times New Roman"/>
          <w:bCs/>
          <w:sz w:val="24"/>
          <w:szCs w:val="24"/>
        </w:rPr>
        <w:t xml:space="preserve"> </w:t>
      </w:r>
      <w:r w:rsidR="00150FD6">
        <w:rPr>
          <w:rFonts w:cs="Times New Roman"/>
          <w:bCs/>
          <w:sz w:val="24"/>
          <w:szCs w:val="24"/>
        </w:rPr>
        <w:t xml:space="preserve">The </w:t>
      </w:r>
      <w:r w:rsidR="00150FD6">
        <w:rPr>
          <w:rFonts w:cs="Times New Roman"/>
          <w:bCs/>
          <w:i/>
          <w:sz w:val="24"/>
          <w:szCs w:val="24"/>
        </w:rPr>
        <w:t>balineum Torquati</w:t>
      </w:r>
      <w:r w:rsidR="00150FD6">
        <w:rPr>
          <w:rFonts w:cs="Times New Roman"/>
          <w:bCs/>
          <w:sz w:val="24"/>
          <w:szCs w:val="24"/>
        </w:rPr>
        <w:t>, which has no apparent imperial function, possess</w:t>
      </w:r>
      <w:r w:rsidR="007D570B">
        <w:rPr>
          <w:rFonts w:cs="Times New Roman"/>
          <w:bCs/>
          <w:sz w:val="24"/>
          <w:szCs w:val="24"/>
        </w:rPr>
        <w:t>es</w:t>
      </w:r>
      <w:r w:rsidR="00150FD6">
        <w:rPr>
          <w:rFonts w:cs="Times New Roman"/>
          <w:bCs/>
          <w:sz w:val="24"/>
          <w:szCs w:val="24"/>
        </w:rPr>
        <w:t xml:space="preserve"> the gloss of an imperial connection with its pairing with the </w:t>
      </w:r>
      <w:r w:rsidR="00150FD6">
        <w:rPr>
          <w:rFonts w:cs="Times New Roman"/>
          <w:bCs/>
          <w:i/>
          <w:sz w:val="24"/>
          <w:szCs w:val="24"/>
        </w:rPr>
        <w:t>balineum Vespasiani</w:t>
      </w:r>
      <w:r w:rsidR="00150FD6">
        <w:rPr>
          <w:rFonts w:cs="Times New Roman"/>
          <w:bCs/>
          <w:sz w:val="24"/>
          <w:szCs w:val="24"/>
        </w:rPr>
        <w:t xml:space="preserve"> in the </w:t>
      </w:r>
      <w:r w:rsidR="00150FD6">
        <w:rPr>
          <w:rFonts w:cs="Times New Roman"/>
          <w:bCs/>
          <w:i/>
          <w:sz w:val="24"/>
          <w:szCs w:val="24"/>
        </w:rPr>
        <w:t>Regionaries</w:t>
      </w:r>
      <w:r w:rsidR="00150FD6">
        <w:rPr>
          <w:rFonts w:cs="Times New Roman"/>
          <w:bCs/>
          <w:sz w:val="24"/>
          <w:szCs w:val="24"/>
        </w:rPr>
        <w:t>.</w:t>
      </w:r>
      <w:r w:rsidR="00150FD6">
        <w:rPr>
          <w:rStyle w:val="FootnoteReference"/>
          <w:rFonts w:cs="Times New Roman"/>
          <w:bCs/>
          <w:sz w:val="24"/>
          <w:szCs w:val="24"/>
        </w:rPr>
        <w:footnoteReference w:id="161"/>
      </w:r>
      <w:r w:rsidR="00F85F95">
        <w:rPr>
          <w:rFonts w:cs="Times New Roman"/>
          <w:bCs/>
          <w:sz w:val="24"/>
          <w:szCs w:val="24"/>
        </w:rPr>
        <w:t xml:space="preserve"> These items</w:t>
      </w:r>
      <w:r w:rsidR="00E756D7">
        <w:rPr>
          <w:rFonts w:cs="Times New Roman"/>
          <w:bCs/>
          <w:sz w:val="24"/>
          <w:szCs w:val="24"/>
        </w:rPr>
        <w:t xml:space="preserve"> would </w:t>
      </w:r>
      <w:r w:rsidR="00BE015B">
        <w:rPr>
          <w:rFonts w:cs="Times New Roman"/>
          <w:bCs/>
          <w:sz w:val="24"/>
          <w:szCs w:val="24"/>
        </w:rPr>
        <w:t>make</w:t>
      </w:r>
      <w:r w:rsidR="00E756D7">
        <w:rPr>
          <w:rFonts w:cs="Times New Roman"/>
          <w:bCs/>
          <w:sz w:val="24"/>
          <w:szCs w:val="24"/>
        </w:rPr>
        <w:t xml:space="preserve"> the </w:t>
      </w:r>
      <w:r w:rsidR="00E756D7">
        <w:rPr>
          <w:rFonts w:cs="Times New Roman"/>
          <w:bCs/>
          <w:i/>
          <w:sz w:val="24"/>
          <w:szCs w:val="24"/>
        </w:rPr>
        <w:t xml:space="preserve">Notitia </w:t>
      </w:r>
      <w:r w:rsidR="00BE015B">
        <w:rPr>
          <w:rFonts w:cs="Times New Roman"/>
          <w:bCs/>
          <w:sz w:val="24"/>
          <w:szCs w:val="24"/>
        </w:rPr>
        <w:t>more</w:t>
      </w:r>
      <w:r w:rsidR="00F85F95">
        <w:rPr>
          <w:rFonts w:cs="Times New Roman"/>
          <w:bCs/>
          <w:sz w:val="24"/>
          <w:szCs w:val="24"/>
        </w:rPr>
        <w:t xml:space="preserve"> appealing to, and therefore more</w:t>
      </w:r>
      <w:r w:rsidR="00BE015B">
        <w:rPr>
          <w:rFonts w:cs="Times New Roman"/>
          <w:bCs/>
          <w:sz w:val="24"/>
          <w:szCs w:val="24"/>
        </w:rPr>
        <w:t xml:space="preserve"> likely to be</w:t>
      </w:r>
      <w:r w:rsidR="00E756D7">
        <w:rPr>
          <w:rFonts w:cs="Times New Roman"/>
          <w:bCs/>
          <w:sz w:val="24"/>
          <w:szCs w:val="24"/>
        </w:rPr>
        <w:t xml:space="preserve"> transmitted by</w:t>
      </w:r>
      <w:r w:rsidR="00F85F95">
        <w:rPr>
          <w:rFonts w:cs="Times New Roman"/>
          <w:bCs/>
          <w:sz w:val="24"/>
          <w:szCs w:val="24"/>
        </w:rPr>
        <w:t>,</w:t>
      </w:r>
      <w:r w:rsidR="00E756D7">
        <w:rPr>
          <w:rFonts w:cs="Times New Roman"/>
          <w:bCs/>
          <w:sz w:val="24"/>
          <w:szCs w:val="24"/>
        </w:rPr>
        <w:t xml:space="preserve"> the Carolingians </w:t>
      </w:r>
      <w:r w:rsidR="00BE015B">
        <w:rPr>
          <w:rFonts w:cs="Times New Roman"/>
          <w:bCs/>
          <w:sz w:val="24"/>
          <w:szCs w:val="24"/>
        </w:rPr>
        <w:t>due to</w:t>
      </w:r>
      <w:r w:rsidR="00E756D7">
        <w:rPr>
          <w:rFonts w:cs="Times New Roman"/>
          <w:bCs/>
          <w:sz w:val="24"/>
          <w:szCs w:val="24"/>
        </w:rPr>
        <w:t xml:space="preserve"> its ability to demonstrate the importance and glory of Empire and </w:t>
      </w:r>
      <w:r w:rsidR="0087599E">
        <w:rPr>
          <w:rFonts w:cs="Times New Roman"/>
          <w:bCs/>
          <w:sz w:val="24"/>
          <w:szCs w:val="24"/>
        </w:rPr>
        <w:t>emperors</w:t>
      </w:r>
      <w:r w:rsidR="00150FD6">
        <w:rPr>
          <w:rFonts w:cs="Times New Roman"/>
          <w:bCs/>
          <w:sz w:val="24"/>
          <w:szCs w:val="24"/>
        </w:rPr>
        <w:t xml:space="preserve">. </w:t>
      </w:r>
      <w:r w:rsidR="00F85F95">
        <w:rPr>
          <w:rFonts w:cs="Times New Roman"/>
          <w:bCs/>
          <w:sz w:val="24"/>
          <w:szCs w:val="24"/>
        </w:rPr>
        <w:t>In comparison t</w:t>
      </w:r>
      <w:r w:rsidR="00E756D7">
        <w:rPr>
          <w:rFonts w:cs="Times New Roman"/>
          <w:bCs/>
          <w:sz w:val="24"/>
          <w:szCs w:val="24"/>
        </w:rPr>
        <w:t xml:space="preserve">he </w:t>
      </w:r>
      <w:r w:rsidR="00E756D7">
        <w:rPr>
          <w:rFonts w:cs="Times New Roman"/>
          <w:bCs/>
          <w:i/>
          <w:sz w:val="24"/>
          <w:szCs w:val="24"/>
        </w:rPr>
        <w:t>Curiosum</w:t>
      </w:r>
      <w:r w:rsidR="00F85F95">
        <w:rPr>
          <w:rFonts w:cs="Times New Roman"/>
          <w:bCs/>
          <w:sz w:val="24"/>
          <w:szCs w:val="24"/>
        </w:rPr>
        <w:t xml:space="preserve"> </w:t>
      </w:r>
      <w:r w:rsidR="00E756D7">
        <w:rPr>
          <w:rFonts w:cs="Times New Roman"/>
          <w:bCs/>
          <w:sz w:val="24"/>
          <w:szCs w:val="24"/>
        </w:rPr>
        <w:t xml:space="preserve">lacks such a focus on some of Rome’s most successful </w:t>
      </w:r>
      <w:r w:rsidR="008B44B0">
        <w:rPr>
          <w:rFonts w:cs="Times New Roman"/>
          <w:bCs/>
          <w:sz w:val="24"/>
          <w:szCs w:val="24"/>
        </w:rPr>
        <w:t>imperial</w:t>
      </w:r>
      <w:r w:rsidR="00E756D7">
        <w:rPr>
          <w:rFonts w:cs="Times New Roman"/>
          <w:bCs/>
          <w:sz w:val="24"/>
          <w:szCs w:val="24"/>
        </w:rPr>
        <w:t xml:space="preserve"> dynasties. </w:t>
      </w:r>
    </w:p>
    <w:p w:rsidR="00E756D7" w:rsidRPr="008D0435" w:rsidRDefault="00E756D7" w:rsidP="00722391">
      <w:pPr>
        <w:widowControl w:val="0"/>
        <w:suppressLineNumbers/>
        <w:autoSpaceDE w:val="0"/>
        <w:autoSpaceDN w:val="0"/>
        <w:adjustRightInd w:val="0"/>
        <w:spacing w:after="0" w:line="480" w:lineRule="auto"/>
        <w:ind w:firstLine="720"/>
        <w:jc w:val="both"/>
        <w:rPr>
          <w:rFonts w:cs="Times New Roman"/>
          <w:bCs/>
          <w:sz w:val="24"/>
          <w:szCs w:val="24"/>
        </w:rPr>
      </w:pPr>
      <w:r w:rsidRPr="008D0435">
        <w:rPr>
          <w:rFonts w:cs="Times New Roman"/>
          <w:bCs/>
          <w:sz w:val="24"/>
          <w:szCs w:val="24"/>
        </w:rPr>
        <w:lastRenderedPageBreak/>
        <w:t xml:space="preserve">The </w:t>
      </w:r>
      <w:r w:rsidRPr="008D0435">
        <w:rPr>
          <w:rFonts w:cs="Times New Roman"/>
          <w:bCs/>
          <w:i/>
          <w:sz w:val="24"/>
          <w:szCs w:val="24"/>
        </w:rPr>
        <w:t>Curiosum</w:t>
      </w:r>
      <w:r w:rsidRPr="008D0435">
        <w:rPr>
          <w:rFonts w:cs="Times New Roman"/>
          <w:bCs/>
          <w:sz w:val="24"/>
          <w:szCs w:val="24"/>
        </w:rPr>
        <w:t xml:space="preserve"> has the latest identifiable layer</w:t>
      </w:r>
      <w:r w:rsidR="00257E67">
        <w:rPr>
          <w:rFonts w:cs="Times New Roman"/>
          <w:bCs/>
          <w:sz w:val="24"/>
          <w:szCs w:val="24"/>
        </w:rPr>
        <w:t xml:space="preserve"> of the </w:t>
      </w:r>
      <w:r w:rsidR="00257E67">
        <w:rPr>
          <w:rFonts w:cs="Times New Roman"/>
          <w:bCs/>
          <w:i/>
          <w:sz w:val="24"/>
          <w:szCs w:val="24"/>
        </w:rPr>
        <w:t>Regionaries</w:t>
      </w:r>
      <w:r w:rsidRPr="008D0435">
        <w:rPr>
          <w:rFonts w:cs="Times New Roman"/>
          <w:bCs/>
          <w:sz w:val="24"/>
          <w:szCs w:val="24"/>
        </w:rPr>
        <w:t xml:space="preserve"> due to its inclusion of the Obelisk listed in the Appendices, which had been gifted to the city by Constantius II during his triumphal visit to the city in AD 357.</w:t>
      </w:r>
      <w:r w:rsidRPr="008D0435">
        <w:rPr>
          <w:rStyle w:val="FootnoteReference"/>
          <w:rFonts w:cs="Times New Roman"/>
          <w:bCs/>
          <w:sz w:val="24"/>
          <w:szCs w:val="24"/>
        </w:rPr>
        <w:footnoteReference w:id="162"/>
      </w:r>
      <w:r w:rsidRPr="008D0435">
        <w:rPr>
          <w:rFonts w:cs="Times New Roman"/>
          <w:bCs/>
          <w:sz w:val="24"/>
          <w:szCs w:val="24"/>
        </w:rPr>
        <w:t xml:space="preserve"> This can also be taken to be the last layer of the </w:t>
      </w:r>
      <w:r w:rsidRPr="008D0435">
        <w:rPr>
          <w:rFonts w:cs="Times New Roman"/>
          <w:bCs/>
          <w:i/>
          <w:sz w:val="24"/>
          <w:szCs w:val="24"/>
        </w:rPr>
        <w:t>Regionary Catalogues</w:t>
      </w:r>
      <w:r w:rsidRPr="008D0435">
        <w:rPr>
          <w:rFonts w:cs="Times New Roman"/>
          <w:bCs/>
          <w:sz w:val="24"/>
          <w:szCs w:val="24"/>
        </w:rPr>
        <w:t xml:space="preserve"> as there are no additions to </w:t>
      </w:r>
      <w:r>
        <w:rPr>
          <w:rFonts w:cs="Times New Roman"/>
          <w:bCs/>
          <w:sz w:val="24"/>
          <w:szCs w:val="24"/>
        </w:rPr>
        <w:t>the documents beyond this date.</w:t>
      </w:r>
      <w:r w:rsidRPr="008D0435">
        <w:rPr>
          <w:rFonts w:cs="Times New Roman"/>
          <w:bCs/>
          <w:sz w:val="24"/>
          <w:szCs w:val="24"/>
        </w:rPr>
        <w:t xml:space="preserve"> By common historiographical consensus the “first form” of the </w:t>
      </w:r>
      <w:r w:rsidRPr="008D0435">
        <w:rPr>
          <w:rFonts w:cs="Times New Roman"/>
          <w:bCs/>
          <w:i/>
          <w:sz w:val="24"/>
          <w:szCs w:val="24"/>
        </w:rPr>
        <w:t xml:space="preserve">Notitia </w:t>
      </w:r>
      <w:r w:rsidRPr="008D0435">
        <w:rPr>
          <w:rFonts w:cs="Times New Roman"/>
          <w:bCs/>
          <w:sz w:val="24"/>
          <w:szCs w:val="24"/>
        </w:rPr>
        <w:t xml:space="preserve">can be determined to </w:t>
      </w:r>
      <w:r w:rsidR="00BE015B">
        <w:rPr>
          <w:rFonts w:cs="Times New Roman"/>
          <w:bCs/>
          <w:sz w:val="24"/>
          <w:szCs w:val="24"/>
        </w:rPr>
        <w:t>have</w:t>
      </w:r>
      <w:r w:rsidRPr="008D0435">
        <w:rPr>
          <w:rFonts w:cs="Times New Roman"/>
          <w:bCs/>
          <w:sz w:val="24"/>
          <w:szCs w:val="24"/>
        </w:rPr>
        <w:t xml:space="preserve"> </w:t>
      </w:r>
      <w:r w:rsidR="00BE015B">
        <w:rPr>
          <w:rFonts w:cs="Times New Roman"/>
          <w:bCs/>
          <w:sz w:val="24"/>
          <w:szCs w:val="24"/>
        </w:rPr>
        <w:t xml:space="preserve">its </w:t>
      </w:r>
      <w:r w:rsidR="00BE015B">
        <w:rPr>
          <w:rFonts w:cs="Times New Roman"/>
          <w:bCs/>
          <w:i/>
          <w:sz w:val="24"/>
          <w:szCs w:val="24"/>
        </w:rPr>
        <w:t>terminus post quem</w:t>
      </w:r>
      <w:r w:rsidRPr="008D0435">
        <w:rPr>
          <w:rFonts w:cs="Times New Roman"/>
          <w:bCs/>
          <w:sz w:val="24"/>
          <w:szCs w:val="24"/>
        </w:rPr>
        <w:t xml:space="preserve">, despite its appearance in the </w:t>
      </w:r>
      <w:r w:rsidRPr="008D0435">
        <w:rPr>
          <w:rFonts w:cs="Times New Roman"/>
          <w:bCs/>
          <w:i/>
          <w:sz w:val="24"/>
          <w:szCs w:val="24"/>
        </w:rPr>
        <w:t>354 Codex-Calendar</w:t>
      </w:r>
      <w:r w:rsidRPr="008D0435">
        <w:rPr>
          <w:rFonts w:cs="Times New Roman"/>
          <w:bCs/>
          <w:sz w:val="24"/>
          <w:szCs w:val="24"/>
        </w:rPr>
        <w:t>.</w:t>
      </w:r>
      <w:r w:rsidRPr="008D0435">
        <w:rPr>
          <w:rStyle w:val="FootnoteReference"/>
          <w:rFonts w:cs="Times New Roman"/>
          <w:bCs/>
          <w:sz w:val="24"/>
          <w:szCs w:val="24"/>
        </w:rPr>
        <w:footnoteReference w:id="163"/>
      </w:r>
      <w:r>
        <w:rPr>
          <w:rFonts w:cs="Times New Roman"/>
          <w:bCs/>
          <w:sz w:val="24"/>
          <w:szCs w:val="24"/>
        </w:rPr>
        <w:t xml:space="preserve"> </w:t>
      </w:r>
      <w:r w:rsidRPr="008D0435">
        <w:rPr>
          <w:rFonts w:cs="Times New Roman"/>
          <w:bCs/>
          <w:sz w:val="24"/>
          <w:szCs w:val="24"/>
        </w:rPr>
        <w:t>This dating has been primarily based upon by the presence of the Equestrian Statue of Constantine, which we know from its inscriptions was dedicated in AD 334.</w:t>
      </w:r>
      <w:r w:rsidRPr="008D0435">
        <w:rPr>
          <w:rStyle w:val="FootnoteReference"/>
          <w:rFonts w:cs="Times New Roman"/>
          <w:bCs/>
          <w:sz w:val="24"/>
          <w:szCs w:val="24"/>
        </w:rPr>
        <w:footnoteReference w:id="164"/>
      </w:r>
      <w:r w:rsidRPr="008D0435">
        <w:rPr>
          <w:rFonts w:cs="Times New Roman"/>
          <w:bCs/>
          <w:sz w:val="24"/>
          <w:szCs w:val="24"/>
        </w:rPr>
        <w:t xml:space="preserve"> </w:t>
      </w:r>
      <w:r>
        <w:rPr>
          <w:rFonts w:cs="Times New Roman"/>
          <w:bCs/>
          <w:sz w:val="24"/>
          <w:szCs w:val="24"/>
        </w:rPr>
        <w:t>Merrill argues that p</w:t>
      </w:r>
      <w:r w:rsidRPr="008D0435">
        <w:rPr>
          <w:rFonts w:cs="Times New Roman"/>
          <w:bCs/>
          <w:sz w:val="24"/>
          <w:szCs w:val="24"/>
        </w:rPr>
        <w:t xml:space="preserve">rior to this period (334-357) the </w:t>
      </w:r>
      <w:r w:rsidRPr="008D0435">
        <w:rPr>
          <w:rFonts w:cs="Times New Roman"/>
          <w:bCs/>
          <w:i/>
          <w:sz w:val="24"/>
          <w:szCs w:val="24"/>
        </w:rPr>
        <w:t xml:space="preserve">Curiosum </w:t>
      </w:r>
      <w:r w:rsidRPr="008D0435">
        <w:rPr>
          <w:rFonts w:cs="Times New Roman"/>
          <w:bCs/>
          <w:sz w:val="24"/>
          <w:szCs w:val="24"/>
        </w:rPr>
        <w:t xml:space="preserve">and the </w:t>
      </w:r>
      <w:r w:rsidRPr="008D0435">
        <w:rPr>
          <w:rFonts w:cs="Times New Roman"/>
          <w:bCs/>
          <w:i/>
          <w:sz w:val="24"/>
          <w:szCs w:val="24"/>
        </w:rPr>
        <w:t>Notitia</w:t>
      </w:r>
      <w:r w:rsidRPr="008D0435">
        <w:rPr>
          <w:rFonts w:cs="Times New Roman"/>
          <w:bCs/>
          <w:sz w:val="24"/>
          <w:szCs w:val="24"/>
        </w:rPr>
        <w:t xml:space="preserve"> are much closer in terms of textual similarities. </w:t>
      </w:r>
      <w:r>
        <w:rPr>
          <w:rFonts w:cs="Times New Roman"/>
          <w:bCs/>
          <w:sz w:val="24"/>
          <w:szCs w:val="24"/>
        </w:rPr>
        <w:t>He bases this</w:t>
      </w:r>
      <w:r w:rsidRPr="008D0435">
        <w:rPr>
          <w:rFonts w:cs="Times New Roman"/>
          <w:bCs/>
          <w:sz w:val="24"/>
          <w:szCs w:val="24"/>
        </w:rPr>
        <w:t xml:space="preserve"> on the fact that out of the </w:t>
      </w:r>
      <w:r>
        <w:rPr>
          <w:rFonts w:cs="Times New Roman"/>
          <w:bCs/>
          <w:sz w:val="24"/>
          <w:szCs w:val="24"/>
        </w:rPr>
        <w:t>thirty-eight</w:t>
      </w:r>
      <w:r w:rsidRPr="008D0435">
        <w:rPr>
          <w:rFonts w:cs="Times New Roman"/>
          <w:bCs/>
          <w:sz w:val="24"/>
          <w:szCs w:val="24"/>
        </w:rPr>
        <w:t xml:space="preserve"> different items that the </w:t>
      </w:r>
      <w:r w:rsidRPr="008D0435">
        <w:rPr>
          <w:rFonts w:cs="Times New Roman"/>
          <w:bCs/>
          <w:i/>
          <w:sz w:val="24"/>
          <w:szCs w:val="24"/>
        </w:rPr>
        <w:t>Notitia</w:t>
      </w:r>
      <w:r w:rsidRPr="008D0435">
        <w:rPr>
          <w:rFonts w:cs="Times New Roman"/>
          <w:bCs/>
          <w:sz w:val="24"/>
          <w:szCs w:val="24"/>
        </w:rPr>
        <w:t xml:space="preserve"> has and that the </w:t>
      </w:r>
      <w:r w:rsidRPr="008D0435">
        <w:rPr>
          <w:rFonts w:cs="Times New Roman"/>
          <w:bCs/>
          <w:i/>
          <w:sz w:val="24"/>
          <w:szCs w:val="24"/>
        </w:rPr>
        <w:t>Curiosum</w:t>
      </w:r>
      <w:r w:rsidRPr="008D0435">
        <w:rPr>
          <w:rFonts w:cs="Times New Roman"/>
          <w:bCs/>
          <w:sz w:val="24"/>
          <w:szCs w:val="24"/>
        </w:rPr>
        <w:t xml:space="preserve"> does not, the vast majority also are </w:t>
      </w:r>
      <w:r>
        <w:rPr>
          <w:rFonts w:cs="Times New Roman"/>
          <w:bCs/>
          <w:sz w:val="24"/>
          <w:szCs w:val="24"/>
        </w:rPr>
        <w:t>added at a</w:t>
      </w:r>
      <w:r w:rsidRPr="008D0435">
        <w:rPr>
          <w:rFonts w:cs="Times New Roman"/>
          <w:bCs/>
          <w:sz w:val="24"/>
          <w:szCs w:val="24"/>
        </w:rPr>
        <w:t xml:space="preserve"> later date than AD 334</w:t>
      </w:r>
      <w:r>
        <w:rPr>
          <w:rFonts w:cs="Times New Roman"/>
          <w:bCs/>
          <w:sz w:val="24"/>
          <w:szCs w:val="24"/>
        </w:rPr>
        <w:t>, added alongside the “excitement” of adding the golden equestrian statue.</w:t>
      </w:r>
      <w:r w:rsidRPr="008D0435">
        <w:rPr>
          <w:rStyle w:val="FootnoteReference"/>
          <w:rFonts w:cs="Times New Roman"/>
          <w:bCs/>
          <w:sz w:val="24"/>
          <w:szCs w:val="24"/>
        </w:rPr>
        <w:footnoteReference w:id="165"/>
      </w:r>
      <w:r w:rsidRPr="008D0435">
        <w:rPr>
          <w:rFonts w:cs="Times New Roman"/>
          <w:bCs/>
          <w:sz w:val="24"/>
          <w:szCs w:val="24"/>
        </w:rPr>
        <w:t xml:space="preserve"> The next layer would be AD 337-354</w:t>
      </w:r>
      <w:r w:rsidR="00BE015B">
        <w:rPr>
          <w:rFonts w:cs="Times New Roman"/>
          <w:bCs/>
          <w:sz w:val="24"/>
          <w:szCs w:val="24"/>
        </w:rPr>
        <w:t>, with</w:t>
      </w:r>
      <w:r w:rsidRPr="008D0435">
        <w:rPr>
          <w:rFonts w:cs="Times New Roman"/>
          <w:bCs/>
          <w:sz w:val="24"/>
          <w:szCs w:val="24"/>
        </w:rPr>
        <w:t xml:space="preserve"> the Arch of Constantine in the </w:t>
      </w:r>
      <w:r w:rsidRPr="008D0435">
        <w:rPr>
          <w:rFonts w:cs="Times New Roman"/>
          <w:bCs/>
          <w:i/>
          <w:sz w:val="24"/>
          <w:szCs w:val="24"/>
        </w:rPr>
        <w:t>Notitia</w:t>
      </w:r>
      <w:r w:rsidR="00BE015B">
        <w:rPr>
          <w:rFonts w:cs="Times New Roman"/>
          <w:bCs/>
          <w:sz w:val="24"/>
          <w:szCs w:val="24"/>
        </w:rPr>
        <w:t xml:space="preserve"> being</w:t>
      </w:r>
      <w:r w:rsidRPr="008D0435">
        <w:rPr>
          <w:rFonts w:cs="Times New Roman"/>
          <w:bCs/>
          <w:sz w:val="24"/>
          <w:szCs w:val="24"/>
        </w:rPr>
        <w:t xml:space="preserve"> listed as </w:t>
      </w:r>
      <w:r w:rsidRPr="008D0435">
        <w:rPr>
          <w:rFonts w:cs="Times New Roman"/>
          <w:bCs/>
          <w:i/>
          <w:sz w:val="24"/>
          <w:szCs w:val="24"/>
        </w:rPr>
        <w:t>Arcum divi Constantini,</w:t>
      </w:r>
      <w:r w:rsidRPr="008D0435">
        <w:rPr>
          <w:rFonts w:cs="Times New Roman"/>
          <w:bCs/>
          <w:sz w:val="24"/>
          <w:szCs w:val="24"/>
        </w:rPr>
        <w:t xml:space="preserve"> </w:t>
      </w:r>
      <w:r w:rsidRPr="008D0435">
        <w:rPr>
          <w:rFonts w:cs="Times New Roman"/>
          <w:bCs/>
          <w:i/>
          <w:sz w:val="24"/>
          <w:szCs w:val="24"/>
        </w:rPr>
        <w:t>divus</w:t>
      </w:r>
      <w:r w:rsidRPr="008D0435">
        <w:rPr>
          <w:rFonts w:cs="Times New Roman"/>
          <w:bCs/>
          <w:sz w:val="24"/>
          <w:szCs w:val="24"/>
        </w:rPr>
        <w:t xml:space="preserve"> being an adjective applied after the </w:t>
      </w:r>
      <w:r w:rsidR="0087599E">
        <w:rPr>
          <w:rFonts w:cs="Times New Roman"/>
          <w:bCs/>
          <w:sz w:val="24"/>
          <w:szCs w:val="24"/>
        </w:rPr>
        <w:t>e</w:t>
      </w:r>
      <w:r w:rsidR="008B44B0">
        <w:rPr>
          <w:rFonts w:cs="Times New Roman"/>
          <w:bCs/>
          <w:sz w:val="24"/>
          <w:szCs w:val="24"/>
        </w:rPr>
        <w:t>mperor’s</w:t>
      </w:r>
      <w:r w:rsidR="0087599E">
        <w:rPr>
          <w:rFonts w:cs="Times New Roman"/>
          <w:bCs/>
          <w:sz w:val="24"/>
          <w:szCs w:val="24"/>
        </w:rPr>
        <w:t xml:space="preserve"> </w:t>
      </w:r>
      <w:r w:rsidRPr="008D0435">
        <w:rPr>
          <w:rFonts w:cs="Times New Roman"/>
          <w:bCs/>
          <w:sz w:val="24"/>
          <w:szCs w:val="24"/>
        </w:rPr>
        <w:t>death and consequent deification. This gives a date of at the earliest AD 337 and the death of Constant</w:t>
      </w:r>
      <w:r w:rsidR="00BE015B">
        <w:rPr>
          <w:rFonts w:cs="Times New Roman"/>
          <w:bCs/>
          <w:sz w:val="24"/>
          <w:szCs w:val="24"/>
        </w:rPr>
        <w:t>ine and at the latest of AD 35,</w:t>
      </w:r>
      <w:r w:rsidRPr="008D0435">
        <w:rPr>
          <w:rFonts w:cs="Times New Roman"/>
          <w:bCs/>
          <w:sz w:val="24"/>
          <w:szCs w:val="24"/>
        </w:rPr>
        <w:t xml:space="preserve"> the date of the </w:t>
      </w:r>
      <w:r w:rsidRPr="008D0435">
        <w:rPr>
          <w:rFonts w:cs="Times New Roman"/>
          <w:bCs/>
          <w:i/>
          <w:sz w:val="24"/>
          <w:szCs w:val="24"/>
        </w:rPr>
        <w:t>Notitia</w:t>
      </w:r>
      <w:r w:rsidRPr="008D0435">
        <w:rPr>
          <w:rFonts w:cs="Times New Roman"/>
          <w:bCs/>
          <w:sz w:val="24"/>
          <w:szCs w:val="24"/>
        </w:rPr>
        <w:t xml:space="preserve">’s first appearance in the </w:t>
      </w:r>
      <w:r w:rsidRPr="008D0435">
        <w:rPr>
          <w:rFonts w:cs="Times New Roman"/>
          <w:bCs/>
          <w:i/>
          <w:sz w:val="24"/>
          <w:szCs w:val="24"/>
        </w:rPr>
        <w:t>Codex-Calendar of 354</w:t>
      </w:r>
      <w:r w:rsidRPr="008D0435">
        <w:rPr>
          <w:rFonts w:cs="Times New Roman"/>
          <w:bCs/>
          <w:sz w:val="24"/>
          <w:szCs w:val="24"/>
        </w:rPr>
        <w:t xml:space="preserve">. </w:t>
      </w:r>
    </w:p>
    <w:p w:rsidR="00E756D7" w:rsidRPr="0058126B" w:rsidRDefault="00E756D7" w:rsidP="00722391">
      <w:pPr>
        <w:widowControl w:val="0"/>
        <w:suppressLineNumbers/>
        <w:autoSpaceDE w:val="0"/>
        <w:autoSpaceDN w:val="0"/>
        <w:adjustRightInd w:val="0"/>
        <w:spacing w:after="0" w:line="480" w:lineRule="auto"/>
        <w:ind w:firstLine="720"/>
        <w:jc w:val="both"/>
        <w:rPr>
          <w:rFonts w:cs="Times New Roman"/>
          <w:bCs/>
          <w:sz w:val="24"/>
          <w:szCs w:val="24"/>
        </w:rPr>
      </w:pPr>
      <w:r w:rsidRPr="008D0435">
        <w:rPr>
          <w:rFonts w:cs="Times New Roman"/>
          <w:bCs/>
          <w:sz w:val="24"/>
          <w:szCs w:val="24"/>
        </w:rPr>
        <w:t xml:space="preserve">Elmer Merrill argues that </w:t>
      </w:r>
      <w:r>
        <w:rPr>
          <w:rFonts w:cs="Times New Roman"/>
          <w:bCs/>
          <w:sz w:val="24"/>
          <w:szCs w:val="24"/>
        </w:rPr>
        <w:t>a</w:t>
      </w:r>
      <w:r w:rsidRPr="008D0435">
        <w:rPr>
          <w:rFonts w:cs="Times New Roman"/>
          <w:bCs/>
          <w:sz w:val="24"/>
          <w:szCs w:val="24"/>
        </w:rPr>
        <w:t xml:space="preserve"> proto-document that both the </w:t>
      </w:r>
      <w:r w:rsidRPr="008D0435">
        <w:rPr>
          <w:rFonts w:cs="Times New Roman"/>
          <w:bCs/>
          <w:i/>
          <w:sz w:val="24"/>
          <w:szCs w:val="24"/>
        </w:rPr>
        <w:t>Notitia</w:t>
      </w:r>
      <w:r w:rsidRPr="008D0435">
        <w:rPr>
          <w:rFonts w:cs="Times New Roman"/>
          <w:bCs/>
          <w:sz w:val="24"/>
          <w:szCs w:val="24"/>
        </w:rPr>
        <w:t xml:space="preserve"> and </w:t>
      </w:r>
      <w:r w:rsidRPr="008D0435">
        <w:rPr>
          <w:rFonts w:cs="Times New Roman"/>
          <w:bCs/>
          <w:i/>
          <w:sz w:val="24"/>
          <w:szCs w:val="24"/>
        </w:rPr>
        <w:t>Curiosum</w:t>
      </w:r>
      <w:r w:rsidRPr="008D0435">
        <w:rPr>
          <w:rFonts w:cs="Times New Roman"/>
          <w:bCs/>
          <w:sz w:val="24"/>
          <w:szCs w:val="24"/>
        </w:rPr>
        <w:t xml:space="preserve"> descended from had to have appeared around AD 314</w:t>
      </w:r>
      <w:r w:rsidR="00BE015B">
        <w:rPr>
          <w:rFonts w:cs="Times New Roman"/>
          <w:bCs/>
          <w:sz w:val="24"/>
          <w:szCs w:val="24"/>
        </w:rPr>
        <w:t>,</w:t>
      </w:r>
      <w:r w:rsidRPr="008D0435">
        <w:rPr>
          <w:rFonts w:cs="Times New Roman"/>
          <w:bCs/>
          <w:sz w:val="24"/>
          <w:szCs w:val="24"/>
        </w:rPr>
        <w:t xml:space="preserve"> citing, the </w:t>
      </w:r>
      <w:r w:rsidRPr="008D0435">
        <w:rPr>
          <w:rFonts w:cs="Times New Roman"/>
          <w:bCs/>
          <w:i/>
          <w:sz w:val="24"/>
          <w:szCs w:val="24"/>
        </w:rPr>
        <w:t>Basilica Constantiniana</w:t>
      </w:r>
      <w:r w:rsidRPr="008D0435">
        <w:rPr>
          <w:rFonts w:cs="Times New Roman"/>
          <w:bCs/>
          <w:sz w:val="24"/>
          <w:szCs w:val="24"/>
        </w:rPr>
        <w:t xml:space="preserve">, the appearance of the </w:t>
      </w:r>
      <w:r w:rsidR="00C43F79">
        <w:rPr>
          <w:rFonts w:cs="Times New Roman"/>
          <w:bCs/>
          <w:i/>
          <w:sz w:val="24"/>
          <w:szCs w:val="24"/>
        </w:rPr>
        <w:t>Thermae</w:t>
      </w:r>
      <w:r w:rsidRPr="008D0435">
        <w:rPr>
          <w:rFonts w:cs="Times New Roman"/>
          <w:bCs/>
          <w:i/>
          <w:sz w:val="24"/>
          <w:szCs w:val="24"/>
        </w:rPr>
        <w:t xml:space="preserve"> Constantinianae,</w:t>
      </w:r>
      <w:r w:rsidRPr="008D0435">
        <w:rPr>
          <w:rFonts w:cs="Times New Roman"/>
          <w:bCs/>
          <w:sz w:val="24"/>
          <w:szCs w:val="24"/>
        </w:rPr>
        <w:t xml:space="preserve"> the Arch of Constantine (listed in the </w:t>
      </w:r>
      <w:r w:rsidRPr="008D0435">
        <w:rPr>
          <w:rFonts w:cs="Times New Roman"/>
          <w:bCs/>
          <w:i/>
          <w:sz w:val="24"/>
          <w:szCs w:val="24"/>
        </w:rPr>
        <w:lastRenderedPageBreak/>
        <w:t xml:space="preserve">Regio XI </w:t>
      </w:r>
      <w:r w:rsidRPr="008D0435">
        <w:rPr>
          <w:rFonts w:cs="Times New Roman"/>
          <w:bCs/>
          <w:sz w:val="24"/>
          <w:szCs w:val="24"/>
        </w:rPr>
        <w:t xml:space="preserve">and therefore not the Arch by the Colosseum but a second one), and the Portico of Constantine. The </w:t>
      </w:r>
      <w:r w:rsidR="00C43F79">
        <w:rPr>
          <w:rFonts w:cs="Times New Roman"/>
          <w:bCs/>
          <w:i/>
          <w:sz w:val="24"/>
          <w:szCs w:val="24"/>
        </w:rPr>
        <w:t>Thermae</w:t>
      </w:r>
      <w:r w:rsidRPr="008D0435">
        <w:rPr>
          <w:rFonts w:cs="Times New Roman"/>
          <w:bCs/>
          <w:sz w:val="24"/>
          <w:szCs w:val="24"/>
        </w:rPr>
        <w:t xml:space="preserve"> and the Arch were probably completed in 315, and the Portico, Merrill argues, was completed with the </w:t>
      </w:r>
      <w:r w:rsidR="00C43F79">
        <w:rPr>
          <w:rFonts w:cs="Times New Roman"/>
          <w:bCs/>
          <w:i/>
          <w:sz w:val="24"/>
          <w:szCs w:val="24"/>
        </w:rPr>
        <w:t>Thermae</w:t>
      </w:r>
      <w:r w:rsidRPr="008D0435">
        <w:rPr>
          <w:rFonts w:cs="Times New Roman"/>
          <w:bCs/>
          <w:sz w:val="24"/>
          <w:szCs w:val="24"/>
        </w:rPr>
        <w:t>.</w:t>
      </w:r>
      <w:r w:rsidRPr="008D0435">
        <w:rPr>
          <w:rStyle w:val="FootnoteReference"/>
          <w:rFonts w:cs="Times New Roman"/>
          <w:bCs/>
          <w:sz w:val="24"/>
          <w:szCs w:val="24"/>
        </w:rPr>
        <w:footnoteReference w:id="166"/>
      </w:r>
      <w:r w:rsidRPr="008D0435">
        <w:rPr>
          <w:rFonts w:cs="Times New Roman"/>
          <w:bCs/>
          <w:sz w:val="24"/>
          <w:szCs w:val="24"/>
        </w:rPr>
        <w:t xml:space="preserve"> As neither the Arch by the Colosseum (dedicated in 315/316) nor the Temple of Romulus that was dedicated to Constantine appear in the </w:t>
      </w:r>
      <w:r w:rsidRPr="008D0435">
        <w:rPr>
          <w:rFonts w:cs="Times New Roman"/>
          <w:bCs/>
          <w:i/>
          <w:sz w:val="24"/>
          <w:szCs w:val="24"/>
        </w:rPr>
        <w:t>Regionaries</w:t>
      </w:r>
      <w:r w:rsidRPr="008D0435">
        <w:rPr>
          <w:rFonts w:cs="Times New Roman"/>
          <w:bCs/>
          <w:sz w:val="24"/>
          <w:szCs w:val="24"/>
        </w:rPr>
        <w:t xml:space="preserve"> this means that the document must have been begun in 314 so as to include all the finished buildings of Constantine’s reign.</w:t>
      </w:r>
      <w:r w:rsidRPr="008D0435">
        <w:rPr>
          <w:rStyle w:val="FootnoteReference"/>
          <w:rFonts w:cs="Times New Roman"/>
          <w:bCs/>
          <w:sz w:val="24"/>
          <w:szCs w:val="24"/>
        </w:rPr>
        <w:footnoteReference w:id="167"/>
      </w:r>
      <w:r w:rsidRPr="008D0435">
        <w:rPr>
          <w:rFonts w:cs="Times New Roman"/>
          <w:bCs/>
          <w:sz w:val="24"/>
          <w:szCs w:val="24"/>
        </w:rPr>
        <w:t xml:space="preserve"> However we must be wary of an argument from silence. This argument fails to take into account the continued appearance</w:t>
      </w:r>
      <w:r w:rsidR="00BE015B" w:rsidRPr="00BE015B">
        <w:rPr>
          <w:rFonts w:cs="Times New Roman"/>
          <w:bCs/>
          <w:sz w:val="24"/>
          <w:szCs w:val="24"/>
        </w:rPr>
        <w:t xml:space="preserve"> </w:t>
      </w:r>
      <w:r w:rsidR="00BE015B" w:rsidRPr="008D0435">
        <w:rPr>
          <w:rFonts w:cs="Times New Roman"/>
          <w:bCs/>
          <w:sz w:val="24"/>
          <w:szCs w:val="24"/>
        </w:rPr>
        <w:t xml:space="preserve">in the </w:t>
      </w:r>
      <w:r w:rsidR="00BE015B">
        <w:rPr>
          <w:rFonts w:cs="Times New Roman"/>
          <w:bCs/>
          <w:i/>
          <w:sz w:val="24"/>
          <w:szCs w:val="24"/>
        </w:rPr>
        <w:t>Notitia</w:t>
      </w:r>
      <w:r w:rsidRPr="008D0435">
        <w:rPr>
          <w:rFonts w:cs="Times New Roman"/>
          <w:bCs/>
          <w:sz w:val="24"/>
          <w:szCs w:val="24"/>
        </w:rPr>
        <w:t xml:space="preserve"> of the </w:t>
      </w:r>
      <w:r w:rsidRPr="008D0435">
        <w:rPr>
          <w:rFonts w:cs="Times New Roman"/>
          <w:bCs/>
          <w:i/>
          <w:sz w:val="24"/>
          <w:szCs w:val="24"/>
        </w:rPr>
        <w:t>Castra Praetoria</w:t>
      </w:r>
      <w:r w:rsidRPr="008D0435">
        <w:rPr>
          <w:rFonts w:cs="Times New Roman"/>
          <w:bCs/>
          <w:sz w:val="24"/>
          <w:szCs w:val="24"/>
        </w:rPr>
        <w:t xml:space="preserve">, which were definitively destroyed in 312 and the </w:t>
      </w:r>
      <w:r w:rsidRPr="008D0435">
        <w:rPr>
          <w:rFonts w:cs="Times New Roman"/>
          <w:bCs/>
          <w:i/>
          <w:sz w:val="24"/>
          <w:szCs w:val="24"/>
        </w:rPr>
        <w:t>Basilica Nova</w:t>
      </w:r>
      <w:r w:rsidRPr="008D0435">
        <w:rPr>
          <w:rFonts w:cs="Times New Roman"/>
          <w:bCs/>
          <w:sz w:val="24"/>
          <w:szCs w:val="24"/>
        </w:rPr>
        <w:t xml:space="preserve"> of Maxentius</w:t>
      </w:r>
      <w:r>
        <w:rPr>
          <w:rFonts w:cs="Times New Roman"/>
          <w:bCs/>
          <w:sz w:val="24"/>
          <w:szCs w:val="24"/>
        </w:rPr>
        <w:t xml:space="preserve"> in the </w:t>
      </w:r>
      <w:r>
        <w:rPr>
          <w:rFonts w:cs="Times New Roman"/>
          <w:bCs/>
          <w:i/>
          <w:sz w:val="24"/>
          <w:szCs w:val="24"/>
        </w:rPr>
        <w:t>Curiosum</w:t>
      </w:r>
      <w:r>
        <w:rPr>
          <w:rFonts w:cs="Times New Roman"/>
          <w:bCs/>
          <w:sz w:val="24"/>
          <w:szCs w:val="24"/>
        </w:rPr>
        <w:t>,</w:t>
      </w:r>
      <w:r w:rsidRPr="008D0435">
        <w:rPr>
          <w:rFonts w:cs="Times New Roman"/>
          <w:bCs/>
          <w:sz w:val="24"/>
          <w:szCs w:val="24"/>
        </w:rPr>
        <w:t xml:space="preserve"> which indicate that the</w:t>
      </w:r>
      <w:r>
        <w:rPr>
          <w:rFonts w:cs="Times New Roman"/>
          <w:bCs/>
          <w:sz w:val="24"/>
          <w:szCs w:val="24"/>
        </w:rPr>
        <w:t>re was</w:t>
      </w:r>
      <w:r w:rsidR="00BE015B">
        <w:rPr>
          <w:rFonts w:cs="Times New Roman"/>
          <w:bCs/>
          <w:sz w:val="24"/>
          <w:szCs w:val="24"/>
        </w:rPr>
        <w:t xml:space="preserve"> a</w:t>
      </w:r>
      <w:r w:rsidRPr="008D0435">
        <w:rPr>
          <w:rFonts w:cs="Times New Roman"/>
          <w:bCs/>
          <w:sz w:val="24"/>
          <w:szCs w:val="24"/>
        </w:rPr>
        <w:t xml:space="preserve"> proto-document first took form before the reign of Constantine. </w:t>
      </w:r>
      <w:r>
        <w:rPr>
          <w:rFonts w:cs="Times New Roman"/>
          <w:bCs/>
          <w:sz w:val="24"/>
          <w:szCs w:val="24"/>
        </w:rPr>
        <w:t xml:space="preserve">The </w:t>
      </w:r>
      <w:r>
        <w:rPr>
          <w:rFonts w:cs="Times New Roman"/>
          <w:bCs/>
          <w:i/>
          <w:sz w:val="24"/>
          <w:szCs w:val="24"/>
        </w:rPr>
        <w:t>Notitia</w:t>
      </w:r>
      <w:r>
        <w:rPr>
          <w:rFonts w:cs="Times New Roman"/>
          <w:bCs/>
          <w:sz w:val="24"/>
          <w:szCs w:val="24"/>
        </w:rPr>
        <w:t xml:space="preserve"> and the </w:t>
      </w:r>
      <w:r>
        <w:rPr>
          <w:rFonts w:cs="Times New Roman"/>
          <w:bCs/>
          <w:i/>
          <w:sz w:val="24"/>
          <w:szCs w:val="24"/>
        </w:rPr>
        <w:t>Curiosum</w:t>
      </w:r>
      <w:r>
        <w:rPr>
          <w:rFonts w:cs="Times New Roman"/>
          <w:bCs/>
          <w:sz w:val="24"/>
          <w:szCs w:val="24"/>
        </w:rPr>
        <w:t xml:space="preserve"> as we</w:t>
      </w:r>
      <w:r w:rsidR="00BE015B">
        <w:rPr>
          <w:rFonts w:cs="Times New Roman"/>
          <w:bCs/>
          <w:sz w:val="24"/>
          <w:szCs w:val="24"/>
        </w:rPr>
        <w:t xml:space="preserve"> understand them</w:t>
      </w:r>
      <w:r>
        <w:rPr>
          <w:rFonts w:cs="Times New Roman"/>
          <w:bCs/>
          <w:sz w:val="24"/>
          <w:szCs w:val="24"/>
        </w:rPr>
        <w:t xml:space="preserve"> are Constantinian layers added to an existing document.</w:t>
      </w:r>
    </w:p>
    <w:p w:rsidR="00996C25" w:rsidRDefault="00E756D7" w:rsidP="00722391">
      <w:pPr>
        <w:widowControl w:val="0"/>
        <w:suppressLineNumbers/>
        <w:autoSpaceDE w:val="0"/>
        <w:autoSpaceDN w:val="0"/>
        <w:adjustRightInd w:val="0"/>
        <w:spacing w:after="0" w:line="480" w:lineRule="auto"/>
        <w:ind w:firstLine="720"/>
        <w:jc w:val="both"/>
        <w:rPr>
          <w:rFonts w:cs="Times New Roman"/>
          <w:bCs/>
          <w:sz w:val="24"/>
          <w:szCs w:val="24"/>
        </w:rPr>
      </w:pPr>
      <w:r w:rsidRPr="008D0435">
        <w:rPr>
          <w:rFonts w:cs="Times New Roman"/>
          <w:bCs/>
          <w:sz w:val="24"/>
          <w:szCs w:val="24"/>
        </w:rPr>
        <w:t xml:space="preserve">Despite the difficulties in dating the </w:t>
      </w:r>
      <w:r w:rsidRPr="008D0435">
        <w:rPr>
          <w:rFonts w:cs="Times New Roman"/>
          <w:bCs/>
          <w:i/>
          <w:sz w:val="24"/>
          <w:szCs w:val="24"/>
        </w:rPr>
        <w:t>Regionaries</w:t>
      </w:r>
      <w:r w:rsidRPr="008D0435">
        <w:rPr>
          <w:rFonts w:cs="Times New Roman"/>
          <w:bCs/>
          <w:sz w:val="24"/>
          <w:szCs w:val="24"/>
        </w:rPr>
        <w:t>, the earliest recordable lay</w:t>
      </w:r>
      <w:r w:rsidR="00BE015B">
        <w:rPr>
          <w:rFonts w:cs="Times New Roman"/>
          <w:bCs/>
          <w:sz w:val="24"/>
          <w:szCs w:val="24"/>
        </w:rPr>
        <w:t>er is datable easily enough to p</w:t>
      </w:r>
      <w:r w:rsidRPr="008D0435">
        <w:rPr>
          <w:rFonts w:cs="Times New Roman"/>
          <w:bCs/>
          <w:sz w:val="24"/>
          <w:szCs w:val="24"/>
        </w:rPr>
        <w:t xml:space="preserve">re-AD 312 by the presence of the Praetorian Barracks in the </w:t>
      </w:r>
      <w:r w:rsidRPr="008D0435">
        <w:rPr>
          <w:rFonts w:cs="Times New Roman"/>
          <w:bCs/>
          <w:i/>
          <w:sz w:val="24"/>
          <w:szCs w:val="24"/>
        </w:rPr>
        <w:t>Notitia</w:t>
      </w:r>
      <w:r w:rsidRPr="008D0435">
        <w:rPr>
          <w:rFonts w:cs="Times New Roman"/>
          <w:bCs/>
          <w:sz w:val="24"/>
          <w:szCs w:val="24"/>
        </w:rPr>
        <w:t xml:space="preserve"> copy of the </w:t>
      </w:r>
      <w:r w:rsidRPr="008D0435">
        <w:rPr>
          <w:rFonts w:cs="Times New Roman"/>
          <w:bCs/>
          <w:i/>
          <w:sz w:val="24"/>
          <w:szCs w:val="24"/>
        </w:rPr>
        <w:t>Regionary Catalogues</w:t>
      </w:r>
      <w:r w:rsidRPr="008D0435">
        <w:rPr>
          <w:rFonts w:cs="Times New Roman"/>
          <w:bCs/>
          <w:sz w:val="24"/>
          <w:szCs w:val="24"/>
        </w:rPr>
        <w:t>.</w:t>
      </w:r>
      <w:r w:rsidRPr="008D0435">
        <w:rPr>
          <w:rStyle w:val="FootnoteReference"/>
          <w:rFonts w:cs="Times New Roman"/>
          <w:bCs/>
          <w:sz w:val="24"/>
          <w:szCs w:val="24"/>
        </w:rPr>
        <w:footnoteReference w:id="168"/>
      </w:r>
      <w:r w:rsidRPr="008D0435">
        <w:rPr>
          <w:rFonts w:cs="Times New Roman"/>
          <w:bCs/>
          <w:sz w:val="24"/>
          <w:szCs w:val="24"/>
        </w:rPr>
        <w:t xml:space="preserve"> This “layer” is the last appearance of the proto-</w:t>
      </w:r>
      <w:r w:rsidRPr="008D0435">
        <w:rPr>
          <w:rFonts w:cs="Times New Roman"/>
          <w:bCs/>
          <w:i/>
          <w:sz w:val="24"/>
          <w:szCs w:val="24"/>
        </w:rPr>
        <w:t xml:space="preserve">Regionaries </w:t>
      </w:r>
      <w:r w:rsidRPr="008D0435">
        <w:rPr>
          <w:rFonts w:cs="Times New Roman"/>
          <w:bCs/>
          <w:sz w:val="24"/>
          <w:szCs w:val="24"/>
        </w:rPr>
        <w:t xml:space="preserve">which will be discussed in </w:t>
      </w:r>
      <w:r>
        <w:rPr>
          <w:rFonts w:cs="Times New Roman"/>
          <w:bCs/>
          <w:sz w:val="24"/>
          <w:szCs w:val="24"/>
        </w:rPr>
        <w:t xml:space="preserve">Chapter 2. The Praetorians had </w:t>
      </w:r>
      <w:r w:rsidRPr="008D0435">
        <w:rPr>
          <w:rFonts w:cs="Times New Roman"/>
          <w:bCs/>
          <w:sz w:val="24"/>
          <w:szCs w:val="24"/>
        </w:rPr>
        <w:t xml:space="preserve">been a significant </w:t>
      </w:r>
      <w:r>
        <w:rPr>
          <w:rFonts w:cs="Times New Roman"/>
          <w:bCs/>
          <w:sz w:val="24"/>
          <w:szCs w:val="24"/>
        </w:rPr>
        <w:t>part</w:t>
      </w:r>
      <w:r w:rsidRPr="008D0435">
        <w:rPr>
          <w:rFonts w:cs="Times New Roman"/>
          <w:bCs/>
          <w:sz w:val="24"/>
          <w:szCs w:val="24"/>
        </w:rPr>
        <w:t xml:space="preserve"> of life in </w:t>
      </w:r>
      <w:r w:rsidR="008B44B0">
        <w:rPr>
          <w:rFonts w:cs="Times New Roman"/>
          <w:bCs/>
          <w:sz w:val="24"/>
          <w:szCs w:val="24"/>
        </w:rPr>
        <w:t>Imperial</w:t>
      </w:r>
      <w:r w:rsidRPr="008D0435">
        <w:rPr>
          <w:rFonts w:cs="Times New Roman"/>
          <w:bCs/>
          <w:sz w:val="24"/>
          <w:szCs w:val="24"/>
        </w:rPr>
        <w:t xml:space="preserve"> Rome ever since their inception by Augustus and the construction of their </w:t>
      </w:r>
      <w:r w:rsidRPr="008D0435">
        <w:rPr>
          <w:rFonts w:cs="Times New Roman"/>
          <w:bCs/>
          <w:i/>
          <w:sz w:val="24"/>
          <w:szCs w:val="24"/>
        </w:rPr>
        <w:t>Castra Praetoria</w:t>
      </w:r>
      <w:r w:rsidRPr="008D0435">
        <w:rPr>
          <w:rFonts w:cs="Times New Roman"/>
          <w:bCs/>
          <w:sz w:val="24"/>
          <w:szCs w:val="24"/>
        </w:rPr>
        <w:t xml:space="preserve"> within the city</w:t>
      </w:r>
      <w:r>
        <w:rPr>
          <w:rFonts w:cs="Times New Roman"/>
          <w:bCs/>
          <w:sz w:val="24"/>
          <w:szCs w:val="24"/>
        </w:rPr>
        <w:t xml:space="preserve"> under Tiberius</w:t>
      </w:r>
      <w:r w:rsidRPr="008D0435">
        <w:rPr>
          <w:rFonts w:cs="Times New Roman"/>
          <w:bCs/>
          <w:sz w:val="24"/>
          <w:szCs w:val="24"/>
        </w:rPr>
        <w:t>.</w:t>
      </w:r>
      <w:r w:rsidRPr="008D0435">
        <w:rPr>
          <w:rStyle w:val="FootnoteReference"/>
          <w:rFonts w:cs="Times New Roman"/>
          <w:bCs/>
          <w:sz w:val="24"/>
          <w:szCs w:val="24"/>
        </w:rPr>
        <w:footnoteReference w:id="169"/>
      </w:r>
      <w:r w:rsidRPr="008D0435">
        <w:rPr>
          <w:rFonts w:cs="Times New Roman"/>
          <w:bCs/>
          <w:sz w:val="24"/>
          <w:szCs w:val="24"/>
        </w:rPr>
        <w:t xml:space="preserve"> However the Praetorians had proven themselves a problem after Augustus’s reign, </w:t>
      </w:r>
      <w:r>
        <w:rPr>
          <w:rFonts w:cs="Times New Roman"/>
          <w:bCs/>
          <w:sz w:val="24"/>
          <w:szCs w:val="24"/>
        </w:rPr>
        <w:t xml:space="preserve">rapidly </w:t>
      </w:r>
      <w:r w:rsidRPr="008D0435">
        <w:rPr>
          <w:rFonts w:cs="Times New Roman"/>
          <w:bCs/>
          <w:sz w:val="24"/>
          <w:szCs w:val="24"/>
        </w:rPr>
        <w:t>developing a taste for palace intrigue</w:t>
      </w:r>
      <w:r>
        <w:rPr>
          <w:rFonts w:cs="Times New Roman"/>
          <w:bCs/>
          <w:sz w:val="24"/>
          <w:szCs w:val="24"/>
        </w:rPr>
        <w:t xml:space="preserve"> with the Prefect Sejanus</w:t>
      </w:r>
      <w:r w:rsidRPr="008D0435">
        <w:rPr>
          <w:rFonts w:cs="Times New Roman"/>
          <w:bCs/>
          <w:sz w:val="24"/>
          <w:szCs w:val="24"/>
        </w:rPr>
        <w:t>,</w:t>
      </w:r>
      <w:r>
        <w:rPr>
          <w:rFonts w:cs="Times New Roman"/>
          <w:bCs/>
          <w:sz w:val="24"/>
          <w:szCs w:val="24"/>
        </w:rPr>
        <w:t xml:space="preserve"> later graduating to</w:t>
      </w:r>
      <w:r w:rsidRPr="008D0435">
        <w:rPr>
          <w:rFonts w:cs="Times New Roman"/>
          <w:bCs/>
          <w:sz w:val="24"/>
          <w:szCs w:val="24"/>
        </w:rPr>
        <w:t xml:space="preserve"> murder</w:t>
      </w:r>
      <w:r>
        <w:rPr>
          <w:rFonts w:cs="Times New Roman"/>
          <w:bCs/>
          <w:sz w:val="24"/>
          <w:szCs w:val="24"/>
        </w:rPr>
        <w:t>ing</w:t>
      </w:r>
      <w:r w:rsidRPr="008D0435">
        <w:rPr>
          <w:rFonts w:cs="Times New Roman"/>
          <w:bCs/>
          <w:sz w:val="24"/>
          <w:szCs w:val="24"/>
        </w:rPr>
        <w:t xml:space="preserve"> and proclaiming </w:t>
      </w:r>
      <w:r w:rsidR="0087599E">
        <w:rPr>
          <w:rFonts w:cs="Times New Roman"/>
          <w:bCs/>
          <w:sz w:val="24"/>
          <w:szCs w:val="24"/>
        </w:rPr>
        <w:t>emperors</w:t>
      </w:r>
      <w:r w:rsidRPr="008D0435">
        <w:rPr>
          <w:rFonts w:cs="Times New Roman"/>
          <w:bCs/>
          <w:sz w:val="24"/>
          <w:szCs w:val="24"/>
        </w:rPr>
        <w:t>. In AD 284, Diocletian reduced the status of</w:t>
      </w:r>
      <w:r w:rsidR="00BE015B">
        <w:rPr>
          <w:rFonts w:cs="Times New Roman"/>
          <w:bCs/>
          <w:sz w:val="24"/>
          <w:szCs w:val="24"/>
        </w:rPr>
        <w:t xml:space="preserve"> the</w:t>
      </w:r>
      <w:r w:rsidRPr="008D0435">
        <w:rPr>
          <w:rFonts w:cs="Times New Roman"/>
          <w:bCs/>
          <w:sz w:val="24"/>
          <w:szCs w:val="24"/>
        </w:rPr>
        <w:t xml:space="preserve"> Praetorians and instead created two new corps of </w:t>
      </w:r>
      <w:r w:rsidRPr="008D0435">
        <w:rPr>
          <w:rFonts w:cs="Times New Roman"/>
          <w:bCs/>
          <w:sz w:val="24"/>
          <w:szCs w:val="24"/>
        </w:rPr>
        <w:lastRenderedPageBreak/>
        <w:t xml:space="preserve">soldiers to protect the </w:t>
      </w:r>
      <w:r w:rsidR="0087599E">
        <w:rPr>
          <w:rFonts w:cs="Times New Roman"/>
          <w:bCs/>
          <w:sz w:val="24"/>
          <w:szCs w:val="24"/>
        </w:rPr>
        <w:t>emperors</w:t>
      </w:r>
      <w:r w:rsidRPr="008D0435">
        <w:rPr>
          <w:rFonts w:cs="Times New Roman"/>
          <w:bCs/>
          <w:sz w:val="24"/>
          <w:szCs w:val="24"/>
        </w:rPr>
        <w:t xml:space="preserve">. However in AD 306 Maxentius, the son of Diocletian’s colleague </w:t>
      </w:r>
      <w:proofErr w:type="gramStart"/>
      <w:r w:rsidR="00257E67" w:rsidRPr="008D0435">
        <w:rPr>
          <w:rFonts w:cs="Times New Roman"/>
          <w:bCs/>
          <w:sz w:val="24"/>
          <w:szCs w:val="24"/>
        </w:rPr>
        <w:t>Maximian</w:t>
      </w:r>
      <w:r w:rsidR="00BE015B">
        <w:rPr>
          <w:rFonts w:cs="Times New Roman"/>
          <w:bCs/>
          <w:sz w:val="24"/>
          <w:szCs w:val="24"/>
        </w:rPr>
        <w:t>,</w:t>
      </w:r>
      <w:proofErr w:type="gramEnd"/>
      <w:r w:rsidRPr="008D0435">
        <w:rPr>
          <w:rFonts w:cs="Times New Roman"/>
          <w:bCs/>
          <w:sz w:val="24"/>
          <w:szCs w:val="24"/>
        </w:rPr>
        <w:t xml:space="preserve"> was proclaimed </w:t>
      </w:r>
      <w:r w:rsidR="0087599E">
        <w:rPr>
          <w:rFonts w:cs="Times New Roman"/>
          <w:bCs/>
          <w:sz w:val="24"/>
          <w:szCs w:val="24"/>
        </w:rPr>
        <w:t>e</w:t>
      </w:r>
      <w:r w:rsidR="008B44B0">
        <w:rPr>
          <w:rFonts w:cs="Times New Roman"/>
          <w:bCs/>
          <w:sz w:val="24"/>
          <w:szCs w:val="24"/>
        </w:rPr>
        <w:t>mperor</w:t>
      </w:r>
      <w:r w:rsidRPr="008D0435">
        <w:rPr>
          <w:rFonts w:cs="Times New Roman"/>
          <w:bCs/>
          <w:sz w:val="24"/>
          <w:szCs w:val="24"/>
        </w:rPr>
        <w:t xml:space="preserve"> with the Praetorians</w:t>
      </w:r>
      <w:r w:rsidR="00BE015B">
        <w:rPr>
          <w:rFonts w:cs="Times New Roman"/>
          <w:bCs/>
          <w:sz w:val="24"/>
          <w:szCs w:val="24"/>
        </w:rPr>
        <w:t>’</w:t>
      </w:r>
      <w:r w:rsidRPr="008D0435">
        <w:rPr>
          <w:rFonts w:cs="Times New Roman"/>
          <w:bCs/>
          <w:sz w:val="24"/>
          <w:szCs w:val="24"/>
        </w:rPr>
        <w:t xml:space="preserve"> support and they were rewarded with a reinstatement of their old privileges.</w:t>
      </w:r>
      <w:r w:rsidRPr="008D0435">
        <w:rPr>
          <w:rStyle w:val="FootnoteReference"/>
          <w:rFonts w:cs="Times New Roman"/>
          <w:bCs/>
          <w:sz w:val="24"/>
          <w:szCs w:val="24"/>
        </w:rPr>
        <w:footnoteReference w:id="170"/>
      </w:r>
      <w:r w:rsidRPr="008D0435">
        <w:rPr>
          <w:rFonts w:cs="Times New Roman"/>
          <w:bCs/>
          <w:sz w:val="24"/>
          <w:szCs w:val="24"/>
        </w:rPr>
        <w:t xml:space="preserve"> In 312 when </w:t>
      </w:r>
      <w:r w:rsidR="00257E67">
        <w:rPr>
          <w:rFonts w:cs="Times New Roman"/>
          <w:bCs/>
          <w:sz w:val="24"/>
          <w:szCs w:val="24"/>
        </w:rPr>
        <w:t xml:space="preserve">Constantine fought </w:t>
      </w:r>
      <w:r w:rsidRPr="008D0435">
        <w:rPr>
          <w:rFonts w:cs="Times New Roman"/>
          <w:bCs/>
          <w:sz w:val="24"/>
          <w:szCs w:val="24"/>
        </w:rPr>
        <w:t>Maxentius at the battle of the Milvian Bridge, the Praetorian</w:t>
      </w:r>
      <w:r w:rsidR="00BE015B">
        <w:rPr>
          <w:rFonts w:cs="Times New Roman"/>
          <w:bCs/>
          <w:sz w:val="24"/>
          <w:szCs w:val="24"/>
        </w:rPr>
        <w:t>s formed the core of Maxentius’</w:t>
      </w:r>
      <w:r w:rsidRPr="008D0435">
        <w:rPr>
          <w:rFonts w:cs="Times New Roman"/>
          <w:bCs/>
          <w:sz w:val="24"/>
          <w:szCs w:val="24"/>
        </w:rPr>
        <w:t xml:space="preserve"> army alongside the </w:t>
      </w:r>
      <w:r w:rsidRPr="008D0435">
        <w:rPr>
          <w:rFonts w:cs="Times New Roman"/>
          <w:bCs/>
          <w:i/>
          <w:sz w:val="24"/>
          <w:szCs w:val="24"/>
        </w:rPr>
        <w:t>Equites Singulares</w:t>
      </w:r>
      <w:r w:rsidR="00996C25">
        <w:rPr>
          <w:rFonts w:cs="Times New Roman"/>
          <w:bCs/>
          <w:i/>
          <w:sz w:val="24"/>
          <w:szCs w:val="24"/>
        </w:rPr>
        <w:t xml:space="preserve"> Augusti</w:t>
      </w:r>
      <w:r w:rsidRPr="008D0435">
        <w:rPr>
          <w:rFonts w:cs="Times New Roman"/>
          <w:bCs/>
          <w:sz w:val="24"/>
          <w:szCs w:val="24"/>
        </w:rPr>
        <w:t xml:space="preserve">, the </w:t>
      </w:r>
      <w:r w:rsidR="0087599E">
        <w:rPr>
          <w:rFonts w:cs="Times New Roman"/>
          <w:bCs/>
          <w:sz w:val="24"/>
          <w:szCs w:val="24"/>
        </w:rPr>
        <w:t>e</w:t>
      </w:r>
      <w:r w:rsidR="008B44B0">
        <w:rPr>
          <w:rFonts w:cs="Times New Roman"/>
          <w:bCs/>
          <w:sz w:val="24"/>
          <w:szCs w:val="24"/>
        </w:rPr>
        <w:t>mperor’s</w:t>
      </w:r>
      <w:r w:rsidR="00C43F79">
        <w:rPr>
          <w:rFonts w:cs="Times New Roman"/>
          <w:bCs/>
          <w:sz w:val="24"/>
          <w:szCs w:val="24"/>
        </w:rPr>
        <w:t xml:space="preserve"> </w:t>
      </w:r>
      <w:r w:rsidRPr="008D0435">
        <w:rPr>
          <w:rFonts w:cs="Times New Roman"/>
          <w:bCs/>
          <w:sz w:val="24"/>
          <w:szCs w:val="24"/>
        </w:rPr>
        <w:t>personal horse-guard</w:t>
      </w:r>
      <w:r w:rsidR="00BE015B">
        <w:rPr>
          <w:rFonts w:cs="Times New Roman"/>
          <w:bCs/>
          <w:sz w:val="24"/>
          <w:szCs w:val="24"/>
        </w:rPr>
        <w:t>s. After the battle, Constantine,</w:t>
      </w:r>
      <w:r w:rsidRPr="008D0435">
        <w:rPr>
          <w:rFonts w:cs="Times New Roman"/>
          <w:bCs/>
          <w:sz w:val="24"/>
          <w:szCs w:val="24"/>
        </w:rPr>
        <w:t xml:space="preserve"> acting with a Roman </w:t>
      </w:r>
      <w:r w:rsidR="0049637A">
        <w:rPr>
          <w:rFonts w:cs="Times New Roman"/>
          <w:bCs/>
          <w:sz w:val="24"/>
          <w:szCs w:val="24"/>
        </w:rPr>
        <w:t>emperor’s</w:t>
      </w:r>
      <w:r w:rsidR="0049637A" w:rsidRPr="008D0435">
        <w:rPr>
          <w:rFonts w:cs="Times New Roman"/>
          <w:bCs/>
          <w:sz w:val="24"/>
          <w:szCs w:val="24"/>
        </w:rPr>
        <w:t xml:space="preserve"> customary</w:t>
      </w:r>
      <w:r w:rsidRPr="008D0435">
        <w:rPr>
          <w:rFonts w:cs="Times New Roman"/>
          <w:bCs/>
          <w:sz w:val="24"/>
          <w:szCs w:val="24"/>
        </w:rPr>
        <w:t xml:space="preserve"> mercy and restraint, disbanded both units and razed their barracks. Only those elements of the </w:t>
      </w:r>
      <w:r w:rsidRPr="008D0435">
        <w:rPr>
          <w:rFonts w:cs="Times New Roman"/>
          <w:bCs/>
          <w:i/>
          <w:sz w:val="24"/>
          <w:szCs w:val="24"/>
        </w:rPr>
        <w:t>Castra Praetoria</w:t>
      </w:r>
      <w:r w:rsidRPr="008D0435">
        <w:rPr>
          <w:rFonts w:cs="Times New Roman"/>
          <w:bCs/>
          <w:sz w:val="24"/>
          <w:szCs w:val="24"/>
        </w:rPr>
        <w:t xml:space="preserve"> that were incorporated into the Aurelian Walls survived and are in fact still visible today.</w:t>
      </w:r>
      <w:r w:rsidRPr="008D0435">
        <w:rPr>
          <w:rStyle w:val="FootnoteReference"/>
          <w:rFonts w:cs="Times New Roman"/>
          <w:bCs/>
          <w:sz w:val="24"/>
          <w:szCs w:val="24"/>
        </w:rPr>
        <w:footnoteReference w:id="171"/>
      </w:r>
      <w:r w:rsidRPr="008D0435">
        <w:rPr>
          <w:rFonts w:cs="Times New Roman"/>
          <w:bCs/>
          <w:sz w:val="24"/>
          <w:szCs w:val="24"/>
        </w:rPr>
        <w:t xml:space="preserve"> Their presence in the </w:t>
      </w:r>
      <w:r w:rsidRPr="008D0435">
        <w:rPr>
          <w:rFonts w:cs="Times New Roman"/>
          <w:bCs/>
          <w:i/>
          <w:sz w:val="24"/>
          <w:szCs w:val="24"/>
        </w:rPr>
        <w:t>Notitia</w:t>
      </w:r>
      <w:r w:rsidRPr="008D0435">
        <w:rPr>
          <w:rFonts w:cs="Times New Roman"/>
          <w:bCs/>
          <w:sz w:val="24"/>
          <w:szCs w:val="24"/>
        </w:rPr>
        <w:t xml:space="preserve"> could be attributed to simply being a mistake, however listed in the appendices for both the </w:t>
      </w:r>
      <w:r w:rsidRPr="008D0435">
        <w:rPr>
          <w:rFonts w:cs="Times New Roman"/>
          <w:bCs/>
          <w:i/>
          <w:sz w:val="24"/>
          <w:szCs w:val="24"/>
        </w:rPr>
        <w:t xml:space="preserve">Notitia </w:t>
      </w:r>
      <w:r w:rsidRPr="008D0435">
        <w:rPr>
          <w:rFonts w:cs="Times New Roman"/>
          <w:bCs/>
          <w:sz w:val="24"/>
          <w:szCs w:val="24"/>
        </w:rPr>
        <w:t xml:space="preserve">and the </w:t>
      </w:r>
      <w:r w:rsidRPr="008D0435">
        <w:rPr>
          <w:rFonts w:cs="Times New Roman"/>
          <w:bCs/>
          <w:i/>
          <w:sz w:val="24"/>
          <w:szCs w:val="24"/>
        </w:rPr>
        <w:t>Curiosum</w:t>
      </w:r>
      <w:r w:rsidRPr="008D0435">
        <w:rPr>
          <w:rFonts w:cs="Times New Roman"/>
          <w:bCs/>
          <w:sz w:val="24"/>
          <w:szCs w:val="24"/>
        </w:rPr>
        <w:t xml:space="preserve"> are ten cohorts</w:t>
      </w:r>
      <w:r w:rsidR="0070136E">
        <w:rPr>
          <w:rFonts w:cs="Times New Roman"/>
          <w:bCs/>
          <w:sz w:val="24"/>
          <w:szCs w:val="24"/>
        </w:rPr>
        <w:t xml:space="preserve"> of Praetorian Guard</w:t>
      </w:r>
      <w:r w:rsidR="006D1C71">
        <w:rPr>
          <w:rFonts w:cs="Times New Roman"/>
          <w:bCs/>
          <w:sz w:val="24"/>
          <w:szCs w:val="24"/>
        </w:rPr>
        <w:t>s</w:t>
      </w:r>
      <w:r w:rsidR="0070136E">
        <w:rPr>
          <w:rFonts w:cs="Times New Roman"/>
          <w:bCs/>
          <w:sz w:val="24"/>
          <w:szCs w:val="24"/>
        </w:rPr>
        <w:t xml:space="preserve"> (roughly 15</w:t>
      </w:r>
      <w:r w:rsidRPr="008D0435">
        <w:rPr>
          <w:rFonts w:cs="Times New Roman"/>
          <w:bCs/>
          <w:sz w:val="24"/>
          <w:szCs w:val="24"/>
        </w:rPr>
        <w:t xml:space="preserve">000 men). Archaeological studies of the remains of the </w:t>
      </w:r>
      <w:r w:rsidRPr="008D0435">
        <w:rPr>
          <w:rFonts w:cs="Times New Roman"/>
          <w:bCs/>
          <w:i/>
          <w:sz w:val="24"/>
          <w:szCs w:val="24"/>
        </w:rPr>
        <w:t>Castra</w:t>
      </w:r>
      <w:r w:rsidRPr="008D0435">
        <w:rPr>
          <w:rFonts w:cs="Times New Roman"/>
          <w:bCs/>
          <w:sz w:val="24"/>
          <w:szCs w:val="24"/>
        </w:rPr>
        <w:t xml:space="preserve"> have sug</w:t>
      </w:r>
      <w:r w:rsidR="00257E67">
        <w:rPr>
          <w:rFonts w:cs="Times New Roman"/>
          <w:bCs/>
          <w:sz w:val="24"/>
          <w:szCs w:val="24"/>
        </w:rPr>
        <w:t>gested that the Barracks possessed a similar capacity</w:t>
      </w:r>
      <w:r w:rsidRPr="008D0435">
        <w:rPr>
          <w:rFonts w:cs="Times New Roman"/>
          <w:bCs/>
          <w:sz w:val="24"/>
          <w:szCs w:val="24"/>
        </w:rPr>
        <w:t>.</w:t>
      </w:r>
      <w:r w:rsidRPr="008D0435">
        <w:rPr>
          <w:rStyle w:val="FootnoteReference"/>
          <w:rFonts w:cs="Times New Roman"/>
          <w:bCs/>
          <w:sz w:val="24"/>
          <w:szCs w:val="24"/>
        </w:rPr>
        <w:footnoteReference w:id="172"/>
      </w:r>
      <w:r w:rsidRPr="008D0435">
        <w:rPr>
          <w:rFonts w:cs="Times New Roman"/>
          <w:bCs/>
          <w:sz w:val="24"/>
          <w:szCs w:val="24"/>
        </w:rPr>
        <w:t xml:space="preserve"> Therefore the earliest attributable layer of the </w:t>
      </w:r>
      <w:r w:rsidRPr="008D0435">
        <w:rPr>
          <w:rFonts w:cs="Times New Roman"/>
          <w:bCs/>
          <w:i/>
          <w:sz w:val="24"/>
          <w:szCs w:val="24"/>
        </w:rPr>
        <w:t>Regionaries</w:t>
      </w:r>
      <w:r w:rsidRPr="008D0435">
        <w:rPr>
          <w:rFonts w:cs="Times New Roman"/>
          <w:bCs/>
          <w:sz w:val="24"/>
          <w:szCs w:val="24"/>
        </w:rPr>
        <w:t xml:space="preserve"> has to be prior to AD 312, since it seems exceptionally unlikely that, given their extremely thorough removal from Rome (graves were dug up and moved and the soldiers themselves distributed to the corners of the Empire), anyone would wish to risk Constantine’s ire with a reminder of a time and person he wished to be rid of.</w:t>
      </w:r>
      <w:r w:rsidRPr="008D0435">
        <w:rPr>
          <w:rStyle w:val="FootnoteReference"/>
          <w:rFonts w:cs="Times New Roman"/>
          <w:bCs/>
          <w:sz w:val="24"/>
          <w:szCs w:val="24"/>
        </w:rPr>
        <w:footnoteReference w:id="173"/>
      </w:r>
      <w:r w:rsidRPr="008D0435">
        <w:rPr>
          <w:rFonts w:cs="Times New Roman"/>
          <w:bCs/>
          <w:sz w:val="24"/>
          <w:szCs w:val="24"/>
        </w:rPr>
        <w:t xml:space="preserve"> </w:t>
      </w:r>
    </w:p>
    <w:p w:rsidR="00E756D7" w:rsidRPr="008D0435" w:rsidRDefault="00E756D7" w:rsidP="00722391">
      <w:pPr>
        <w:widowControl w:val="0"/>
        <w:suppressLineNumbers/>
        <w:autoSpaceDE w:val="0"/>
        <w:autoSpaceDN w:val="0"/>
        <w:adjustRightInd w:val="0"/>
        <w:spacing w:after="0" w:line="480" w:lineRule="auto"/>
        <w:ind w:firstLine="720"/>
        <w:jc w:val="both"/>
        <w:rPr>
          <w:rFonts w:cs="Times New Roman"/>
          <w:bCs/>
          <w:sz w:val="24"/>
          <w:szCs w:val="24"/>
        </w:rPr>
      </w:pPr>
      <w:r w:rsidRPr="008D0435">
        <w:rPr>
          <w:rFonts w:cs="Times New Roman"/>
          <w:bCs/>
          <w:sz w:val="24"/>
          <w:szCs w:val="24"/>
        </w:rPr>
        <w:t>Furthermore there is also the presence of the Basilica of Constantine, which Aurelius Victor states was built by Maxentius but rededicated under Constantine by a “grateful” Senate, which would again indicate a date near to AD 312.</w:t>
      </w:r>
      <w:r w:rsidRPr="008D0435">
        <w:rPr>
          <w:rStyle w:val="FootnoteReference"/>
          <w:rFonts w:cs="Times New Roman"/>
          <w:bCs/>
          <w:sz w:val="24"/>
          <w:szCs w:val="24"/>
        </w:rPr>
        <w:footnoteReference w:id="174"/>
      </w:r>
      <w:r w:rsidRPr="008D0435">
        <w:rPr>
          <w:rFonts w:cs="Times New Roman"/>
          <w:bCs/>
          <w:sz w:val="24"/>
          <w:szCs w:val="24"/>
        </w:rPr>
        <w:t xml:space="preserve"> However here we encounter </w:t>
      </w:r>
      <w:r w:rsidR="006D1C71">
        <w:rPr>
          <w:rFonts w:cs="Times New Roman"/>
          <w:bCs/>
          <w:sz w:val="24"/>
          <w:szCs w:val="24"/>
        </w:rPr>
        <w:t xml:space="preserve">the </w:t>
      </w:r>
      <w:r w:rsidRPr="008D0435">
        <w:rPr>
          <w:rFonts w:cs="Times New Roman"/>
          <w:bCs/>
          <w:sz w:val="24"/>
          <w:szCs w:val="24"/>
        </w:rPr>
        <w:t xml:space="preserve">first major dispute between the two traditions, as in the </w:t>
      </w:r>
      <w:r w:rsidRPr="008D0435">
        <w:rPr>
          <w:rFonts w:cs="Times New Roman"/>
          <w:bCs/>
          <w:i/>
          <w:sz w:val="24"/>
          <w:szCs w:val="24"/>
        </w:rPr>
        <w:t>Notitia</w:t>
      </w:r>
      <w:r w:rsidRPr="008D0435">
        <w:rPr>
          <w:rFonts w:cs="Times New Roman"/>
          <w:bCs/>
          <w:sz w:val="24"/>
          <w:szCs w:val="24"/>
        </w:rPr>
        <w:t xml:space="preserve"> tradition it is called the </w:t>
      </w:r>
      <w:r w:rsidRPr="008D0435">
        <w:rPr>
          <w:rFonts w:cs="Times New Roman"/>
          <w:bCs/>
          <w:i/>
          <w:sz w:val="24"/>
          <w:szCs w:val="24"/>
        </w:rPr>
        <w:lastRenderedPageBreak/>
        <w:t>Basilica Constantiniana</w:t>
      </w:r>
      <w:r w:rsidRPr="008D0435">
        <w:rPr>
          <w:rFonts w:cs="Times New Roman"/>
          <w:bCs/>
          <w:sz w:val="24"/>
          <w:szCs w:val="24"/>
        </w:rPr>
        <w:t xml:space="preserve"> in both </w:t>
      </w:r>
      <w:r w:rsidRPr="008D0435">
        <w:rPr>
          <w:rFonts w:cs="Times New Roman"/>
          <w:bCs/>
          <w:i/>
          <w:sz w:val="24"/>
          <w:szCs w:val="24"/>
        </w:rPr>
        <w:t>Regio IV</w:t>
      </w:r>
      <w:r w:rsidRPr="008D0435">
        <w:rPr>
          <w:rFonts w:cs="Times New Roman"/>
          <w:bCs/>
          <w:sz w:val="24"/>
          <w:szCs w:val="24"/>
        </w:rPr>
        <w:t xml:space="preserve"> and in the First Appendix.</w:t>
      </w:r>
      <w:r w:rsidRPr="008D0435">
        <w:rPr>
          <w:rStyle w:val="FootnoteReference"/>
          <w:rFonts w:cs="Times New Roman"/>
          <w:bCs/>
          <w:sz w:val="24"/>
          <w:szCs w:val="24"/>
        </w:rPr>
        <w:footnoteReference w:id="175"/>
      </w:r>
      <w:r w:rsidR="006D1C71">
        <w:rPr>
          <w:rFonts w:cs="Times New Roman"/>
          <w:bCs/>
          <w:sz w:val="24"/>
          <w:szCs w:val="24"/>
        </w:rPr>
        <w:t xml:space="preserve"> In contrast, </w:t>
      </w:r>
      <w:r>
        <w:rPr>
          <w:rFonts w:cs="Times New Roman"/>
          <w:bCs/>
          <w:sz w:val="24"/>
          <w:szCs w:val="24"/>
        </w:rPr>
        <w:t>i</w:t>
      </w:r>
      <w:r w:rsidRPr="008D0435">
        <w:rPr>
          <w:rFonts w:cs="Times New Roman"/>
          <w:bCs/>
          <w:sz w:val="24"/>
          <w:szCs w:val="24"/>
        </w:rPr>
        <w:t xml:space="preserve">n the </w:t>
      </w:r>
      <w:r w:rsidRPr="008D0435">
        <w:rPr>
          <w:rFonts w:cs="Times New Roman"/>
          <w:bCs/>
          <w:i/>
          <w:sz w:val="24"/>
          <w:szCs w:val="24"/>
        </w:rPr>
        <w:t>Curiosum</w:t>
      </w:r>
      <w:r w:rsidRPr="008D0435">
        <w:rPr>
          <w:rFonts w:cs="Times New Roman"/>
          <w:bCs/>
          <w:sz w:val="24"/>
          <w:szCs w:val="24"/>
        </w:rPr>
        <w:t xml:space="preserve"> it appears as the </w:t>
      </w:r>
      <w:r w:rsidRPr="008D0435">
        <w:rPr>
          <w:rFonts w:cs="Times New Roman"/>
          <w:bCs/>
          <w:i/>
          <w:sz w:val="24"/>
          <w:szCs w:val="24"/>
        </w:rPr>
        <w:t>Basilica Nova</w:t>
      </w:r>
      <w:r w:rsidRPr="008D0435">
        <w:rPr>
          <w:rFonts w:cs="Times New Roman"/>
          <w:bCs/>
          <w:sz w:val="24"/>
          <w:szCs w:val="24"/>
        </w:rPr>
        <w:t xml:space="preserve"> under </w:t>
      </w:r>
      <w:r w:rsidRPr="008D0435">
        <w:rPr>
          <w:rFonts w:cs="Times New Roman"/>
          <w:bCs/>
          <w:i/>
          <w:sz w:val="24"/>
          <w:szCs w:val="24"/>
        </w:rPr>
        <w:t>Regio IV</w:t>
      </w:r>
      <w:r w:rsidRPr="008D0435">
        <w:rPr>
          <w:rFonts w:cs="Times New Roman"/>
          <w:bCs/>
          <w:sz w:val="24"/>
          <w:szCs w:val="24"/>
        </w:rPr>
        <w:t xml:space="preserve">, and as the </w:t>
      </w:r>
      <w:r w:rsidRPr="008D0435">
        <w:rPr>
          <w:rFonts w:cs="Times New Roman"/>
          <w:bCs/>
          <w:i/>
          <w:sz w:val="24"/>
          <w:szCs w:val="24"/>
        </w:rPr>
        <w:t xml:space="preserve">Basilica Constantiania </w:t>
      </w:r>
      <w:r w:rsidRPr="008D0435">
        <w:rPr>
          <w:rFonts w:cs="Times New Roman"/>
          <w:bCs/>
          <w:sz w:val="24"/>
          <w:szCs w:val="24"/>
        </w:rPr>
        <w:t>in the First Appendix.</w:t>
      </w:r>
      <w:r w:rsidRPr="008D0435">
        <w:rPr>
          <w:rStyle w:val="FootnoteReference"/>
          <w:rFonts w:cs="Times New Roman"/>
          <w:bCs/>
          <w:sz w:val="24"/>
          <w:szCs w:val="24"/>
        </w:rPr>
        <w:footnoteReference w:id="176"/>
      </w:r>
      <w:r w:rsidRPr="008D0435">
        <w:rPr>
          <w:rFonts w:cs="Times New Roman"/>
          <w:bCs/>
          <w:sz w:val="24"/>
          <w:szCs w:val="24"/>
        </w:rPr>
        <w:t xml:space="preserve"> This means that the </w:t>
      </w:r>
      <w:r w:rsidRPr="008D0435">
        <w:rPr>
          <w:rFonts w:cs="Times New Roman"/>
          <w:bCs/>
          <w:i/>
          <w:sz w:val="24"/>
          <w:szCs w:val="24"/>
        </w:rPr>
        <w:t>Notitia</w:t>
      </w:r>
      <w:r w:rsidRPr="008D0435">
        <w:rPr>
          <w:rFonts w:cs="Times New Roman"/>
          <w:bCs/>
          <w:sz w:val="24"/>
          <w:szCs w:val="24"/>
        </w:rPr>
        <w:t xml:space="preserve"> can no longer be definitively said to be the earliest Constantinian layer, but it does reinforce the case that the </w:t>
      </w:r>
      <w:r w:rsidRPr="008D0435">
        <w:rPr>
          <w:rFonts w:cs="Times New Roman"/>
          <w:bCs/>
          <w:i/>
          <w:sz w:val="24"/>
          <w:szCs w:val="24"/>
        </w:rPr>
        <w:t>Regionaries</w:t>
      </w:r>
      <w:r w:rsidRPr="008D0435">
        <w:rPr>
          <w:rFonts w:cs="Times New Roman"/>
          <w:bCs/>
          <w:sz w:val="24"/>
          <w:szCs w:val="24"/>
        </w:rPr>
        <w:t xml:space="preserve"> likely existed in some form prior</w:t>
      </w:r>
      <w:r w:rsidR="006D1C71">
        <w:rPr>
          <w:rFonts w:cs="Times New Roman"/>
          <w:bCs/>
          <w:sz w:val="24"/>
          <w:szCs w:val="24"/>
        </w:rPr>
        <w:t xml:space="preserve"> to</w:t>
      </w:r>
      <w:r w:rsidRPr="008D0435">
        <w:rPr>
          <w:rFonts w:cs="Times New Roman"/>
          <w:bCs/>
          <w:sz w:val="24"/>
          <w:szCs w:val="24"/>
        </w:rPr>
        <w:t xml:space="preserve"> AD 312/314. Merrill has argued that this is indicative of both the </w:t>
      </w:r>
      <w:r w:rsidRPr="008D0435">
        <w:rPr>
          <w:rFonts w:cs="Times New Roman"/>
          <w:bCs/>
          <w:i/>
          <w:sz w:val="24"/>
          <w:szCs w:val="24"/>
        </w:rPr>
        <w:t xml:space="preserve">Notitia </w:t>
      </w:r>
      <w:r w:rsidRPr="008D0435">
        <w:rPr>
          <w:rFonts w:cs="Times New Roman"/>
          <w:bCs/>
          <w:sz w:val="24"/>
          <w:szCs w:val="24"/>
        </w:rPr>
        <w:t xml:space="preserve">and the </w:t>
      </w:r>
      <w:r w:rsidRPr="008D0435">
        <w:rPr>
          <w:rFonts w:cs="Times New Roman"/>
          <w:bCs/>
          <w:i/>
          <w:sz w:val="24"/>
          <w:szCs w:val="24"/>
        </w:rPr>
        <w:t>Curiosum</w:t>
      </w:r>
      <w:r w:rsidRPr="008D0435">
        <w:rPr>
          <w:rFonts w:cs="Times New Roman"/>
          <w:bCs/>
          <w:sz w:val="24"/>
          <w:szCs w:val="24"/>
        </w:rPr>
        <w:t xml:space="preserve"> originating from a single source document and at this stage I see no reason to dispute this.</w:t>
      </w:r>
      <w:r w:rsidRPr="008D0435">
        <w:rPr>
          <w:rStyle w:val="FootnoteReference"/>
          <w:rFonts w:cs="Times New Roman"/>
          <w:bCs/>
          <w:sz w:val="24"/>
          <w:szCs w:val="24"/>
        </w:rPr>
        <w:footnoteReference w:id="177"/>
      </w:r>
      <w:r w:rsidRPr="008D0435">
        <w:rPr>
          <w:rFonts w:cs="Times New Roman"/>
          <w:bCs/>
          <w:sz w:val="24"/>
          <w:szCs w:val="24"/>
        </w:rPr>
        <w:t xml:space="preserve"> </w:t>
      </w:r>
    </w:p>
    <w:p w:rsidR="00E756D7" w:rsidRPr="008D0435" w:rsidRDefault="00E756D7" w:rsidP="00722391">
      <w:pPr>
        <w:widowControl w:val="0"/>
        <w:suppressLineNumbers/>
        <w:autoSpaceDE w:val="0"/>
        <w:autoSpaceDN w:val="0"/>
        <w:adjustRightInd w:val="0"/>
        <w:spacing w:after="0" w:line="480" w:lineRule="auto"/>
        <w:ind w:firstLine="720"/>
        <w:jc w:val="both"/>
        <w:rPr>
          <w:rFonts w:cs="Times New Roman"/>
          <w:bCs/>
          <w:sz w:val="24"/>
          <w:szCs w:val="24"/>
        </w:rPr>
      </w:pPr>
    </w:p>
    <w:p w:rsidR="00F4313D" w:rsidRDefault="00E756D7" w:rsidP="00722391">
      <w:pPr>
        <w:tabs>
          <w:tab w:val="left" w:pos="0"/>
          <w:tab w:val="center" w:pos="4867"/>
          <w:tab w:val="left" w:pos="6647"/>
        </w:tabs>
        <w:spacing w:line="480" w:lineRule="auto"/>
        <w:jc w:val="both"/>
        <w:rPr>
          <w:sz w:val="24"/>
          <w:szCs w:val="24"/>
        </w:rPr>
      </w:pPr>
      <w:r w:rsidRPr="008D0435">
        <w:rPr>
          <w:sz w:val="24"/>
          <w:szCs w:val="24"/>
        </w:rPr>
        <w:tab/>
        <w:t>*****</w:t>
      </w:r>
      <w:r w:rsidRPr="008D0435">
        <w:rPr>
          <w:sz w:val="24"/>
          <w:szCs w:val="24"/>
        </w:rPr>
        <w:tab/>
      </w:r>
    </w:p>
    <w:p w:rsidR="00E64EB9" w:rsidRPr="008D0435" w:rsidRDefault="00E64EB9" w:rsidP="00722391">
      <w:pPr>
        <w:tabs>
          <w:tab w:val="left" w:pos="0"/>
          <w:tab w:val="center" w:pos="4867"/>
          <w:tab w:val="left" w:pos="6647"/>
        </w:tabs>
        <w:spacing w:line="480" w:lineRule="auto"/>
        <w:jc w:val="both"/>
        <w:rPr>
          <w:sz w:val="24"/>
          <w:szCs w:val="24"/>
        </w:rPr>
      </w:pPr>
    </w:p>
    <w:p w:rsidR="00E756D7" w:rsidRPr="008D0435" w:rsidRDefault="00E756D7" w:rsidP="00722391">
      <w:pPr>
        <w:tabs>
          <w:tab w:val="left" w:pos="0"/>
        </w:tabs>
        <w:spacing w:line="480" w:lineRule="auto"/>
        <w:jc w:val="both"/>
        <w:rPr>
          <w:sz w:val="24"/>
          <w:szCs w:val="24"/>
        </w:rPr>
      </w:pPr>
      <w:r w:rsidRPr="008D0435">
        <w:rPr>
          <w:sz w:val="24"/>
          <w:szCs w:val="24"/>
        </w:rPr>
        <w:t xml:space="preserve">On the surface, the widespread appearance of the </w:t>
      </w:r>
      <w:r w:rsidRPr="008D0435">
        <w:rPr>
          <w:i/>
          <w:sz w:val="24"/>
          <w:szCs w:val="24"/>
        </w:rPr>
        <w:t xml:space="preserve">Regionary Catalogues </w:t>
      </w:r>
      <w:r w:rsidRPr="008D0435">
        <w:rPr>
          <w:sz w:val="24"/>
          <w:szCs w:val="24"/>
        </w:rPr>
        <w:t>in a variety of different codices would suggest that they held some form</w:t>
      </w:r>
      <w:r w:rsidR="000C306D">
        <w:rPr>
          <w:sz w:val="24"/>
          <w:szCs w:val="24"/>
        </w:rPr>
        <w:t xml:space="preserve"> of </w:t>
      </w:r>
      <w:r w:rsidRPr="008D0435">
        <w:rPr>
          <w:sz w:val="24"/>
          <w:szCs w:val="24"/>
        </w:rPr>
        <w:t xml:space="preserve">appeal if not an actual practical use. The problem was that their administrative and practical uses were deeply contextual to </w:t>
      </w:r>
      <w:r w:rsidR="000C306D">
        <w:rPr>
          <w:sz w:val="24"/>
          <w:szCs w:val="24"/>
        </w:rPr>
        <w:t>the period of their creation. By</w:t>
      </w:r>
      <w:r w:rsidRPr="008D0435">
        <w:rPr>
          <w:sz w:val="24"/>
          <w:szCs w:val="24"/>
        </w:rPr>
        <w:t xml:space="preserve"> using genetic criticism and codicology, we have</w:t>
      </w:r>
      <w:r w:rsidR="000C306D">
        <w:rPr>
          <w:sz w:val="24"/>
          <w:szCs w:val="24"/>
        </w:rPr>
        <w:t xml:space="preserve"> been</w:t>
      </w:r>
      <w:r w:rsidRPr="008D0435">
        <w:rPr>
          <w:sz w:val="24"/>
          <w:szCs w:val="24"/>
        </w:rPr>
        <w:t xml:space="preserve"> able</w:t>
      </w:r>
      <w:r w:rsidR="00B36E06">
        <w:rPr>
          <w:sz w:val="24"/>
          <w:szCs w:val="24"/>
        </w:rPr>
        <w:t xml:space="preserve"> to</w:t>
      </w:r>
      <w:r w:rsidRPr="008D0435">
        <w:rPr>
          <w:sz w:val="24"/>
          <w:szCs w:val="24"/>
        </w:rPr>
        <w:t xml:space="preserve"> examine the manuscript tradition in much greater contextual detail. Whilst the </w:t>
      </w:r>
      <w:r w:rsidRPr="008D0435">
        <w:rPr>
          <w:i/>
          <w:sz w:val="24"/>
          <w:szCs w:val="24"/>
        </w:rPr>
        <w:t>Regionaries</w:t>
      </w:r>
      <w:r w:rsidRPr="008D0435">
        <w:rPr>
          <w:sz w:val="24"/>
          <w:szCs w:val="24"/>
        </w:rPr>
        <w:t xml:space="preserve"> existed in the period which possessed both a need for its administrative data and the necessary culture to understand the nuances of the </w:t>
      </w:r>
      <w:r w:rsidRPr="008D0435">
        <w:rPr>
          <w:i/>
          <w:sz w:val="24"/>
          <w:szCs w:val="24"/>
        </w:rPr>
        <w:t>Regionaries</w:t>
      </w:r>
      <w:r w:rsidR="006D1C71">
        <w:rPr>
          <w:i/>
          <w:sz w:val="24"/>
          <w:szCs w:val="24"/>
        </w:rPr>
        <w:t>’</w:t>
      </w:r>
      <w:r w:rsidRPr="008D0435">
        <w:rPr>
          <w:sz w:val="24"/>
          <w:szCs w:val="24"/>
        </w:rPr>
        <w:t xml:space="preserve"> symbolic content, we see a much greater attempt at updating the document due to its ability to be utilised in different manners. However as the </w:t>
      </w:r>
      <w:r w:rsidRPr="008D0435">
        <w:rPr>
          <w:i/>
          <w:sz w:val="24"/>
          <w:szCs w:val="24"/>
        </w:rPr>
        <w:t>Regionaries</w:t>
      </w:r>
      <w:r w:rsidRPr="008D0435">
        <w:rPr>
          <w:sz w:val="24"/>
          <w:szCs w:val="24"/>
        </w:rPr>
        <w:t xml:space="preserve"> progress</w:t>
      </w:r>
      <w:r w:rsidR="0070136E">
        <w:rPr>
          <w:sz w:val="24"/>
          <w:szCs w:val="24"/>
        </w:rPr>
        <w:t>ed</w:t>
      </w:r>
      <w:r w:rsidRPr="008D0435">
        <w:rPr>
          <w:sz w:val="24"/>
          <w:szCs w:val="24"/>
        </w:rPr>
        <w:t xml:space="preserve"> further away from their point of origin, we see little textual updating and instead the document tak</w:t>
      </w:r>
      <w:r w:rsidR="000C306D">
        <w:rPr>
          <w:sz w:val="24"/>
          <w:szCs w:val="24"/>
        </w:rPr>
        <w:t>es on a role as an exemplar of R</w:t>
      </w:r>
      <w:r w:rsidRPr="008D0435">
        <w:rPr>
          <w:sz w:val="24"/>
          <w:szCs w:val="24"/>
        </w:rPr>
        <w:t xml:space="preserve">oman knowledge and government, but the details have ceased to be necessary. As we can </w:t>
      </w:r>
      <w:r w:rsidRPr="008D0435">
        <w:rPr>
          <w:sz w:val="24"/>
          <w:szCs w:val="24"/>
        </w:rPr>
        <w:lastRenderedPageBreak/>
        <w:t xml:space="preserve">see by examining the varied multitude of the </w:t>
      </w:r>
      <w:r w:rsidRPr="008D0435">
        <w:rPr>
          <w:i/>
          <w:sz w:val="24"/>
          <w:szCs w:val="24"/>
        </w:rPr>
        <w:t>Regionaries</w:t>
      </w:r>
      <w:r w:rsidRPr="008D0435">
        <w:rPr>
          <w:sz w:val="24"/>
          <w:szCs w:val="24"/>
        </w:rPr>
        <w:t xml:space="preserve"> manuscript survival and their inclusion with a variety of different documents, we are unable to see anything be</w:t>
      </w:r>
      <w:r w:rsidR="006D1C71">
        <w:rPr>
          <w:sz w:val="24"/>
          <w:szCs w:val="24"/>
        </w:rPr>
        <w:t>yond this ability to impress. This</w:t>
      </w:r>
      <w:r w:rsidRPr="008D0435">
        <w:rPr>
          <w:sz w:val="24"/>
          <w:szCs w:val="24"/>
        </w:rPr>
        <w:t xml:space="preserve"> ability would be sorely limited by the Carolingian era, when it would be more impressive due to the date of its production</w:t>
      </w:r>
      <w:r w:rsidR="008E0CD5">
        <w:rPr>
          <w:sz w:val="24"/>
          <w:szCs w:val="24"/>
        </w:rPr>
        <w:t xml:space="preserve"> being</w:t>
      </w:r>
      <w:r w:rsidRPr="008D0435">
        <w:rPr>
          <w:sz w:val="24"/>
          <w:szCs w:val="24"/>
        </w:rPr>
        <w:t xml:space="preserve"> contemporaneous </w:t>
      </w:r>
      <w:r w:rsidR="0070136E">
        <w:rPr>
          <w:sz w:val="24"/>
          <w:szCs w:val="24"/>
        </w:rPr>
        <w:t xml:space="preserve">with the Constantinian </w:t>
      </w:r>
      <w:r w:rsidR="0087599E">
        <w:rPr>
          <w:sz w:val="24"/>
          <w:szCs w:val="24"/>
        </w:rPr>
        <w:t>emperors</w:t>
      </w:r>
      <w:r w:rsidR="0070136E">
        <w:rPr>
          <w:sz w:val="24"/>
          <w:szCs w:val="24"/>
        </w:rPr>
        <w:t xml:space="preserve"> rather</w:t>
      </w:r>
      <w:r w:rsidRPr="008D0435">
        <w:rPr>
          <w:sz w:val="24"/>
          <w:szCs w:val="24"/>
        </w:rPr>
        <w:t xml:space="preserve"> than the actual value of its contents. The </w:t>
      </w:r>
      <w:r w:rsidRPr="008D0435">
        <w:rPr>
          <w:i/>
          <w:sz w:val="24"/>
          <w:szCs w:val="24"/>
        </w:rPr>
        <w:t>Regionaries</w:t>
      </w:r>
      <w:r w:rsidRPr="008D0435">
        <w:rPr>
          <w:sz w:val="24"/>
          <w:szCs w:val="24"/>
        </w:rPr>
        <w:t xml:space="preserve"> required a different cultural </w:t>
      </w:r>
      <w:r w:rsidRPr="008D0435">
        <w:rPr>
          <w:i/>
          <w:sz w:val="24"/>
          <w:szCs w:val="24"/>
        </w:rPr>
        <w:t xml:space="preserve">milieu </w:t>
      </w:r>
      <w:r w:rsidRPr="008D0435">
        <w:rPr>
          <w:sz w:val="24"/>
          <w:szCs w:val="24"/>
        </w:rPr>
        <w:t xml:space="preserve">for them to work as actual administrative documents. What the manuscript tradition of the </w:t>
      </w:r>
      <w:r w:rsidRPr="008D0435">
        <w:rPr>
          <w:i/>
          <w:sz w:val="24"/>
          <w:szCs w:val="24"/>
        </w:rPr>
        <w:t>Regionary Catalogues</w:t>
      </w:r>
      <w:r w:rsidRPr="008D0435">
        <w:rPr>
          <w:sz w:val="24"/>
          <w:szCs w:val="24"/>
        </w:rPr>
        <w:t xml:space="preserve"> demonstrates is the surprising flexibility of the document. Whilst it may have no inherent value, the flexibility intrinsic to the mind-set of its </w:t>
      </w:r>
      <w:r w:rsidR="0087599E">
        <w:rPr>
          <w:sz w:val="24"/>
          <w:szCs w:val="24"/>
        </w:rPr>
        <w:t>s</w:t>
      </w:r>
      <w:r w:rsidR="008B44B0">
        <w:rPr>
          <w:sz w:val="24"/>
          <w:szCs w:val="24"/>
        </w:rPr>
        <w:t>enatorial</w:t>
      </w:r>
      <w:r w:rsidRPr="008D0435">
        <w:rPr>
          <w:sz w:val="24"/>
          <w:szCs w:val="24"/>
        </w:rPr>
        <w:t xml:space="preserve"> creators made the </w:t>
      </w:r>
      <w:r w:rsidRPr="008D0435">
        <w:rPr>
          <w:i/>
          <w:sz w:val="24"/>
          <w:szCs w:val="24"/>
        </w:rPr>
        <w:t>Regionaries</w:t>
      </w:r>
      <w:r w:rsidRPr="008D0435">
        <w:rPr>
          <w:sz w:val="24"/>
          <w:szCs w:val="24"/>
        </w:rPr>
        <w:t xml:space="preserve"> a document that could be repeatedly used without</w:t>
      </w:r>
      <w:r w:rsidR="0070136E">
        <w:rPr>
          <w:sz w:val="24"/>
          <w:szCs w:val="24"/>
        </w:rPr>
        <w:t xml:space="preserve"> regular updates</w:t>
      </w:r>
      <w:r w:rsidRPr="008D0435">
        <w:rPr>
          <w:sz w:val="24"/>
          <w:szCs w:val="24"/>
        </w:rPr>
        <w:t xml:space="preserve">. When they finally reached a period within which classical Rome was no longer the dominant cultural force, the </w:t>
      </w:r>
      <w:r w:rsidRPr="008D0435">
        <w:rPr>
          <w:i/>
          <w:sz w:val="24"/>
          <w:szCs w:val="24"/>
        </w:rPr>
        <w:t>Regionary Catalogues</w:t>
      </w:r>
      <w:r w:rsidRPr="008D0435">
        <w:rPr>
          <w:sz w:val="24"/>
          <w:szCs w:val="24"/>
        </w:rPr>
        <w:t xml:space="preserve"> could still lend an impressive gloss to other works and codices by virtue of its age and associations, even if it was in-and-of-itself unimpressive and lacking in practical data by the standards of the Carolingian era.</w:t>
      </w: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E756D7" w:rsidRDefault="00E756D7" w:rsidP="00722391">
      <w:pPr>
        <w:spacing w:line="480" w:lineRule="auto"/>
        <w:jc w:val="both"/>
      </w:pPr>
    </w:p>
    <w:p w:rsidR="00970930" w:rsidRDefault="00970930" w:rsidP="00722391">
      <w:pPr>
        <w:spacing w:line="480" w:lineRule="auto"/>
        <w:jc w:val="both"/>
        <w:sectPr w:rsidR="00970930">
          <w:footerReference w:type="default" r:id="rId11"/>
          <w:pgSz w:w="11906" w:h="16838"/>
          <w:pgMar w:top="1440" w:right="1440" w:bottom="1440" w:left="1440" w:header="708" w:footer="708" w:gutter="0"/>
          <w:cols w:space="708"/>
          <w:docGrid w:linePitch="360"/>
        </w:sectPr>
      </w:pPr>
    </w:p>
    <w:p w:rsidR="00E756D7" w:rsidRPr="00B777B2" w:rsidRDefault="00482735" w:rsidP="00610FCD">
      <w:pPr>
        <w:spacing w:line="480" w:lineRule="auto"/>
        <w:jc w:val="center"/>
        <w:rPr>
          <w:sz w:val="48"/>
          <w:szCs w:val="48"/>
          <w:u w:val="single"/>
        </w:rPr>
      </w:pPr>
      <w:r>
        <w:rPr>
          <w:noProof/>
          <w:lang w:eastAsia="en-GB"/>
        </w:rPr>
        <w:lastRenderedPageBreak/>
        <w:drawing>
          <wp:anchor distT="0" distB="0" distL="114300" distR="114300" simplePos="0" relativeHeight="251664384" behindDoc="1" locked="0" layoutInCell="1" allowOverlap="1" wp14:anchorId="38CED930" wp14:editId="726ED4BC">
            <wp:simplePos x="0" y="0"/>
            <wp:positionH relativeFrom="column">
              <wp:posOffset>2900680</wp:posOffset>
            </wp:positionH>
            <wp:positionV relativeFrom="paragraph">
              <wp:posOffset>2143760</wp:posOffset>
            </wp:positionV>
            <wp:extent cx="2835275" cy="5454650"/>
            <wp:effectExtent l="0" t="0" r="3175" b="0"/>
            <wp:wrapTight wrapText="bothSides">
              <wp:wrapPolygon edited="0">
                <wp:start x="0" y="0"/>
                <wp:lineTo x="0" y="21499"/>
                <wp:lineTo x="21479" y="21499"/>
                <wp:lineTo x="21479" y="0"/>
                <wp:lineTo x="0" y="0"/>
              </wp:wrapPolygon>
            </wp:wrapTight>
            <wp:docPr id="3" name="Picture 3" descr="File:RomaTempioPacePareteFormaUr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omaTempioPacePareteFormaUrb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275" cy="545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0E42962" wp14:editId="6C145C75">
            <wp:simplePos x="0" y="0"/>
            <wp:positionH relativeFrom="column">
              <wp:posOffset>-15875</wp:posOffset>
            </wp:positionH>
            <wp:positionV relativeFrom="paragraph">
              <wp:posOffset>2143760</wp:posOffset>
            </wp:positionV>
            <wp:extent cx="2916555" cy="5454650"/>
            <wp:effectExtent l="0" t="0" r="0" b="0"/>
            <wp:wrapTight wrapText="bothSides">
              <wp:wrapPolygon edited="0">
                <wp:start x="0" y="0"/>
                <wp:lineTo x="0" y="21499"/>
                <wp:lineTo x="21445" y="21499"/>
                <wp:lineTo x="21445" y="0"/>
                <wp:lineTo x="0" y="0"/>
              </wp:wrapPolygon>
            </wp:wrapTight>
            <wp:docPr id="5" name="Picture 5" descr="https://upload.wikimedia.org/wikipedia/commons/1/13/Septimius_Severus_busto-Musei_Capito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1/13/Septimius_Severus_busto-Musei_Capitolin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6555" cy="545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6D7" w:rsidRPr="00B777B2">
        <w:rPr>
          <w:sz w:val="48"/>
          <w:szCs w:val="48"/>
          <w:u w:val="single"/>
        </w:rPr>
        <w:t xml:space="preserve">Chapter Two: “A City of Bricks, Marble, and Ink”: The </w:t>
      </w:r>
      <w:r w:rsidR="00E756D7" w:rsidRPr="00B777B2">
        <w:rPr>
          <w:i/>
          <w:sz w:val="48"/>
          <w:szCs w:val="48"/>
          <w:u w:val="single"/>
        </w:rPr>
        <w:t>Forma Urbis Romae</w:t>
      </w:r>
      <w:r w:rsidR="00E756D7" w:rsidRPr="00B777B2">
        <w:rPr>
          <w:sz w:val="48"/>
          <w:szCs w:val="48"/>
          <w:u w:val="single"/>
        </w:rPr>
        <w:t xml:space="preserve"> and the </w:t>
      </w:r>
      <w:r w:rsidR="00E756D7" w:rsidRPr="00B777B2">
        <w:rPr>
          <w:i/>
          <w:sz w:val="48"/>
          <w:szCs w:val="48"/>
          <w:u w:val="single"/>
        </w:rPr>
        <w:t>Regionary Catalogues</w:t>
      </w:r>
      <w:r w:rsidR="003924FE">
        <w:rPr>
          <w:rStyle w:val="FootnoteReference"/>
          <w:i/>
          <w:sz w:val="48"/>
          <w:szCs w:val="48"/>
          <w:u w:val="single"/>
        </w:rPr>
        <w:footnoteReference w:id="178"/>
      </w:r>
    </w:p>
    <w:p w:rsidR="00B777B2" w:rsidRDefault="00B777B2" w:rsidP="000C306D">
      <w:pPr>
        <w:tabs>
          <w:tab w:val="left" w:pos="1323"/>
        </w:tabs>
        <w:spacing w:line="480" w:lineRule="auto"/>
        <w:jc w:val="both"/>
        <w:rPr>
          <w:i/>
          <w:sz w:val="24"/>
          <w:szCs w:val="24"/>
        </w:rPr>
      </w:pPr>
    </w:p>
    <w:p w:rsidR="00E756D7" w:rsidRDefault="00E756D7" w:rsidP="00722391">
      <w:pPr>
        <w:spacing w:line="480" w:lineRule="auto"/>
        <w:jc w:val="both"/>
        <w:rPr>
          <w:sz w:val="24"/>
          <w:szCs w:val="24"/>
        </w:rPr>
      </w:pPr>
      <w:r>
        <w:rPr>
          <w:i/>
          <w:sz w:val="24"/>
          <w:szCs w:val="24"/>
        </w:rPr>
        <w:lastRenderedPageBreak/>
        <w:t xml:space="preserve">‘Urbem neque pro maiestate imperii ornatam </w:t>
      </w:r>
      <w:proofErr w:type="gramStart"/>
      <w:r>
        <w:rPr>
          <w:i/>
          <w:sz w:val="24"/>
          <w:szCs w:val="24"/>
        </w:rPr>
        <w:t>et</w:t>
      </w:r>
      <w:proofErr w:type="gramEnd"/>
      <w:r>
        <w:rPr>
          <w:i/>
          <w:sz w:val="24"/>
          <w:szCs w:val="24"/>
        </w:rPr>
        <w:t xml:space="preserve"> inundationibus incendiisque obnoxiam excoluit adeo, ut iure sit gloriatus marmoream se relinquere, quam latericiam accepisset.</w:t>
      </w:r>
      <w:r>
        <w:rPr>
          <w:rStyle w:val="FootnoteReference"/>
          <w:i/>
          <w:sz w:val="24"/>
          <w:szCs w:val="24"/>
        </w:rPr>
        <w:footnoteReference w:id="179"/>
      </w:r>
      <w:r>
        <w:rPr>
          <w:sz w:val="24"/>
          <w:szCs w:val="24"/>
        </w:rPr>
        <w:t>’</w:t>
      </w:r>
    </w:p>
    <w:p w:rsidR="00E756D7" w:rsidRDefault="00F31FAB" w:rsidP="00722391">
      <w:pPr>
        <w:pStyle w:val="FootnoteText"/>
        <w:spacing w:line="480" w:lineRule="auto"/>
        <w:jc w:val="both"/>
        <w:rPr>
          <w:sz w:val="24"/>
          <w:szCs w:val="24"/>
        </w:rPr>
      </w:pPr>
      <w:r>
        <w:rPr>
          <w:sz w:val="24"/>
          <w:szCs w:val="24"/>
        </w:rPr>
        <w:t>[</w:t>
      </w:r>
      <w:r w:rsidR="00E756D7">
        <w:rPr>
          <w:sz w:val="24"/>
          <w:szCs w:val="24"/>
        </w:rPr>
        <w:t>“Since the city was not adorned as the dignity of the empire demanded, and was exposed to flood and fire, he [Augustus] so beautified it that he could justly boast that he had found it built of brick</w:t>
      </w:r>
      <w:r w:rsidR="00E756D7">
        <w:rPr>
          <w:rStyle w:val="apple-converted-space"/>
          <w:sz w:val="24"/>
          <w:szCs w:val="24"/>
        </w:rPr>
        <w:t> </w:t>
      </w:r>
      <w:r w:rsidR="00E756D7">
        <w:rPr>
          <w:sz w:val="24"/>
          <w:szCs w:val="24"/>
        </w:rPr>
        <w:t>and left it in marble.”</w:t>
      </w:r>
      <w:r>
        <w:rPr>
          <w:sz w:val="24"/>
          <w:szCs w:val="24"/>
        </w:rPr>
        <w:t>]</w:t>
      </w:r>
    </w:p>
    <w:p w:rsidR="00E756D7" w:rsidRDefault="00E756D7" w:rsidP="00722391">
      <w:pPr>
        <w:pStyle w:val="FootnoteText"/>
        <w:spacing w:line="480" w:lineRule="auto"/>
        <w:jc w:val="both"/>
        <w:rPr>
          <w:sz w:val="24"/>
          <w:szCs w:val="24"/>
        </w:rPr>
      </w:pPr>
    </w:p>
    <w:p w:rsidR="004104D6" w:rsidRDefault="00E756D7" w:rsidP="00722391">
      <w:pPr>
        <w:widowControl w:val="0"/>
        <w:suppressLineNumbers/>
        <w:autoSpaceDE w:val="0"/>
        <w:autoSpaceDN w:val="0"/>
        <w:adjustRightInd w:val="0"/>
        <w:spacing w:after="0" w:line="480" w:lineRule="auto"/>
        <w:ind w:firstLine="720"/>
        <w:jc w:val="both"/>
        <w:rPr>
          <w:sz w:val="24"/>
          <w:szCs w:val="24"/>
        </w:rPr>
      </w:pPr>
      <w:r>
        <w:rPr>
          <w:sz w:val="24"/>
          <w:szCs w:val="24"/>
        </w:rPr>
        <w:t xml:space="preserve">As </w:t>
      </w:r>
      <w:r w:rsidR="000C306D">
        <w:rPr>
          <w:sz w:val="24"/>
          <w:szCs w:val="24"/>
        </w:rPr>
        <w:t>any research project progresses,</w:t>
      </w:r>
      <w:r>
        <w:rPr>
          <w:sz w:val="24"/>
          <w:szCs w:val="24"/>
        </w:rPr>
        <w:t xml:space="preserve"> historians will increasingly find themselves </w:t>
      </w:r>
      <w:r w:rsidR="000C306D">
        <w:rPr>
          <w:sz w:val="24"/>
          <w:szCs w:val="24"/>
        </w:rPr>
        <w:t xml:space="preserve">having to </w:t>
      </w:r>
      <w:r>
        <w:rPr>
          <w:sz w:val="24"/>
          <w:szCs w:val="24"/>
        </w:rPr>
        <w:t xml:space="preserve">explain their projects to the uninformed and the uninitiated. Whilst many could take or leave the discussions of sources, urban government and planning involved in any discussion of the </w:t>
      </w:r>
      <w:r>
        <w:rPr>
          <w:i/>
          <w:sz w:val="24"/>
          <w:szCs w:val="24"/>
        </w:rPr>
        <w:t>Regionaries</w:t>
      </w:r>
      <w:r>
        <w:rPr>
          <w:sz w:val="24"/>
          <w:szCs w:val="24"/>
        </w:rPr>
        <w:t>, ears always perk up when one mentions the</w:t>
      </w:r>
      <w:r>
        <w:rPr>
          <w:i/>
          <w:sz w:val="24"/>
          <w:szCs w:val="24"/>
        </w:rPr>
        <w:t xml:space="preserve"> </w:t>
      </w:r>
      <w:r>
        <w:rPr>
          <w:sz w:val="24"/>
          <w:szCs w:val="24"/>
        </w:rPr>
        <w:t xml:space="preserve">fact that the </w:t>
      </w:r>
      <w:r>
        <w:rPr>
          <w:i/>
          <w:sz w:val="24"/>
          <w:szCs w:val="24"/>
        </w:rPr>
        <w:t>Regionaries</w:t>
      </w:r>
      <w:r>
        <w:rPr>
          <w:sz w:val="24"/>
          <w:szCs w:val="24"/>
        </w:rPr>
        <w:t xml:space="preserve"> are our major source for details about Roman monuments. There appears to be a general consens</w:t>
      </w:r>
      <w:r w:rsidR="006D1C71">
        <w:rPr>
          <w:sz w:val="24"/>
          <w:szCs w:val="24"/>
        </w:rPr>
        <w:t>us</w:t>
      </w:r>
      <w:r>
        <w:rPr>
          <w:sz w:val="24"/>
          <w:szCs w:val="24"/>
        </w:rPr>
        <w:t xml:space="preserve"> that our greatest inheritance from Rome </w:t>
      </w:r>
      <w:r w:rsidR="005A3F02">
        <w:rPr>
          <w:sz w:val="24"/>
          <w:szCs w:val="24"/>
        </w:rPr>
        <w:t>are</w:t>
      </w:r>
      <w:r>
        <w:rPr>
          <w:sz w:val="24"/>
          <w:szCs w:val="24"/>
        </w:rPr>
        <w:t xml:space="preserve"> </w:t>
      </w:r>
      <w:r w:rsidR="005A3F02">
        <w:rPr>
          <w:sz w:val="24"/>
          <w:szCs w:val="24"/>
        </w:rPr>
        <w:t>the</w:t>
      </w:r>
      <w:r>
        <w:rPr>
          <w:sz w:val="24"/>
          <w:szCs w:val="24"/>
        </w:rPr>
        <w:t xml:space="preserve"> monuments</w:t>
      </w:r>
      <w:r w:rsidR="00F31FAB">
        <w:rPr>
          <w:sz w:val="24"/>
          <w:szCs w:val="24"/>
        </w:rPr>
        <w:t xml:space="preserve"> glorifying the city and Empire</w:t>
      </w:r>
      <w:r>
        <w:rPr>
          <w:sz w:val="24"/>
          <w:szCs w:val="24"/>
        </w:rPr>
        <w:t xml:space="preserve"> and</w:t>
      </w:r>
      <w:r w:rsidR="00F31FAB">
        <w:rPr>
          <w:sz w:val="24"/>
          <w:szCs w:val="24"/>
        </w:rPr>
        <w:t xml:space="preserve"> the practical</w:t>
      </w:r>
      <w:r>
        <w:rPr>
          <w:sz w:val="24"/>
          <w:szCs w:val="24"/>
        </w:rPr>
        <w:t xml:space="preserve"> buildings</w:t>
      </w:r>
      <w:r w:rsidR="00F31FAB">
        <w:rPr>
          <w:sz w:val="24"/>
          <w:szCs w:val="24"/>
        </w:rPr>
        <w:t xml:space="preserve"> such as </w:t>
      </w:r>
      <w:r w:rsidR="005A3F02">
        <w:rPr>
          <w:i/>
          <w:sz w:val="24"/>
          <w:szCs w:val="24"/>
        </w:rPr>
        <w:t>fora</w:t>
      </w:r>
      <w:r w:rsidR="00F31FAB">
        <w:rPr>
          <w:sz w:val="24"/>
          <w:szCs w:val="24"/>
        </w:rPr>
        <w:t xml:space="preserve"> and </w:t>
      </w:r>
      <w:r w:rsidR="00F31FAB">
        <w:rPr>
          <w:i/>
          <w:sz w:val="24"/>
          <w:szCs w:val="24"/>
        </w:rPr>
        <w:t>basilica</w:t>
      </w:r>
      <w:r w:rsidR="009E7336">
        <w:rPr>
          <w:i/>
          <w:sz w:val="24"/>
          <w:szCs w:val="24"/>
        </w:rPr>
        <w:t>e</w:t>
      </w:r>
      <w:r w:rsidR="009E7336">
        <w:rPr>
          <w:sz w:val="24"/>
          <w:szCs w:val="24"/>
        </w:rPr>
        <w:t xml:space="preserve"> that met</w:t>
      </w:r>
      <w:r w:rsidR="005A3F02">
        <w:rPr>
          <w:sz w:val="24"/>
          <w:szCs w:val="24"/>
        </w:rPr>
        <w:t xml:space="preserve"> the peoples’ needs</w:t>
      </w:r>
      <w:r>
        <w:rPr>
          <w:sz w:val="24"/>
          <w:szCs w:val="24"/>
        </w:rPr>
        <w:t xml:space="preserve">, but there is often little to distinguish the two. The Baths of Diocletian and Caracalla were massive entertainment complexes, whose sheer size and expense served as a monument to the power of the </w:t>
      </w:r>
      <w:r w:rsidR="0087599E">
        <w:rPr>
          <w:sz w:val="24"/>
          <w:szCs w:val="24"/>
        </w:rPr>
        <w:t>e</w:t>
      </w:r>
      <w:r w:rsidR="008B44B0">
        <w:rPr>
          <w:sz w:val="24"/>
          <w:szCs w:val="24"/>
        </w:rPr>
        <w:t>mperor</w:t>
      </w:r>
      <w:r>
        <w:rPr>
          <w:sz w:val="24"/>
          <w:szCs w:val="24"/>
        </w:rPr>
        <w:t>.</w:t>
      </w:r>
      <w:r w:rsidR="007E21E1">
        <w:rPr>
          <w:sz w:val="24"/>
          <w:szCs w:val="24"/>
        </w:rPr>
        <w:t xml:space="preserve"> Aurelian’s Temple of Sol was both a</w:t>
      </w:r>
      <w:r>
        <w:rPr>
          <w:sz w:val="24"/>
          <w:szCs w:val="24"/>
        </w:rPr>
        <w:t xml:space="preserve"> military barracks and grand monument to the </w:t>
      </w:r>
      <w:r w:rsidR="00C43F79">
        <w:rPr>
          <w:sz w:val="24"/>
          <w:szCs w:val="24"/>
        </w:rPr>
        <w:t>emperor’s d</w:t>
      </w:r>
      <w:r w:rsidR="0049637A">
        <w:rPr>
          <w:sz w:val="24"/>
          <w:szCs w:val="24"/>
        </w:rPr>
        <w:t>ivine</w:t>
      </w:r>
      <w:r w:rsidR="00C43F79">
        <w:rPr>
          <w:sz w:val="24"/>
          <w:szCs w:val="24"/>
        </w:rPr>
        <w:t xml:space="preserve"> p</w:t>
      </w:r>
      <w:r>
        <w:rPr>
          <w:sz w:val="24"/>
          <w:szCs w:val="24"/>
        </w:rPr>
        <w:t xml:space="preserve">atron. In fact the citizens of Rome would have been unimpressed, and even displeased with any </w:t>
      </w:r>
      <w:r w:rsidR="008B44B0">
        <w:rPr>
          <w:sz w:val="24"/>
          <w:szCs w:val="24"/>
        </w:rPr>
        <w:t>Emperor</w:t>
      </w:r>
      <w:r>
        <w:rPr>
          <w:sz w:val="24"/>
          <w:szCs w:val="24"/>
        </w:rPr>
        <w:t xml:space="preserve"> who failed to appear suitably spectacular both in deed and appearance.</w:t>
      </w:r>
      <w:r>
        <w:rPr>
          <w:rStyle w:val="FootnoteReference"/>
          <w:sz w:val="24"/>
          <w:szCs w:val="24"/>
        </w:rPr>
        <w:footnoteReference w:id="180"/>
      </w:r>
      <w:r>
        <w:rPr>
          <w:sz w:val="24"/>
          <w:szCs w:val="24"/>
        </w:rPr>
        <w:t xml:space="preserve"> </w:t>
      </w:r>
    </w:p>
    <w:p w:rsidR="008560A9" w:rsidRDefault="00E756D7" w:rsidP="00722391">
      <w:pPr>
        <w:spacing w:line="480" w:lineRule="auto"/>
        <w:ind w:firstLine="720"/>
        <w:jc w:val="both"/>
        <w:rPr>
          <w:sz w:val="24"/>
          <w:szCs w:val="24"/>
        </w:rPr>
      </w:pPr>
      <w:r>
        <w:rPr>
          <w:sz w:val="24"/>
          <w:szCs w:val="24"/>
        </w:rPr>
        <w:t xml:space="preserve">Spectacular monuments like those depicted in the Severan Marble Plan and the </w:t>
      </w:r>
      <w:r>
        <w:rPr>
          <w:i/>
          <w:sz w:val="24"/>
          <w:szCs w:val="24"/>
        </w:rPr>
        <w:t>Regionary Catalogues</w:t>
      </w:r>
      <w:r>
        <w:rPr>
          <w:sz w:val="24"/>
          <w:szCs w:val="24"/>
        </w:rPr>
        <w:t xml:space="preserve"> ensured the populace was aware of the </w:t>
      </w:r>
      <w:r w:rsidR="0087599E">
        <w:rPr>
          <w:sz w:val="24"/>
          <w:szCs w:val="24"/>
        </w:rPr>
        <w:t>e</w:t>
      </w:r>
      <w:r w:rsidR="008B44B0">
        <w:rPr>
          <w:sz w:val="24"/>
          <w:szCs w:val="24"/>
        </w:rPr>
        <w:t>mperor</w:t>
      </w:r>
      <w:r>
        <w:rPr>
          <w:sz w:val="24"/>
          <w:szCs w:val="24"/>
        </w:rPr>
        <w:t xml:space="preserve"> and his activities and more importantly that he shared their history and experience.</w:t>
      </w:r>
      <w:r w:rsidR="004104D6" w:rsidRPr="004104D6">
        <w:rPr>
          <w:sz w:val="24"/>
          <w:szCs w:val="24"/>
        </w:rPr>
        <w:t xml:space="preserve"> </w:t>
      </w:r>
      <w:r w:rsidR="004104D6" w:rsidRPr="0076389E">
        <w:rPr>
          <w:sz w:val="24"/>
          <w:szCs w:val="24"/>
        </w:rPr>
        <w:t xml:space="preserve">The </w:t>
      </w:r>
      <w:r w:rsidR="004104D6" w:rsidRPr="0076389E">
        <w:rPr>
          <w:i/>
          <w:sz w:val="24"/>
          <w:szCs w:val="24"/>
        </w:rPr>
        <w:t>Regionaries</w:t>
      </w:r>
      <w:r w:rsidR="004104D6" w:rsidRPr="0076389E">
        <w:rPr>
          <w:sz w:val="24"/>
          <w:szCs w:val="24"/>
        </w:rPr>
        <w:t xml:space="preserve"> therefore, </w:t>
      </w:r>
      <w:r w:rsidR="004104D6" w:rsidRPr="0076389E">
        <w:rPr>
          <w:sz w:val="24"/>
          <w:szCs w:val="24"/>
        </w:rPr>
        <w:lastRenderedPageBreak/>
        <w:t xml:space="preserve">like the Marble Plan before them, must have been abstracted from the </w:t>
      </w:r>
      <w:r w:rsidR="0049637A" w:rsidRPr="0076389E">
        <w:rPr>
          <w:i/>
          <w:sz w:val="24"/>
          <w:szCs w:val="24"/>
        </w:rPr>
        <w:t>Officium</w:t>
      </w:r>
      <w:r w:rsidR="004104D6" w:rsidRPr="0076389E">
        <w:rPr>
          <w:i/>
          <w:sz w:val="24"/>
          <w:szCs w:val="24"/>
        </w:rPr>
        <w:t xml:space="preserve"> </w:t>
      </w:r>
      <w:r w:rsidR="004104D6" w:rsidRPr="0076389E">
        <w:rPr>
          <w:sz w:val="24"/>
          <w:szCs w:val="24"/>
        </w:rPr>
        <w:t xml:space="preserve">of the Urban Prefecture for the purpose of simultaneously celebrating and schematising Rome. </w:t>
      </w:r>
      <w:r w:rsidR="005A3F02">
        <w:rPr>
          <w:sz w:val="24"/>
          <w:szCs w:val="24"/>
        </w:rPr>
        <w:t>In this chapter I will show that these</w:t>
      </w:r>
      <w:r w:rsidR="004104D6" w:rsidRPr="0076389E">
        <w:rPr>
          <w:sz w:val="24"/>
          <w:szCs w:val="24"/>
        </w:rPr>
        <w:t xml:space="preserve"> documents made use of accurate, detailed information that had</w:t>
      </w:r>
      <w:r w:rsidR="005A3F02">
        <w:rPr>
          <w:sz w:val="24"/>
          <w:szCs w:val="24"/>
        </w:rPr>
        <w:t xml:space="preserve"> most-likely</w:t>
      </w:r>
      <w:r w:rsidR="004104D6" w:rsidRPr="0076389E">
        <w:rPr>
          <w:sz w:val="24"/>
          <w:szCs w:val="24"/>
        </w:rPr>
        <w:t xml:space="preserve"> been compiled for official purposes and rendered it into</w:t>
      </w:r>
      <w:r w:rsidR="006F23C4">
        <w:rPr>
          <w:sz w:val="24"/>
          <w:szCs w:val="24"/>
        </w:rPr>
        <w:t xml:space="preserve"> a more accessible form</w:t>
      </w:r>
      <w:r w:rsidR="004104D6" w:rsidRPr="0076389E">
        <w:rPr>
          <w:sz w:val="24"/>
          <w:szCs w:val="24"/>
        </w:rPr>
        <w:t>, whilst simultaneously impressing the reader/viewer with its grandeur and history.</w:t>
      </w:r>
      <w:r w:rsidR="004104D6" w:rsidRPr="0076389E">
        <w:rPr>
          <w:rStyle w:val="FootnoteReference"/>
          <w:sz w:val="24"/>
          <w:szCs w:val="24"/>
        </w:rPr>
        <w:footnoteReference w:id="181"/>
      </w:r>
      <w:r w:rsidR="004104D6" w:rsidRPr="0076389E">
        <w:rPr>
          <w:sz w:val="24"/>
          <w:szCs w:val="24"/>
        </w:rPr>
        <w:t xml:space="preserve"> The Marble Plan was “created” in the course of the restoration of a room in the </w:t>
      </w:r>
      <w:r w:rsidR="004104D6" w:rsidRPr="0076389E">
        <w:rPr>
          <w:i/>
          <w:sz w:val="24"/>
          <w:szCs w:val="24"/>
        </w:rPr>
        <w:t>Templum Pacis</w:t>
      </w:r>
      <w:r w:rsidR="004104D6" w:rsidRPr="0076389E">
        <w:rPr>
          <w:sz w:val="24"/>
          <w:szCs w:val="24"/>
        </w:rPr>
        <w:t xml:space="preserve"> which had been</w:t>
      </w:r>
      <w:r w:rsidR="00523ECB">
        <w:rPr>
          <w:sz w:val="24"/>
          <w:szCs w:val="24"/>
        </w:rPr>
        <w:t xml:space="preserve"> both,</w:t>
      </w:r>
      <w:r w:rsidR="004104D6" w:rsidRPr="0076389E">
        <w:rPr>
          <w:sz w:val="24"/>
          <w:szCs w:val="24"/>
        </w:rPr>
        <w:t xml:space="preserve"> a celebration of Roman triumphalism and cultural appropriation since its creation by Vespasian with </w:t>
      </w:r>
      <w:r w:rsidR="006D1C71">
        <w:rPr>
          <w:sz w:val="24"/>
          <w:szCs w:val="24"/>
        </w:rPr>
        <w:t>objects taken from the temple in</w:t>
      </w:r>
      <w:r w:rsidR="004104D6" w:rsidRPr="0076389E">
        <w:rPr>
          <w:sz w:val="24"/>
          <w:szCs w:val="24"/>
        </w:rPr>
        <w:t xml:space="preserve"> Jerusalem and several famous Greek works of art</w:t>
      </w:r>
      <w:r w:rsidR="00523ECB">
        <w:rPr>
          <w:sz w:val="24"/>
          <w:szCs w:val="24"/>
        </w:rPr>
        <w:t>, and a repository for the Urban Prefect’s cadastral records.</w:t>
      </w:r>
      <w:r w:rsidR="004104D6" w:rsidRPr="0076389E">
        <w:rPr>
          <w:rStyle w:val="FootnoteReference"/>
          <w:sz w:val="24"/>
          <w:szCs w:val="24"/>
        </w:rPr>
        <w:footnoteReference w:id="182"/>
      </w:r>
      <w:r w:rsidR="004104D6" w:rsidRPr="0076389E">
        <w:rPr>
          <w:sz w:val="24"/>
          <w:szCs w:val="24"/>
        </w:rPr>
        <w:t xml:space="preserve"> The collation of this information was symbolic of the City’s</w:t>
      </w:r>
      <w:r w:rsidR="006D1C71">
        <w:rPr>
          <w:sz w:val="24"/>
          <w:szCs w:val="24"/>
        </w:rPr>
        <w:t xml:space="preserve"> many monuments being restored after</w:t>
      </w:r>
      <w:r w:rsidR="004104D6" w:rsidRPr="0076389E">
        <w:rPr>
          <w:sz w:val="24"/>
          <w:szCs w:val="24"/>
        </w:rPr>
        <w:t xml:space="preserve"> the fire of</w:t>
      </w:r>
      <w:r w:rsidR="006D1C71">
        <w:rPr>
          <w:sz w:val="24"/>
          <w:szCs w:val="24"/>
        </w:rPr>
        <w:t xml:space="preserve"> AD</w:t>
      </w:r>
      <w:r w:rsidR="004104D6" w:rsidRPr="0076389E">
        <w:rPr>
          <w:sz w:val="24"/>
          <w:szCs w:val="24"/>
        </w:rPr>
        <w:t xml:space="preserve"> 192 and was part of a redefinition of</w:t>
      </w:r>
      <w:r w:rsidR="00805C4D">
        <w:rPr>
          <w:sz w:val="24"/>
          <w:szCs w:val="24"/>
        </w:rPr>
        <w:t xml:space="preserve"> the </w:t>
      </w:r>
      <w:r w:rsidR="008B44B0">
        <w:rPr>
          <w:sz w:val="24"/>
          <w:szCs w:val="24"/>
        </w:rPr>
        <w:t>Emperor</w:t>
      </w:r>
      <w:r w:rsidR="005A3F02">
        <w:rPr>
          <w:sz w:val="24"/>
          <w:szCs w:val="24"/>
        </w:rPr>
        <w:t xml:space="preserve"> Septimius</w:t>
      </w:r>
      <w:r w:rsidR="004104D6" w:rsidRPr="0076389E">
        <w:rPr>
          <w:sz w:val="24"/>
          <w:szCs w:val="24"/>
        </w:rPr>
        <w:t xml:space="preserve"> Severus’ military image into one that emphasised </w:t>
      </w:r>
      <w:r w:rsidR="005E1455">
        <w:rPr>
          <w:sz w:val="24"/>
          <w:szCs w:val="24"/>
        </w:rPr>
        <w:t>“</w:t>
      </w:r>
      <w:r w:rsidR="004104D6" w:rsidRPr="0076389E">
        <w:rPr>
          <w:sz w:val="24"/>
          <w:szCs w:val="24"/>
        </w:rPr>
        <w:t>Peace and Concord</w:t>
      </w:r>
      <w:r w:rsidR="005E1455">
        <w:rPr>
          <w:sz w:val="24"/>
          <w:szCs w:val="24"/>
        </w:rPr>
        <w:t>”</w:t>
      </w:r>
      <w:r w:rsidR="004104D6" w:rsidRPr="0076389E">
        <w:rPr>
          <w:sz w:val="24"/>
          <w:szCs w:val="24"/>
        </w:rPr>
        <w:t xml:space="preserve">. Just like the </w:t>
      </w:r>
      <w:r w:rsidR="004104D6" w:rsidRPr="0076389E">
        <w:rPr>
          <w:i/>
          <w:sz w:val="24"/>
          <w:szCs w:val="24"/>
        </w:rPr>
        <w:t>Regionaries</w:t>
      </w:r>
      <w:r w:rsidR="004104D6" w:rsidRPr="0076389E">
        <w:rPr>
          <w:sz w:val="24"/>
          <w:szCs w:val="24"/>
        </w:rPr>
        <w:t>, it was</w:t>
      </w:r>
      <w:r w:rsidR="006D1C71">
        <w:rPr>
          <w:sz w:val="24"/>
          <w:szCs w:val="24"/>
        </w:rPr>
        <w:t>,</w:t>
      </w:r>
      <w:r w:rsidR="004104D6" w:rsidRPr="0076389E">
        <w:rPr>
          <w:sz w:val="24"/>
          <w:szCs w:val="24"/>
        </w:rPr>
        <w:t xml:space="preserve"> in crude term</w:t>
      </w:r>
      <w:r w:rsidR="006D1C71">
        <w:rPr>
          <w:sz w:val="24"/>
          <w:szCs w:val="24"/>
        </w:rPr>
        <w:t xml:space="preserve">s, </w:t>
      </w:r>
      <w:r w:rsidR="0049637A">
        <w:rPr>
          <w:sz w:val="24"/>
          <w:szCs w:val="24"/>
        </w:rPr>
        <w:t>an</w:t>
      </w:r>
      <w:r w:rsidR="006D1C71">
        <w:rPr>
          <w:sz w:val="24"/>
          <w:szCs w:val="24"/>
        </w:rPr>
        <w:t xml:space="preserve"> </w:t>
      </w:r>
      <w:r w:rsidR="005A3F02">
        <w:rPr>
          <w:sz w:val="24"/>
          <w:szCs w:val="24"/>
        </w:rPr>
        <w:t>immense</w:t>
      </w:r>
      <w:r w:rsidR="006D1C71">
        <w:rPr>
          <w:sz w:val="24"/>
          <w:szCs w:val="24"/>
        </w:rPr>
        <w:t xml:space="preserve"> display of, “</w:t>
      </w:r>
      <w:r w:rsidR="00805C4D">
        <w:rPr>
          <w:sz w:val="24"/>
          <w:szCs w:val="24"/>
        </w:rPr>
        <w:t>Gaze upon my works ye mighty and despair.</w:t>
      </w:r>
      <w:r w:rsidR="004104D6" w:rsidRPr="0076389E">
        <w:rPr>
          <w:sz w:val="24"/>
          <w:szCs w:val="24"/>
        </w:rPr>
        <w:t xml:space="preserve">” </w:t>
      </w:r>
      <w:r>
        <w:rPr>
          <w:sz w:val="24"/>
          <w:szCs w:val="24"/>
        </w:rPr>
        <w:t xml:space="preserve"> </w:t>
      </w:r>
    </w:p>
    <w:p w:rsidR="00E756D7" w:rsidRDefault="00E756D7" w:rsidP="00722391">
      <w:pPr>
        <w:spacing w:line="480" w:lineRule="auto"/>
        <w:ind w:firstLine="720"/>
        <w:jc w:val="both"/>
        <w:rPr>
          <w:sz w:val="24"/>
          <w:szCs w:val="24"/>
        </w:rPr>
      </w:pPr>
      <w:r>
        <w:rPr>
          <w:sz w:val="24"/>
          <w:szCs w:val="24"/>
        </w:rPr>
        <w:t>Visual imagery either in a pictographic or textual form, in the Foucauldian manner,</w:t>
      </w:r>
      <w:r w:rsidR="006D1C71">
        <w:rPr>
          <w:sz w:val="24"/>
          <w:szCs w:val="24"/>
        </w:rPr>
        <w:t xml:space="preserve"> allowed </w:t>
      </w:r>
      <w:r w:rsidR="0087599E">
        <w:rPr>
          <w:sz w:val="24"/>
          <w:szCs w:val="24"/>
        </w:rPr>
        <w:t>emperors</w:t>
      </w:r>
      <w:r w:rsidR="006D1C71">
        <w:rPr>
          <w:sz w:val="24"/>
          <w:szCs w:val="24"/>
        </w:rPr>
        <w:t xml:space="preserve"> to inform </w:t>
      </w:r>
      <w:r>
        <w:rPr>
          <w:sz w:val="24"/>
          <w:szCs w:val="24"/>
        </w:rPr>
        <w:t>Rome of their goals and intention</w:t>
      </w:r>
      <w:r w:rsidR="006D1C71">
        <w:rPr>
          <w:sz w:val="24"/>
          <w:szCs w:val="24"/>
        </w:rPr>
        <w:t>s whilst also acclimatising the inhabitants</w:t>
      </w:r>
      <w:r>
        <w:rPr>
          <w:sz w:val="24"/>
          <w:szCs w:val="24"/>
        </w:rPr>
        <w:t xml:space="preserve"> to the physical and social changes that were to take place.</w:t>
      </w:r>
      <w:r>
        <w:rPr>
          <w:rStyle w:val="FootnoteReference"/>
          <w:sz w:val="24"/>
          <w:szCs w:val="24"/>
        </w:rPr>
        <w:footnoteReference w:id="183"/>
      </w:r>
      <w:r>
        <w:rPr>
          <w:sz w:val="24"/>
          <w:szCs w:val="24"/>
        </w:rPr>
        <w:t xml:space="preserve"> </w:t>
      </w:r>
      <w:r w:rsidR="004104D6">
        <w:rPr>
          <w:sz w:val="24"/>
          <w:szCs w:val="24"/>
        </w:rPr>
        <w:t>Paul Zanker has examined the complex interrelationship of the establis</w:t>
      </w:r>
      <w:r w:rsidR="000C306D">
        <w:rPr>
          <w:sz w:val="24"/>
          <w:szCs w:val="24"/>
        </w:rPr>
        <w:t xml:space="preserve">hment of the </w:t>
      </w:r>
      <w:r w:rsidR="008B44B0">
        <w:rPr>
          <w:sz w:val="24"/>
          <w:szCs w:val="24"/>
        </w:rPr>
        <w:t>imperial</w:t>
      </w:r>
      <w:r w:rsidR="000C306D">
        <w:rPr>
          <w:sz w:val="24"/>
          <w:szCs w:val="24"/>
        </w:rPr>
        <w:t xml:space="preserve"> monarchy and </w:t>
      </w:r>
      <w:r w:rsidR="004104D6">
        <w:rPr>
          <w:sz w:val="24"/>
          <w:szCs w:val="24"/>
        </w:rPr>
        <w:t xml:space="preserve">the transformation of society, </w:t>
      </w:r>
      <w:r w:rsidR="000C306D">
        <w:rPr>
          <w:sz w:val="24"/>
          <w:szCs w:val="24"/>
        </w:rPr>
        <w:t>arguing</w:t>
      </w:r>
      <w:r w:rsidR="004104D6">
        <w:rPr>
          <w:sz w:val="24"/>
          <w:szCs w:val="24"/>
        </w:rPr>
        <w:t xml:space="preserve"> that it involved the creation of a whole new method of visual communication.</w:t>
      </w:r>
      <w:r w:rsidR="004104D6">
        <w:rPr>
          <w:rStyle w:val="FootnoteReference"/>
          <w:sz w:val="24"/>
          <w:szCs w:val="24"/>
        </w:rPr>
        <w:footnoteReference w:id="184"/>
      </w:r>
      <w:r w:rsidR="004104D6">
        <w:rPr>
          <w:sz w:val="24"/>
          <w:szCs w:val="24"/>
        </w:rPr>
        <w:t xml:space="preserve"> His argument was that Roman “Visual Imagery” should be understood as an attempt to encapsulate the totality of works of art, buildings and </w:t>
      </w:r>
      <w:r w:rsidR="004104D6">
        <w:rPr>
          <w:sz w:val="24"/>
          <w:szCs w:val="24"/>
        </w:rPr>
        <w:lastRenderedPageBreak/>
        <w:t>literature as a reflection of a society’s inner life.</w:t>
      </w:r>
      <w:r w:rsidR="004104D6">
        <w:rPr>
          <w:rStyle w:val="FootnoteReference"/>
          <w:sz w:val="24"/>
          <w:szCs w:val="24"/>
        </w:rPr>
        <w:footnoteReference w:id="185"/>
      </w:r>
      <w:r w:rsidR="004104D6">
        <w:rPr>
          <w:sz w:val="24"/>
          <w:szCs w:val="24"/>
        </w:rPr>
        <w:t xml:space="preserve"> The superabundance of imagery meant that it became a real form of experience for the public, even a replacement for reality, particularly in light of the widespread illiteracy of the populace.</w:t>
      </w:r>
      <w:r w:rsidR="004104D6">
        <w:rPr>
          <w:rStyle w:val="FootnoteReference"/>
          <w:sz w:val="24"/>
          <w:szCs w:val="24"/>
        </w:rPr>
        <w:footnoteReference w:id="186"/>
      </w:r>
      <w:r>
        <w:rPr>
          <w:sz w:val="24"/>
          <w:szCs w:val="24"/>
        </w:rPr>
        <w:t xml:space="preserve"> </w:t>
      </w:r>
      <w:r w:rsidR="004104D6">
        <w:rPr>
          <w:sz w:val="24"/>
          <w:szCs w:val="24"/>
        </w:rPr>
        <w:t>By further</w:t>
      </w:r>
      <w:r>
        <w:rPr>
          <w:sz w:val="24"/>
          <w:szCs w:val="24"/>
        </w:rPr>
        <w:t xml:space="preserve"> integrating Zanker’s exploration of the role images played in Augustus’s reform with Paul Veyne’s exploration of the </w:t>
      </w:r>
      <w:r w:rsidR="0049637A">
        <w:rPr>
          <w:sz w:val="24"/>
          <w:szCs w:val="24"/>
        </w:rPr>
        <w:t>emperor’s role</w:t>
      </w:r>
      <w:r w:rsidR="004104D6">
        <w:rPr>
          <w:sz w:val="24"/>
          <w:szCs w:val="24"/>
        </w:rPr>
        <w:t xml:space="preserve"> as an </w:t>
      </w:r>
      <w:r w:rsidR="0087599E">
        <w:rPr>
          <w:sz w:val="24"/>
          <w:szCs w:val="24"/>
        </w:rPr>
        <w:t>i</w:t>
      </w:r>
      <w:r w:rsidR="008B44B0">
        <w:rPr>
          <w:sz w:val="24"/>
          <w:szCs w:val="24"/>
        </w:rPr>
        <w:t>mperial</w:t>
      </w:r>
      <w:r w:rsidR="004104D6">
        <w:rPr>
          <w:sz w:val="24"/>
          <w:szCs w:val="24"/>
        </w:rPr>
        <w:t xml:space="preserve"> benefactor, we see how</w:t>
      </w:r>
      <w:r>
        <w:rPr>
          <w:sz w:val="24"/>
          <w:szCs w:val="24"/>
        </w:rPr>
        <w:t xml:space="preserve"> monuments played a role in the Roman administration beyond the mere spectacular and into the subtle. </w:t>
      </w:r>
    </w:p>
    <w:p w:rsidR="00E756D7" w:rsidRDefault="00E756D7" w:rsidP="00722391">
      <w:pPr>
        <w:widowControl w:val="0"/>
        <w:suppressLineNumbers/>
        <w:autoSpaceDE w:val="0"/>
        <w:autoSpaceDN w:val="0"/>
        <w:adjustRightInd w:val="0"/>
        <w:spacing w:after="0" w:line="480" w:lineRule="auto"/>
        <w:ind w:firstLine="720"/>
        <w:jc w:val="both"/>
        <w:rPr>
          <w:sz w:val="24"/>
          <w:szCs w:val="24"/>
        </w:rPr>
      </w:pPr>
      <w:r>
        <w:rPr>
          <w:sz w:val="24"/>
          <w:szCs w:val="24"/>
        </w:rPr>
        <w:t>Veyne</w:t>
      </w:r>
      <w:r w:rsidR="004104D6">
        <w:rPr>
          <w:sz w:val="24"/>
          <w:szCs w:val="24"/>
        </w:rPr>
        <w:t>’s approach began</w:t>
      </w:r>
      <w:r>
        <w:rPr>
          <w:sz w:val="24"/>
          <w:szCs w:val="24"/>
        </w:rPr>
        <w:t xml:space="preserve"> when he developed Weber’s theories of power to explain the role the </w:t>
      </w:r>
      <w:r w:rsidR="0087599E">
        <w:rPr>
          <w:sz w:val="24"/>
          <w:szCs w:val="24"/>
        </w:rPr>
        <w:t>e</w:t>
      </w:r>
      <w:r w:rsidR="008B44B0">
        <w:rPr>
          <w:sz w:val="24"/>
          <w:szCs w:val="24"/>
        </w:rPr>
        <w:t>mperor</w:t>
      </w:r>
      <w:r>
        <w:rPr>
          <w:sz w:val="24"/>
          <w:szCs w:val="24"/>
        </w:rPr>
        <w:t xml:space="preserve"> played as a </w:t>
      </w:r>
      <w:r>
        <w:rPr>
          <w:i/>
          <w:sz w:val="24"/>
          <w:szCs w:val="24"/>
        </w:rPr>
        <w:t>Euergetes</w:t>
      </w:r>
      <w:r>
        <w:rPr>
          <w:sz w:val="24"/>
          <w:szCs w:val="24"/>
        </w:rPr>
        <w:t xml:space="preserve"> or “public benefactor”.</w:t>
      </w:r>
      <w:r>
        <w:rPr>
          <w:rStyle w:val="FootnoteReference"/>
          <w:sz w:val="24"/>
          <w:szCs w:val="24"/>
        </w:rPr>
        <w:footnoteReference w:id="187"/>
      </w:r>
      <w:r>
        <w:rPr>
          <w:sz w:val="24"/>
          <w:szCs w:val="24"/>
        </w:rPr>
        <w:t xml:space="preserve"> In order to encapsulate the wide variety of evidence and approaches that were needed in order to analyse what the </w:t>
      </w:r>
      <w:r w:rsidR="0087599E">
        <w:rPr>
          <w:sz w:val="24"/>
          <w:szCs w:val="24"/>
        </w:rPr>
        <w:t>emperors</w:t>
      </w:r>
      <w:r>
        <w:rPr>
          <w:sz w:val="24"/>
          <w:szCs w:val="24"/>
        </w:rPr>
        <w:t xml:space="preserve"> were intending with the “Bread and Circuses”, Veyne developed Weber’s theory into a, “History without [theoretical] distinctions.”</w:t>
      </w:r>
      <w:r>
        <w:rPr>
          <w:rStyle w:val="FootnoteReference"/>
          <w:sz w:val="24"/>
          <w:szCs w:val="24"/>
        </w:rPr>
        <w:footnoteReference w:id="188"/>
      </w:r>
      <w:r>
        <w:rPr>
          <w:sz w:val="24"/>
          <w:szCs w:val="24"/>
        </w:rPr>
        <w:t xml:space="preserve"> Both Veyne and Zanker agree that the Roman state’s imagery permeated the public and private spheres; in fact even that distinction was a false one.</w:t>
      </w:r>
      <w:r>
        <w:rPr>
          <w:rStyle w:val="FootnoteReference"/>
          <w:sz w:val="24"/>
          <w:szCs w:val="24"/>
        </w:rPr>
        <w:footnoteReference w:id="189"/>
      </w:r>
      <w:r>
        <w:rPr>
          <w:sz w:val="24"/>
          <w:szCs w:val="24"/>
        </w:rPr>
        <w:t xml:space="preserve"> This is particularly useful for us as we examine a material object like the Marble Plan and a textual one like the </w:t>
      </w:r>
      <w:r>
        <w:rPr>
          <w:i/>
          <w:sz w:val="24"/>
          <w:szCs w:val="24"/>
        </w:rPr>
        <w:t>Regionaries</w:t>
      </w:r>
      <w:r>
        <w:rPr>
          <w:sz w:val="24"/>
          <w:szCs w:val="24"/>
        </w:rPr>
        <w:t xml:space="preserve">, as we need to able to integrate the physical imagery of the documents with the socio-cultural elements that their creation and construction entailed.  </w:t>
      </w:r>
    </w:p>
    <w:p w:rsidR="00E756D7" w:rsidRPr="00D87D21" w:rsidRDefault="00E756D7" w:rsidP="00722391">
      <w:pPr>
        <w:widowControl w:val="0"/>
        <w:suppressLineNumbers/>
        <w:autoSpaceDE w:val="0"/>
        <w:autoSpaceDN w:val="0"/>
        <w:adjustRightInd w:val="0"/>
        <w:spacing w:after="0" w:line="480" w:lineRule="auto"/>
        <w:ind w:firstLine="720"/>
        <w:jc w:val="both"/>
        <w:rPr>
          <w:rFonts w:cs="Times New Roman"/>
          <w:bCs/>
          <w:sz w:val="24"/>
          <w:szCs w:val="24"/>
        </w:rPr>
      </w:pPr>
      <w:r>
        <w:rPr>
          <w:rFonts w:cs="Times New Roman"/>
          <w:bCs/>
          <w:sz w:val="24"/>
          <w:szCs w:val="24"/>
        </w:rPr>
        <w:t xml:space="preserve">If the </w:t>
      </w:r>
      <w:r>
        <w:rPr>
          <w:rFonts w:cs="Times New Roman"/>
          <w:bCs/>
          <w:i/>
          <w:sz w:val="24"/>
          <w:szCs w:val="24"/>
        </w:rPr>
        <w:t>Regionary Catalogues</w:t>
      </w:r>
      <w:r>
        <w:rPr>
          <w:rFonts w:cs="Times New Roman"/>
          <w:bCs/>
          <w:sz w:val="24"/>
          <w:szCs w:val="24"/>
        </w:rPr>
        <w:t xml:space="preserve"> are our major source for the urban topography of antique Rome and its monuments, then the </w:t>
      </w:r>
      <w:r>
        <w:rPr>
          <w:rFonts w:cs="Times New Roman"/>
          <w:bCs/>
          <w:i/>
          <w:sz w:val="24"/>
          <w:szCs w:val="24"/>
        </w:rPr>
        <w:t>Formae Urbis</w:t>
      </w:r>
      <w:r>
        <w:rPr>
          <w:rFonts w:cs="Times New Roman"/>
          <w:bCs/>
          <w:sz w:val="24"/>
          <w:szCs w:val="24"/>
        </w:rPr>
        <w:t xml:space="preserve"> </w:t>
      </w:r>
      <w:r>
        <w:rPr>
          <w:rFonts w:cs="Times New Roman"/>
          <w:bCs/>
          <w:i/>
          <w:sz w:val="24"/>
          <w:szCs w:val="24"/>
        </w:rPr>
        <w:t>Romae</w:t>
      </w:r>
      <w:r>
        <w:rPr>
          <w:rFonts w:cs="Times New Roman"/>
          <w:bCs/>
          <w:sz w:val="24"/>
          <w:szCs w:val="24"/>
        </w:rPr>
        <w:t xml:space="preserve">, also known as the Severan Marble Plan, was the most significant </w:t>
      </w:r>
      <w:r w:rsidR="0049637A">
        <w:rPr>
          <w:rFonts w:cs="Times New Roman"/>
          <w:bCs/>
          <w:sz w:val="24"/>
          <w:szCs w:val="24"/>
        </w:rPr>
        <w:t>pictorial</w:t>
      </w:r>
      <w:r>
        <w:rPr>
          <w:rFonts w:cs="Times New Roman"/>
          <w:bCs/>
          <w:sz w:val="24"/>
          <w:szCs w:val="24"/>
        </w:rPr>
        <w:t xml:space="preserve"> representation of the City. It was</w:t>
      </w:r>
      <w:r w:rsidR="000C306D">
        <w:rPr>
          <w:rFonts w:cs="Times New Roman"/>
          <w:bCs/>
          <w:sz w:val="24"/>
          <w:szCs w:val="24"/>
        </w:rPr>
        <w:t xml:space="preserve"> also</w:t>
      </w:r>
      <w:r>
        <w:rPr>
          <w:rFonts w:cs="Times New Roman"/>
          <w:bCs/>
          <w:sz w:val="24"/>
          <w:szCs w:val="24"/>
        </w:rPr>
        <w:t xml:space="preserve"> a substant</w:t>
      </w:r>
      <w:r w:rsidR="006D1C71">
        <w:rPr>
          <w:rFonts w:cs="Times New Roman"/>
          <w:bCs/>
          <w:sz w:val="24"/>
          <w:szCs w:val="24"/>
        </w:rPr>
        <w:t>ial monument in its own right. Alt</w:t>
      </w:r>
      <w:r>
        <w:rPr>
          <w:rFonts w:cs="Times New Roman"/>
          <w:bCs/>
          <w:sz w:val="24"/>
          <w:szCs w:val="24"/>
        </w:rPr>
        <w:t xml:space="preserve">hough there have been previous </w:t>
      </w:r>
      <w:r>
        <w:rPr>
          <w:rFonts w:cs="Times New Roman"/>
          <w:bCs/>
          <w:sz w:val="24"/>
          <w:szCs w:val="24"/>
        </w:rPr>
        <w:lastRenderedPageBreak/>
        <w:t xml:space="preserve">suggestions that the </w:t>
      </w:r>
      <w:r>
        <w:rPr>
          <w:rFonts w:cs="Times New Roman"/>
          <w:bCs/>
          <w:i/>
          <w:sz w:val="24"/>
          <w:szCs w:val="24"/>
        </w:rPr>
        <w:t>Regionaries</w:t>
      </w:r>
      <w:r>
        <w:rPr>
          <w:rFonts w:cs="Times New Roman"/>
          <w:bCs/>
          <w:sz w:val="24"/>
          <w:szCs w:val="24"/>
        </w:rPr>
        <w:t xml:space="preserve"> were connected to the Severan Marble Plan I will</w:t>
      </w:r>
      <w:r w:rsidR="00805C4D">
        <w:rPr>
          <w:rFonts w:cs="Times New Roman"/>
          <w:bCs/>
          <w:sz w:val="24"/>
          <w:szCs w:val="24"/>
        </w:rPr>
        <w:t xml:space="preserve"> not be looking for a common source of evidence for the two. I</w:t>
      </w:r>
      <w:r>
        <w:rPr>
          <w:rFonts w:cs="Times New Roman"/>
          <w:bCs/>
          <w:sz w:val="24"/>
          <w:szCs w:val="24"/>
        </w:rPr>
        <w:t>nstead</w:t>
      </w:r>
      <w:r w:rsidR="00805C4D">
        <w:rPr>
          <w:rFonts w:cs="Times New Roman"/>
          <w:bCs/>
          <w:sz w:val="24"/>
          <w:szCs w:val="24"/>
        </w:rPr>
        <w:t xml:space="preserve"> I will</w:t>
      </w:r>
      <w:r>
        <w:rPr>
          <w:rFonts w:cs="Times New Roman"/>
          <w:bCs/>
          <w:sz w:val="24"/>
          <w:szCs w:val="24"/>
        </w:rPr>
        <w:t xml:space="preserve"> be attempting to see if </w:t>
      </w:r>
      <w:r w:rsidR="00805C4D">
        <w:rPr>
          <w:rFonts w:cs="Times New Roman"/>
          <w:bCs/>
          <w:sz w:val="24"/>
          <w:szCs w:val="24"/>
        </w:rPr>
        <w:t xml:space="preserve">the </w:t>
      </w:r>
      <w:r w:rsidR="00805C4D">
        <w:rPr>
          <w:rFonts w:cs="Times New Roman"/>
          <w:bCs/>
          <w:i/>
          <w:sz w:val="24"/>
          <w:szCs w:val="24"/>
        </w:rPr>
        <w:t>Regionary Catalogues</w:t>
      </w:r>
      <w:r w:rsidR="00805C4D">
        <w:rPr>
          <w:rFonts w:cs="Times New Roman"/>
          <w:bCs/>
          <w:sz w:val="24"/>
          <w:szCs w:val="24"/>
        </w:rPr>
        <w:t xml:space="preserve"> and the Marble Plan followed the </w:t>
      </w:r>
      <w:r w:rsidR="0049637A">
        <w:rPr>
          <w:rFonts w:cs="Times New Roman"/>
          <w:bCs/>
          <w:sz w:val="24"/>
          <w:szCs w:val="24"/>
        </w:rPr>
        <w:t>same</w:t>
      </w:r>
      <w:r w:rsidR="00805C4D">
        <w:rPr>
          <w:rFonts w:cs="Times New Roman"/>
          <w:bCs/>
          <w:sz w:val="24"/>
          <w:szCs w:val="24"/>
        </w:rPr>
        <w:t xml:space="preserve"> principles of </w:t>
      </w:r>
      <w:r w:rsidR="008B44B0">
        <w:rPr>
          <w:rFonts w:cs="Times New Roman"/>
          <w:bCs/>
          <w:sz w:val="24"/>
          <w:szCs w:val="24"/>
        </w:rPr>
        <w:t>imperial</w:t>
      </w:r>
      <w:r w:rsidR="00805C4D">
        <w:rPr>
          <w:rFonts w:cs="Times New Roman"/>
          <w:bCs/>
          <w:sz w:val="24"/>
          <w:szCs w:val="24"/>
        </w:rPr>
        <w:t xml:space="preserve"> representation</w:t>
      </w:r>
      <w:r>
        <w:rPr>
          <w:rFonts w:cs="Times New Roman"/>
          <w:bCs/>
          <w:sz w:val="24"/>
          <w:szCs w:val="24"/>
        </w:rPr>
        <w:t>.</w:t>
      </w:r>
      <w:r>
        <w:rPr>
          <w:rStyle w:val="FootnoteReference"/>
          <w:rFonts w:cs="Times New Roman"/>
          <w:bCs/>
          <w:sz w:val="24"/>
          <w:szCs w:val="24"/>
        </w:rPr>
        <w:footnoteReference w:id="190"/>
      </w:r>
      <w:r>
        <w:rPr>
          <w:rFonts w:cs="Times New Roman"/>
          <w:bCs/>
          <w:sz w:val="24"/>
          <w:szCs w:val="24"/>
        </w:rPr>
        <w:t xml:space="preserve"> Whilst it </w:t>
      </w:r>
      <w:r w:rsidR="006D1C71">
        <w:rPr>
          <w:rFonts w:cs="Times New Roman"/>
          <w:bCs/>
          <w:sz w:val="24"/>
          <w:szCs w:val="24"/>
        </w:rPr>
        <w:t xml:space="preserve">is beyond the boundaries of </w:t>
      </w:r>
      <w:r>
        <w:rPr>
          <w:rFonts w:cs="Times New Roman"/>
          <w:bCs/>
          <w:sz w:val="24"/>
          <w:szCs w:val="24"/>
        </w:rPr>
        <w:t>this study to prove a direct relation</w:t>
      </w:r>
      <w:r w:rsidR="006D1C71">
        <w:rPr>
          <w:rFonts w:cs="Times New Roman"/>
          <w:bCs/>
          <w:sz w:val="24"/>
          <w:szCs w:val="24"/>
        </w:rPr>
        <w:t>ship</w:t>
      </w:r>
      <w:r>
        <w:rPr>
          <w:rFonts w:cs="Times New Roman"/>
          <w:bCs/>
          <w:sz w:val="24"/>
          <w:szCs w:val="24"/>
        </w:rPr>
        <w:t xml:space="preserve"> between the Marble Plan and the </w:t>
      </w:r>
      <w:r>
        <w:rPr>
          <w:rFonts w:cs="Times New Roman"/>
          <w:bCs/>
          <w:i/>
          <w:sz w:val="24"/>
          <w:szCs w:val="24"/>
        </w:rPr>
        <w:t>Regionary Catalogues</w:t>
      </w:r>
      <w:r>
        <w:rPr>
          <w:rFonts w:cs="Times New Roman"/>
          <w:bCs/>
          <w:sz w:val="24"/>
          <w:szCs w:val="24"/>
        </w:rPr>
        <w:t xml:space="preserve">, by examining some of the methodologies applied to the study of the Marble Plan we can gain a greater insight into the use and purpose of the information within the </w:t>
      </w:r>
      <w:r>
        <w:rPr>
          <w:rFonts w:cs="Times New Roman"/>
          <w:bCs/>
          <w:i/>
          <w:sz w:val="24"/>
          <w:szCs w:val="24"/>
        </w:rPr>
        <w:t>Regionary Catalogues</w:t>
      </w:r>
      <w:r>
        <w:rPr>
          <w:rFonts w:cs="Times New Roman"/>
          <w:bCs/>
          <w:sz w:val="24"/>
          <w:szCs w:val="24"/>
        </w:rPr>
        <w:t>. In particular I will examine both items</w:t>
      </w:r>
      <w:r w:rsidR="006D1C71">
        <w:rPr>
          <w:rFonts w:cs="Times New Roman"/>
          <w:bCs/>
          <w:sz w:val="24"/>
          <w:szCs w:val="24"/>
        </w:rPr>
        <w:t>’</w:t>
      </w:r>
      <w:r>
        <w:rPr>
          <w:rFonts w:cs="Times New Roman"/>
          <w:bCs/>
          <w:sz w:val="24"/>
          <w:szCs w:val="24"/>
        </w:rPr>
        <w:t xml:space="preserve"> relatively detailed depiction of seemingly minor information such as the lists of </w:t>
      </w:r>
      <w:r>
        <w:rPr>
          <w:rFonts w:cs="Times New Roman"/>
          <w:bCs/>
          <w:i/>
          <w:sz w:val="24"/>
          <w:szCs w:val="24"/>
        </w:rPr>
        <w:t>balinea</w:t>
      </w:r>
      <w:r>
        <w:rPr>
          <w:rFonts w:cs="Times New Roman"/>
          <w:bCs/>
          <w:sz w:val="24"/>
          <w:szCs w:val="24"/>
        </w:rPr>
        <w:t xml:space="preserve">, </w:t>
      </w:r>
      <w:r>
        <w:rPr>
          <w:rFonts w:cs="Times New Roman"/>
          <w:bCs/>
          <w:i/>
          <w:sz w:val="24"/>
          <w:szCs w:val="24"/>
        </w:rPr>
        <w:t>horrea</w:t>
      </w:r>
      <w:r>
        <w:rPr>
          <w:rFonts w:cs="Times New Roman"/>
          <w:bCs/>
          <w:sz w:val="24"/>
          <w:szCs w:val="24"/>
        </w:rPr>
        <w:t xml:space="preserve"> and </w:t>
      </w:r>
      <w:r>
        <w:rPr>
          <w:rFonts w:cs="Times New Roman"/>
          <w:bCs/>
          <w:i/>
          <w:sz w:val="24"/>
          <w:szCs w:val="24"/>
        </w:rPr>
        <w:t>insulae</w:t>
      </w:r>
      <w:r>
        <w:rPr>
          <w:rFonts w:cs="Times New Roman"/>
          <w:bCs/>
          <w:sz w:val="24"/>
          <w:szCs w:val="24"/>
        </w:rPr>
        <w:t>.</w:t>
      </w:r>
      <w:r>
        <w:rPr>
          <w:rFonts w:cs="Times New Roman"/>
          <w:bCs/>
          <w:sz w:val="24"/>
          <w:szCs w:val="24"/>
        </w:rPr>
        <w:tab/>
      </w:r>
    </w:p>
    <w:p w:rsidR="00E756D7" w:rsidRDefault="00805C4D" w:rsidP="00722391">
      <w:pPr>
        <w:tabs>
          <w:tab w:val="left" w:pos="0"/>
        </w:tabs>
        <w:spacing w:line="480" w:lineRule="auto"/>
        <w:jc w:val="both"/>
        <w:rPr>
          <w:rFonts w:cs="Times New Roman"/>
          <w:bCs/>
          <w:sz w:val="24"/>
          <w:szCs w:val="24"/>
        </w:rPr>
      </w:pPr>
      <w:r>
        <w:rPr>
          <w:rFonts w:cs="Times New Roman"/>
          <w:bCs/>
          <w:sz w:val="24"/>
          <w:szCs w:val="24"/>
        </w:rPr>
        <w:tab/>
        <w:t>I hope to critique</w:t>
      </w:r>
      <w:r w:rsidR="00E756D7">
        <w:rPr>
          <w:rFonts w:cs="Times New Roman"/>
          <w:bCs/>
          <w:sz w:val="24"/>
          <w:szCs w:val="24"/>
        </w:rPr>
        <w:t xml:space="preserve"> how the </w:t>
      </w:r>
      <w:r w:rsidR="00E756D7">
        <w:rPr>
          <w:rFonts w:cs="Times New Roman"/>
          <w:bCs/>
          <w:i/>
          <w:iCs/>
          <w:sz w:val="24"/>
          <w:szCs w:val="24"/>
        </w:rPr>
        <w:t>Regionaries</w:t>
      </w:r>
      <w:r w:rsidR="00E756D7">
        <w:rPr>
          <w:rFonts w:cs="Times New Roman"/>
          <w:bCs/>
          <w:iCs/>
          <w:sz w:val="24"/>
          <w:szCs w:val="24"/>
        </w:rPr>
        <w:t>,</w:t>
      </w:r>
      <w:r w:rsidR="00E756D7">
        <w:rPr>
          <w:rFonts w:cs="Times New Roman"/>
          <w:bCs/>
          <w:sz w:val="24"/>
          <w:szCs w:val="24"/>
        </w:rPr>
        <w:t xml:space="preserve"> like the Marble Plan, are often instinctively (and perhaps uncritically) used for the locations of things. This will be done first by </w:t>
      </w:r>
      <w:r w:rsidR="0049637A">
        <w:rPr>
          <w:rFonts w:cs="Times New Roman"/>
          <w:bCs/>
          <w:sz w:val="24"/>
          <w:szCs w:val="24"/>
        </w:rPr>
        <w:t>an</w:t>
      </w:r>
      <w:r w:rsidR="00E756D7">
        <w:rPr>
          <w:rFonts w:cs="Times New Roman"/>
          <w:bCs/>
          <w:sz w:val="24"/>
          <w:szCs w:val="24"/>
        </w:rPr>
        <w:t xml:space="preserve"> examination of the </w:t>
      </w:r>
      <w:r w:rsidR="00E756D7">
        <w:rPr>
          <w:rFonts w:cs="Times New Roman"/>
          <w:bCs/>
          <w:i/>
          <w:sz w:val="24"/>
          <w:szCs w:val="24"/>
        </w:rPr>
        <w:t>Regionary Catalogues</w:t>
      </w:r>
      <w:r w:rsidR="00E756D7">
        <w:rPr>
          <w:rFonts w:cs="Times New Roman"/>
          <w:bCs/>
          <w:sz w:val="24"/>
          <w:szCs w:val="24"/>
        </w:rPr>
        <w:t xml:space="preserve"> and the Marble Plan as individual items before being expanded upon through a comparison between the </w:t>
      </w:r>
      <w:r w:rsidR="00E756D7">
        <w:rPr>
          <w:rFonts w:cs="Times New Roman"/>
          <w:bCs/>
          <w:i/>
          <w:sz w:val="24"/>
          <w:szCs w:val="24"/>
        </w:rPr>
        <w:t xml:space="preserve">Regionary Catalogues </w:t>
      </w:r>
      <w:r w:rsidR="00E756D7">
        <w:rPr>
          <w:rFonts w:cs="Times New Roman"/>
          <w:bCs/>
          <w:sz w:val="24"/>
          <w:szCs w:val="24"/>
        </w:rPr>
        <w:t xml:space="preserve">and the Marble Plan. The </w:t>
      </w:r>
      <w:r w:rsidR="00E756D7">
        <w:rPr>
          <w:rFonts w:cs="Times New Roman"/>
          <w:bCs/>
          <w:i/>
          <w:sz w:val="24"/>
          <w:szCs w:val="24"/>
        </w:rPr>
        <w:t>Regionary Catalogues</w:t>
      </w:r>
      <w:r w:rsidR="00E756D7">
        <w:rPr>
          <w:rFonts w:cs="Times New Roman"/>
          <w:bCs/>
          <w:sz w:val="24"/>
          <w:szCs w:val="24"/>
        </w:rPr>
        <w:t>, ag</w:t>
      </w:r>
      <w:r w:rsidR="006D1C71">
        <w:rPr>
          <w:rFonts w:cs="Times New Roman"/>
          <w:bCs/>
          <w:sz w:val="24"/>
          <w:szCs w:val="24"/>
        </w:rPr>
        <w:t>ain like the Marble Plan, are not</w:t>
      </w:r>
      <w:r w:rsidR="00E756D7">
        <w:rPr>
          <w:rFonts w:cs="Times New Roman"/>
          <w:bCs/>
          <w:sz w:val="24"/>
          <w:szCs w:val="24"/>
        </w:rPr>
        <w:t xml:space="preserve"> straightforward records of the location of things. Their relationship to the actual physical landscape of the city is not a straightforward cartographical translation of the City, but one based on the interpretation of cultural and topographical symbolism. By comparing the material to the textual we can gain new insight into the meaning and purpose of the </w:t>
      </w:r>
      <w:r w:rsidR="00E756D7">
        <w:rPr>
          <w:rFonts w:cs="Times New Roman"/>
          <w:bCs/>
          <w:i/>
          <w:sz w:val="24"/>
          <w:szCs w:val="24"/>
        </w:rPr>
        <w:t>Regionary Catalogues</w:t>
      </w:r>
      <w:r w:rsidR="00E756D7">
        <w:rPr>
          <w:rFonts w:cs="Times New Roman"/>
          <w:bCs/>
          <w:sz w:val="24"/>
          <w:szCs w:val="24"/>
        </w:rPr>
        <w:t xml:space="preserve"> through exploring the process of translating a city of “Bricks and Marble” into one of ink and parchment. This will mean examining the differences and similarities of the </w:t>
      </w:r>
      <w:r w:rsidR="00E756D7">
        <w:rPr>
          <w:rFonts w:cs="Times New Roman"/>
          <w:bCs/>
          <w:i/>
          <w:sz w:val="24"/>
          <w:szCs w:val="24"/>
        </w:rPr>
        <w:t>Regionaries</w:t>
      </w:r>
      <w:r w:rsidR="00E756D7">
        <w:rPr>
          <w:rFonts w:cs="Times New Roman"/>
          <w:bCs/>
          <w:sz w:val="24"/>
          <w:szCs w:val="24"/>
        </w:rPr>
        <w:t xml:space="preserve"> and the Marble Plan in terms</w:t>
      </w:r>
      <w:r w:rsidR="006D1C71">
        <w:rPr>
          <w:rFonts w:cs="Times New Roman"/>
          <w:bCs/>
          <w:sz w:val="24"/>
          <w:szCs w:val="24"/>
        </w:rPr>
        <w:t xml:space="preserve"> not only</w:t>
      </w:r>
      <w:r w:rsidR="00E756D7">
        <w:rPr>
          <w:rFonts w:cs="Times New Roman"/>
          <w:bCs/>
          <w:sz w:val="24"/>
          <w:szCs w:val="24"/>
        </w:rPr>
        <w:t xml:space="preserve"> of content but also</w:t>
      </w:r>
      <w:r w:rsidR="006D1C71">
        <w:rPr>
          <w:rFonts w:cs="Times New Roman"/>
          <w:bCs/>
          <w:sz w:val="24"/>
          <w:szCs w:val="24"/>
        </w:rPr>
        <w:t xml:space="preserve"> of</w:t>
      </w:r>
      <w:r w:rsidR="00E756D7">
        <w:rPr>
          <w:rFonts w:cs="Times New Roman"/>
          <w:bCs/>
          <w:sz w:val="24"/>
          <w:szCs w:val="24"/>
        </w:rPr>
        <w:t xml:space="preserve"> audience, form and material. The Marble Plan is a fragmented document in contrast to the complete </w:t>
      </w:r>
      <w:r w:rsidR="00E756D7">
        <w:rPr>
          <w:rFonts w:cs="Times New Roman"/>
          <w:bCs/>
          <w:i/>
          <w:sz w:val="24"/>
          <w:szCs w:val="24"/>
        </w:rPr>
        <w:t>Regionaries</w:t>
      </w:r>
      <w:r w:rsidR="00E756D7">
        <w:rPr>
          <w:rFonts w:cs="Times New Roman"/>
          <w:bCs/>
          <w:sz w:val="24"/>
          <w:szCs w:val="24"/>
        </w:rPr>
        <w:t xml:space="preserve">, and therefore </w:t>
      </w:r>
      <w:r w:rsidR="006D1C71">
        <w:rPr>
          <w:rFonts w:cs="Times New Roman"/>
          <w:bCs/>
          <w:sz w:val="24"/>
          <w:szCs w:val="24"/>
        </w:rPr>
        <w:t>the two now</w:t>
      </w:r>
      <w:r w:rsidR="00E756D7">
        <w:rPr>
          <w:rFonts w:cs="Times New Roman"/>
          <w:bCs/>
          <w:sz w:val="24"/>
          <w:szCs w:val="24"/>
        </w:rPr>
        <w:t xml:space="preserve"> make different impressions. </w:t>
      </w:r>
    </w:p>
    <w:p w:rsidR="00E756D7" w:rsidRDefault="00E756D7" w:rsidP="00722391">
      <w:pPr>
        <w:tabs>
          <w:tab w:val="left" w:pos="0"/>
        </w:tabs>
        <w:spacing w:line="480" w:lineRule="auto"/>
        <w:jc w:val="both"/>
        <w:rPr>
          <w:rFonts w:cs="Times New Roman"/>
          <w:bCs/>
          <w:sz w:val="24"/>
          <w:szCs w:val="24"/>
        </w:rPr>
      </w:pPr>
      <w:r>
        <w:rPr>
          <w:rFonts w:cs="Times New Roman"/>
          <w:bCs/>
          <w:sz w:val="24"/>
          <w:szCs w:val="24"/>
        </w:rPr>
        <w:lastRenderedPageBreak/>
        <w:tab/>
        <w:t>Having established the</w:t>
      </w:r>
      <w:r w:rsidR="00D87D21">
        <w:rPr>
          <w:rFonts w:cs="Times New Roman"/>
          <w:bCs/>
          <w:sz w:val="24"/>
          <w:szCs w:val="24"/>
        </w:rPr>
        <w:t xml:space="preserve"> differences and</w:t>
      </w:r>
      <w:r>
        <w:rPr>
          <w:rFonts w:cs="Times New Roman"/>
          <w:bCs/>
          <w:sz w:val="24"/>
          <w:szCs w:val="24"/>
        </w:rPr>
        <w:t xml:space="preserve"> similarities in content and creation between the </w:t>
      </w:r>
      <w:r>
        <w:rPr>
          <w:rFonts w:cs="Times New Roman"/>
          <w:bCs/>
          <w:i/>
          <w:sz w:val="24"/>
          <w:szCs w:val="24"/>
        </w:rPr>
        <w:t>Regionary Catalogues</w:t>
      </w:r>
      <w:r w:rsidR="008521AD">
        <w:rPr>
          <w:rFonts w:cs="Times New Roman"/>
          <w:bCs/>
          <w:sz w:val="24"/>
          <w:szCs w:val="24"/>
        </w:rPr>
        <w:t xml:space="preserve"> and the Marble Plan;</w:t>
      </w:r>
      <w:r>
        <w:rPr>
          <w:rFonts w:cs="Times New Roman"/>
          <w:bCs/>
          <w:sz w:val="24"/>
          <w:szCs w:val="24"/>
        </w:rPr>
        <w:t xml:space="preserve"> I will attempt to further </w:t>
      </w:r>
      <w:r w:rsidR="00805C4D">
        <w:rPr>
          <w:rFonts w:cs="Times New Roman"/>
          <w:bCs/>
          <w:sz w:val="24"/>
          <w:szCs w:val="24"/>
        </w:rPr>
        <w:t xml:space="preserve">test my hypothesis that the </w:t>
      </w:r>
      <w:r w:rsidR="0087599E">
        <w:rPr>
          <w:rFonts w:cs="Times New Roman"/>
          <w:bCs/>
          <w:sz w:val="24"/>
          <w:szCs w:val="24"/>
        </w:rPr>
        <w:t>E</w:t>
      </w:r>
      <w:r w:rsidR="008B44B0">
        <w:rPr>
          <w:rFonts w:cs="Times New Roman"/>
          <w:bCs/>
          <w:sz w:val="24"/>
          <w:szCs w:val="24"/>
        </w:rPr>
        <w:t>mperor</w:t>
      </w:r>
      <w:r>
        <w:rPr>
          <w:rFonts w:cs="Times New Roman"/>
          <w:bCs/>
          <w:sz w:val="24"/>
          <w:szCs w:val="24"/>
        </w:rPr>
        <w:t xml:space="preserve"> Aurelian was the most likely commissioner of the </w:t>
      </w:r>
      <w:r>
        <w:rPr>
          <w:rFonts w:cs="Times New Roman"/>
          <w:bCs/>
          <w:i/>
          <w:sz w:val="24"/>
          <w:szCs w:val="24"/>
        </w:rPr>
        <w:t>Regionaries</w:t>
      </w:r>
      <w:r>
        <w:rPr>
          <w:rFonts w:cs="Times New Roman"/>
          <w:bCs/>
          <w:sz w:val="24"/>
          <w:szCs w:val="24"/>
        </w:rPr>
        <w:t xml:space="preserve"> through</w:t>
      </w:r>
      <w:r w:rsidR="008521AD">
        <w:rPr>
          <w:rFonts w:cs="Times New Roman"/>
          <w:bCs/>
          <w:sz w:val="24"/>
          <w:szCs w:val="24"/>
        </w:rPr>
        <w:t>:</w:t>
      </w:r>
      <w:r>
        <w:rPr>
          <w:rFonts w:cs="Times New Roman"/>
          <w:bCs/>
          <w:sz w:val="24"/>
          <w:szCs w:val="24"/>
        </w:rPr>
        <w:t xml:space="preserve"> the unique content of the </w:t>
      </w:r>
      <w:r>
        <w:rPr>
          <w:rFonts w:cs="Times New Roman"/>
          <w:bCs/>
          <w:i/>
          <w:sz w:val="24"/>
          <w:szCs w:val="24"/>
        </w:rPr>
        <w:t>Regionaries</w:t>
      </w:r>
      <w:r w:rsidR="008560A9">
        <w:rPr>
          <w:rFonts w:cs="Times New Roman"/>
          <w:bCs/>
          <w:sz w:val="24"/>
          <w:szCs w:val="24"/>
        </w:rPr>
        <w:t>, the construction of the Aurelian Wall,</w:t>
      </w:r>
      <w:r>
        <w:rPr>
          <w:rFonts w:cs="Times New Roman"/>
          <w:bCs/>
          <w:sz w:val="24"/>
          <w:szCs w:val="24"/>
        </w:rPr>
        <w:t xml:space="preserve"> and Aurelian’s similarities in</w:t>
      </w:r>
      <w:r w:rsidR="000C306D">
        <w:rPr>
          <w:rFonts w:cs="Times New Roman"/>
          <w:bCs/>
          <w:sz w:val="24"/>
          <w:szCs w:val="24"/>
        </w:rPr>
        <w:t xml:space="preserve"> terms of</w:t>
      </w:r>
      <w:r>
        <w:rPr>
          <w:rFonts w:cs="Times New Roman"/>
          <w:bCs/>
          <w:sz w:val="24"/>
          <w:szCs w:val="24"/>
        </w:rPr>
        <w:t xml:space="preserve"> needs and context to </w:t>
      </w:r>
      <w:r w:rsidR="008A797A">
        <w:rPr>
          <w:rFonts w:cs="Times New Roman"/>
          <w:bCs/>
          <w:sz w:val="24"/>
          <w:szCs w:val="24"/>
        </w:rPr>
        <w:t>Septimius</w:t>
      </w:r>
      <w:r>
        <w:rPr>
          <w:rFonts w:cs="Times New Roman"/>
          <w:bCs/>
          <w:sz w:val="24"/>
          <w:szCs w:val="24"/>
        </w:rPr>
        <w:t xml:space="preserve"> Severus. I will further develop this by returning to the differences between the Marble Plan and the </w:t>
      </w:r>
      <w:r>
        <w:rPr>
          <w:rFonts w:cs="Times New Roman"/>
          <w:bCs/>
          <w:i/>
          <w:sz w:val="24"/>
          <w:szCs w:val="24"/>
        </w:rPr>
        <w:t>Regionary Catalogues</w:t>
      </w:r>
      <w:r>
        <w:rPr>
          <w:rFonts w:cs="Times New Roman"/>
          <w:bCs/>
          <w:sz w:val="24"/>
          <w:szCs w:val="24"/>
        </w:rPr>
        <w:t xml:space="preserve"> in order to demonstrate how the </w:t>
      </w:r>
      <w:r>
        <w:rPr>
          <w:rFonts w:cs="Times New Roman"/>
          <w:bCs/>
          <w:i/>
          <w:sz w:val="24"/>
          <w:szCs w:val="24"/>
        </w:rPr>
        <w:t>Regionaries</w:t>
      </w:r>
      <w:r>
        <w:rPr>
          <w:rFonts w:cs="Times New Roman"/>
          <w:bCs/>
          <w:sz w:val="24"/>
          <w:szCs w:val="24"/>
        </w:rPr>
        <w:t xml:space="preserve"> were intended as more low-key internal document for the Urban Prefect</w:t>
      </w:r>
      <w:r w:rsidR="008560A9">
        <w:rPr>
          <w:rFonts w:cs="Times New Roman"/>
          <w:bCs/>
          <w:sz w:val="24"/>
          <w:szCs w:val="24"/>
        </w:rPr>
        <w:t>, focusing on the position’s key competencies</w:t>
      </w:r>
      <w:r>
        <w:rPr>
          <w:rFonts w:cs="Times New Roman"/>
          <w:bCs/>
          <w:sz w:val="24"/>
          <w:szCs w:val="24"/>
        </w:rPr>
        <w:t xml:space="preserve"> in contrast to the more public and bombastic purposes of the Marble Plan. </w:t>
      </w:r>
      <w:r>
        <w:rPr>
          <w:sz w:val="24"/>
          <w:szCs w:val="24"/>
        </w:rPr>
        <w:t>An important aspect of this is the circumstance</w:t>
      </w:r>
      <w:r w:rsidR="006D1C71">
        <w:rPr>
          <w:sz w:val="24"/>
          <w:szCs w:val="24"/>
        </w:rPr>
        <w:t>s</w:t>
      </w:r>
      <w:r>
        <w:rPr>
          <w:sz w:val="24"/>
          <w:szCs w:val="24"/>
        </w:rPr>
        <w:t xml:space="preserve"> of the Marble Plan’s creation. Our story for the Marble Plan’s creation begins with the fire of AD 192 which ravaged the city’s monumental heart, destroying the </w:t>
      </w:r>
      <w:r>
        <w:rPr>
          <w:i/>
          <w:sz w:val="24"/>
          <w:szCs w:val="24"/>
        </w:rPr>
        <w:t>Templum Pacis</w:t>
      </w:r>
      <w:r>
        <w:rPr>
          <w:sz w:val="24"/>
          <w:szCs w:val="24"/>
        </w:rPr>
        <w:t>, the</w:t>
      </w:r>
      <w:r>
        <w:rPr>
          <w:i/>
          <w:sz w:val="24"/>
          <w:szCs w:val="24"/>
        </w:rPr>
        <w:t xml:space="preserve"> Aedes Vesta</w:t>
      </w:r>
      <w:r>
        <w:rPr>
          <w:sz w:val="24"/>
          <w:szCs w:val="24"/>
        </w:rPr>
        <w:t xml:space="preserve"> and part of the Palatine.</w:t>
      </w:r>
      <w:r>
        <w:rPr>
          <w:rStyle w:val="FootnoteReference"/>
          <w:sz w:val="24"/>
          <w:szCs w:val="24"/>
        </w:rPr>
        <w:footnoteReference w:id="191"/>
      </w:r>
      <w:r>
        <w:rPr>
          <w:sz w:val="24"/>
          <w:szCs w:val="24"/>
        </w:rPr>
        <w:t xml:space="preserve"> Most likely the Marble Plan was </w:t>
      </w:r>
      <w:r w:rsidR="00D87D21">
        <w:rPr>
          <w:sz w:val="24"/>
          <w:szCs w:val="24"/>
        </w:rPr>
        <w:t>then</w:t>
      </w:r>
      <w:r>
        <w:rPr>
          <w:sz w:val="24"/>
          <w:szCs w:val="24"/>
        </w:rPr>
        <w:t xml:space="preserve"> derived from survey documents that were part of the restoration process and </w:t>
      </w:r>
      <w:r w:rsidR="00D87D21">
        <w:rPr>
          <w:sz w:val="24"/>
          <w:szCs w:val="24"/>
        </w:rPr>
        <w:t xml:space="preserve">which </w:t>
      </w:r>
      <w:r>
        <w:rPr>
          <w:sz w:val="24"/>
          <w:szCs w:val="24"/>
        </w:rPr>
        <w:t>were contained within the room</w:t>
      </w:r>
      <w:r w:rsidR="006D1C71">
        <w:rPr>
          <w:sz w:val="24"/>
          <w:szCs w:val="24"/>
        </w:rPr>
        <w:t xml:space="preserve"> where</w:t>
      </w:r>
      <w:r>
        <w:rPr>
          <w:sz w:val="24"/>
          <w:szCs w:val="24"/>
        </w:rPr>
        <w:t xml:space="preserve"> the Plan was.</w:t>
      </w:r>
      <w:r>
        <w:rPr>
          <w:rStyle w:val="FootnoteReference"/>
          <w:sz w:val="24"/>
          <w:szCs w:val="24"/>
        </w:rPr>
        <w:footnoteReference w:id="192"/>
      </w:r>
      <w:r>
        <w:rPr>
          <w:sz w:val="24"/>
          <w:szCs w:val="24"/>
        </w:rPr>
        <w:t xml:space="preserve"> </w:t>
      </w:r>
    </w:p>
    <w:p w:rsidR="00E756D7" w:rsidRDefault="00E756D7" w:rsidP="00722391">
      <w:pPr>
        <w:tabs>
          <w:tab w:val="left" w:pos="7702"/>
        </w:tabs>
        <w:spacing w:line="480" w:lineRule="auto"/>
        <w:jc w:val="both"/>
        <w:rPr>
          <w:sz w:val="24"/>
          <w:szCs w:val="24"/>
          <w:u w:val="single"/>
        </w:rPr>
      </w:pPr>
    </w:p>
    <w:p w:rsidR="00E756D7" w:rsidRDefault="00E756D7" w:rsidP="00722391">
      <w:pPr>
        <w:tabs>
          <w:tab w:val="left" w:pos="7702"/>
        </w:tabs>
        <w:spacing w:line="480" w:lineRule="auto"/>
        <w:jc w:val="both"/>
        <w:rPr>
          <w:sz w:val="24"/>
          <w:szCs w:val="24"/>
          <w:u w:val="single"/>
        </w:rPr>
      </w:pPr>
      <w:r>
        <w:rPr>
          <w:sz w:val="24"/>
          <w:szCs w:val="24"/>
          <w:u w:val="single"/>
        </w:rPr>
        <w:t>Why we can’t use the Regionary Catalogues to locate “things”</w:t>
      </w:r>
      <w:r w:rsidR="0049637A">
        <w:rPr>
          <w:sz w:val="24"/>
          <w:szCs w:val="24"/>
          <w:u w:val="single"/>
        </w:rPr>
        <w:t>?</w:t>
      </w:r>
    </w:p>
    <w:p w:rsidR="00E756D7" w:rsidRDefault="00E756D7" w:rsidP="00722391">
      <w:pPr>
        <w:tabs>
          <w:tab w:val="left" w:pos="7702"/>
        </w:tabs>
        <w:spacing w:line="480" w:lineRule="auto"/>
        <w:jc w:val="both"/>
        <w:rPr>
          <w:sz w:val="24"/>
          <w:szCs w:val="24"/>
          <w:u w:val="single"/>
        </w:rPr>
      </w:pPr>
    </w:p>
    <w:p w:rsidR="00E756D7" w:rsidRDefault="00E756D7" w:rsidP="008521AD">
      <w:pPr>
        <w:spacing w:line="480" w:lineRule="auto"/>
        <w:jc w:val="both"/>
        <w:rPr>
          <w:sz w:val="24"/>
          <w:szCs w:val="24"/>
        </w:rPr>
      </w:pPr>
      <w:r>
        <w:rPr>
          <w:sz w:val="24"/>
          <w:szCs w:val="24"/>
        </w:rPr>
        <w:t xml:space="preserve">It was an essential duty of the </w:t>
      </w:r>
      <w:r w:rsidR="0087599E">
        <w:rPr>
          <w:sz w:val="24"/>
          <w:szCs w:val="24"/>
        </w:rPr>
        <w:t>e</w:t>
      </w:r>
      <w:r w:rsidR="008B44B0">
        <w:rPr>
          <w:sz w:val="24"/>
          <w:szCs w:val="24"/>
        </w:rPr>
        <w:t>mperor</w:t>
      </w:r>
      <w:r>
        <w:rPr>
          <w:sz w:val="24"/>
          <w:szCs w:val="24"/>
        </w:rPr>
        <w:t xml:space="preserve">, and </w:t>
      </w:r>
      <w:r w:rsidR="00D153D7">
        <w:rPr>
          <w:sz w:val="24"/>
          <w:szCs w:val="24"/>
        </w:rPr>
        <w:t>by extension</w:t>
      </w:r>
      <w:r>
        <w:rPr>
          <w:sz w:val="24"/>
          <w:szCs w:val="24"/>
        </w:rPr>
        <w:t xml:space="preserve"> the Urban Prefect, to maintain the physical fabric of the city of Rome. The physical fabric of the city is what made its claim to world domination so plausible. </w:t>
      </w:r>
      <w:r w:rsidR="00D153D7">
        <w:rPr>
          <w:sz w:val="24"/>
          <w:szCs w:val="24"/>
        </w:rPr>
        <w:t>Such</w:t>
      </w:r>
      <w:r>
        <w:rPr>
          <w:sz w:val="24"/>
          <w:szCs w:val="24"/>
        </w:rPr>
        <w:t xml:space="preserve"> a magnificent city could</w:t>
      </w:r>
      <w:r w:rsidR="00D153D7">
        <w:rPr>
          <w:sz w:val="24"/>
          <w:szCs w:val="24"/>
        </w:rPr>
        <w:t xml:space="preserve"> only exist in a vast</w:t>
      </w:r>
      <w:r w:rsidR="000C306D">
        <w:rPr>
          <w:sz w:val="24"/>
          <w:szCs w:val="24"/>
        </w:rPr>
        <w:t xml:space="preserve"> and powerful</w:t>
      </w:r>
      <w:r w:rsidR="00D153D7">
        <w:rPr>
          <w:sz w:val="24"/>
          <w:szCs w:val="24"/>
        </w:rPr>
        <w:t xml:space="preserve"> Empire. A</w:t>
      </w:r>
      <w:r>
        <w:rPr>
          <w:sz w:val="24"/>
          <w:szCs w:val="24"/>
        </w:rPr>
        <w:t>t the same time the greatness of</w:t>
      </w:r>
      <w:r w:rsidR="006D1C71">
        <w:rPr>
          <w:sz w:val="24"/>
          <w:szCs w:val="24"/>
        </w:rPr>
        <w:t xml:space="preserve"> the </w:t>
      </w:r>
      <w:r>
        <w:rPr>
          <w:sz w:val="24"/>
          <w:szCs w:val="24"/>
        </w:rPr>
        <w:t xml:space="preserve">city served to render the extent of </w:t>
      </w:r>
      <w:r>
        <w:rPr>
          <w:sz w:val="24"/>
          <w:szCs w:val="24"/>
        </w:rPr>
        <w:lastRenderedPageBreak/>
        <w:t xml:space="preserve">Rome’s vast empire comprehensible. Therefore for the </w:t>
      </w:r>
      <w:r w:rsidR="0087599E">
        <w:rPr>
          <w:sz w:val="24"/>
          <w:szCs w:val="24"/>
        </w:rPr>
        <w:t>emperors</w:t>
      </w:r>
      <w:r>
        <w:rPr>
          <w:sz w:val="24"/>
          <w:szCs w:val="24"/>
        </w:rPr>
        <w:t xml:space="preserve"> and their representatives it was eminently justifiable (and indeed an imperative) to spend such vast resources on the capital.</w:t>
      </w:r>
      <w:r>
        <w:rPr>
          <w:rStyle w:val="FootnoteReference"/>
          <w:sz w:val="24"/>
          <w:szCs w:val="24"/>
        </w:rPr>
        <w:footnoteReference w:id="193"/>
      </w:r>
      <w:r>
        <w:rPr>
          <w:sz w:val="24"/>
          <w:szCs w:val="24"/>
        </w:rPr>
        <w:t xml:space="preserve"> But what was the physical reality of the city they spent such money on? When it comes to determining what the physical city was, historians have both consciously and unconsciously relied on the framework provided by the </w:t>
      </w:r>
      <w:r>
        <w:rPr>
          <w:i/>
          <w:sz w:val="24"/>
          <w:szCs w:val="24"/>
        </w:rPr>
        <w:t>Regionary Catalogues</w:t>
      </w:r>
      <w:r>
        <w:rPr>
          <w:sz w:val="24"/>
          <w:szCs w:val="24"/>
        </w:rPr>
        <w:t>.</w:t>
      </w:r>
      <w:r>
        <w:rPr>
          <w:rStyle w:val="FootnoteReference"/>
          <w:sz w:val="24"/>
          <w:szCs w:val="24"/>
        </w:rPr>
        <w:footnoteReference w:id="194"/>
      </w:r>
      <w:r>
        <w:rPr>
          <w:sz w:val="24"/>
          <w:szCs w:val="24"/>
        </w:rPr>
        <w:t xml:space="preserve"> </w:t>
      </w:r>
    </w:p>
    <w:p w:rsidR="00E756D7" w:rsidRDefault="00E756D7" w:rsidP="00722391">
      <w:pPr>
        <w:spacing w:line="480" w:lineRule="auto"/>
        <w:ind w:firstLine="720"/>
        <w:jc w:val="both"/>
        <w:rPr>
          <w:sz w:val="24"/>
          <w:szCs w:val="24"/>
        </w:rPr>
      </w:pPr>
      <w:r>
        <w:rPr>
          <w:sz w:val="24"/>
          <w:szCs w:val="24"/>
        </w:rPr>
        <w:t xml:space="preserve">The </w:t>
      </w:r>
      <w:r>
        <w:rPr>
          <w:i/>
          <w:sz w:val="24"/>
          <w:szCs w:val="24"/>
        </w:rPr>
        <w:t>Regionaries</w:t>
      </w:r>
      <w:r>
        <w:rPr>
          <w:sz w:val="24"/>
          <w:szCs w:val="24"/>
        </w:rPr>
        <w:t>, jus</w:t>
      </w:r>
      <w:r w:rsidR="006D1C71">
        <w:rPr>
          <w:sz w:val="24"/>
          <w:szCs w:val="24"/>
        </w:rPr>
        <w:t>t like the Marble Plan, present</w:t>
      </w:r>
      <w:r>
        <w:rPr>
          <w:sz w:val="24"/>
          <w:szCs w:val="24"/>
        </w:rPr>
        <w:t xml:space="preserve"> a great deal of difficult-to-acquire information in a form that seems to both hint at and yet</w:t>
      </w:r>
      <w:r w:rsidR="006D1C71">
        <w:rPr>
          <w:sz w:val="24"/>
          <w:szCs w:val="24"/>
        </w:rPr>
        <w:t xml:space="preserve"> also</w:t>
      </w:r>
      <w:r>
        <w:rPr>
          <w:sz w:val="24"/>
          <w:szCs w:val="24"/>
        </w:rPr>
        <w:t xml:space="preserve"> defies conventional practical use. Initially scholars believed that both the Marble Plan and the </w:t>
      </w:r>
      <w:r>
        <w:rPr>
          <w:i/>
          <w:sz w:val="24"/>
          <w:szCs w:val="24"/>
        </w:rPr>
        <w:t xml:space="preserve">Regionaries </w:t>
      </w:r>
      <w:r>
        <w:rPr>
          <w:sz w:val="24"/>
          <w:szCs w:val="24"/>
        </w:rPr>
        <w:t>functioned as either a cadastral map to record property boundaries or a straightforward cartographical list.</w:t>
      </w:r>
      <w:r>
        <w:rPr>
          <w:rStyle w:val="FootnoteReference"/>
          <w:sz w:val="24"/>
          <w:szCs w:val="24"/>
        </w:rPr>
        <w:footnoteReference w:id="195"/>
      </w:r>
      <w:r>
        <w:rPr>
          <w:sz w:val="24"/>
          <w:szCs w:val="24"/>
        </w:rPr>
        <w:t xml:space="preserve"> More modern historiography often dismisses both as “Rome worship”.</w:t>
      </w:r>
      <w:r>
        <w:rPr>
          <w:rStyle w:val="FootnoteReference"/>
          <w:sz w:val="24"/>
          <w:szCs w:val="24"/>
        </w:rPr>
        <w:footnoteReference w:id="196"/>
      </w:r>
      <w:r>
        <w:rPr>
          <w:sz w:val="24"/>
          <w:szCs w:val="24"/>
        </w:rPr>
        <w:t xml:space="preserve"> However just as we have shown with the </w:t>
      </w:r>
      <w:r>
        <w:rPr>
          <w:i/>
          <w:sz w:val="24"/>
          <w:szCs w:val="24"/>
        </w:rPr>
        <w:t>Regionaries</w:t>
      </w:r>
      <w:r>
        <w:rPr>
          <w:sz w:val="24"/>
          <w:szCs w:val="24"/>
        </w:rPr>
        <w:t>, the Marble Plan is far too complex to have been a mere invention.</w:t>
      </w:r>
      <w:r>
        <w:rPr>
          <w:rStyle w:val="FootnoteReference"/>
          <w:sz w:val="24"/>
          <w:szCs w:val="24"/>
        </w:rPr>
        <w:footnoteReference w:id="197"/>
      </w:r>
      <w:r>
        <w:rPr>
          <w:sz w:val="24"/>
          <w:szCs w:val="24"/>
        </w:rPr>
        <w:t xml:space="preserve"> David Reynolds attempts to demonstrate this by focusing on the </w:t>
      </w:r>
      <w:r>
        <w:rPr>
          <w:i/>
          <w:sz w:val="24"/>
          <w:szCs w:val="24"/>
        </w:rPr>
        <w:t>insulae</w:t>
      </w:r>
      <w:r>
        <w:rPr>
          <w:sz w:val="24"/>
          <w:szCs w:val="24"/>
        </w:rPr>
        <w:t xml:space="preserve"> and </w:t>
      </w:r>
      <w:r>
        <w:rPr>
          <w:i/>
          <w:sz w:val="24"/>
          <w:szCs w:val="24"/>
        </w:rPr>
        <w:t>balnea</w:t>
      </w:r>
      <w:r w:rsidR="006D1C71">
        <w:rPr>
          <w:sz w:val="24"/>
          <w:szCs w:val="24"/>
        </w:rPr>
        <w:t xml:space="preserve"> over the monumental structure</w:t>
      </w:r>
      <w:r>
        <w:rPr>
          <w:sz w:val="24"/>
          <w:szCs w:val="24"/>
        </w:rPr>
        <w:t xml:space="preserve">s outlined in the </w:t>
      </w:r>
      <w:r>
        <w:rPr>
          <w:i/>
          <w:sz w:val="24"/>
          <w:szCs w:val="24"/>
        </w:rPr>
        <w:t>Regionaries</w:t>
      </w:r>
      <w:r>
        <w:rPr>
          <w:sz w:val="24"/>
          <w:szCs w:val="24"/>
        </w:rPr>
        <w:t xml:space="preserve"> and the Marble Plan. </w:t>
      </w:r>
      <w:r>
        <w:rPr>
          <w:i/>
          <w:sz w:val="24"/>
          <w:szCs w:val="24"/>
        </w:rPr>
        <w:t>Balnea</w:t>
      </w:r>
      <w:r>
        <w:rPr>
          <w:sz w:val="24"/>
          <w:szCs w:val="24"/>
        </w:rPr>
        <w:t xml:space="preserve"> and </w:t>
      </w:r>
      <w:r w:rsidR="006F23C4">
        <w:rPr>
          <w:i/>
          <w:sz w:val="24"/>
          <w:szCs w:val="24"/>
        </w:rPr>
        <w:t>In</w:t>
      </w:r>
      <w:r>
        <w:rPr>
          <w:i/>
          <w:sz w:val="24"/>
          <w:szCs w:val="24"/>
        </w:rPr>
        <w:t>s</w:t>
      </w:r>
      <w:r w:rsidR="006F23C4">
        <w:rPr>
          <w:i/>
          <w:sz w:val="24"/>
          <w:szCs w:val="24"/>
        </w:rPr>
        <w:t>u</w:t>
      </w:r>
      <w:r>
        <w:rPr>
          <w:i/>
          <w:sz w:val="24"/>
          <w:szCs w:val="24"/>
        </w:rPr>
        <w:t>lae</w:t>
      </w:r>
      <w:r>
        <w:rPr>
          <w:sz w:val="24"/>
          <w:szCs w:val="24"/>
        </w:rPr>
        <w:t xml:space="preserve"> were a basic aspect of Rome’s identity and social structure and fostered extensive social relations.</w:t>
      </w:r>
      <w:r>
        <w:rPr>
          <w:rStyle w:val="FootnoteReference"/>
          <w:sz w:val="24"/>
          <w:szCs w:val="24"/>
        </w:rPr>
        <w:footnoteReference w:id="198"/>
      </w:r>
      <w:r>
        <w:rPr>
          <w:sz w:val="24"/>
          <w:szCs w:val="24"/>
        </w:rPr>
        <w:t xml:space="preserve"> Reynolds has argued that, </w:t>
      </w:r>
    </w:p>
    <w:p w:rsidR="008521AD" w:rsidRDefault="00E756D7" w:rsidP="008521AD">
      <w:pPr>
        <w:spacing w:line="480" w:lineRule="auto"/>
        <w:ind w:left="720"/>
        <w:jc w:val="both"/>
        <w:rPr>
          <w:sz w:val="24"/>
          <w:szCs w:val="24"/>
        </w:rPr>
      </w:pPr>
      <w:r>
        <w:rPr>
          <w:sz w:val="24"/>
          <w:szCs w:val="24"/>
        </w:rPr>
        <w:lastRenderedPageBreak/>
        <w:t>‘A crucial step in making the Regionary statistical data useful is their conversion into density figures. First, the density figures show that the numbers recorded in the Regionaries are not, as has often been claimed, exaggerated figures that may be derived from excavated sections of Pompeii – where higher, the figures for Rome are not unreasonably higher, and in some cases they are lower.’</w:t>
      </w:r>
      <w:r>
        <w:rPr>
          <w:rStyle w:val="FootnoteReference"/>
          <w:sz w:val="24"/>
          <w:szCs w:val="24"/>
        </w:rPr>
        <w:footnoteReference w:id="199"/>
      </w:r>
      <w:r w:rsidR="008521AD">
        <w:rPr>
          <w:sz w:val="24"/>
          <w:szCs w:val="24"/>
        </w:rPr>
        <w:t xml:space="preserve"> </w:t>
      </w:r>
    </w:p>
    <w:p w:rsidR="00E756D7" w:rsidRDefault="00F4313D" w:rsidP="00722391">
      <w:pPr>
        <w:spacing w:line="480" w:lineRule="auto"/>
        <w:jc w:val="both"/>
        <w:rPr>
          <w:sz w:val="24"/>
          <w:szCs w:val="24"/>
        </w:rPr>
      </w:pPr>
      <w:r>
        <w:rPr>
          <w:sz w:val="24"/>
          <w:szCs w:val="24"/>
        </w:rPr>
        <w:t>Therefore using the available</w:t>
      </w:r>
      <w:r w:rsidR="00E756D7">
        <w:rPr>
          <w:sz w:val="24"/>
          <w:szCs w:val="24"/>
        </w:rPr>
        <w:t xml:space="preserve"> figures of </w:t>
      </w:r>
      <w:r w:rsidR="00E756D7">
        <w:rPr>
          <w:i/>
          <w:sz w:val="24"/>
          <w:szCs w:val="24"/>
        </w:rPr>
        <w:t>Insulae</w:t>
      </w:r>
      <w:r w:rsidR="00E756D7">
        <w:rPr>
          <w:sz w:val="24"/>
          <w:szCs w:val="24"/>
        </w:rPr>
        <w:t xml:space="preserve"> and </w:t>
      </w:r>
      <w:r w:rsidR="00E756D7">
        <w:rPr>
          <w:i/>
          <w:sz w:val="24"/>
          <w:szCs w:val="24"/>
        </w:rPr>
        <w:t>Balinea</w:t>
      </w:r>
      <w:r w:rsidR="00E756D7">
        <w:rPr>
          <w:sz w:val="24"/>
          <w:szCs w:val="24"/>
        </w:rPr>
        <w:t xml:space="preserve"> then, the </w:t>
      </w:r>
      <w:r w:rsidR="008F494F">
        <w:rPr>
          <w:sz w:val="24"/>
          <w:szCs w:val="24"/>
        </w:rPr>
        <w:t>“</w:t>
      </w:r>
      <w:r w:rsidR="00E756D7">
        <w:rPr>
          <w:sz w:val="24"/>
          <w:szCs w:val="24"/>
        </w:rPr>
        <w:t>macrostructure</w:t>
      </w:r>
      <w:r w:rsidR="008F494F">
        <w:rPr>
          <w:sz w:val="24"/>
          <w:szCs w:val="24"/>
        </w:rPr>
        <w:t>”</w:t>
      </w:r>
      <w:r w:rsidR="00E756D7">
        <w:rPr>
          <w:sz w:val="24"/>
          <w:szCs w:val="24"/>
        </w:rPr>
        <w:t xml:space="preserve"> of Rome can be explored. The relative levels of development in different parts of the city can be examined with these buildings. This </w:t>
      </w:r>
      <w:r w:rsidR="00D153D7">
        <w:rPr>
          <w:sz w:val="24"/>
          <w:szCs w:val="24"/>
        </w:rPr>
        <w:t>“</w:t>
      </w:r>
      <w:r w:rsidR="00E756D7">
        <w:rPr>
          <w:sz w:val="24"/>
          <w:szCs w:val="24"/>
        </w:rPr>
        <w:t>macrostructural</w:t>
      </w:r>
      <w:r w:rsidR="00D153D7">
        <w:rPr>
          <w:sz w:val="24"/>
          <w:szCs w:val="24"/>
        </w:rPr>
        <w:t>”</w:t>
      </w:r>
      <w:r w:rsidR="00E756D7">
        <w:rPr>
          <w:sz w:val="24"/>
          <w:szCs w:val="24"/>
        </w:rPr>
        <w:t xml:space="preserve"> study using the data of the </w:t>
      </w:r>
      <w:r w:rsidR="00E756D7">
        <w:rPr>
          <w:i/>
          <w:sz w:val="24"/>
          <w:szCs w:val="24"/>
        </w:rPr>
        <w:t>Regionaries</w:t>
      </w:r>
      <w:r w:rsidR="00E756D7">
        <w:rPr>
          <w:sz w:val="24"/>
          <w:szCs w:val="24"/>
        </w:rPr>
        <w:t xml:space="preserve"> complements the microstructural data of individual buildings and neighbourhoods p</w:t>
      </w:r>
      <w:r w:rsidR="006D1C71">
        <w:rPr>
          <w:sz w:val="24"/>
          <w:szCs w:val="24"/>
        </w:rPr>
        <w:t xml:space="preserve">rovided by the Marble Plan, </w:t>
      </w:r>
      <w:r w:rsidR="00E756D7">
        <w:rPr>
          <w:sz w:val="24"/>
          <w:szCs w:val="24"/>
        </w:rPr>
        <w:t>allow</w:t>
      </w:r>
      <w:r w:rsidR="006D1C71">
        <w:rPr>
          <w:sz w:val="24"/>
          <w:szCs w:val="24"/>
        </w:rPr>
        <w:t>s</w:t>
      </w:r>
      <w:r w:rsidR="00E756D7">
        <w:rPr>
          <w:sz w:val="24"/>
          <w:szCs w:val="24"/>
        </w:rPr>
        <w:t xml:space="preserve"> us to make a more comprehensive urban analysis of ancient Rome.</w:t>
      </w:r>
      <w:r w:rsidR="00E756D7">
        <w:rPr>
          <w:rStyle w:val="FootnoteReference"/>
          <w:sz w:val="24"/>
          <w:szCs w:val="24"/>
        </w:rPr>
        <w:footnoteReference w:id="200"/>
      </w:r>
      <w:r w:rsidR="00E756D7">
        <w:rPr>
          <w:sz w:val="24"/>
          <w:szCs w:val="24"/>
        </w:rPr>
        <w:t xml:space="preserve"> Reynolds further argues that the </w:t>
      </w:r>
      <w:r w:rsidR="008F494F">
        <w:rPr>
          <w:sz w:val="24"/>
          <w:szCs w:val="24"/>
        </w:rPr>
        <w:t>implications of this density means</w:t>
      </w:r>
      <w:r w:rsidR="00E756D7">
        <w:rPr>
          <w:sz w:val="24"/>
          <w:szCs w:val="24"/>
        </w:rPr>
        <w:t xml:space="preserve"> that the monumental centres of Rome were thickly hemmed in by </w:t>
      </w:r>
      <w:r w:rsidR="00E756D7">
        <w:rPr>
          <w:i/>
          <w:sz w:val="24"/>
          <w:szCs w:val="24"/>
        </w:rPr>
        <w:t>insulae</w:t>
      </w:r>
      <w:r w:rsidR="00E756D7">
        <w:rPr>
          <w:sz w:val="24"/>
          <w:szCs w:val="24"/>
        </w:rPr>
        <w:t>.</w:t>
      </w:r>
      <w:r w:rsidR="00E756D7">
        <w:rPr>
          <w:rStyle w:val="FootnoteReference"/>
          <w:sz w:val="24"/>
          <w:szCs w:val="24"/>
        </w:rPr>
        <w:footnoteReference w:id="201"/>
      </w:r>
      <w:r w:rsidR="006D1C71">
        <w:rPr>
          <w:sz w:val="24"/>
          <w:szCs w:val="24"/>
        </w:rPr>
        <w:t xml:space="preserve"> Whilst Reynold</w:t>
      </w:r>
      <w:r w:rsidR="00E756D7">
        <w:rPr>
          <w:sz w:val="24"/>
          <w:szCs w:val="24"/>
        </w:rPr>
        <w:t>s</w:t>
      </w:r>
      <w:r w:rsidR="006D1C71">
        <w:rPr>
          <w:sz w:val="24"/>
          <w:szCs w:val="24"/>
        </w:rPr>
        <w:t>’</w:t>
      </w:r>
      <w:r w:rsidR="00E756D7">
        <w:rPr>
          <w:sz w:val="24"/>
          <w:szCs w:val="24"/>
        </w:rPr>
        <w:t xml:space="preserve"> insights into the purpose and creation of the </w:t>
      </w:r>
      <w:r w:rsidR="00E756D7">
        <w:rPr>
          <w:i/>
          <w:sz w:val="24"/>
          <w:szCs w:val="24"/>
        </w:rPr>
        <w:t>Regionaries</w:t>
      </w:r>
      <w:r w:rsidR="00E756D7">
        <w:rPr>
          <w:sz w:val="24"/>
          <w:szCs w:val="24"/>
        </w:rPr>
        <w:t xml:space="preserve"> and the Marble Plan are both sound, his emphasis on the </w:t>
      </w:r>
      <w:r w:rsidR="00E756D7">
        <w:rPr>
          <w:i/>
          <w:sz w:val="24"/>
          <w:szCs w:val="24"/>
        </w:rPr>
        <w:t>Insulae</w:t>
      </w:r>
      <w:r w:rsidR="00E756D7">
        <w:rPr>
          <w:sz w:val="24"/>
          <w:szCs w:val="24"/>
        </w:rPr>
        <w:t xml:space="preserve"> and </w:t>
      </w:r>
      <w:r w:rsidR="00E756D7">
        <w:rPr>
          <w:i/>
          <w:sz w:val="24"/>
          <w:szCs w:val="24"/>
        </w:rPr>
        <w:t>Balinea</w:t>
      </w:r>
      <w:r w:rsidR="00E756D7">
        <w:rPr>
          <w:sz w:val="24"/>
          <w:szCs w:val="24"/>
        </w:rPr>
        <w:t>, whilst interesting, place</w:t>
      </w:r>
      <w:r w:rsidR="00D153D7">
        <w:rPr>
          <w:sz w:val="24"/>
          <w:szCs w:val="24"/>
        </w:rPr>
        <w:t>s</w:t>
      </w:r>
      <w:r w:rsidR="00E756D7">
        <w:rPr>
          <w:sz w:val="24"/>
          <w:szCs w:val="24"/>
        </w:rPr>
        <w:t xml:space="preserve"> too much importance on buildings that would have been considered secondary to the creators and viewers of the documents. Both</w:t>
      </w:r>
      <w:r w:rsidR="008F494F">
        <w:rPr>
          <w:sz w:val="24"/>
          <w:szCs w:val="24"/>
        </w:rPr>
        <w:t xml:space="preserve"> documents</w:t>
      </w:r>
      <w:r w:rsidR="00E756D7">
        <w:rPr>
          <w:sz w:val="24"/>
          <w:szCs w:val="24"/>
        </w:rPr>
        <w:t xml:space="preserve"> put the greater city into fuller material context, which is to be expected considering both documents </w:t>
      </w:r>
      <w:r w:rsidR="00805C4D">
        <w:rPr>
          <w:sz w:val="24"/>
          <w:szCs w:val="24"/>
        </w:rPr>
        <w:t>are believed to be</w:t>
      </w:r>
      <w:r w:rsidR="00E756D7">
        <w:rPr>
          <w:sz w:val="24"/>
          <w:szCs w:val="24"/>
        </w:rPr>
        <w:t xml:space="preserve"> derived from the same sources from the Urban Prefect’s office.</w:t>
      </w:r>
      <w:r w:rsidR="00805C4D">
        <w:rPr>
          <w:rStyle w:val="FootnoteReference"/>
          <w:sz w:val="24"/>
          <w:szCs w:val="24"/>
        </w:rPr>
        <w:footnoteReference w:id="202"/>
      </w:r>
      <w:r w:rsidR="00E756D7">
        <w:rPr>
          <w:sz w:val="24"/>
          <w:szCs w:val="24"/>
        </w:rPr>
        <w:t xml:space="preserve"> </w:t>
      </w:r>
    </w:p>
    <w:p w:rsidR="00E756D7" w:rsidRDefault="006D1C71" w:rsidP="00722391">
      <w:pPr>
        <w:widowControl w:val="0"/>
        <w:suppressLineNumbers/>
        <w:tabs>
          <w:tab w:val="left" w:pos="0"/>
        </w:tabs>
        <w:autoSpaceDE w:val="0"/>
        <w:autoSpaceDN w:val="0"/>
        <w:adjustRightInd w:val="0"/>
        <w:spacing w:after="0" w:line="480" w:lineRule="auto"/>
        <w:ind w:firstLine="720"/>
        <w:jc w:val="both"/>
        <w:rPr>
          <w:sz w:val="24"/>
          <w:szCs w:val="24"/>
        </w:rPr>
      </w:pPr>
      <w:r>
        <w:rPr>
          <w:sz w:val="24"/>
          <w:szCs w:val="24"/>
        </w:rPr>
        <w:t>But</w:t>
      </w:r>
      <w:r w:rsidR="00F4313D">
        <w:rPr>
          <w:sz w:val="24"/>
          <w:szCs w:val="24"/>
        </w:rPr>
        <w:t xml:space="preserve"> then</w:t>
      </w:r>
      <w:r>
        <w:rPr>
          <w:sz w:val="24"/>
          <w:szCs w:val="24"/>
        </w:rPr>
        <w:t xml:space="preserve"> neither </w:t>
      </w:r>
      <w:r w:rsidR="00F4313D">
        <w:rPr>
          <w:sz w:val="24"/>
          <w:szCs w:val="24"/>
        </w:rPr>
        <w:t>is</w:t>
      </w:r>
      <w:r w:rsidR="00E756D7">
        <w:rPr>
          <w:sz w:val="24"/>
          <w:szCs w:val="24"/>
        </w:rPr>
        <w:t xml:space="preserve"> the </w:t>
      </w:r>
      <w:r w:rsidR="00E756D7">
        <w:rPr>
          <w:i/>
          <w:sz w:val="24"/>
          <w:szCs w:val="24"/>
        </w:rPr>
        <w:t>Regionary Catalogues</w:t>
      </w:r>
      <w:r w:rsidR="00E756D7">
        <w:rPr>
          <w:sz w:val="24"/>
          <w:szCs w:val="24"/>
        </w:rPr>
        <w:t xml:space="preserve"> a “true representation” of the city of Rome, as they are based upon a selection of buildings that highlights, ignores, or omits aspects of the urban landscape</w:t>
      </w:r>
      <w:r>
        <w:rPr>
          <w:sz w:val="24"/>
          <w:szCs w:val="24"/>
        </w:rPr>
        <w:t>. Therefore we must ask what</w:t>
      </w:r>
      <w:r w:rsidR="00E756D7">
        <w:rPr>
          <w:sz w:val="24"/>
          <w:szCs w:val="24"/>
        </w:rPr>
        <w:t xml:space="preserve"> the </w:t>
      </w:r>
      <w:r w:rsidR="00E756D7">
        <w:rPr>
          <w:i/>
          <w:sz w:val="24"/>
          <w:szCs w:val="24"/>
        </w:rPr>
        <w:t>Regionaries</w:t>
      </w:r>
      <w:r w:rsidR="00E756D7">
        <w:rPr>
          <w:sz w:val="24"/>
          <w:szCs w:val="24"/>
        </w:rPr>
        <w:t xml:space="preserve"> actually </w:t>
      </w:r>
      <w:r w:rsidR="00E756D7">
        <w:rPr>
          <w:sz w:val="24"/>
          <w:szCs w:val="24"/>
        </w:rPr>
        <w:lastRenderedPageBreak/>
        <w:t xml:space="preserve">depicted. This will help prepare the ground by establishing what is unique to the </w:t>
      </w:r>
      <w:r w:rsidR="00E756D7">
        <w:rPr>
          <w:i/>
          <w:sz w:val="24"/>
          <w:szCs w:val="24"/>
        </w:rPr>
        <w:t>Regionaries</w:t>
      </w:r>
      <w:r w:rsidR="00E756D7">
        <w:rPr>
          <w:sz w:val="24"/>
          <w:szCs w:val="24"/>
        </w:rPr>
        <w:t xml:space="preserve"> and what no longer existed by the third century. These selections must be based upon a certain agenda, which I will then explore in further detail. It</w:t>
      </w:r>
      <w:r w:rsidR="006F23C4">
        <w:rPr>
          <w:sz w:val="24"/>
          <w:szCs w:val="24"/>
        </w:rPr>
        <w:t xml:space="preserve"> is</w:t>
      </w:r>
      <w:r w:rsidR="00E756D7">
        <w:rPr>
          <w:sz w:val="24"/>
          <w:szCs w:val="24"/>
        </w:rPr>
        <w:t xml:space="preserve"> also difficult to use the </w:t>
      </w:r>
      <w:r w:rsidR="00E756D7">
        <w:rPr>
          <w:i/>
          <w:sz w:val="24"/>
          <w:szCs w:val="24"/>
        </w:rPr>
        <w:t>Regionaries</w:t>
      </w:r>
      <w:r w:rsidR="00E756D7">
        <w:rPr>
          <w:sz w:val="24"/>
          <w:szCs w:val="24"/>
        </w:rPr>
        <w:t xml:space="preserve"> to determine the topography and locations of Rome when we can find several items that not only have no archaeological record but also fail to appear in any other source other than the </w:t>
      </w:r>
      <w:r w:rsidR="00E756D7">
        <w:rPr>
          <w:i/>
          <w:sz w:val="24"/>
          <w:szCs w:val="24"/>
        </w:rPr>
        <w:t>Regionaries</w:t>
      </w:r>
      <w:r w:rsidR="00E756D7">
        <w:rPr>
          <w:sz w:val="24"/>
          <w:szCs w:val="24"/>
        </w:rPr>
        <w:t xml:space="preserve"> themselves. Thi</w:t>
      </w:r>
      <w:r>
        <w:rPr>
          <w:sz w:val="24"/>
          <w:szCs w:val="24"/>
        </w:rPr>
        <w:t xml:space="preserve">s is particularly apparent </w:t>
      </w:r>
      <w:r w:rsidR="00E756D7">
        <w:rPr>
          <w:sz w:val="24"/>
          <w:szCs w:val="24"/>
        </w:rPr>
        <w:t xml:space="preserve">when we discuss the unique items of the </w:t>
      </w:r>
      <w:r w:rsidR="00E756D7">
        <w:rPr>
          <w:i/>
          <w:sz w:val="24"/>
          <w:szCs w:val="24"/>
        </w:rPr>
        <w:t>Regionary Catalogues</w:t>
      </w:r>
      <w:r w:rsidR="00E756D7">
        <w:rPr>
          <w:sz w:val="24"/>
          <w:szCs w:val="24"/>
        </w:rPr>
        <w:t>.</w:t>
      </w:r>
    </w:p>
    <w:p w:rsidR="00E756D7" w:rsidRDefault="00E756D7" w:rsidP="00722391">
      <w:pPr>
        <w:widowControl w:val="0"/>
        <w:suppressLineNumbers/>
        <w:autoSpaceDE w:val="0"/>
        <w:autoSpaceDN w:val="0"/>
        <w:adjustRightInd w:val="0"/>
        <w:spacing w:after="0" w:line="480" w:lineRule="auto"/>
        <w:ind w:firstLine="720"/>
        <w:jc w:val="both"/>
        <w:rPr>
          <w:sz w:val="24"/>
          <w:szCs w:val="24"/>
        </w:rPr>
      </w:pPr>
      <w:r>
        <w:rPr>
          <w:sz w:val="24"/>
          <w:szCs w:val="24"/>
        </w:rPr>
        <w:t xml:space="preserve"> These 26 items, are, in no particular order, the:</w:t>
      </w:r>
      <w:r>
        <w:rPr>
          <w:bCs/>
          <w:i/>
          <w:sz w:val="24"/>
          <w:szCs w:val="24"/>
        </w:rPr>
        <w:t xml:space="preserve"> Aediculam caprariam, Apollo Caelispex, Arcus Trai</w:t>
      </w:r>
      <w:r w:rsidR="00603173">
        <w:rPr>
          <w:bCs/>
          <w:i/>
          <w:sz w:val="24"/>
          <w:szCs w:val="24"/>
        </w:rPr>
        <w:t>a</w:t>
      </w:r>
      <w:r>
        <w:rPr>
          <w:bCs/>
          <w:i/>
          <w:sz w:val="24"/>
          <w:szCs w:val="24"/>
        </w:rPr>
        <w:t>ni, Arcus Divi Veri, Area Appolinis et Splenis et Calles, Aream Candidi, Aream Carruces, Aream Pannarium, atrium Caci, Auguratorium, Aureum Bucinum, Castra Lecticariorum, Campum Lanatarium, Decem tabernas,  Equus Tiridatis Regis Armeniorum, Forum Pistorum, Herculem cubantem,  Horti Getae, Isidem Athenodoriam, Iovis arboratoris, Lupanarios, Privata Hadriani, Privata Traiani, Samiarium,</w:t>
      </w:r>
      <w:r>
        <w:rPr>
          <w:bCs/>
          <w:sz w:val="24"/>
          <w:szCs w:val="24"/>
        </w:rPr>
        <w:t xml:space="preserve"> as well as the</w:t>
      </w:r>
      <w:r>
        <w:rPr>
          <w:bCs/>
          <w:i/>
          <w:sz w:val="24"/>
          <w:szCs w:val="24"/>
        </w:rPr>
        <w:t xml:space="preserve"> </w:t>
      </w:r>
      <w:r>
        <w:rPr>
          <w:sz w:val="24"/>
          <w:szCs w:val="24"/>
        </w:rPr>
        <w:t>mythical “Gorgon’s Head” (</w:t>
      </w:r>
      <w:r>
        <w:rPr>
          <w:bCs/>
          <w:i/>
          <w:sz w:val="24"/>
          <w:szCs w:val="24"/>
        </w:rPr>
        <w:t>Caput Gorgonis</w:t>
      </w:r>
      <w:r>
        <w:rPr>
          <w:bCs/>
          <w:sz w:val="24"/>
          <w:szCs w:val="24"/>
        </w:rPr>
        <w:t>)</w:t>
      </w:r>
      <w:r>
        <w:rPr>
          <w:bCs/>
          <w:i/>
          <w:sz w:val="24"/>
          <w:szCs w:val="24"/>
        </w:rPr>
        <w:t xml:space="preserve"> </w:t>
      </w:r>
      <w:r>
        <w:rPr>
          <w:sz w:val="24"/>
          <w:szCs w:val="24"/>
        </w:rPr>
        <w:t xml:space="preserve"> and “Cave of the Cyclops” (</w:t>
      </w:r>
      <w:r>
        <w:rPr>
          <w:i/>
          <w:sz w:val="24"/>
          <w:szCs w:val="24"/>
          <w:shd w:val="clear" w:color="auto" w:fill="FFFFFF"/>
        </w:rPr>
        <w:t>atrium Cyclopis</w:t>
      </w:r>
      <w:r>
        <w:rPr>
          <w:sz w:val="24"/>
          <w:szCs w:val="24"/>
          <w:shd w:val="clear" w:color="auto" w:fill="FFFFFF"/>
        </w:rPr>
        <w:t>)</w:t>
      </w:r>
      <w:r>
        <w:rPr>
          <w:sz w:val="24"/>
          <w:szCs w:val="24"/>
        </w:rPr>
        <w:t>.</w:t>
      </w:r>
      <w:r>
        <w:rPr>
          <w:rStyle w:val="FootnoteReference"/>
          <w:sz w:val="24"/>
          <w:szCs w:val="24"/>
        </w:rPr>
        <w:footnoteReference w:id="203"/>
      </w:r>
      <w:r>
        <w:rPr>
          <w:sz w:val="24"/>
          <w:szCs w:val="24"/>
        </w:rPr>
        <w:t xml:space="preserve"> Since these items are unique to the </w:t>
      </w:r>
      <w:r>
        <w:rPr>
          <w:i/>
          <w:sz w:val="24"/>
          <w:szCs w:val="24"/>
        </w:rPr>
        <w:t>Regionaries</w:t>
      </w:r>
      <w:r>
        <w:rPr>
          <w:sz w:val="24"/>
          <w:szCs w:val="24"/>
        </w:rPr>
        <w:t xml:space="preserve"> </w:t>
      </w:r>
      <w:r w:rsidR="00603173">
        <w:rPr>
          <w:sz w:val="24"/>
          <w:szCs w:val="24"/>
        </w:rPr>
        <w:t>the safet</w:t>
      </w:r>
      <w:r w:rsidR="00AF319C">
        <w:rPr>
          <w:sz w:val="24"/>
          <w:szCs w:val="24"/>
        </w:rPr>
        <w:t xml:space="preserve">y assumption is that they </w:t>
      </w:r>
      <w:r>
        <w:rPr>
          <w:sz w:val="24"/>
          <w:szCs w:val="24"/>
        </w:rPr>
        <w:t xml:space="preserve">disappeared by the early-fourth century, when we possess our earliest layer for the </w:t>
      </w:r>
      <w:r>
        <w:rPr>
          <w:i/>
          <w:sz w:val="24"/>
          <w:szCs w:val="24"/>
        </w:rPr>
        <w:t>Regionaries</w:t>
      </w:r>
      <w:r w:rsidR="00AF319C">
        <w:rPr>
          <w:i/>
          <w:sz w:val="24"/>
          <w:szCs w:val="24"/>
        </w:rPr>
        <w:t xml:space="preserve"> (</w:t>
      </w:r>
      <w:r w:rsidR="00AF319C">
        <w:rPr>
          <w:sz w:val="24"/>
          <w:szCs w:val="24"/>
        </w:rPr>
        <w:t>or that any other evidence for them is no longer known to us)</w:t>
      </w:r>
      <w:r>
        <w:rPr>
          <w:sz w:val="24"/>
          <w:szCs w:val="24"/>
        </w:rPr>
        <w:t xml:space="preserve">. </w:t>
      </w:r>
      <w:r>
        <w:rPr>
          <w:bCs/>
          <w:sz w:val="24"/>
          <w:szCs w:val="24"/>
          <w:lang w:eastAsia="zh-TW"/>
        </w:rPr>
        <w:t>We must take into account the amount of destruction and natural decay that such buildings suffered as a result of the lack of care and attention (and sometimes actively malicious or mercenary attention) over such a period.</w:t>
      </w:r>
      <w:r>
        <w:rPr>
          <w:rStyle w:val="FootnoteReference"/>
          <w:bCs/>
          <w:sz w:val="24"/>
          <w:szCs w:val="24"/>
          <w:lang w:eastAsia="zh-TW"/>
        </w:rPr>
        <w:footnoteReference w:id="204"/>
      </w:r>
      <w:r>
        <w:rPr>
          <w:sz w:val="24"/>
          <w:szCs w:val="24"/>
        </w:rPr>
        <w:t xml:space="preserve"> This strengthens the case for the proto-</w:t>
      </w:r>
      <w:r>
        <w:rPr>
          <w:i/>
          <w:sz w:val="24"/>
          <w:szCs w:val="24"/>
        </w:rPr>
        <w:t>Regionary Catalogues</w:t>
      </w:r>
      <w:r>
        <w:rPr>
          <w:sz w:val="24"/>
          <w:szCs w:val="24"/>
        </w:rPr>
        <w:t xml:space="preserve"> being created in the third century or earlier in order to still contain these buildings, as it is unlikely that they would be simple additions for the sake of them. Roman visual culture worked on a series of mutual </w:t>
      </w:r>
      <w:r>
        <w:rPr>
          <w:sz w:val="24"/>
          <w:szCs w:val="24"/>
        </w:rPr>
        <w:lastRenderedPageBreak/>
        <w:t xml:space="preserve">symbols and if so many items are absent, then it is unlikely that </w:t>
      </w:r>
      <w:r w:rsidR="008F494F">
        <w:rPr>
          <w:sz w:val="24"/>
          <w:szCs w:val="24"/>
        </w:rPr>
        <w:t>what is included</w:t>
      </w:r>
      <w:r>
        <w:rPr>
          <w:sz w:val="24"/>
          <w:szCs w:val="24"/>
        </w:rPr>
        <w:t xml:space="preserve"> would be included solely for completeness</w:t>
      </w:r>
      <w:r w:rsidR="00603173">
        <w:rPr>
          <w:sz w:val="24"/>
          <w:szCs w:val="24"/>
        </w:rPr>
        <w:t>’</w:t>
      </w:r>
      <w:r>
        <w:rPr>
          <w:sz w:val="24"/>
          <w:szCs w:val="24"/>
        </w:rPr>
        <w:t xml:space="preserve"> sake when so much else appears to be left out. </w:t>
      </w:r>
    </w:p>
    <w:p w:rsidR="0097190B" w:rsidRDefault="00E756D7" w:rsidP="00722391">
      <w:pPr>
        <w:widowControl w:val="0"/>
        <w:suppressLineNumbers/>
        <w:autoSpaceDE w:val="0"/>
        <w:autoSpaceDN w:val="0"/>
        <w:adjustRightInd w:val="0"/>
        <w:spacing w:after="0" w:line="480" w:lineRule="auto"/>
        <w:ind w:firstLine="720"/>
        <w:jc w:val="both"/>
        <w:rPr>
          <w:bCs/>
          <w:sz w:val="24"/>
          <w:szCs w:val="24"/>
          <w:lang w:eastAsia="zh-TW"/>
        </w:rPr>
      </w:pPr>
      <w:r>
        <w:rPr>
          <w:sz w:val="24"/>
          <w:szCs w:val="24"/>
        </w:rPr>
        <w:t xml:space="preserve">Of particular note are the </w:t>
      </w:r>
      <w:r>
        <w:rPr>
          <w:i/>
          <w:sz w:val="24"/>
          <w:szCs w:val="24"/>
        </w:rPr>
        <w:t>arcus Trai</w:t>
      </w:r>
      <w:r w:rsidR="00603173">
        <w:rPr>
          <w:i/>
          <w:sz w:val="24"/>
          <w:szCs w:val="24"/>
        </w:rPr>
        <w:t>a</w:t>
      </w:r>
      <w:r>
        <w:rPr>
          <w:i/>
          <w:sz w:val="24"/>
          <w:szCs w:val="24"/>
        </w:rPr>
        <w:t>ni, arcus Divi Veri, Privata Hadriani, Privata Traiani</w:t>
      </w:r>
      <w:r>
        <w:rPr>
          <w:sz w:val="24"/>
          <w:szCs w:val="24"/>
        </w:rPr>
        <w:t xml:space="preserve">, </w:t>
      </w:r>
      <w:proofErr w:type="gramStart"/>
      <w:r>
        <w:rPr>
          <w:i/>
          <w:sz w:val="24"/>
          <w:szCs w:val="24"/>
        </w:rPr>
        <w:t>Horti</w:t>
      </w:r>
      <w:proofErr w:type="gramEnd"/>
      <w:r>
        <w:rPr>
          <w:i/>
          <w:sz w:val="24"/>
          <w:szCs w:val="24"/>
        </w:rPr>
        <w:t xml:space="preserve"> Getae</w:t>
      </w:r>
      <w:r>
        <w:rPr>
          <w:sz w:val="24"/>
          <w:szCs w:val="24"/>
        </w:rPr>
        <w:t xml:space="preserve">. All are buildings with a direct connection to the “Good” Antonine </w:t>
      </w:r>
      <w:r w:rsidR="0087599E">
        <w:rPr>
          <w:sz w:val="24"/>
          <w:szCs w:val="24"/>
        </w:rPr>
        <w:t>emperors</w:t>
      </w:r>
      <w:r>
        <w:rPr>
          <w:sz w:val="24"/>
          <w:szCs w:val="24"/>
        </w:rPr>
        <w:t xml:space="preserve"> of the 2</w:t>
      </w:r>
      <w:r>
        <w:rPr>
          <w:sz w:val="24"/>
          <w:szCs w:val="24"/>
          <w:vertAlign w:val="superscript"/>
        </w:rPr>
        <w:t>nd</w:t>
      </w:r>
      <w:r>
        <w:rPr>
          <w:sz w:val="24"/>
          <w:szCs w:val="24"/>
        </w:rPr>
        <w:t xml:space="preserve"> century. Furthermore, Platner and Ashby also suspect that, based upon the inscription CIL VI. 976, the </w:t>
      </w:r>
      <w:r>
        <w:rPr>
          <w:i/>
          <w:sz w:val="24"/>
          <w:szCs w:val="24"/>
        </w:rPr>
        <w:t>Auguratorium</w:t>
      </w:r>
      <w:r>
        <w:rPr>
          <w:sz w:val="24"/>
          <w:szCs w:val="24"/>
        </w:rPr>
        <w:t xml:space="preserve"> present within the </w:t>
      </w:r>
      <w:r>
        <w:rPr>
          <w:i/>
          <w:sz w:val="24"/>
          <w:szCs w:val="24"/>
        </w:rPr>
        <w:t>Regionaries</w:t>
      </w:r>
      <w:r w:rsidR="00D153D7">
        <w:rPr>
          <w:sz w:val="24"/>
          <w:szCs w:val="24"/>
        </w:rPr>
        <w:t xml:space="preserve"> is related to the</w:t>
      </w:r>
      <w:r>
        <w:rPr>
          <w:sz w:val="24"/>
          <w:szCs w:val="24"/>
        </w:rPr>
        <w:t xml:space="preserve"> </w:t>
      </w:r>
      <w:r>
        <w:rPr>
          <w:i/>
          <w:sz w:val="24"/>
          <w:szCs w:val="24"/>
        </w:rPr>
        <w:t>Auguratorium</w:t>
      </w:r>
      <w:r>
        <w:rPr>
          <w:sz w:val="24"/>
          <w:szCs w:val="24"/>
        </w:rPr>
        <w:t xml:space="preserve"> restored by Hadrian.</w:t>
      </w:r>
      <w:r>
        <w:rPr>
          <w:rStyle w:val="FootnoteReference"/>
          <w:sz w:val="24"/>
          <w:szCs w:val="24"/>
        </w:rPr>
        <w:footnoteReference w:id="205"/>
      </w:r>
      <w:r>
        <w:rPr>
          <w:sz w:val="24"/>
          <w:szCs w:val="24"/>
        </w:rPr>
        <w:t xml:space="preserve"> The </w:t>
      </w:r>
      <w:r>
        <w:rPr>
          <w:i/>
          <w:sz w:val="24"/>
          <w:szCs w:val="24"/>
        </w:rPr>
        <w:t>Regionaries</w:t>
      </w:r>
      <w:r>
        <w:rPr>
          <w:sz w:val="24"/>
          <w:szCs w:val="24"/>
        </w:rPr>
        <w:t xml:space="preserve"> also include the </w:t>
      </w:r>
      <w:r>
        <w:rPr>
          <w:i/>
          <w:sz w:val="24"/>
          <w:szCs w:val="24"/>
        </w:rPr>
        <w:t>Hadrianeum</w:t>
      </w:r>
      <w:r>
        <w:rPr>
          <w:sz w:val="24"/>
          <w:szCs w:val="24"/>
        </w:rPr>
        <w:t xml:space="preserve"> (th</w:t>
      </w:r>
      <w:r w:rsidR="00AF319C">
        <w:rPr>
          <w:sz w:val="24"/>
          <w:szCs w:val="24"/>
        </w:rPr>
        <w:t>e temple of the Divine Hadrian) and</w:t>
      </w:r>
      <w:r>
        <w:rPr>
          <w:sz w:val="24"/>
          <w:szCs w:val="24"/>
        </w:rPr>
        <w:t xml:space="preserve"> the </w:t>
      </w:r>
      <w:r w:rsidR="00631532">
        <w:rPr>
          <w:i/>
          <w:sz w:val="24"/>
          <w:szCs w:val="24"/>
        </w:rPr>
        <w:t xml:space="preserve">Templum Antonini, </w:t>
      </w:r>
      <w:r w:rsidR="00631532">
        <w:rPr>
          <w:sz w:val="24"/>
          <w:szCs w:val="24"/>
        </w:rPr>
        <w:t xml:space="preserve">and the </w:t>
      </w:r>
      <w:r w:rsidR="00631532">
        <w:rPr>
          <w:i/>
          <w:sz w:val="24"/>
          <w:szCs w:val="24"/>
        </w:rPr>
        <w:t xml:space="preserve">Templum </w:t>
      </w:r>
      <w:r>
        <w:rPr>
          <w:i/>
          <w:sz w:val="24"/>
          <w:szCs w:val="24"/>
        </w:rPr>
        <w:t>Faustina</w:t>
      </w:r>
      <w:r w:rsidR="00631532">
        <w:rPr>
          <w:i/>
          <w:sz w:val="24"/>
          <w:szCs w:val="24"/>
        </w:rPr>
        <w:t>e</w:t>
      </w:r>
      <w:r>
        <w:rPr>
          <w:i/>
          <w:sz w:val="24"/>
          <w:szCs w:val="24"/>
        </w:rPr>
        <w:t xml:space="preserve"> </w:t>
      </w:r>
      <w:r>
        <w:rPr>
          <w:sz w:val="24"/>
          <w:szCs w:val="24"/>
        </w:rPr>
        <w:t>(Temple of Antoninus Pius and</w:t>
      </w:r>
      <w:r w:rsidR="00631532">
        <w:rPr>
          <w:sz w:val="24"/>
          <w:szCs w:val="24"/>
        </w:rPr>
        <w:t xml:space="preserve"> the temple of</w:t>
      </w:r>
      <w:r>
        <w:rPr>
          <w:sz w:val="24"/>
          <w:szCs w:val="24"/>
        </w:rPr>
        <w:t xml:space="preserve"> his wife Faustina).</w:t>
      </w:r>
      <w:r>
        <w:rPr>
          <w:rStyle w:val="FootnoteReference"/>
          <w:sz w:val="24"/>
          <w:szCs w:val="24"/>
        </w:rPr>
        <w:footnoteReference w:id="206"/>
      </w:r>
      <w:r w:rsidR="0083055F">
        <w:rPr>
          <w:sz w:val="24"/>
          <w:szCs w:val="24"/>
        </w:rPr>
        <w:t xml:space="preserve"> In addition we</w:t>
      </w:r>
      <w:r>
        <w:rPr>
          <w:sz w:val="24"/>
          <w:szCs w:val="24"/>
        </w:rPr>
        <w:t xml:space="preserve"> know that the </w:t>
      </w:r>
      <w:r>
        <w:rPr>
          <w:bCs/>
          <w:sz w:val="24"/>
          <w:szCs w:val="24"/>
          <w:lang w:eastAsia="zh-TW"/>
        </w:rPr>
        <w:t>Columns of Antoninus Pius and Marcus Aurelius are placed</w:t>
      </w:r>
      <w:r w:rsidR="0083055F">
        <w:rPr>
          <w:bCs/>
          <w:sz w:val="24"/>
          <w:szCs w:val="24"/>
          <w:lang w:eastAsia="zh-TW"/>
        </w:rPr>
        <w:t xml:space="preserve"> only</w:t>
      </w:r>
      <w:r w:rsidR="00AF319C">
        <w:rPr>
          <w:bCs/>
          <w:sz w:val="24"/>
          <w:szCs w:val="24"/>
          <w:lang w:eastAsia="zh-TW"/>
        </w:rPr>
        <w:t xml:space="preserve"> 30m</w:t>
      </w:r>
      <w:r>
        <w:rPr>
          <w:bCs/>
          <w:sz w:val="24"/>
          <w:szCs w:val="24"/>
          <w:lang w:eastAsia="zh-TW"/>
        </w:rPr>
        <w:t xml:space="preserve"> from the </w:t>
      </w:r>
      <w:r>
        <w:rPr>
          <w:bCs/>
          <w:i/>
          <w:sz w:val="24"/>
          <w:szCs w:val="24"/>
          <w:lang w:eastAsia="zh-TW"/>
        </w:rPr>
        <w:t>Via Flaminia</w:t>
      </w:r>
      <w:r w:rsidR="00AF319C">
        <w:rPr>
          <w:bCs/>
          <w:sz w:val="24"/>
          <w:szCs w:val="24"/>
          <w:lang w:eastAsia="zh-TW"/>
        </w:rPr>
        <w:t xml:space="preserve"> and follow</w:t>
      </w:r>
      <w:r>
        <w:rPr>
          <w:bCs/>
          <w:sz w:val="24"/>
          <w:szCs w:val="24"/>
          <w:lang w:eastAsia="zh-TW"/>
        </w:rPr>
        <w:t xml:space="preserve"> its orientation</w:t>
      </w:r>
      <w:r w:rsidR="00AF319C">
        <w:rPr>
          <w:bCs/>
          <w:sz w:val="24"/>
          <w:szCs w:val="24"/>
          <w:lang w:eastAsia="zh-TW"/>
        </w:rPr>
        <w:t>,</w:t>
      </w:r>
      <w:r>
        <w:rPr>
          <w:bCs/>
          <w:sz w:val="24"/>
          <w:szCs w:val="24"/>
          <w:lang w:eastAsia="zh-TW"/>
        </w:rPr>
        <w:t xml:space="preserve"> as do other Antonine monuments such as the Forum of Trajan in the Campus Martius that are north of the </w:t>
      </w:r>
      <w:r>
        <w:rPr>
          <w:bCs/>
          <w:i/>
          <w:sz w:val="24"/>
          <w:szCs w:val="24"/>
          <w:lang w:eastAsia="zh-TW"/>
        </w:rPr>
        <w:t>Via Recta</w:t>
      </w:r>
      <w:r>
        <w:rPr>
          <w:bCs/>
          <w:sz w:val="24"/>
          <w:szCs w:val="24"/>
          <w:lang w:eastAsia="zh-TW"/>
        </w:rPr>
        <w:t>.</w:t>
      </w:r>
      <w:r>
        <w:rPr>
          <w:rStyle w:val="FootnoteReference"/>
          <w:bCs/>
          <w:sz w:val="24"/>
          <w:szCs w:val="24"/>
          <w:lang w:eastAsia="zh-TW"/>
        </w:rPr>
        <w:footnoteReference w:id="207"/>
      </w:r>
      <w:r w:rsidR="00B43310">
        <w:rPr>
          <w:bCs/>
          <w:sz w:val="24"/>
          <w:szCs w:val="24"/>
          <w:lang w:eastAsia="zh-TW"/>
        </w:rPr>
        <w:t xml:space="preserve"> </w:t>
      </w:r>
      <w:r>
        <w:rPr>
          <w:bCs/>
          <w:sz w:val="24"/>
          <w:szCs w:val="24"/>
          <w:lang w:eastAsia="zh-TW"/>
        </w:rPr>
        <w:t xml:space="preserve">Some of these Antonine items are unique to the </w:t>
      </w:r>
      <w:r>
        <w:rPr>
          <w:bCs/>
          <w:i/>
          <w:sz w:val="24"/>
          <w:szCs w:val="24"/>
          <w:lang w:eastAsia="zh-TW"/>
        </w:rPr>
        <w:t>Regionaries</w:t>
      </w:r>
      <w:r w:rsidR="00D153D7">
        <w:rPr>
          <w:bCs/>
          <w:sz w:val="24"/>
          <w:szCs w:val="24"/>
          <w:lang w:eastAsia="zh-TW"/>
        </w:rPr>
        <w:t>, whilst there are also</w:t>
      </w:r>
      <w:r>
        <w:rPr>
          <w:bCs/>
          <w:sz w:val="24"/>
          <w:szCs w:val="24"/>
          <w:lang w:eastAsia="zh-TW"/>
        </w:rPr>
        <w:t xml:space="preserve"> more commonly known items such as the Column of Trajan, the </w:t>
      </w:r>
      <w:r w:rsidR="00631532">
        <w:rPr>
          <w:bCs/>
          <w:i/>
          <w:sz w:val="24"/>
          <w:szCs w:val="24"/>
          <w:lang w:eastAsia="zh-TW"/>
        </w:rPr>
        <w:t>Basilic</w:t>
      </w:r>
      <w:r w:rsidRPr="00AF319C">
        <w:rPr>
          <w:bCs/>
          <w:i/>
          <w:sz w:val="24"/>
          <w:szCs w:val="24"/>
          <w:lang w:eastAsia="zh-TW"/>
        </w:rPr>
        <w:t>a</w:t>
      </w:r>
      <w:r>
        <w:rPr>
          <w:bCs/>
          <w:sz w:val="24"/>
          <w:szCs w:val="24"/>
          <w:lang w:eastAsia="zh-TW"/>
        </w:rPr>
        <w:t xml:space="preserve"> </w:t>
      </w:r>
      <w:r w:rsidRPr="00AF319C">
        <w:rPr>
          <w:bCs/>
          <w:i/>
          <w:sz w:val="24"/>
          <w:szCs w:val="24"/>
          <w:lang w:eastAsia="zh-TW"/>
        </w:rPr>
        <w:t>Ulpia</w:t>
      </w:r>
      <w:r>
        <w:rPr>
          <w:bCs/>
          <w:sz w:val="24"/>
          <w:szCs w:val="24"/>
          <w:lang w:eastAsia="zh-TW"/>
        </w:rPr>
        <w:t xml:space="preserve"> and Hadrian’s </w:t>
      </w:r>
      <w:r w:rsidR="008F494F">
        <w:rPr>
          <w:bCs/>
          <w:sz w:val="24"/>
          <w:szCs w:val="24"/>
          <w:lang w:eastAsia="zh-TW"/>
        </w:rPr>
        <w:t>reconstruction of the</w:t>
      </w:r>
      <w:r>
        <w:rPr>
          <w:bCs/>
          <w:sz w:val="24"/>
          <w:szCs w:val="24"/>
          <w:lang w:eastAsia="zh-TW"/>
        </w:rPr>
        <w:t xml:space="preserve"> Pantheon</w:t>
      </w:r>
      <w:r w:rsidR="008F494F">
        <w:rPr>
          <w:bCs/>
          <w:sz w:val="24"/>
          <w:szCs w:val="24"/>
          <w:lang w:eastAsia="zh-TW"/>
        </w:rPr>
        <w:t xml:space="preserve"> </w:t>
      </w:r>
      <w:r>
        <w:rPr>
          <w:bCs/>
          <w:sz w:val="24"/>
          <w:szCs w:val="24"/>
          <w:lang w:eastAsia="zh-TW"/>
        </w:rPr>
        <w:t xml:space="preserve">included within the </w:t>
      </w:r>
      <w:r>
        <w:rPr>
          <w:bCs/>
          <w:i/>
          <w:sz w:val="24"/>
          <w:szCs w:val="24"/>
          <w:lang w:eastAsia="zh-TW"/>
        </w:rPr>
        <w:t>Regionaries</w:t>
      </w:r>
      <w:r>
        <w:rPr>
          <w:bCs/>
          <w:sz w:val="24"/>
          <w:szCs w:val="24"/>
          <w:lang w:eastAsia="zh-TW"/>
        </w:rPr>
        <w:t>.</w:t>
      </w:r>
      <w:r>
        <w:rPr>
          <w:rStyle w:val="FootnoteReference"/>
          <w:bCs/>
          <w:sz w:val="24"/>
          <w:szCs w:val="24"/>
          <w:lang w:eastAsia="zh-TW"/>
        </w:rPr>
        <w:footnoteReference w:id="208"/>
      </w:r>
      <w:r w:rsidR="0097190B">
        <w:rPr>
          <w:bCs/>
          <w:sz w:val="24"/>
          <w:szCs w:val="24"/>
          <w:lang w:eastAsia="zh-TW"/>
        </w:rPr>
        <w:t xml:space="preserve"> </w:t>
      </w:r>
      <w:r w:rsidR="0097190B">
        <w:rPr>
          <w:sz w:val="24"/>
          <w:szCs w:val="24"/>
        </w:rPr>
        <w:t>What is significant is that so many of these items are intimately connected to the Antonine emperors, the last stable dynasty before the crisis of the third century and a time the Empire would soon look upon as a golden age.</w:t>
      </w:r>
      <w:r w:rsidR="0097190B">
        <w:rPr>
          <w:rStyle w:val="FootnoteReference"/>
          <w:sz w:val="24"/>
          <w:szCs w:val="24"/>
        </w:rPr>
        <w:footnoteReference w:id="209"/>
      </w:r>
      <w:r w:rsidR="0097190B">
        <w:rPr>
          <w:sz w:val="24"/>
          <w:szCs w:val="24"/>
        </w:rPr>
        <w:t xml:space="preserve"> </w:t>
      </w:r>
      <w:r w:rsidR="0046414C">
        <w:rPr>
          <w:bCs/>
          <w:sz w:val="24"/>
          <w:szCs w:val="24"/>
          <w:lang w:eastAsia="zh-TW"/>
        </w:rPr>
        <w:t xml:space="preserve"> </w:t>
      </w:r>
      <w:r w:rsidR="0097190B">
        <w:rPr>
          <w:bCs/>
          <w:sz w:val="24"/>
          <w:szCs w:val="24"/>
          <w:lang w:eastAsia="zh-TW"/>
        </w:rPr>
        <w:t xml:space="preserve">Their inclusion suggests that the </w:t>
      </w:r>
      <w:r w:rsidR="0097190B">
        <w:rPr>
          <w:bCs/>
          <w:i/>
          <w:sz w:val="24"/>
          <w:szCs w:val="24"/>
          <w:lang w:eastAsia="zh-TW"/>
        </w:rPr>
        <w:t>Regionaries</w:t>
      </w:r>
      <w:r w:rsidR="0097190B">
        <w:rPr>
          <w:bCs/>
          <w:sz w:val="24"/>
          <w:szCs w:val="24"/>
          <w:lang w:eastAsia="zh-TW"/>
        </w:rPr>
        <w:t xml:space="preserve"> creator/s </w:t>
      </w:r>
      <w:r w:rsidR="0099477F">
        <w:rPr>
          <w:bCs/>
          <w:sz w:val="24"/>
          <w:szCs w:val="24"/>
          <w:lang w:eastAsia="zh-TW"/>
        </w:rPr>
        <w:t>was</w:t>
      </w:r>
      <w:r w:rsidR="0097190B">
        <w:rPr>
          <w:bCs/>
          <w:sz w:val="24"/>
          <w:szCs w:val="24"/>
          <w:lang w:eastAsia="zh-TW"/>
        </w:rPr>
        <w:t xml:space="preserve"> attempting to, by recreating the </w:t>
      </w:r>
      <w:r w:rsidR="0097190B">
        <w:rPr>
          <w:bCs/>
          <w:sz w:val="24"/>
          <w:szCs w:val="24"/>
          <w:lang w:eastAsia="zh-TW"/>
        </w:rPr>
        <w:lastRenderedPageBreak/>
        <w:t>monumental topography of the Antonines, draw upon the potent associations with that period.</w:t>
      </w:r>
    </w:p>
    <w:p w:rsidR="00E756D7" w:rsidRDefault="0046414C" w:rsidP="00722391">
      <w:pPr>
        <w:widowControl w:val="0"/>
        <w:suppressLineNumbers/>
        <w:autoSpaceDE w:val="0"/>
        <w:autoSpaceDN w:val="0"/>
        <w:adjustRightInd w:val="0"/>
        <w:spacing w:after="0" w:line="480" w:lineRule="auto"/>
        <w:ind w:firstLine="720"/>
        <w:jc w:val="both"/>
        <w:rPr>
          <w:sz w:val="24"/>
          <w:szCs w:val="24"/>
        </w:rPr>
      </w:pPr>
      <w:r>
        <w:rPr>
          <w:bCs/>
          <w:sz w:val="24"/>
          <w:szCs w:val="24"/>
          <w:lang w:eastAsia="zh-TW"/>
        </w:rPr>
        <w:t>We must be w</w:t>
      </w:r>
      <w:r w:rsidR="00E756D7">
        <w:rPr>
          <w:bCs/>
          <w:sz w:val="24"/>
          <w:szCs w:val="24"/>
          <w:lang w:eastAsia="zh-TW"/>
        </w:rPr>
        <w:t>ary of using this to automatically date any proto-</w:t>
      </w:r>
      <w:r w:rsidR="00E756D7">
        <w:rPr>
          <w:bCs/>
          <w:i/>
          <w:sz w:val="24"/>
          <w:szCs w:val="24"/>
          <w:lang w:eastAsia="zh-TW"/>
        </w:rPr>
        <w:t>Regionaries</w:t>
      </w:r>
      <w:r w:rsidR="00E756D7">
        <w:rPr>
          <w:bCs/>
          <w:sz w:val="24"/>
          <w:szCs w:val="24"/>
          <w:lang w:eastAsia="zh-TW"/>
        </w:rPr>
        <w:t xml:space="preserve"> to the Antonine </w:t>
      </w:r>
      <w:r w:rsidR="0087599E">
        <w:rPr>
          <w:bCs/>
          <w:sz w:val="24"/>
          <w:szCs w:val="24"/>
          <w:lang w:eastAsia="zh-TW"/>
        </w:rPr>
        <w:t>emperors</w:t>
      </w:r>
      <w:r w:rsidR="00E756D7">
        <w:rPr>
          <w:bCs/>
          <w:sz w:val="24"/>
          <w:szCs w:val="24"/>
          <w:lang w:eastAsia="zh-TW"/>
        </w:rPr>
        <w:t xml:space="preserve">, as we have already established the </w:t>
      </w:r>
      <w:r w:rsidR="00E756D7">
        <w:rPr>
          <w:bCs/>
          <w:i/>
          <w:sz w:val="24"/>
          <w:szCs w:val="24"/>
          <w:lang w:eastAsia="zh-TW"/>
        </w:rPr>
        <w:t>Regionaries</w:t>
      </w:r>
      <w:r w:rsidR="00E756D7">
        <w:rPr>
          <w:bCs/>
          <w:sz w:val="24"/>
          <w:szCs w:val="24"/>
          <w:lang w:eastAsia="zh-TW"/>
        </w:rPr>
        <w:t xml:space="preserve"> are not</w:t>
      </w:r>
      <w:r>
        <w:rPr>
          <w:bCs/>
          <w:sz w:val="24"/>
          <w:szCs w:val="24"/>
          <w:lang w:eastAsia="zh-TW"/>
        </w:rPr>
        <w:t xml:space="preserve"> a</w:t>
      </w:r>
      <w:r w:rsidR="00E756D7">
        <w:rPr>
          <w:bCs/>
          <w:sz w:val="24"/>
          <w:szCs w:val="24"/>
          <w:lang w:eastAsia="zh-TW"/>
        </w:rPr>
        <w:t xml:space="preserve"> direct copy of the city at a particular time. But we do know that </w:t>
      </w:r>
      <w:r w:rsidR="008A797A">
        <w:rPr>
          <w:bCs/>
          <w:sz w:val="24"/>
          <w:szCs w:val="24"/>
          <w:lang w:eastAsia="zh-TW"/>
        </w:rPr>
        <w:t>Septimius</w:t>
      </w:r>
      <w:r w:rsidR="00E756D7">
        <w:rPr>
          <w:bCs/>
          <w:sz w:val="24"/>
          <w:szCs w:val="24"/>
          <w:lang w:eastAsia="zh-TW"/>
        </w:rPr>
        <w:t xml:space="preserve"> Severus sought an association with the Antonine </w:t>
      </w:r>
      <w:r w:rsidR="0087599E">
        <w:rPr>
          <w:bCs/>
          <w:sz w:val="24"/>
          <w:szCs w:val="24"/>
          <w:lang w:eastAsia="zh-TW"/>
        </w:rPr>
        <w:t>emperors</w:t>
      </w:r>
      <w:r w:rsidR="00E756D7">
        <w:rPr>
          <w:bCs/>
          <w:sz w:val="24"/>
          <w:szCs w:val="24"/>
          <w:lang w:eastAsia="zh-TW"/>
        </w:rPr>
        <w:t xml:space="preserve">, and that we also have the appearance of a number of Antonine monuments in the Marble Plan. </w:t>
      </w:r>
      <w:r w:rsidR="00E756D7">
        <w:rPr>
          <w:sz w:val="24"/>
          <w:szCs w:val="24"/>
        </w:rPr>
        <w:t xml:space="preserve">Buildings belonging to less successful/popular </w:t>
      </w:r>
      <w:r w:rsidR="0087599E">
        <w:rPr>
          <w:sz w:val="24"/>
          <w:szCs w:val="24"/>
        </w:rPr>
        <w:t>emperors</w:t>
      </w:r>
      <w:r w:rsidR="00E756D7">
        <w:rPr>
          <w:sz w:val="24"/>
          <w:szCs w:val="24"/>
        </w:rPr>
        <w:t xml:space="preserve"> such as</w:t>
      </w:r>
      <w:r>
        <w:rPr>
          <w:sz w:val="24"/>
          <w:szCs w:val="24"/>
        </w:rPr>
        <w:t xml:space="preserve"> the Arches of Claudius and Tit</w:t>
      </w:r>
      <w:r w:rsidR="00E756D7">
        <w:rPr>
          <w:sz w:val="24"/>
          <w:szCs w:val="24"/>
        </w:rPr>
        <w:t xml:space="preserve">us or the Theatre of Domitian are not included. Even the Mausoleum of Augustus is only mentioned obliquely in the </w:t>
      </w:r>
      <w:r w:rsidR="00E756D7">
        <w:rPr>
          <w:i/>
          <w:sz w:val="24"/>
          <w:szCs w:val="24"/>
        </w:rPr>
        <w:t>Regionaries</w:t>
      </w:r>
      <w:r w:rsidR="00631532">
        <w:rPr>
          <w:i/>
          <w:sz w:val="24"/>
          <w:szCs w:val="24"/>
        </w:rPr>
        <w:t>’</w:t>
      </w:r>
      <w:r w:rsidR="00E756D7">
        <w:rPr>
          <w:sz w:val="24"/>
          <w:szCs w:val="24"/>
        </w:rPr>
        <w:t xml:space="preserve"> Appendices and the Arch of Augustus does not appear at all. In fact the only temple </w:t>
      </w:r>
      <w:r>
        <w:rPr>
          <w:sz w:val="24"/>
          <w:szCs w:val="24"/>
        </w:rPr>
        <w:t xml:space="preserve">directly </w:t>
      </w:r>
      <w:r w:rsidR="00E756D7">
        <w:rPr>
          <w:sz w:val="24"/>
          <w:szCs w:val="24"/>
        </w:rPr>
        <w:t xml:space="preserve">dedicated to a deified </w:t>
      </w:r>
      <w:r w:rsidR="0087599E">
        <w:rPr>
          <w:sz w:val="24"/>
          <w:szCs w:val="24"/>
        </w:rPr>
        <w:t>e</w:t>
      </w:r>
      <w:r w:rsidR="008B44B0">
        <w:rPr>
          <w:sz w:val="24"/>
          <w:szCs w:val="24"/>
        </w:rPr>
        <w:t>mperor</w:t>
      </w:r>
      <w:r w:rsidR="00E756D7">
        <w:rPr>
          <w:sz w:val="24"/>
          <w:szCs w:val="24"/>
        </w:rPr>
        <w:t xml:space="preserve"> present in the </w:t>
      </w:r>
      <w:r w:rsidR="00E756D7">
        <w:rPr>
          <w:i/>
          <w:sz w:val="24"/>
          <w:szCs w:val="24"/>
        </w:rPr>
        <w:t>Regionaries</w:t>
      </w:r>
      <w:r w:rsidR="00E756D7">
        <w:rPr>
          <w:sz w:val="24"/>
          <w:szCs w:val="24"/>
        </w:rPr>
        <w:t xml:space="preserve"> is the </w:t>
      </w:r>
      <w:r w:rsidR="00E756D7">
        <w:rPr>
          <w:i/>
          <w:sz w:val="24"/>
          <w:szCs w:val="24"/>
        </w:rPr>
        <w:t>templum divi Antonini</w:t>
      </w:r>
      <w:r>
        <w:rPr>
          <w:sz w:val="24"/>
          <w:szCs w:val="24"/>
        </w:rPr>
        <w:t xml:space="preserve">. Other temples have different soubriquets such as the </w:t>
      </w:r>
      <w:r>
        <w:rPr>
          <w:i/>
          <w:sz w:val="24"/>
          <w:szCs w:val="24"/>
        </w:rPr>
        <w:t>Hadrianeum</w:t>
      </w:r>
      <w:r w:rsidR="00E756D7">
        <w:rPr>
          <w:sz w:val="24"/>
          <w:szCs w:val="24"/>
        </w:rPr>
        <w:t xml:space="preserve">. </w:t>
      </w:r>
      <w:r w:rsidR="00E756D7">
        <w:rPr>
          <w:bCs/>
          <w:sz w:val="24"/>
          <w:szCs w:val="24"/>
          <w:lang w:eastAsia="zh-TW"/>
        </w:rPr>
        <w:t xml:space="preserve">This suggests that an important criterion for inclusion within the </w:t>
      </w:r>
      <w:r w:rsidR="00E756D7">
        <w:rPr>
          <w:bCs/>
          <w:i/>
          <w:sz w:val="24"/>
          <w:szCs w:val="24"/>
          <w:lang w:eastAsia="zh-TW"/>
        </w:rPr>
        <w:t>Regionaries</w:t>
      </w:r>
      <w:r w:rsidR="00E756D7">
        <w:rPr>
          <w:bCs/>
          <w:sz w:val="24"/>
          <w:szCs w:val="24"/>
          <w:lang w:eastAsia="zh-TW"/>
        </w:rPr>
        <w:t xml:space="preserve"> was a building/monument</w:t>
      </w:r>
      <w:r>
        <w:rPr>
          <w:bCs/>
          <w:sz w:val="24"/>
          <w:szCs w:val="24"/>
          <w:lang w:eastAsia="zh-TW"/>
        </w:rPr>
        <w:t>’</w:t>
      </w:r>
      <w:r w:rsidR="00E756D7">
        <w:rPr>
          <w:bCs/>
          <w:sz w:val="24"/>
          <w:szCs w:val="24"/>
          <w:lang w:eastAsia="zh-TW"/>
        </w:rPr>
        <w:t xml:space="preserve">s </w:t>
      </w:r>
      <w:r>
        <w:rPr>
          <w:bCs/>
          <w:sz w:val="24"/>
          <w:szCs w:val="24"/>
          <w:lang w:eastAsia="zh-TW"/>
        </w:rPr>
        <w:t xml:space="preserve">direct and obvious </w:t>
      </w:r>
      <w:r w:rsidR="00E756D7">
        <w:rPr>
          <w:bCs/>
          <w:sz w:val="24"/>
          <w:szCs w:val="24"/>
          <w:lang w:eastAsia="zh-TW"/>
        </w:rPr>
        <w:t xml:space="preserve">connection to the </w:t>
      </w:r>
      <w:r w:rsidR="0087599E">
        <w:rPr>
          <w:bCs/>
          <w:sz w:val="24"/>
          <w:szCs w:val="24"/>
          <w:lang w:eastAsia="zh-TW"/>
        </w:rPr>
        <w:t>Emperors</w:t>
      </w:r>
      <w:r w:rsidR="00E756D7">
        <w:rPr>
          <w:bCs/>
          <w:sz w:val="24"/>
          <w:szCs w:val="24"/>
          <w:lang w:eastAsia="zh-TW"/>
        </w:rPr>
        <w:t xml:space="preserve"> of Rome’s zenith.</w:t>
      </w:r>
      <w:r w:rsidR="00E756D7">
        <w:rPr>
          <w:sz w:val="24"/>
          <w:szCs w:val="24"/>
        </w:rPr>
        <w:t xml:space="preserve"> It is clear that the </w:t>
      </w:r>
      <w:r w:rsidR="00E756D7">
        <w:rPr>
          <w:i/>
          <w:sz w:val="24"/>
          <w:szCs w:val="24"/>
        </w:rPr>
        <w:t>Regionaries</w:t>
      </w:r>
      <w:r>
        <w:rPr>
          <w:i/>
          <w:sz w:val="24"/>
          <w:szCs w:val="24"/>
        </w:rPr>
        <w:t>’</w:t>
      </w:r>
      <w:r w:rsidR="00E756D7">
        <w:rPr>
          <w:sz w:val="24"/>
          <w:szCs w:val="24"/>
        </w:rPr>
        <w:t xml:space="preserve"> creator either sought a link to the Antonine </w:t>
      </w:r>
      <w:r w:rsidR="0087599E">
        <w:rPr>
          <w:sz w:val="24"/>
          <w:szCs w:val="24"/>
        </w:rPr>
        <w:t>emperors</w:t>
      </w:r>
      <w:r w:rsidR="00E756D7">
        <w:rPr>
          <w:sz w:val="24"/>
          <w:szCs w:val="24"/>
        </w:rPr>
        <w:t xml:space="preserve"> or was keen to ensure that the City’s links to them were preserved. This</w:t>
      </w:r>
      <w:r>
        <w:rPr>
          <w:sz w:val="24"/>
          <w:szCs w:val="24"/>
        </w:rPr>
        <w:t xml:space="preserve"> in</w:t>
      </w:r>
      <w:r w:rsidR="00E756D7">
        <w:rPr>
          <w:sz w:val="24"/>
          <w:szCs w:val="24"/>
        </w:rPr>
        <w:t xml:space="preserve"> turn assists us in providing a better sense of the </w:t>
      </w:r>
      <w:r w:rsidR="00E756D7">
        <w:rPr>
          <w:i/>
          <w:sz w:val="24"/>
          <w:szCs w:val="24"/>
        </w:rPr>
        <w:t>Regionaries</w:t>
      </w:r>
      <w:r>
        <w:rPr>
          <w:i/>
          <w:sz w:val="24"/>
          <w:szCs w:val="24"/>
        </w:rPr>
        <w:t>’</w:t>
      </w:r>
      <w:r w:rsidR="00E756D7">
        <w:rPr>
          <w:sz w:val="24"/>
          <w:szCs w:val="24"/>
        </w:rPr>
        <w:t xml:space="preserve"> initial production context and likely commissioner as we shall see later. </w:t>
      </w:r>
    </w:p>
    <w:p w:rsidR="00E756D7" w:rsidRDefault="00E756D7" w:rsidP="00722391">
      <w:pPr>
        <w:widowControl w:val="0"/>
        <w:suppressLineNumbers/>
        <w:autoSpaceDE w:val="0"/>
        <w:autoSpaceDN w:val="0"/>
        <w:adjustRightInd w:val="0"/>
        <w:spacing w:after="0" w:line="480" w:lineRule="auto"/>
        <w:ind w:firstLine="720"/>
        <w:jc w:val="both"/>
        <w:rPr>
          <w:sz w:val="24"/>
          <w:szCs w:val="24"/>
        </w:rPr>
      </w:pPr>
      <w:r>
        <w:rPr>
          <w:sz w:val="24"/>
          <w:szCs w:val="24"/>
        </w:rPr>
        <w:t xml:space="preserve">These unique items are certainly the exception to the rule within the </w:t>
      </w:r>
      <w:r>
        <w:rPr>
          <w:i/>
          <w:sz w:val="24"/>
          <w:szCs w:val="24"/>
        </w:rPr>
        <w:t>Regionaries</w:t>
      </w:r>
      <w:r>
        <w:rPr>
          <w:sz w:val="24"/>
          <w:szCs w:val="24"/>
        </w:rPr>
        <w:t xml:space="preserve"> and much of the </w:t>
      </w:r>
      <w:r>
        <w:rPr>
          <w:i/>
          <w:sz w:val="24"/>
          <w:szCs w:val="24"/>
        </w:rPr>
        <w:t>Regionaries</w:t>
      </w:r>
      <w:r>
        <w:rPr>
          <w:sz w:val="24"/>
          <w:szCs w:val="24"/>
        </w:rPr>
        <w:t xml:space="preserve"> can be independently verified through inscriptions and literary sources.</w:t>
      </w:r>
      <w:r>
        <w:rPr>
          <w:rStyle w:val="FootnoteReference"/>
          <w:sz w:val="24"/>
          <w:szCs w:val="24"/>
        </w:rPr>
        <w:footnoteReference w:id="210"/>
      </w:r>
      <w:r>
        <w:rPr>
          <w:sz w:val="24"/>
          <w:szCs w:val="24"/>
        </w:rPr>
        <w:t xml:space="preserve"> However this has its own pitfalls for attempting to recreate the physical context of the </w:t>
      </w:r>
      <w:r>
        <w:rPr>
          <w:i/>
          <w:sz w:val="24"/>
          <w:szCs w:val="24"/>
        </w:rPr>
        <w:t>Regionaries</w:t>
      </w:r>
      <w:r>
        <w:rPr>
          <w:sz w:val="24"/>
          <w:szCs w:val="24"/>
        </w:rPr>
        <w:t xml:space="preserve"> in its proto-form. Without using the massive structures such as the </w:t>
      </w:r>
      <w:r w:rsidR="0087599E">
        <w:rPr>
          <w:sz w:val="24"/>
          <w:szCs w:val="24"/>
        </w:rPr>
        <w:t>i</w:t>
      </w:r>
      <w:r w:rsidR="008B44B0">
        <w:rPr>
          <w:sz w:val="24"/>
          <w:szCs w:val="24"/>
        </w:rPr>
        <w:t>mperial</w:t>
      </w:r>
      <w:r>
        <w:rPr>
          <w:i/>
          <w:sz w:val="24"/>
          <w:szCs w:val="24"/>
        </w:rPr>
        <w:t xml:space="preserve"> </w:t>
      </w:r>
      <w:r w:rsidR="00C43F79">
        <w:rPr>
          <w:i/>
          <w:sz w:val="24"/>
          <w:szCs w:val="24"/>
        </w:rPr>
        <w:t>Thermae</w:t>
      </w:r>
      <w:r>
        <w:rPr>
          <w:sz w:val="24"/>
          <w:szCs w:val="24"/>
        </w:rPr>
        <w:t xml:space="preserve">, the </w:t>
      </w:r>
      <w:r>
        <w:rPr>
          <w:i/>
          <w:sz w:val="24"/>
          <w:szCs w:val="24"/>
        </w:rPr>
        <w:t xml:space="preserve">Fora, Basilicae </w:t>
      </w:r>
      <w:r>
        <w:rPr>
          <w:sz w:val="24"/>
          <w:szCs w:val="24"/>
        </w:rPr>
        <w:t xml:space="preserve">and </w:t>
      </w:r>
      <w:r>
        <w:rPr>
          <w:i/>
          <w:sz w:val="24"/>
          <w:szCs w:val="24"/>
        </w:rPr>
        <w:t>Templa</w:t>
      </w:r>
      <w:r>
        <w:rPr>
          <w:sz w:val="24"/>
          <w:szCs w:val="24"/>
        </w:rPr>
        <w:t xml:space="preserve"> which h</w:t>
      </w:r>
      <w:r w:rsidR="00D153D7">
        <w:rPr>
          <w:sz w:val="24"/>
          <w:szCs w:val="24"/>
        </w:rPr>
        <w:t xml:space="preserve">ave left extensive remains, we </w:t>
      </w:r>
      <w:r>
        <w:rPr>
          <w:sz w:val="24"/>
          <w:szCs w:val="24"/>
        </w:rPr>
        <w:lastRenderedPageBreak/>
        <w:t>have needed to</w:t>
      </w:r>
      <w:r w:rsidR="0046414C">
        <w:rPr>
          <w:sz w:val="24"/>
          <w:szCs w:val="24"/>
        </w:rPr>
        <w:t xml:space="preserve"> rely on chance archaeological</w:t>
      </w:r>
      <w:r>
        <w:rPr>
          <w:sz w:val="24"/>
          <w:szCs w:val="24"/>
        </w:rPr>
        <w:t xml:space="preserve"> findings to independently verify the </w:t>
      </w:r>
      <w:r>
        <w:rPr>
          <w:i/>
          <w:sz w:val="24"/>
          <w:szCs w:val="24"/>
        </w:rPr>
        <w:t>Regionaries</w:t>
      </w:r>
      <w:r>
        <w:rPr>
          <w:sz w:val="24"/>
          <w:szCs w:val="24"/>
        </w:rPr>
        <w:t>. An example of this can be seen in the case of the</w:t>
      </w:r>
      <w:r>
        <w:rPr>
          <w:i/>
          <w:sz w:val="24"/>
          <w:szCs w:val="24"/>
        </w:rPr>
        <w:t xml:space="preserve"> Crypta Balbi</w:t>
      </w:r>
      <w:r>
        <w:rPr>
          <w:sz w:val="24"/>
          <w:szCs w:val="24"/>
        </w:rPr>
        <w:t xml:space="preserve">. Listed in Platner and Ashby (1929) as being present only in the </w:t>
      </w:r>
      <w:r>
        <w:rPr>
          <w:i/>
          <w:sz w:val="24"/>
          <w:szCs w:val="24"/>
        </w:rPr>
        <w:t>Notitia</w:t>
      </w:r>
      <w:r>
        <w:rPr>
          <w:sz w:val="24"/>
          <w:szCs w:val="24"/>
        </w:rPr>
        <w:t>, an excavation later discovered the whole theatre in 1981.</w:t>
      </w:r>
      <w:r>
        <w:rPr>
          <w:rStyle w:val="FootnoteReference"/>
          <w:sz w:val="24"/>
          <w:szCs w:val="24"/>
        </w:rPr>
        <w:footnoteReference w:id="211"/>
      </w:r>
      <w:r>
        <w:rPr>
          <w:sz w:val="24"/>
          <w:szCs w:val="24"/>
        </w:rPr>
        <w:t xml:space="preserve"> Where reliable archaeological evidence is absent, we must turn to the more traditional method of using literary sources to help verify and locate the buildings of the </w:t>
      </w:r>
      <w:r>
        <w:rPr>
          <w:i/>
          <w:sz w:val="24"/>
          <w:szCs w:val="24"/>
        </w:rPr>
        <w:t>Regionaries</w:t>
      </w:r>
      <w:r>
        <w:rPr>
          <w:sz w:val="24"/>
          <w:szCs w:val="24"/>
        </w:rPr>
        <w:t>. For our earliest monuments, generally those built prior to</w:t>
      </w:r>
      <w:r w:rsidR="0046414C">
        <w:rPr>
          <w:sz w:val="24"/>
          <w:szCs w:val="24"/>
        </w:rPr>
        <w:t xml:space="preserve"> the</w:t>
      </w:r>
      <w:r>
        <w:rPr>
          <w:sz w:val="24"/>
          <w:szCs w:val="24"/>
        </w:rPr>
        <w:t xml:space="preserve"> crises of the third century</w:t>
      </w:r>
      <w:r w:rsidR="0046414C">
        <w:rPr>
          <w:sz w:val="24"/>
          <w:szCs w:val="24"/>
        </w:rPr>
        <w:t>,</w:t>
      </w:r>
      <w:r>
        <w:rPr>
          <w:sz w:val="24"/>
          <w:szCs w:val="24"/>
        </w:rPr>
        <w:t xml:space="preserve"> we are able to turn to the rich literary sources of the early </w:t>
      </w:r>
      <w:r w:rsidR="008B44B0">
        <w:rPr>
          <w:sz w:val="24"/>
          <w:szCs w:val="24"/>
        </w:rPr>
        <w:t>imperial</w:t>
      </w:r>
      <w:r>
        <w:rPr>
          <w:sz w:val="24"/>
          <w:szCs w:val="24"/>
        </w:rPr>
        <w:t xml:space="preserve"> period such as Tacitus, Cassius Dio and Frontinus to confirm at least the historical existence of parts of the </w:t>
      </w:r>
      <w:r>
        <w:rPr>
          <w:i/>
          <w:sz w:val="24"/>
          <w:szCs w:val="24"/>
        </w:rPr>
        <w:t>Regionaries</w:t>
      </w:r>
      <w:r>
        <w:rPr>
          <w:sz w:val="24"/>
          <w:szCs w:val="24"/>
        </w:rPr>
        <w:t>. For the late-third century and much of the early fourth century we must rely upon</w:t>
      </w:r>
      <w:r w:rsidR="0046414C">
        <w:rPr>
          <w:sz w:val="24"/>
          <w:szCs w:val="24"/>
        </w:rPr>
        <w:t xml:space="preserve"> the</w:t>
      </w:r>
      <w:r>
        <w:rPr>
          <w:sz w:val="24"/>
          <w:szCs w:val="24"/>
        </w:rPr>
        <w:t xml:space="preserve"> </w:t>
      </w:r>
      <w:r>
        <w:rPr>
          <w:i/>
          <w:sz w:val="24"/>
          <w:szCs w:val="24"/>
        </w:rPr>
        <w:t>Historia Augusta</w:t>
      </w:r>
      <w:r>
        <w:rPr>
          <w:sz w:val="24"/>
          <w:szCs w:val="24"/>
        </w:rPr>
        <w:t xml:space="preserve"> and Aurelius Victor’s </w:t>
      </w:r>
      <w:r>
        <w:rPr>
          <w:i/>
          <w:sz w:val="24"/>
          <w:szCs w:val="24"/>
        </w:rPr>
        <w:t>De Caesaribus</w:t>
      </w:r>
      <w:r>
        <w:rPr>
          <w:sz w:val="24"/>
          <w:szCs w:val="24"/>
        </w:rPr>
        <w:t xml:space="preserve">. Both texts are detailed accounts of </w:t>
      </w:r>
      <w:r w:rsidR="0087599E">
        <w:rPr>
          <w:sz w:val="24"/>
          <w:szCs w:val="24"/>
        </w:rPr>
        <w:t>i</w:t>
      </w:r>
      <w:r w:rsidR="008B44B0">
        <w:rPr>
          <w:sz w:val="24"/>
          <w:szCs w:val="24"/>
        </w:rPr>
        <w:t>mperial</w:t>
      </w:r>
      <w:r>
        <w:rPr>
          <w:sz w:val="24"/>
          <w:szCs w:val="24"/>
        </w:rPr>
        <w:t xml:space="preserve"> lives in the period, however both are relatively unreliable due to their distance from the subject in the case of Aurelius (who wrote in the second half of the 4</w:t>
      </w:r>
      <w:r>
        <w:rPr>
          <w:sz w:val="24"/>
          <w:szCs w:val="24"/>
          <w:vertAlign w:val="superscript"/>
        </w:rPr>
        <w:t>th</w:t>
      </w:r>
      <w:r w:rsidR="008F494F">
        <w:rPr>
          <w:sz w:val="24"/>
          <w:szCs w:val="24"/>
        </w:rPr>
        <w:t xml:space="preserve"> century) and suspected</w:t>
      </w:r>
      <w:r>
        <w:rPr>
          <w:sz w:val="24"/>
          <w:szCs w:val="24"/>
        </w:rPr>
        <w:t xml:space="preserve"> fraud in the case of the anonymous </w:t>
      </w:r>
      <w:r>
        <w:rPr>
          <w:i/>
          <w:sz w:val="24"/>
          <w:szCs w:val="24"/>
        </w:rPr>
        <w:t>Historia Augusta</w:t>
      </w:r>
      <w:r>
        <w:rPr>
          <w:sz w:val="24"/>
          <w:szCs w:val="24"/>
        </w:rPr>
        <w:t xml:space="preserve"> (which is also generally believed to be from the second half of the 4</w:t>
      </w:r>
      <w:r>
        <w:rPr>
          <w:sz w:val="24"/>
          <w:szCs w:val="24"/>
          <w:vertAlign w:val="superscript"/>
        </w:rPr>
        <w:t>th</w:t>
      </w:r>
      <w:r>
        <w:rPr>
          <w:sz w:val="24"/>
          <w:szCs w:val="24"/>
        </w:rPr>
        <w:t xml:space="preserve"> century).</w:t>
      </w:r>
      <w:r>
        <w:rPr>
          <w:rStyle w:val="FootnoteReference"/>
          <w:sz w:val="24"/>
          <w:szCs w:val="24"/>
        </w:rPr>
        <w:footnoteReference w:id="212"/>
      </w:r>
      <w:r>
        <w:rPr>
          <w:sz w:val="24"/>
          <w:szCs w:val="24"/>
        </w:rPr>
        <w:t xml:space="preserve"> Later in the fourth century we are able to use Ammianus Marcellinus’ account of </w:t>
      </w:r>
      <w:r w:rsidR="0046414C">
        <w:rPr>
          <w:sz w:val="24"/>
          <w:szCs w:val="24"/>
        </w:rPr>
        <w:t>the AD 357</w:t>
      </w:r>
      <w:r>
        <w:rPr>
          <w:sz w:val="24"/>
          <w:szCs w:val="24"/>
        </w:rPr>
        <w:t xml:space="preserve"> </w:t>
      </w:r>
      <w:r w:rsidR="008B44B0">
        <w:rPr>
          <w:sz w:val="24"/>
          <w:szCs w:val="24"/>
        </w:rPr>
        <w:t>imperial</w:t>
      </w:r>
      <w:r>
        <w:rPr>
          <w:sz w:val="24"/>
          <w:szCs w:val="24"/>
        </w:rPr>
        <w:t xml:space="preserve"> </w:t>
      </w:r>
      <w:r>
        <w:rPr>
          <w:i/>
          <w:sz w:val="24"/>
          <w:szCs w:val="24"/>
        </w:rPr>
        <w:t>adventus</w:t>
      </w:r>
      <w:r w:rsidR="0046414C">
        <w:rPr>
          <w:sz w:val="24"/>
          <w:szCs w:val="24"/>
        </w:rPr>
        <w:t xml:space="preserve"> and Constantius’ consequent bestowal of the Obelisk,</w:t>
      </w:r>
      <w:r>
        <w:rPr>
          <w:sz w:val="24"/>
          <w:szCs w:val="24"/>
        </w:rPr>
        <w:t xml:space="preserve"> to generate our </w:t>
      </w:r>
      <w:r>
        <w:rPr>
          <w:i/>
          <w:sz w:val="24"/>
          <w:szCs w:val="24"/>
        </w:rPr>
        <w:t>terminus</w:t>
      </w:r>
      <w:r>
        <w:rPr>
          <w:sz w:val="24"/>
          <w:szCs w:val="24"/>
        </w:rPr>
        <w:t xml:space="preserve"> </w:t>
      </w:r>
      <w:r>
        <w:rPr>
          <w:i/>
          <w:sz w:val="24"/>
          <w:szCs w:val="24"/>
        </w:rPr>
        <w:t>ante quem</w:t>
      </w:r>
      <w:r>
        <w:rPr>
          <w:sz w:val="24"/>
          <w:szCs w:val="24"/>
        </w:rPr>
        <w:t xml:space="preserve"> of AD 357 for the </w:t>
      </w:r>
      <w:r>
        <w:rPr>
          <w:i/>
          <w:sz w:val="24"/>
          <w:szCs w:val="24"/>
        </w:rPr>
        <w:t>Curiosum</w:t>
      </w:r>
      <w:r>
        <w:rPr>
          <w:sz w:val="24"/>
          <w:szCs w:val="24"/>
        </w:rPr>
        <w:t xml:space="preserve"> tradition of the </w:t>
      </w:r>
      <w:r>
        <w:rPr>
          <w:i/>
          <w:sz w:val="24"/>
          <w:szCs w:val="24"/>
        </w:rPr>
        <w:t>Regionaries</w:t>
      </w:r>
      <w:r>
        <w:rPr>
          <w:sz w:val="24"/>
          <w:szCs w:val="24"/>
        </w:rPr>
        <w:t>, as well as to see what buildings still remained.</w:t>
      </w:r>
      <w:r>
        <w:rPr>
          <w:rStyle w:val="FootnoteReference"/>
          <w:sz w:val="24"/>
          <w:szCs w:val="24"/>
        </w:rPr>
        <w:footnoteReference w:id="213"/>
      </w:r>
      <w:r>
        <w:rPr>
          <w:sz w:val="24"/>
          <w:szCs w:val="24"/>
        </w:rPr>
        <w:t xml:space="preserve"> </w:t>
      </w:r>
    </w:p>
    <w:p w:rsidR="00E756D7" w:rsidRDefault="00E756D7" w:rsidP="00722391">
      <w:pPr>
        <w:widowControl w:val="0"/>
        <w:suppressLineNumbers/>
        <w:autoSpaceDE w:val="0"/>
        <w:autoSpaceDN w:val="0"/>
        <w:adjustRightInd w:val="0"/>
        <w:spacing w:after="0" w:line="480" w:lineRule="auto"/>
        <w:ind w:firstLine="720"/>
        <w:jc w:val="both"/>
        <w:rPr>
          <w:sz w:val="24"/>
          <w:szCs w:val="24"/>
        </w:rPr>
      </w:pPr>
      <w:r>
        <w:rPr>
          <w:sz w:val="24"/>
          <w:szCs w:val="24"/>
        </w:rPr>
        <w:t xml:space="preserve">Most importantly of all, the </w:t>
      </w:r>
      <w:r>
        <w:rPr>
          <w:i/>
          <w:sz w:val="24"/>
          <w:szCs w:val="24"/>
        </w:rPr>
        <w:t>Regionaries</w:t>
      </w:r>
      <w:r>
        <w:rPr>
          <w:sz w:val="24"/>
          <w:szCs w:val="24"/>
        </w:rPr>
        <w:t xml:space="preserve"> cannot accurately depict </w:t>
      </w:r>
      <w:r w:rsidR="0046414C">
        <w:rPr>
          <w:sz w:val="24"/>
          <w:szCs w:val="24"/>
        </w:rPr>
        <w:t>Rome in the fourth century as they lack</w:t>
      </w:r>
      <w:r>
        <w:rPr>
          <w:sz w:val="24"/>
          <w:szCs w:val="24"/>
        </w:rPr>
        <w:t xml:space="preserve"> perhaps the most significant topographical change that the city had </w:t>
      </w:r>
      <w:r>
        <w:rPr>
          <w:sz w:val="24"/>
          <w:szCs w:val="24"/>
        </w:rPr>
        <w:lastRenderedPageBreak/>
        <w:t>faced since its founding. The Aurelian Wall completely re-wrote R</w:t>
      </w:r>
      <w:r w:rsidR="008F494F">
        <w:rPr>
          <w:sz w:val="24"/>
          <w:szCs w:val="24"/>
        </w:rPr>
        <w:t xml:space="preserve">ome’s topographical boundaries and </w:t>
      </w:r>
      <w:r>
        <w:rPr>
          <w:sz w:val="24"/>
          <w:szCs w:val="24"/>
        </w:rPr>
        <w:t>cr</w:t>
      </w:r>
      <w:r w:rsidR="008F494F">
        <w:rPr>
          <w:sz w:val="24"/>
          <w:szCs w:val="24"/>
        </w:rPr>
        <w:t>eated</w:t>
      </w:r>
      <w:r>
        <w:rPr>
          <w:sz w:val="24"/>
          <w:szCs w:val="24"/>
        </w:rPr>
        <w:t xml:space="preserve"> a brand new </w:t>
      </w:r>
      <w:r>
        <w:rPr>
          <w:i/>
          <w:sz w:val="24"/>
          <w:szCs w:val="24"/>
        </w:rPr>
        <w:t>pomerium</w:t>
      </w:r>
      <w:r>
        <w:rPr>
          <w:sz w:val="24"/>
          <w:szCs w:val="24"/>
        </w:rPr>
        <w:t xml:space="preserve">, that </w:t>
      </w:r>
      <w:r w:rsidR="00182EFE">
        <w:rPr>
          <w:sz w:val="24"/>
          <w:szCs w:val="24"/>
        </w:rPr>
        <w:t>sacred</w:t>
      </w:r>
      <w:r>
        <w:rPr>
          <w:sz w:val="24"/>
          <w:szCs w:val="24"/>
        </w:rPr>
        <w:t xml:space="preserve"> boundary which divided the City from the Empire.</w:t>
      </w:r>
      <w:r>
        <w:rPr>
          <w:rStyle w:val="FootnoteReference"/>
          <w:sz w:val="24"/>
          <w:szCs w:val="24"/>
        </w:rPr>
        <w:footnoteReference w:id="214"/>
      </w:r>
      <w:r>
        <w:rPr>
          <w:sz w:val="24"/>
          <w:szCs w:val="24"/>
        </w:rPr>
        <w:t xml:space="preserve"> Whil</w:t>
      </w:r>
      <w:r w:rsidR="0046414C">
        <w:rPr>
          <w:sz w:val="24"/>
          <w:szCs w:val="24"/>
        </w:rPr>
        <w:t>st the vast majority of items are</w:t>
      </w:r>
      <w:r>
        <w:rPr>
          <w:sz w:val="24"/>
          <w:szCs w:val="24"/>
        </w:rPr>
        <w:t xml:space="preserve"> located within the Wall’s circuit,</w:t>
      </w:r>
      <w:r w:rsidR="0046414C">
        <w:rPr>
          <w:sz w:val="24"/>
          <w:szCs w:val="24"/>
        </w:rPr>
        <w:t xml:space="preserve"> several items including a number</w:t>
      </w:r>
      <w:r>
        <w:rPr>
          <w:sz w:val="24"/>
          <w:szCs w:val="24"/>
        </w:rPr>
        <w:t xml:space="preserve"> of the </w:t>
      </w:r>
      <w:r w:rsidR="00631532">
        <w:rPr>
          <w:i/>
          <w:sz w:val="24"/>
          <w:szCs w:val="24"/>
        </w:rPr>
        <w:t>Naumach</w:t>
      </w:r>
      <w:r>
        <w:rPr>
          <w:i/>
          <w:sz w:val="24"/>
          <w:szCs w:val="24"/>
        </w:rPr>
        <w:t>i</w:t>
      </w:r>
      <w:r w:rsidR="00631532">
        <w:rPr>
          <w:i/>
          <w:sz w:val="24"/>
          <w:szCs w:val="24"/>
        </w:rPr>
        <w:t>a</w:t>
      </w:r>
      <w:r>
        <w:rPr>
          <w:i/>
          <w:sz w:val="24"/>
          <w:szCs w:val="24"/>
        </w:rPr>
        <w:t>e</w:t>
      </w:r>
      <w:r>
        <w:rPr>
          <w:sz w:val="24"/>
          <w:szCs w:val="24"/>
        </w:rPr>
        <w:t xml:space="preserve"> (Naval Arenas), the </w:t>
      </w:r>
      <w:r>
        <w:rPr>
          <w:i/>
          <w:sz w:val="24"/>
          <w:szCs w:val="24"/>
        </w:rPr>
        <w:t>Phrygianum</w:t>
      </w:r>
      <w:r>
        <w:rPr>
          <w:sz w:val="24"/>
          <w:szCs w:val="24"/>
        </w:rPr>
        <w:t xml:space="preserve"> (a temple of Magna Mater) and the </w:t>
      </w:r>
      <w:r>
        <w:rPr>
          <w:i/>
          <w:sz w:val="24"/>
          <w:szCs w:val="24"/>
        </w:rPr>
        <w:t>Gaianum</w:t>
      </w:r>
      <w:r>
        <w:rPr>
          <w:sz w:val="24"/>
          <w:szCs w:val="24"/>
        </w:rPr>
        <w:t xml:space="preserve"> (an old racetrack of the </w:t>
      </w:r>
      <w:r w:rsidR="008B44B0">
        <w:rPr>
          <w:sz w:val="24"/>
          <w:szCs w:val="24"/>
        </w:rPr>
        <w:t>Emperor</w:t>
      </w:r>
      <w:r>
        <w:rPr>
          <w:sz w:val="24"/>
          <w:szCs w:val="24"/>
        </w:rPr>
        <w:t xml:space="preserve"> Caligula and popular with Charioteers) were left outside.</w:t>
      </w:r>
      <w:r>
        <w:rPr>
          <w:rStyle w:val="FootnoteReference"/>
          <w:sz w:val="24"/>
          <w:szCs w:val="24"/>
        </w:rPr>
        <w:footnoteReference w:id="215"/>
      </w:r>
      <w:r>
        <w:rPr>
          <w:sz w:val="24"/>
          <w:szCs w:val="24"/>
        </w:rPr>
        <w:t xml:space="preserve"> The </w:t>
      </w:r>
      <w:r>
        <w:rPr>
          <w:i/>
          <w:sz w:val="24"/>
          <w:szCs w:val="24"/>
        </w:rPr>
        <w:t xml:space="preserve">Regionary Catalogues </w:t>
      </w:r>
      <w:r>
        <w:rPr>
          <w:sz w:val="24"/>
          <w:szCs w:val="24"/>
        </w:rPr>
        <w:t xml:space="preserve">also ignore the Servian Walls and even though the City had long since outgrown them they were still an important monument to Rome’s past. The role the Aurelian Wall played in the creation of the </w:t>
      </w:r>
      <w:r>
        <w:rPr>
          <w:i/>
          <w:sz w:val="24"/>
          <w:szCs w:val="24"/>
        </w:rPr>
        <w:t>Regionary Catalogues</w:t>
      </w:r>
      <w:r>
        <w:rPr>
          <w:sz w:val="24"/>
          <w:szCs w:val="24"/>
        </w:rPr>
        <w:t xml:space="preserve"> shall be dealt</w:t>
      </w:r>
      <w:r w:rsidR="00D153D7">
        <w:rPr>
          <w:sz w:val="24"/>
          <w:szCs w:val="24"/>
        </w:rPr>
        <w:t xml:space="preserve"> with in a greater detail </w:t>
      </w:r>
      <w:r w:rsidR="00787554">
        <w:rPr>
          <w:sz w:val="24"/>
          <w:szCs w:val="24"/>
        </w:rPr>
        <w:t>later</w:t>
      </w:r>
      <w:r>
        <w:rPr>
          <w:sz w:val="24"/>
          <w:szCs w:val="24"/>
        </w:rPr>
        <w:t xml:space="preserve">, but here it should suffice to say that its absence is a serious blow to any attempt to use the </w:t>
      </w:r>
      <w:r>
        <w:rPr>
          <w:i/>
          <w:sz w:val="24"/>
          <w:szCs w:val="24"/>
        </w:rPr>
        <w:t>Regionaries</w:t>
      </w:r>
      <w:r>
        <w:rPr>
          <w:sz w:val="24"/>
          <w:szCs w:val="24"/>
        </w:rPr>
        <w:t xml:space="preserve"> to locate things. Nothing quite determines what is in and outside a city like a wall. Building the Aurelian Wall meant its designers consciously determined what buildings would be</w:t>
      </w:r>
      <w:r w:rsidR="0046414C">
        <w:rPr>
          <w:sz w:val="24"/>
          <w:szCs w:val="24"/>
        </w:rPr>
        <w:t xml:space="preserve"> within Rome. Those left over w</w:t>
      </w:r>
      <w:r>
        <w:rPr>
          <w:sz w:val="24"/>
          <w:szCs w:val="24"/>
        </w:rPr>
        <w:t>ere automatically to be considered outside the city, whether they wanted</w:t>
      </w:r>
      <w:r w:rsidR="0046414C">
        <w:rPr>
          <w:sz w:val="24"/>
          <w:szCs w:val="24"/>
        </w:rPr>
        <w:t xml:space="preserve"> them</w:t>
      </w:r>
      <w:r>
        <w:rPr>
          <w:sz w:val="24"/>
          <w:szCs w:val="24"/>
        </w:rPr>
        <w:t xml:space="preserve"> to</w:t>
      </w:r>
      <w:r w:rsidR="0046414C">
        <w:rPr>
          <w:sz w:val="24"/>
          <w:szCs w:val="24"/>
        </w:rPr>
        <w:t xml:space="preserve"> be</w:t>
      </w:r>
      <w:r>
        <w:rPr>
          <w:sz w:val="24"/>
          <w:szCs w:val="24"/>
        </w:rPr>
        <w:t xml:space="preserve"> or not.</w:t>
      </w:r>
      <w:r>
        <w:rPr>
          <w:rStyle w:val="FootnoteReference"/>
          <w:sz w:val="24"/>
          <w:szCs w:val="24"/>
        </w:rPr>
        <w:footnoteReference w:id="216"/>
      </w:r>
    </w:p>
    <w:p w:rsidR="00BA57CF" w:rsidRDefault="00BA57CF" w:rsidP="00722391">
      <w:pPr>
        <w:tabs>
          <w:tab w:val="left" w:pos="0"/>
        </w:tabs>
        <w:spacing w:line="480" w:lineRule="auto"/>
        <w:jc w:val="both"/>
        <w:rPr>
          <w:sz w:val="24"/>
          <w:szCs w:val="24"/>
        </w:rPr>
      </w:pPr>
    </w:p>
    <w:p w:rsidR="00E756D7" w:rsidRDefault="00E756D7" w:rsidP="00722391">
      <w:pPr>
        <w:tabs>
          <w:tab w:val="left" w:pos="7702"/>
        </w:tabs>
        <w:spacing w:line="480" w:lineRule="auto"/>
        <w:jc w:val="both"/>
        <w:rPr>
          <w:sz w:val="24"/>
          <w:szCs w:val="24"/>
          <w:u w:val="single"/>
        </w:rPr>
      </w:pPr>
      <w:r>
        <w:rPr>
          <w:sz w:val="24"/>
          <w:szCs w:val="24"/>
          <w:u w:val="single"/>
        </w:rPr>
        <w:t xml:space="preserve"> </w:t>
      </w:r>
      <w:r w:rsidR="002456E3">
        <w:rPr>
          <w:sz w:val="24"/>
          <w:szCs w:val="24"/>
          <w:u w:val="single"/>
        </w:rPr>
        <w:t>The Date and Purpose of the Marble Plan</w:t>
      </w:r>
      <w:r>
        <w:rPr>
          <w:sz w:val="24"/>
          <w:szCs w:val="24"/>
          <w:u w:val="single"/>
        </w:rPr>
        <w:t>:</w:t>
      </w:r>
    </w:p>
    <w:p w:rsidR="00E756D7" w:rsidRDefault="00E756D7" w:rsidP="00722391">
      <w:pPr>
        <w:tabs>
          <w:tab w:val="left" w:pos="7702"/>
        </w:tabs>
        <w:spacing w:line="480" w:lineRule="auto"/>
        <w:jc w:val="both"/>
        <w:rPr>
          <w:sz w:val="24"/>
          <w:szCs w:val="24"/>
          <w:u w:val="single"/>
        </w:rPr>
      </w:pPr>
    </w:p>
    <w:p w:rsidR="00E756D7" w:rsidRDefault="00E756D7" w:rsidP="00722391">
      <w:pPr>
        <w:spacing w:line="480" w:lineRule="auto"/>
        <w:jc w:val="both"/>
        <w:rPr>
          <w:sz w:val="24"/>
          <w:szCs w:val="24"/>
        </w:rPr>
      </w:pPr>
      <w:r>
        <w:rPr>
          <w:sz w:val="24"/>
          <w:szCs w:val="24"/>
        </w:rPr>
        <w:t xml:space="preserve">On his deathbed </w:t>
      </w:r>
      <w:r w:rsidR="008A797A">
        <w:rPr>
          <w:sz w:val="24"/>
          <w:szCs w:val="24"/>
        </w:rPr>
        <w:t>Septimius</w:t>
      </w:r>
      <w:r>
        <w:rPr>
          <w:sz w:val="24"/>
          <w:szCs w:val="24"/>
        </w:rPr>
        <w:t xml:space="preserve"> Severus gave his sons his personal motto as advice for the future, ‘Be </w:t>
      </w:r>
      <w:r w:rsidR="0049637A">
        <w:rPr>
          <w:sz w:val="24"/>
          <w:szCs w:val="24"/>
        </w:rPr>
        <w:t>harmonious</w:t>
      </w:r>
      <w:r>
        <w:rPr>
          <w:sz w:val="24"/>
          <w:szCs w:val="24"/>
        </w:rPr>
        <w:t xml:space="preserve"> with each other, enrich the soldiers, and scorn all others’.</w:t>
      </w:r>
      <w:r>
        <w:rPr>
          <w:rStyle w:val="FootnoteReference"/>
          <w:sz w:val="24"/>
          <w:szCs w:val="24"/>
        </w:rPr>
        <w:footnoteReference w:id="217"/>
      </w:r>
      <w:r>
        <w:rPr>
          <w:sz w:val="24"/>
          <w:szCs w:val="24"/>
        </w:rPr>
        <w:t xml:space="preserve"> Some advice that would have been more in keeping with Severus’ style of ruling would have been, “go big or go home.” The Severan dynasty was characterised by bigger government (Cassius </w:t>
      </w:r>
      <w:r>
        <w:rPr>
          <w:sz w:val="24"/>
          <w:szCs w:val="24"/>
        </w:rPr>
        <w:lastRenderedPageBreak/>
        <w:t>Dio complained Severus burdened the State with vast amounts of expenditure), a much bigger army (he raised eight new legions and created a new Praetorian Guard 50,000 strong) and even bigger buildings in Rome (the Baths of Carac</w:t>
      </w:r>
      <w:r w:rsidR="002456E3">
        <w:rPr>
          <w:sz w:val="24"/>
          <w:szCs w:val="24"/>
        </w:rPr>
        <w:t>a</w:t>
      </w:r>
      <w:r>
        <w:rPr>
          <w:sz w:val="24"/>
          <w:szCs w:val="24"/>
        </w:rPr>
        <w:t>lla were not exceeded in</w:t>
      </w:r>
      <w:r w:rsidR="002456E3">
        <w:rPr>
          <w:sz w:val="24"/>
          <w:szCs w:val="24"/>
        </w:rPr>
        <w:t xml:space="preserve"> their</w:t>
      </w:r>
      <w:r>
        <w:rPr>
          <w:sz w:val="24"/>
          <w:szCs w:val="24"/>
        </w:rPr>
        <w:t xml:space="preserve"> size and magnificence until the Baths of Diocletian).</w:t>
      </w:r>
      <w:r>
        <w:rPr>
          <w:rStyle w:val="FootnoteReference"/>
          <w:sz w:val="24"/>
          <w:szCs w:val="24"/>
        </w:rPr>
        <w:footnoteReference w:id="218"/>
      </w:r>
      <w:r>
        <w:rPr>
          <w:sz w:val="24"/>
          <w:szCs w:val="24"/>
        </w:rPr>
        <w:t xml:space="preserve"> Even their records of buildings had to be magnificent (in stark contrast to the </w:t>
      </w:r>
      <w:r>
        <w:rPr>
          <w:i/>
          <w:sz w:val="24"/>
          <w:szCs w:val="24"/>
        </w:rPr>
        <w:t>Regionaries</w:t>
      </w:r>
      <w:r>
        <w:rPr>
          <w:sz w:val="24"/>
          <w:szCs w:val="24"/>
        </w:rPr>
        <w:t xml:space="preserve">).  Just as Augustus restored Rome after the devastating civil wars of the Republic, Severus was faced with rebuilding Rome after a severe fire during the reign of Commodus in AD 192 and </w:t>
      </w:r>
      <w:r w:rsidR="008F494F">
        <w:rPr>
          <w:sz w:val="24"/>
          <w:szCs w:val="24"/>
        </w:rPr>
        <w:t>subsequen</w:t>
      </w:r>
      <w:r>
        <w:rPr>
          <w:sz w:val="24"/>
          <w:szCs w:val="24"/>
        </w:rPr>
        <w:t xml:space="preserve">t years of neglect. Records would need to be kept, in order to demonstrate what had been accomplished, both for the demonstration of </w:t>
      </w:r>
      <w:r w:rsidR="008B44B0">
        <w:rPr>
          <w:sz w:val="24"/>
          <w:szCs w:val="24"/>
        </w:rPr>
        <w:t>imperial</w:t>
      </w:r>
      <w:r>
        <w:rPr>
          <w:sz w:val="24"/>
          <w:szCs w:val="24"/>
        </w:rPr>
        <w:t xml:space="preserve"> power and munificence, and for future administrative use. Further</w:t>
      </w:r>
      <w:r w:rsidR="0046414C">
        <w:rPr>
          <w:sz w:val="24"/>
          <w:szCs w:val="24"/>
        </w:rPr>
        <w:t>more</w:t>
      </w:r>
      <w:r>
        <w:rPr>
          <w:sz w:val="24"/>
          <w:szCs w:val="24"/>
        </w:rPr>
        <w:t xml:space="preserve"> a statement would need to be made, a demonstration of unity after a period of civil strife and a declaration of Severus’ noble intentions to reassure Rome that this “African </w:t>
      </w:r>
      <w:r w:rsidR="008B44B0">
        <w:rPr>
          <w:sz w:val="24"/>
          <w:szCs w:val="24"/>
        </w:rPr>
        <w:t>Emperor</w:t>
      </w:r>
      <w:r>
        <w:rPr>
          <w:sz w:val="24"/>
          <w:szCs w:val="24"/>
        </w:rPr>
        <w:t xml:space="preserve">” held only the city’s best interests at heart. Implicit in all of this would be the omnipresence of </w:t>
      </w:r>
      <w:r w:rsidR="008B44B0">
        <w:rPr>
          <w:sz w:val="24"/>
          <w:szCs w:val="24"/>
        </w:rPr>
        <w:t>imperial</w:t>
      </w:r>
      <w:r>
        <w:rPr>
          <w:sz w:val="24"/>
          <w:szCs w:val="24"/>
        </w:rPr>
        <w:t xml:space="preserve"> power to deter any potential usurpers.</w:t>
      </w:r>
    </w:p>
    <w:p w:rsidR="00E756D7" w:rsidRDefault="00E756D7" w:rsidP="00722391">
      <w:pPr>
        <w:spacing w:line="480" w:lineRule="auto"/>
        <w:ind w:firstLine="720"/>
        <w:jc w:val="both"/>
        <w:rPr>
          <w:sz w:val="24"/>
          <w:szCs w:val="24"/>
        </w:rPr>
      </w:pPr>
      <w:r>
        <w:rPr>
          <w:sz w:val="24"/>
          <w:szCs w:val="24"/>
        </w:rPr>
        <w:t xml:space="preserve">The Marble Plan echoes Severan architectural and sculptural decoration, both in its brash execution and lack of finesse. Based on the surviving fragments that we possess, the Severan Marble Plan depicted the ground plans of nearly every monument, temple, </w:t>
      </w:r>
      <w:r>
        <w:rPr>
          <w:i/>
          <w:sz w:val="24"/>
          <w:szCs w:val="24"/>
        </w:rPr>
        <w:t>balinea</w:t>
      </w:r>
      <w:r>
        <w:rPr>
          <w:sz w:val="24"/>
          <w:szCs w:val="24"/>
        </w:rPr>
        <w:t xml:space="preserve">, and even </w:t>
      </w:r>
      <w:r>
        <w:rPr>
          <w:i/>
          <w:sz w:val="24"/>
          <w:szCs w:val="24"/>
        </w:rPr>
        <w:t xml:space="preserve">insulae </w:t>
      </w:r>
      <w:r>
        <w:rPr>
          <w:sz w:val="24"/>
          <w:szCs w:val="24"/>
        </w:rPr>
        <w:t>at a scale of 1:240.</w:t>
      </w:r>
      <w:r>
        <w:rPr>
          <w:rStyle w:val="FootnoteReference"/>
          <w:sz w:val="24"/>
          <w:szCs w:val="24"/>
        </w:rPr>
        <w:footnoteReference w:id="219"/>
      </w:r>
      <w:r>
        <w:rPr>
          <w:sz w:val="24"/>
          <w:szCs w:val="24"/>
        </w:rPr>
        <w:t xml:space="preserve">  It consisted of 150 marble slabs covering a total of 234m</w:t>
      </w:r>
      <w:r>
        <w:rPr>
          <w:sz w:val="24"/>
          <w:szCs w:val="24"/>
          <w:vertAlign w:val="superscript"/>
        </w:rPr>
        <w:t xml:space="preserve">2 </w:t>
      </w:r>
      <w:r>
        <w:rPr>
          <w:sz w:val="24"/>
          <w:szCs w:val="24"/>
        </w:rPr>
        <w:t>(18m wide by 13m high based on</w:t>
      </w:r>
      <w:r w:rsidR="0046414C">
        <w:rPr>
          <w:sz w:val="24"/>
          <w:szCs w:val="24"/>
        </w:rPr>
        <w:t xml:space="preserve"> a</w:t>
      </w:r>
      <w:r>
        <w:rPr>
          <w:sz w:val="24"/>
          <w:szCs w:val="24"/>
        </w:rPr>
        <w:t xml:space="preserve"> composite of the 1186 surviving fragments) and covered an entire wall of the </w:t>
      </w:r>
      <w:r>
        <w:rPr>
          <w:i/>
          <w:sz w:val="24"/>
          <w:szCs w:val="24"/>
        </w:rPr>
        <w:t>Templum Pacis</w:t>
      </w:r>
      <w:r>
        <w:rPr>
          <w:sz w:val="24"/>
          <w:szCs w:val="24"/>
        </w:rPr>
        <w:t>.</w:t>
      </w:r>
      <w:r>
        <w:rPr>
          <w:rStyle w:val="FootnoteReference"/>
          <w:sz w:val="24"/>
          <w:szCs w:val="24"/>
        </w:rPr>
        <w:footnoteReference w:id="220"/>
      </w:r>
      <w:r>
        <w:rPr>
          <w:sz w:val="24"/>
          <w:szCs w:val="24"/>
        </w:rPr>
        <w:t xml:space="preserve"> It is less a map of the city</w:t>
      </w:r>
      <w:r w:rsidR="0046414C">
        <w:rPr>
          <w:sz w:val="24"/>
          <w:szCs w:val="24"/>
        </w:rPr>
        <w:t>’s monuments</w:t>
      </w:r>
      <w:r>
        <w:rPr>
          <w:sz w:val="24"/>
          <w:szCs w:val="24"/>
        </w:rPr>
        <w:t xml:space="preserve"> and more a monument in its own right. Similar to the </w:t>
      </w:r>
      <w:r>
        <w:rPr>
          <w:i/>
          <w:sz w:val="24"/>
          <w:szCs w:val="24"/>
        </w:rPr>
        <w:t>Regionary Catalogues</w:t>
      </w:r>
      <w:r>
        <w:rPr>
          <w:sz w:val="24"/>
          <w:szCs w:val="24"/>
        </w:rPr>
        <w:t xml:space="preserve">, there are no references to the Severan Marble Plan in any ancient sources, which means it can only be </w:t>
      </w:r>
      <w:r>
        <w:rPr>
          <w:sz w:val="24"/>
          <w:szCs w:val="24"/>
        </w:rPr>
        <w:lastRenderedPageBreak/>
        <w:t>dated fro</w:t>
      </w:r>
      <w:r w:rsidR="0046414C">
        <w:rPr>
          <w:sz w:val="24"/>
          <w:szCs w:val="24"/>
        </w:rPr>
        <w:t>m the evidence found upon it</w:t>
      </w:r>
      <w:r>
        <w:rPr>
          <w:sz w:val="24"/>
          <w:szCs w:val="24"/>
        </w:rPr>
        <w:t>.</w:t>
      </w:r>
      <w:r>
        <w:rPr>
          <w:rStyle w:val="FootnoteReference"/>
          <w:sz w:val="24"/>
          <w:szCs w:val="24"/>
        </w:rPr>
        <w:footnoteReference w:id="221"/>
      </w:r>
      <w:r>
        <w:rPr>
          <w:sz w:val="24"/>
          <w:szCs w:val="24"/>
        </w:rPr>
        <w:t xml:space="preserve"> Cassius Dio wrote of a great fire that caused extensive damage in Rome in AD 192, which had damaged the </w:t>
      </w:r>
      <w:r>
        <w:rPr>
          <w:i/>
          <w:sz w:val="24"/>
          <w:szCs w:val="24"/>
        </w:rPr>
        <w:t>Templum Pacis</w:t>
      </w:r>
      <w:r>
        <w:rPr>
          <w:sz w:val="24"/>
          <w:szCs w:val="24"/>
        </w:rPr>
        <w:t xml:space="preserve"> and had been left largely unrepaired by Commodus.</w:t>
      </w:r>
      <w:r>
        <w:rPr>
          <w:rStyle w:val="FootnoteReference"/>
          <w:sz w:val="24"/>
          <w:szCs w:val="24"/>
        </w:rPr>
        <w:footnoteReference w:id="222"/>
      </w:r>
      <w:r>
        <w:rPr>
          <w:sz w:val="24"/>
          <w:szCs w:val="24"/>
        </w:rPr>
        <w:t xml:space="preserve"> The appearance of the </w:t>
      </w:r>
      <w:r>
        <w:rPr>
          <w:i/>
          <w:sz w:val="24"/>
          <w:szCs w:val="24"/>
        </w:rPr>
        <w:t>Septizodium</w:t>
      </w:r>
      <w:r>
        <w:rPr>
          <w:sz w:val="24"/>
          <w:szCs w:val="24"/>
        </w:rPr>
        <w:t xml:space="preserve"> within the Marble Plan, a monument built by Severus in AD 203, gives us a </w:t>
      </w:r>
      <w:r>
        <w:rPr>
          <w:i/>
          <w:sz w:val="24"/>
          <w:szCs w:val="24"/>
        </w:rPr>
        <w:t>terminus post quem</w:t>
      </w:r>
      <w:r>
        <w:rPr>
          <w:sz w:val="24"/>
          <w:szCs w:val="24"/>
        </w:rPr>
        <w:t xml:space="preserve"> of AD 203.</w:t>
      </w:r>
      <w:r>
        <w:rPr>
          <w:rStyle w:val="FootnoteReference"/>
          <w:sz w:val="24"/>
          <w:szCs w:val="24"/>
        </w:rPr>
        <w:footnoteReference w:id="223"/>
      </w:r>
      <w:r>
        <w:rPr>
          <w:sz w:val="24"/>
          <w:szCs w:val="24"/>
        </w:rPr>
        <w:t xml:space="preserve"> A fragment of the Marble Plan which possesses an inscription naming Severus’s son Caracalla as co-</w:t>
      </w:r>
      <w:r w:rsidR="008B44B0">
        <w:rPr>
          <w:sz w:val="24"/>
          <w:szCs w:val="24"/>
        </w:rPr>
        <w:t>emperor</w:t>
      </w:r>
      <w:r>
        <w:rPr>
          <w:sz w:val="24"/>
          <w:szCs w:val="24"/>
        </w:rPr>
        <w:t>, which occurr</w:t>
      </w:r>
      <w:r w:rsidR="0046414C">
        <w:rPr>
          <w:sz w:val="24"/>
          <w:szCs w:val="24"/>
        </w:rPr>
        <w:t>ed in AD 198, thus</w:t>
      </w:r>
      <w:r>
        <w:rPr>
          <w:sz w:val="24"/>
          <w:szCs w:val="24"/>
        </w:rPr>
        <w:t xml:space="preserve"> gives us a </w:t>
      </w:r>
      <w:r>
        <w:rPr>
          <w:i/>
          <w:sz w:val="24"/>
          <w:szCs w:val="24"/>
        </w:rPr>
        <w:t>terminus ante quem</w:t>
      </w:r>
      <w:r w:rsidR="0046414C">
        <w:rPr>
          <w:sz w:val="24"/>
          <w:szCs w:val="24"/>
        </w:rPr>
        <w:t xml:space="preserve"> of </w:t>
      </w:r>
      <w:r>
        <w:rPr>
          <w:sz w:val="24"/>
          <w:szCs w:val="24"/>
        </w:rPr>
        <w:t>AD 211 (when Severus died).</w:t>
      </w:r>
      <w:r>
        <w:rPr>
          <w:rStyle w:val="FootnoteReference"/>
          <w:sz w:val="24"/>
          <w:szCs w:val="24"/>
        </w:rPr>
        <w:footnoteReference w:id="224"/>
      </w:r>
      <w:r>
        <w:rPr>
          <w:sz w:val="24"/>
          <w:szCs w:val="24"/>
        </w:rPr>
        <w:t xml:space="preserve"> The absence of Geta, Septimius Severus’ other son,</w:t>
      </w:r>
      <w:r w:rsidR="0046414C">
        <w:rPr>
          <w:sz w:val="24"/>
          <w:szCs w:val="24"/>
        </w:rPr>
        <w:t xml:space="preserve"> who</w:t>
      </w:r>
      <w:r>
        <w:rPr>
          <w:sz w:val="24"/>
          <w:szCs w:val="24"/>
        </w:rPr>
        <w:t xml:space="preserve"> was created Augustus in AD 209, would indicate that the Marble Plan was created before this, but this cannot be said for sure.</w:t>
      </w:r>
      <w:r>
        <w:rPr>
          <w:rStyle w:val="FootnoteReference"/>
          <w:sz w:val="24"/>
          <w:szCs w:val="24"/>
        </w:rPr>
        <w:footnoteReference w:id="225"/>
      </w:r>
      <w:r>
        <w:rPr>
          <w:sz w:val="24"/>
          <w:szCs w:val="24"/>
        </w:rPr>
        <w:t xml:space="preserve"> I would argue that AD 203 is the most likely date as the house of the Urban Prefect of 203, Fabius Cilo, appears on one of our fragments of the Marble Plan.</w:t>
      </w:r>
      <w:r>
        <w:rPr>
          <w:rStyle w:val="FootnoteReference"/>
          <w:sz w:val="24"/>
          <w:szCs w:val="24"/>
        </w:rPr>
        <w:footnoteReference w:id="226"/>
      </w:r>
    </w:p>
    <w:p w:rsidR="00E756D7" w:rsidRPr="00B43310" w:rsidRDefault="00E756D7" w:rsidP="00722391">
      <w:pPr>
        <w:spacing w:line="480" w:lineRule="auto"/>
        <w:ind w:firstLine="720"/>
        <w:jc w:val="both"/>
        <w:rPr>
          <w:sz w:val="24"/>
          <w:szCs w:val="24"/>
        </w:rPr>
      </w:pPr>
      <w:r>
        <w:rPr>
          <w:rFonts w:cs="Times New Roman"/>
          <w:bCs/>
          <w:sz w:val="24"/>
          <w:szCs w:val="24"/>
        </w:rPr>
        <w:t>Historians have based their claims about the Severus’ programme of urban reforms in Rome heavily on the Marble Plan, particularly with regards to the renovation and reconstruction of buildings.</w:t>
      </w:r>
      <w:r>
        <w:rPr>
          <w:rStyle w:val="FootnoteReference"/>
          <w:rFonts w:cs="Times New Roman"/>
          <w:bCs/>
          <w:sz w:val="24"/>
          <w:szCs w:val="24"/>
        </w:rPr>
        <w:footnoteReference w:id="227"/>
      </w:r>
      <w:r>
        <w:rPr>
          <w:rFonts w:cs="Times New Roman"/>
          <w:bCs/>
          <w:sz w:val="24"/>
          <w:szCs w:val="24"/>
        </w:rPr>
        <w:t xml:space="preserve"> Generally these have concluded that the Severan programme of reform was intended to associate the Severans with their predecessors</w:t>
      </w:r>
      <w:r w:rsidR="0091291A">
        <w:rPr>
          <w:rFonts w:cs="Times New Roman"/>
          <w:bCs/>
          <w:sz w:val="24"/>
          <w:szCs w:val="24"/>
        </w:rPr>
        <w:t>,</w:t>
      </w:r>
      <w:r>
        <w:rPr>
          <w:rFonts w:cs="Times New Roman"/>
          <w:bCs/>
          <w:sz w:val="24"/>
          <w:szCs w:val="24"/>
        </w:rPr>
        <w:t xml:space="preserve"> the Antonines an</w:t>
      </w:r>
      <w:r w:rsidR="0091291A">
        <w:rPr>
          <w:rFonts w:cs="Times New Roman"/>
          <w:bCs/>
          <w:sz w:val="24"/>
          <w:szCs w:val="24"/>
        </w:rPr>
        <w:t xml:space="preserve">d </w:t>
      </w:r>
      <w:r>
        <w:rPr>
          <w:rFonts w:cs="Times New Roman"/>
          <w:bCs/>
          <w:sz w:val="24"/>
          <w:szCs w:val="24"/>
        </w:rPr>
        <w:t xml:space="preserve">Flavians. Alison Cooley went further and argued that based on the available architectural and literary sources, Severus’s reforms were an attempt to connect himself to </w:t>
      </w:r>
      <w:r>
        <w:rPr>
          <w:rFonts w:cs="Times New Roman"/>
          <w:bCs/>
          <w:sz w:val="24"/>
          <w:szCs w:val="24"/>
        </w:rPr>
        <w:lastRenderedPageBreak/>
        <w:t>Augustus in a tradition that had begun with Vespasian’s usurpation.</w:t>
      </w:r>
      <w:r>
        <w:rPr>
          <w:rStyle w:val="FootnoteReference"/>
          <w:rFonts w:cs="Times New Roman"/>
          <w:bCs/>
          <w:sz w:val="24"/>
          <w:szCs w:val="24"/>
        </w:rPr>
        <w:footnoteReference w:id="228"/>
      </w:r>
      <w:r>
        <w:rPr>
          <w:rFonts w:cs="Times New Roman"/>
          <w:bCs/>
          <w:sz w:val="24"/>
          <w:szCs w:val="24"/>
        </w:rPr>
        <w:t xml:space="preserve"> Pierre Luigi</w:t>
      </w:r>
      <w:r w:rsidR="0091291A">
        <w:rPr>
          <w:rFonts w:cs="Times New Roman"/>
          <w:bCs/>
          <w:sz w:val="24"/>
          <w:szCs w:val="24"/>
        </w:rPr>
        <w:t xml:space="preserve"> Tucci</w:t>
      </w:r>
      <w:r>
        <w:rPr>
          <w:rFonts w:cs="Times New Roman"/>
          <w:bCs/>
          <w:sz w:val="24"/>
          <w:szCs w:val="24"/>
        </w:rPr>
        <w:t xml:space="preserve"> </w:t>
      </w:r>
      <w:r w:rsidR="0091291A">
        <w:rPr>
          <w:rFonts w:cs="Times New Roman"/>
          <w:bCs/>
          <w:sz w:val="24"/>
          <w:szCs w:val="24"/>
        </w:rPr>
        <w:t>argues that</w:t>
      </w:r>
      <w:r>
        <w:rPr>
          <w:rFonts w:cs="Times New Roman"/>
          <w:bCs/>
          <w:sz w:val="24"/>
          <w:szCs w:val="24"/>
        </w:rPr>
        <w:t xml:space="preserve"> blocks of Lapis Albanus which made up the lower part of the wall supporting the Marble</w:t>
      </w:r>
      <w:r w:rsidR="0091291A">
        <w:rPr>
          <w:rFonts w:cs="Times New Roman"/>
          <w:bCs/>
          <w:sz w:val="24"/>
          <w:szCs w:val="24"/>
        </w:rPr>
        <w:t xml:space="preserve"> Plan, and had been installed during</w:t>
      </w:r>
      <w:r>
        <w:rPr>
          <w:rFonts w:cs="Times New Roman"/>
          <w:bCs/>
          <w:sz w:val="24"/>
          <w:szCs w:val="24"/>
        </w:rPr>
        <w:t xml:space="preserve"> Domitian’s works on the </w:t>
      </w:r>
      <w:r>
        <w:rPr>
          <w:rFonts w:cs="Times New Roman"/>
          <w:bCs/>
          <w:i/>
          <w:sz w:val="24"/>
          <w:szCs w:val="24"/>
        </w:rPr>
        <w:t>Templum Pacis</w:t>
      </w:r>
      <w:r w:rsidR="0091291A">
        <w:rPr>
          <w:rFonts w:cs="Times New Roman"/>
          <w:bCs/>
          <w:sz w:val="24"/>
          <w:szCs w:val="24"/>
        </w:rPr>
        <w:t>, indicate that</w:t>
      </w:r>
      <w:r>
        <w:rPr>
          <w:rFonts w:cs="Times New Roman"/>
          <w:bCs/>
          <w:sz w:val="24"/>
          <w:szCs w:val="24"/>
        </w:rPr>
        <w:t xml:space="preserve"> something had hun</w:t>
      </w:r>
      <w:r w:rsidR="0091291A">
        <w:rPr>
          <w:rFonts w:cs="Times New Roman"/>
          <w:bCs/>
          <w:sz w:val="24"/>
          <w:szCs w:val="24"/>
        </w:rPr>
        <w:t>g there previously. As Severus’</w:t>
      </w:r>
      <w:r>
        <w:rPr>
          <w:rFonts w:cs="Times New Roman"/>
          <w:bCs/>
          <w:sz w:val="24"/>
          <w:szCs w:val="24"/>
        </w:rPr>
        <w:t xml:space="preserve"> restoration of the </w:t>
      </w:r>
      <w:r>
        <w:rPr>
          <w:rFonts w:cs="Times New Roman"/>
          <w:bCs/>
          <w:i/>
          <w:sz w:val="24"/>
          <w:szCs w:val="24"/>
        </w:rPr>
        <w:t xml:space="preserve">Templum Pacis </w:t>
      </w:r>
      <w:r>
        <w:rPr>
          <w:rFonts w:cs="Times New Roman"/>
          <w:bCs/>
          <w:sz w:val="24"/>
          <w:szCs w:val="24"/>
        </w:rPr>
        <w:t>was an accurate remake, including its original decorati</w:t>
      </w:r>
      <w:r w:rsidR="0091291A">
        <w:rPr>
          <w:rFonts w:cs="Times New Roman"/>
          <w:bCs/>
          <w:sz w:val="24"/>
          <w:szCs w:val="24"/>
        </w:rPr>
        <w:t>on and inscriptions, i</w:t>
      </w:r>
      <w:r>
        <w:rPr>
          <w:rFonts w:cs="Times New Roman"/>
          <w:bCs/>
          <w:sz w:val="24"/>
          <w:szCs w:val="24"/>
        </w:rPr>
        <w:t>t is</w:t>
      </w:r>
      <w:r w:rsidR="0091291A">
        <w:rPr>
          <w:rFonts w:cs="Times New Roman"/>
          <w:bCs/>
          <w:sz w:val="24"/>
          <w:szCs w:val="24"/>
        </w:rPr>
        <w:t xml:space="preserve"> therefore</w:t>
      </w:r>
      <w:r>
        <w:rPr>
          <w:rFonts w:cs="Times New Roman"/>
          <w:bCs/>
          <w:sz w:val="24"/>
          <w:szCs w:val="24"/>
        </w:rPr>
        <w:t xml:space="preserve"> likely that the Severan Plan was a substitute for one displayed there by Vespasian.</w:t>
      </w:r>
      <w:r>
        <w:rPr>
          <w:rStyle w:val="FootnoteReference"/>
          <w:rFonts w:cs="Times New Roman"/>
          <w:bCs/>
          <w:sz w:val="24"/>
          <w:szCs w:val="24"/>
        </w:rPr>
        <w:footnoteReference w:id="229"/>
      </w:r>
      <w:r w:rsidR="0026579D">
        <w:rPr>
          <w:rFonts w:cs="Times New Roman"/>
          <w:bCs/>
          <w:sz w:val="24"/>
          <w:szCs w:val="24"/>
        </w:rPr>
        <w:t xml:space="preserve"> </w:t>
      </w:r>
    </w:p>
    <w:p w:rsidR="00E756D7" w:rsidRDefault="00E756D7" w:rsidP="00722391">
      <w:pPr>
        <w:spacing w:line="480" w:lineRule="auto"/>
        <w:ind w:firstLine="720"/>
        <w:jc w:val="both"/>
        <w:rPr>
          <w:sz w:val="24"/>
          <w:szCs w:val="24"/>
        </w:rPr>
      </w:pPr>
      <w:r>
        <w:rPr>
          <w:sz w:val="24"/>
          <w:szCs w:val="24"/>
        </w:rPr>
        <w:t>Such attention to the visual environment of Rome was a sign of continuity and went some way to legitimise an</w:t>
      </w:r>
      <w:r w:rsidR="00D153D7">
        <w:rPr>
          <w:sz w:val="24"/>
          <w:szCs w:val="24"/>
        </w:rPr>
        <w:t>y</w:t>
      </w:r>
      <w:r>
        <w:rPr>
          <w:sz w:val="24"/>
          <w:szCs w:val="24"/>
        </w:rPr>
        <w:t xml:space="preserve"> </w:t>
      </w:r>
      <w:r w:rsidR="0087599E">
        <w:rPr>
          <w:sz w:val="24"/>
          <w:szCs w:val="24"/>
        </w:rPr>
        <w:t>e</w:t>
      </w:r>
      <w:r w:rsidR="008B44B0">
        <w:rPr>
          <w:sz w:val="24"/>
          <w:szCs w:val="24"/>
        </w:rPr>
        <w:t>mperor</w:t>
      </w:r>
      <w:r>
        <w:rPr>
          <w:sz w:val="24"/>
          <w:szCs w:val="24"/>
        </w:rPr>
        <w:t xml:space="preserve"> who had seized power by force. New monuments such as the Marble Plan and the </w:t>
      </w:r>
      <w:r>
        <w:rPr>
          <w:i/>
          <w:sz w:val="24"/>
          <w:szCs w:val="24"/>
        </w:rPr>
        <w:t>Septizodium</w:t>
      </w:r>
      <w:r w:rsidR="003038B0">
        <w:rPr>
          <w:sz w:val="24"/>
          <w:szCs w:val="24"/>
        </w:rPr>
        <w:t>, a decorative façade that depicted the Severans as Solar and Lunar Deities,</w:t>
      </w:r>
      <w:r>
        <w:rPr>
          <w:sz w:val="24"/>
          <w:szCs w:val="24"/>
        </w:rPr>
        <w:t xml:space="preserve"> allowed </w:t>
      </w:r>
      <w:r w:rsidR="008A797A">
        <w:rPr>
          <w:sz w:val="24"/>
          <w:szCs w:val="24"/>
        </w:rPr>
        <w:t>Septimius</w:t>
      </w:r>
      <w:r>
        <w:rPr>
          <w:sz w:val="24"/>
          <w:szCs w:val="24"/>
        </w:rPr>
        <w:t xml:space="preserve"> Severus to establish a new </w:t>
      </w:r>
      <w:r w:rsidR="008B44B0">
        <w:rPr>
          <w:sz w:val="24"/>
          <w:szCs w:val="24"/>
        </w:rPr>
        <w:t>imperial</w:t>
      </w:r>
      <w:r>
        <w:rPr>
          <w:sz w:val="24"/>
          <w:szCs w:val="24"/>
        </w:rPr>
        <w:t xml:space="preserve"> identity, whilst the reconstruction and restoration of important structures demonstrated the Severan </w:t>
      </w:r>
      <w:r w:rsidR="0049637A">
        <w:rPr>
          <w:sz w:val="24"/>
          <w:szCs w:val="24"/>
        </w:rPr>
        <w:t>regime’s</w:t>
      </w:r>
      <w:r>
        <w:rPr>
          <w:sz w:val="24"/>
          <w:szCs w:val="24"/>
        </w:rPr>
        <w:t xml:space="preserve"> dedication to Rome’s greatness and its concern for the city’s history.</w:t>
      </w:r>
      <w:r>
        <w:rPr>
          <w:rStyle w:val="FootnoteReference"/>
          <w:sz w:val="24"/>
          <w:szCs w:val="24"/>
        </w:rPr>
        <w:footnoteReference w:id="230"/>
      </w:r>
      <w:r>
        <w:rPr>
          <w:sz w:val="24"/>
          <w:szCs w:val="24"/>
        </w:rPr>
        <w:t xml:space="preserve"> Restorations formed an important part of the Roman visual lexicon, and were a method by which a figure could associate themselves</w:t>
      </w:r>
      <w:r w:rsidR="0091291A">
        <w:rPr>
          <w:sz w:val="24"/>
          <w:szCs w:val="24"/>
        </w:rPr>
        <w:t xml:space="preserve"> with</w:t>
      </w:r>
      <w:r>
        <w:rPr>
          <w:sz w:val="24"/>
          <w:szCs w:val="24"/>
        </w:rPr>
        <w:t xml:space="preserve"> the virtues and successes of the original </w:t>
      </w:r>
      <w:r w:rsidR="0091291A">
        <w:rPr>
          <w:sz w:val="24"/>
          <w:szCs w:val="24"/>
        </w:rPr>
        <w:t xml:space="preserve">builders. </w:t>
      </w:r>
      <w:r w:rsidR="00BA57CF">
        <w:rPr>
          <w:sz w:val="24"/>
          <w:szCs w:val="24"/>
        </w:rPr>
        <w:t>Emperors</w:t>
      </w:r>
      <w:r w:rsidR="0091291A">
        <w:rPr>
          <w:sz w:val="24"/>
          <w:szCs w:val="24"/>
        </w:rPr>
        <w:t xml:space="preserve"> were not</w:t>
      </w:r>
      <w:r>
        <w:rPr>
          <w:sz w:val="24"/>
          <w:szCs w:val="24"/>
        </w:rPr>
        <w:t xml:space="preserve"> Helleni</w:t>
      </w:r>
      <w:r w:rsidR="0091291A">
        <w:rPr>
          <w:sz w:val="24"/>
          <w:szCs w:val="24"/>
        </w:rPr>
        <w:t>sti</w:t>
      </w:r>
      <w:r>
        <w:rPr>
          <w:sz w:val="24"/>
          <w:szCs w:val="24"/>
        </w:rPr>
        <w:t>c monarchs who could blatantly display their power and authority; they were magistrates of Rome and had to maintain an image of modesty and pious respect for tradition.</w:t>
      </w:r>
      <w:r>
        <w:rPr>
          <w:rStyle w:val="FootnoteReference"/>
          <w:sz w:val="24"/>
          <w:szCs w:val="24"/>
        </w:rPr>
        <w:t xml:space="preserve"> </w:t>
      </w:r>
      <w:r>
        <w:rPr>
          <w:rStyle w:val="FootnoteReference"/>
          <w:sz w:val="24"/>
          <w:szCs w:val="24"/>
        </w:rPr>
        <w:footnoteReference w:id="231"/>
      </w:r>
      <w:r w:rsidR="0091291A">
        <w:rPr>
          <w:sz w:val="24"/>
          <w:szCs w:val="24"/>
        </w:rPr>
        <w:t xml:space="preserve"> </w:t>
      </w:r>
      <w:r w:rsidR="008B44B0">
        <w:rPr>
          <w:sz w:val="24"/>
          <w:szCs w:val="24"/>
        </w:rPr>
        <w:t>Imperial</w:t>
      </w:r>
      <w:r>
        <w:rPr>
          <w:sz w:val="24"/>
          <w:szCs w:val="24"/>
        </w:rPr>
        <w:t xml:space="preserve"> builders therefore had to find ways to make </w:t>
      </w:r>
      <w:r>
        <w:rPr>
          <w:sz w:val="24"/>
          <w:szCs w:val="24"/>
        </w:rPr>
        <w:lastRenderedPageBreak/>
        <w:t xml:space="preserve">grandiose statements whilst avoiding seeming overtly extravagant. By restoring and ornamenting the </w:t>
      </w:r>
      <w:r>
        <w:rPr>
          <w:i/>
          <w:sz w:val="24"/>
          <w:szCs w:val="24"/>
        </w:rPr>
        <w:t>Templum Pacis</w:t>
      </w:r>
      <w:r>
        <w:rPr>
          <w:sz w:val="24"/>
          <w:szCs w:val="24"/>
        </w:rPr>
        <w:t xml:space="preserve"> and a number of other significant buildings such as the Temple of Vespasian and the Forum of Augustus, Severus was implicitly and deliberately associating</w:t>
      </w:r>
      <w:r w:rsidR="00D153D7">
        <w:rPr>
          <w:sz w:val="24"/>
          <w:szCs w:val="24"/>
        </w:rPr>
        <w:t xml:space="preserve"> himself</w:t>
      </w:r>
      <w:r>
        <w:rPr>
          <w:sz w:val="24"/>
          <w:szCs w:val="24"/>
        </w:rPr>
        <w:t xml:space="preserve"> with dynasties that had both seized power and used it to bring peace and stability after a prolonged period of civil strife.</w:t>
      </w:r>
      <w:r>
        <w:rPr>
          <w:rStyle w:val="FootnoteReference"/>
          <w:sz w:val="24"/>
          <w:szCs w:val="24"/>
        </w:rPr>
        <w:footnoteReference w:id="232"/>
      </w:r>
      <w:r>
        <w:rPr>
          <w:sz w:val="24"/>
          <w:szCs w:val="24"/>
        </w:rPr>
        <w:t xml:space="preserve"> The Marble Plan, as a map, was no</w:t>
      </w:r>
      <w:r w:rsidR="008F494F">
        <w:rPr>
          <w:sz w:val="24"/>
          <w:szCs w:val="24"/>
        </w:rPr>
        <w:t>t a unique construction. Augustus</w:t>
      </w:r>
      <w:r>
        <w:rPr>
          <w:sz w:val="24"/>
          <w:szCs w:val="24"/>
        </w:rPr>
        <w:t>’s loyal follower Agrippa and</w:t>
      </w:r>
      <w:r w:rsidR="008F494F">
        <w:rPr>
          <w:sz w:val="24"/>
          <w:szCs w:val="24"/>
        </w:rPr>
        <w:t xml:space="preserve"> later the </w:t>
      </w:r>
      <w:r w:rsidR="008B44B0">
        <w:rPr>
          <w:sz w:val="24"/>
          <w:szCs w:val="24"/>
        </w:rPr>
        <w:t>Emperor</w:t>
      </w:r>
      <w:r>
        <w:rPr>
          <w:sz w:val="24"/>
          <w:szCs w:val="24"/>
        </w:rPr>
        <w:t xml:space="preserve"> Vespasian had each produced a large-scale map of Rome and displayed it prominently as a record of their achievements.</w:t>
      </w:r>
      <w:r w:rsidR="00D153D7">
        <w:rPr>
          <w:rStyle w:val="FootnoteReference"/>
          <w:sz w:val="24"/>
          <w:szCs w:val="24"/>
        </w:rPr>
        <w:footnoteReference w:id="233"/>
      </w:r>
      <w:r>
        <w:rPr>
          <w:sz w:val="24"/>
          <w:szCs w:val="24"/>
        </w:rPr>
        <w:t xml:space="preserve"> Just as the Columns and Arches narrated the </w:t>
      </w:r>
      <w:r w:rsidR="0049637A">
        <w:rPr>
          <w:sz w:val="24"/>
          <w:szCs w:val="24"/>
        </w:rPr>
        <w:t>emperor’s military</w:t>
      </w:r>
      <w:r>
        <w:rPr>
          <w:sz w:val="24"/>
          <w:szCs w:val="24"/>
        </w:rPr>
        <w:t xml:space="preserve"> accomplishment, the maps of Rome narrated and attested that the renewal that Rome had enjoyed under a past </w:t>
      </w:r>
      <w:r w:rsidR="0087599E">
        <w:rPr>
          <w:sz w:val="24"/>
          <w:szCs w:val="24"/>
        </w:rPr>
        <w:t>e</w:t>
      </w:r>
      <w:r w:rsidR="008B44B0">
        <w:rPr>
          <w:sz w:val="24"/>
          <w:szCs w:val="24"/>
        </w:rPr>
        <w:t>mperor</w:t>
      </w:r>
      <w:r>
        <w:rPr>
          <w:sz w:val="24"/>
          <w:szCs w:val="24"/>
        </w:rPr>
        <w:t xml:space="preserve"> was to be repeated under the current </w:t>
      </w:r>
      <w:r w:rsidR="0087599E">
        <w:rPr>
          <w:sz w:val="24"/>
          <w:szCs w:val="24"/>
        </w:rPr>
        <w:t>e</w:t>
      </w:r>
      <w:r w:rsidR="008B44B0">
        <w:rPr>
          <w:sz w:val="24"/>
          <w:szCs w:val="24"/>
        </w:rPr>
        <w:t>mperor</w:t>
      </w:r>
      <w:r>
        <w:rPr>
          <w:sz w:val="24"/>
          <w:szCs w:val="24"/>
        </w:rPr>
        <w:t>.</w:t>
      </w:r>
      <w:r>
        <w:rPr>
          <w:rStyle w:val="FootnoteReference"/>
          <w:sz w:val="24"/>
          <w:szCs w:val="24"/>
        </w:rPr>
        <w:footnoteReference w:id="234"/>
      </w:r>
      <w:r>
        <w:rPr>
          <w:sz w:val="24"/>
          <w:szCs w:val="24"/>
        </w:rPr>
        <w:t xml:space="preserve"> Augustus and Vespasian had redefined the Empire with their administrations, increasing </w:t>
      </w:r>
      <w:r w:rsidR="008B44B0">
        <w:rPr>
          <w:sz w:val="24"/>
          <w:szCs w:val="24"/>
        </w:rPr>
        <w:t>imperial</w:t>
      </w:r>
      <w:r>
        <w:rPr>
          <w:sz w:val="24"/>
          <w:szCs w:val="24"/>
        </w:rPr>
        <w:t xml:space="preserve"> authority at the expense of more traditional authorities and magistracies. They had</w:t>
      </w:r>
      <w:r w:rsidR="0091291A">
        <w:rPr>
          <w:sz w:val="24"/>
          <w:szCs w:val="24"/>
        </w:rPr>
        <w:t>,</w:t>
      </w:r>
      <w:r>
        <w:rPr>
          <w:sz w:val="24"/>
          <w:szCs w:val="24"/>
        </w:rPr>
        <w:t xml:space="preserve"> however continued to demonstrate their concern for Rome’s </w:t>
      </w:r>
      <w:r w:rsidR="0091291A">
        <w:rPr>
          <w:i/>
          <w:sz w:val="24"/>
          <w:szCs w:val="24"/>
        </w:rPr>
        <w:t>mos m</w:t>
      </w:r>
      <w:r>
        <w:rPr>
          <w:i/>
          <w:sz w:val="24"/>
          <w:szCs w:val="24"/>
        </w:rPr>
        <w:t>aiorum</w:t>
      </w:r>
      <w:r>
        <w:rPr>
          <w:sz w:val="24"/>
          <w:szCs w:val="24"/>
        </w:rPr>
        <w:t>, a concern reflected in the symbols they displayed on their coins and the historical associations they created with their architecture.</w:t>
      </w:r>
      <w:r>
        <w:rPr>
          <w:rStyle w:val="FootnoteReference"/>
          <w:sz w:val="24"/>
          <w:szCs w:val="24"/>
        </w:rPr>
        <w:footnoteReference w:id="235"/>
      </w:r>
      <w:r>
        <w:rPr>
          <w:sz w:val="24"/>
          <w:szCs w:val="24"/>
        </w:rPr>
        <w:t xml:space="preserve"> Unlike Augustus or Vespasian, Severus had marched on Rome with an army. He had to ensure that Rome and the Senate were reassured of his attention to continue with the status quo, that he would love the Plebs and respect the Senate.</w:t>
      </w:r>
      <w:r>
        <w:rPr>
          <w:rStyle w:val="FootnoteReference"/>
          <w:sz w:val="24"/>
          <w:szCs w:val="24"/>
        </w:rPr>
        <w:footnoteReference w:id="236"/>
      </w:r>
      <w:r>
        <w:rPr>
          <w:sz w:val="24"/>
          <w:szCs w:val="24"/>
        </w:rPr>
        <w:t xml:space="preserve"> To do so he entered Rome in civilian dress, restored buildings and made </w:t>
      </w:r>
      <w:r>
        <w:rPr>
          <w:sz w:val="24"/>
          <w:szCs w:val="24"/>
        </w:rPr>
        <w:lastRenderedPageBreak/>
        <w:t>donations of money and grain.</w:t>
      </w:r>
      <w:r>
        <w:rPr>
          <w:rStyle w:val="FootnoteReference"/>
          <w:sz w:val="24"/>
          <w:szCs w:val="24"/>
        </w:rPr>
        <w:footnoteReference w:id="237"/>
      </w:r>
      <w:r>
        <w:rPr>
          <w:sz w:val="24"/>
          <w:szCs w:val="24"/>
        </w:rPr>
        <w:t xml:space="preserve"> The Marble Plans collation of this information was symbolic of the City’s many monuments being restored from the fire of 192 and a redefinition of Severus’ military image into one that emphasised Peace and Concord.</w:t>
      </w:r>
      <w:r>
        <w:rPr>
          <w:rStyle w:val="FootnoteReference"/>
          <w:sz w:val="24"/>
          <w:szCs w:val="24"/>
        </w:rPr>
        <w:footnoteReference w:id="238"/>
      </w:r>
    </w:p>
    <w:p w:rsidR="00E756D7" w:rsidRDefault="00E756D7" w:rsidP="00722391">
      <w:pPr>
        <w:spacing w:line="480" w:lineRule="auto"/>
        <w:ind w:firstLine="720"/>
        <w:jc w:val="both"/>
        <w:rPr>
          <w:sz w:val="24"/>
          <w:szCs w:val="24"/>
        </w:rPr>
      </w:pPr>
    </w:p>
    <w:p w:rsidR="00E756D7" w:rsidRDefault="00E64EB9" w:rsidP="00722391">
      <w:pPr>
        <w:tabs>
          <w:tab w:val="left" w:pos="7702"/>
        </w:tabs>
        <w:spacing w:line="480" w:lineRule="auto"/>
        <w:jc w:val="both"/>
        <w:rPr>
          <w:sz w:val="24"/>
          <w:szCs w:val="24"/>
          <w:u w:val="single"/>
        </w:rPr>
      </w:pPr>
      <w:r>
        <w:rPr>
          <w:sz w:val="24"/>
          <w:szCs w:val="24"/>
          <w:u w:val="single"/>
        </w:rPr>
        <w:t xml:space="preserve">A </w:t>
      </w:r>
      <w:r w:rsidR="00E756D7">
        <w:rPr>
          <w:sz w:val="24"/>
          <w:szCs w:val="24"/>
          <w:u w:val="single"/>
        </w:rPr>
        <w:t>Comparison between the Regionary Catalogues and the Marble Plan</w:t>
      </w:r>
    </w:p>
    <w:p w:rsidR="00E756D7" w:rsidRDefault="00E756D7" w:rsidP="00722391">
      <w:pPr>
        <w:widowControl w:val="0"/>
        <w:suppressLineNumbers/>
        <w:autoSpaceDE w:val="0"/>
        <w:autoSpaceDN w:val="0"/>
        <w:adjustRightInd w:val="0"/>
        <w:spacing w:after="0" w:line="480" w:lineRule="auto"/>
        <w:ind w:firstLine="720"/>
        <w:jc w:val="both"/>
        <w:rPr>
          <w:sz w:val="24"/>
          <w:szCs w:val="24"/>
        </w:rPr>
      </w:pPr>
    </w:p>
    <w:p w:rsidR="00E756D7" w:rsidRDefault="00E756D7" w:rsidP="00F56C98">
      <w:pPr>
        <w:widowControl w:val="0"/>
        <w:suppressLineNumbers/>
        <w:autoSpaceDE w:val="0"/>
        <w:autoSpaceDN w:val="0"/>
        <w:adjustRightInd w:val="0"/>
        <w:spacing w:after="0" w:line="480" w:lineRule="auto"/>
        <w:jc w:val="both"/>
        <w:rPr>
          <w:rFonts w:cs="Times New Roman"/>
          <w:bCs/>
          <w:sz w:val="24"/>
          <w:szCs w:val="24"/>
        </w:rPr>
      </w:pPr>
      <w:r>
        <w:rPr>
          <w:sz w:val="24"/>
          <w:szCs w:val="24"/>
        </w:rPr>
        <w:t xml:space="preserve">The Severan dynasty oversaw the last great spurt of </w:t>
      </w:r>
      <w:r w:rsidR="0087599E">
        <w:rPr>
          <w:sz w:val="24"/>
          <w:szCs w:val="24"/>
        </w:rPr>
        <w:t>i</w:t>
      </w:r>
      <w:r w:rsidR="008B44B0">
        <w:rPr>
          <w:sz w:val="24"/>
          <w:szCs w:val="24"/>
        </w:rPr>
        <w:t>mperial</w:t>
      </w:r>
      <w:r>
        <w:rPr>
          <w:sz w:val="24"/>
          <w:szCs w:val="24"/>
        </w:rPr>
        <w:t xml:space="preserve"> building projects befo</w:t>
      </w:r>
      <w:r w:rsidR="008F494F">
        <w:rPr>
          <w:sz w:val="24"/>
          <w:szCs w:val="24"/>
        </w:rPr>
        <w:t>re the Tetrarchy and</w:t>
      </w:r>
      <w:r>
        <w:rPr>
          <w:sz w:val="24"/>
          <w:szCs w:val="24"/>
        </w:rPr>
        <w:t xml:space="preserve"> capped</w:t>
      </w:r>
      <w:r w:rsidR="008F494F">
        <w:rPr>
          <w:sz w:val="24"/>
          <w:szCs w:val="24"/>
        </w:rPr>
        <w:t xml:space="preserve"> it</w:t>
      </w:r>
      <w:r>
        <w:rPr>
          <w:sz w:val="24"/>
          <w:szCs w:val="24"/>
        </w:rPr>
        <w:t xml:space="preserve"> with</w:t>
      </w:r>
      <w:r w:rsidR="0091291A">
        <w:rPr>
          <w:sz w:val="24"/>
          <w:szCs w:val="24"/>
        </w:rPr>
        <w:t xml:space="preserve"> the Severan Marble Plan. Probably</w:t>
      </w:r>
      <w:r>
        <w:rPr>
          <w:sz w:val="24"/>
          <w:szCs w:val="24"/>
        </w:rPr>
        <w:t xml:space="preserve"> drawn from the surveying and accounting documents of the Urban Prefecture, just as the </w:t>
      </w:r>
      <w:r>
        <w:rPr>
          <w:i/>
          <w:sz w:val="24"/>
          <w:szCs w:val="24"/>
        </w:rPr>
        <w:t>Regionaries</w:t>
      </w:r>
      <w:r>
        <w:rPr>
          <w:sz w:val="24"/>
          <w:szCs w:val="24"/>
        </w:rPr>
        <w:t xml:space="preserve"> </w:t>
      </w:r>
      <w:r w:rsidR="002456E3">
        <w:rPr>
          <w:sz w:val="24"/>
          <w:szCs w:val="24"/>
        </w:rPr>
        <w:t xml:space="preserve">probably </w:t>
      </w:r>
      <w:r>
        <w:rPr>
          <w:sz w:val="24"/>
          <w:szCs w:val="24"/>
        </w:rPr>
        <w:t>were, t</w:t>
      </w:r>
      <w:r>
        <w:rPr>
          <w:rFonts w:cs="Times New Roman"/>
          <w:bCs/>
          <w:sz w:val="24"/>
          <w:szCs w:val="24"/>
        </w:rPr>
        <w:t xml:space="preserve">he Marble Plan possesses a particular relationship to the third century; by studying this we can hopefully draw some lessons about the </w:t>
      </w:r>
      <w:r>
        <w:rPr>
          <w:rFonts w:cs="Times New Roman"/>
          <w:bCs/>
          <w:i/>
          <w:sz w:val="24"/>
          <w:szCs w:val="24"/>
        </w:rPr>
        <w:t>Regionaries</w:t>
      </w:r>
      <w:r w:rsidR="002456E3">
        <w:rPr>
          <w:rFonts w:cs="Times New Roman"/>
          <w:bCs/>
          <w:i/>
          <w:sz w:val="24"/>
          <w:szCs w:val="24"/>
        </w:rPr>
        <w:t>’</w:t>
      </w:r>
      <w:r>
        <w:rPr>
          <w:rFonts w:cs="Times New Roman"/>
          <w:bCs/>
          <w:sz w:val="24"/>
          <w:szCs w:val="24"/>
        </w:rPr>
        <w:t xml:space="preserve"> possible relationship to the third century as well. Whilst the documents are physically different, they share textual and thematic similarities in both their content and the stories of their creation. </w:t>
      </w:r>
    </w:p>
    <w:p w:rsidR="00E756D7" w:rsidRDefault="00E756D7" w:rsidP="00722391">
      <w:pPr>
        <w:widowControl w:val="0"/>
        <w:suppressLineNumbers/>
        <w:autoSpaceDE w:val="0"/>
        <w:autoSpaceDN w:val="0"/>
        <w:adjustRightInd w:val="0"/>
        <w:spacing w:after="0" w:line="480" w:lineRule="auto"/>
        <w:ind w:firstLine="720"/>
        <w:jc w:val="both"/>
        <w:rPr>
          <w:sz w:val="24"/>
          <w:szCs w:val="24"/>
        </w:rPr>
      </w:pPr>
      <w:r>
        <w:rPr>
          <w:sz w:val="24"/>
          <w:szCs w:val="24"/>
        </w:rPr>
        <w:t xml:space="preserve">Both the </w:t>
      </w:r>
      <w:r>
        <w:rPr>
          <w:i/>
          <w:sz w:val="24"/>
          <w:szCs w:val="24"/>
        </w:rPr>
        <w:t xml:space="preserve">Regionary Catalogues </w:t>
      </w:r>
      <w:r>
        <w:rPr>
          <w:sz w:val="24"/>
          <w:szCs w:val="24"/>
        </w:rPr>
        <w:t xml:space="preserve">and the Marble Plan were </w:t>
      </w:r>
      <w:r>
        <w:rPr>
          <w:rFonts w:cs="Times New Roman"/>
          <w:bCs/>
          <w:sz w:val="24"/>
          <w:szCs w:val="24"/>
        </w:rPr>
        <w:t xml:space="preserve">heavily associated with the </w:t>
      </w:r>
      <w:r>
        <w:rPr>
          <w:rFonts w:cs="Times New Roman"/>
          <w:bCs/>
          <w:i/>
          <w:sz w:val="24"/>
          <w:szCs w:val="24"/>
        </w:rPr>
        <w:t>Templum Pacis</w:t>
      </w:r>
      <w:r>
        <w:rPr>
          <w:rFonts w:cs="Times New Roman"/>
          <w:bCs/>
          <w:sz w:val="24"/>
          <w:szCs w:val="24"/>
        </w:rPr>
        <w:t xml:space="preserve"> and the Urban Prefecture. The Marble Plan accompanied </w:t>
      </w:r>
      <w:r w:rsidR="008A797A">
        <w:rPr>
          <w:rFonts w:cs="Times New Roman"/>
          <w:bCs/>
          <w:sz w:val="24"/>
          <w:szCs w:val="24"/>
        </w:rPr>
        <w:t>Septimius</w:t>
      </w:r>
      <w:r>
        <w:rPr>
          <w:rFonts w:cs="Times New Roman"/>
          <w:bCs/>
          <w:sz w:val="24"/>
          <w:szCs w:val="24"/>
        </w:rPr>
        <w:t xml:space="preserve"> Severus’ reconstruction work in Rome at the beginning of the 3</w:t>
      </w:r>
      <w:r>
        <w:rPr>
          <w:rFonts w:cs="Times New Roman"/>
          <w:bCs/>
          <w:sz w:val="24"/>
          <w:szCs w:val="24"/>
          <w:vertAlign w:val="superscript"/>
        </w:rPr>
        <w:t>rd</w:t>
      </w:r>
      <w:r>
        <w:rPr>
          <w:rFonts w:cs="Times New Roman"/>
          <w:bCs/>
          <w:sz w:val="24"/>
          <w:szCs w:val="24"/>
        </w:rPr>
        <w:t xml:space="preserve"> century. This provides a context for the possibility that the proto-</w:t>
      </w:r>
      <w:r>
        <w:rPr>
          <w:rFonts w:cs="Times New Roman"/>
          <w:bCs/>
          <w:i/>
          <w:sz w:val="24"/>
          <w:szCs w:val="24"/>
        </w:rPr>
        <w:t>Regionaries</w:t>
      </w:r>
      <w:r>
        <w:rPr>
          <w:rFonts w:cs="Times New Roman"/>
          <w:bCs/>
          <w:sz w:val="24"/>
          <w:szCs w:val="24"/>
        </w:rPr>
        <w:t xml:space="preserve"> were created either alongside or as a result of Aurelian’s urban reforms. </w:t>
      </w:r>
      <w:r>
        <w:rPr>
          <w:sz w:val="24"/>
          <w:szCs w:val="24"/>
        </w:rPr>
        <w:t>The house of the M</w:t>
      </w:r>
      <w:r w:rsidR="00426B0D">
        <w:rPr>
          <w:sz w:val="24"/>
          <w:szCs w:val="24"/>
        </w:rPr>
        <w:t>arble Plan’s Urban Prefect, Luc</w:t>
      </w:r>
      <w:r>
        <w:rPr>
          <w:sz w:val="24"/>
          <w:szCs w:val="24"/>
        </w:rPr>
        <w:t xml:space="preserve">ius Fabius Cilo, appears in both the </w:t>
      </w:r>
      <w:r>
        <w:rPr>
          <w:i/>
          <w:sz w:val="24"/>
          <w:szCs w:val="24"/>
        </w:rPr>
        <w:t>Regionaries</w:t>
      </w:r>
      <w:r>
        <w:rPr>
          <w:sz w:val="24"/>
          <w:szCs w:val="24"/>
        </w:rPr>
        <w:t xml:space="preserve"> and the Marble Plan.</w:t>
      </w:r>
      <w:r w:rsidR="002456E3" w:rsidRPr="00573D98">
        <w:rPr>
          <w:rStyle w:val="FootnoteReference"/>
          <w:sz w:val="24"/>
          <w:szCs w:val="24"/>
        </w:rPr>
        <w:footnoteReference w:id="239"/>
      </w:r>
      <w:r>
        <w:rPr>
          <w:sz w:val="24"/>
          <w:szCs w:val="24"/>
        </w:rPr>
        <w:t xml:space="preserve"> This inclusion of Fabius Cilo’s house, a singular item of relevance only to the Marble Plan’s creation, in both the </w:t>
      </w:r>
      <w:r>
        <w:rPr>
          <w:i/>
          <w:sz w:val="24"/>
          <w:szCs w:val="24"/>
        </w:rPr>
        <w:t xml:space="preserve">Regionaries </w:t>
      </w:r>
      <w:r>
        <w:rPr>
          <w:sz w:val="24"/>
          <w:szCs w:val="24"/>
        </w:rPr>
        <w:t xml:space="preserve">and the Marble Plan suggests that the </w:t>
      </w:r>
      <w:r>
        <w:rPr>
          <w:i/>
          <w:sz w:val="24"/>
          <w:szCs w:val="24"/>
        </w:rPr>
        <w:t>Regionaries</w:t>
      </w:r>
      <w:r>
        <w:rPr>
          <w:sz w:val="24"/>
          <w:szCs w:val="24"/>
        </w:rPr>
        <w:t xml:space="preserve"> draw upon the same source of information </w:t>
      </w:r>
      <w:r>
        <w:rPr>
          <w:sz w:val="24"/>
          <w:szCs w:val="24"/>
        </w:rPr>
        <w:lastRenderedPageBreak/>
        <w:t>that the Marble Plan did.</w:t>
      </w:r>
    </w:p>
    <w:p w:rsidR="008A797A" w:rsidRPr="008A797A" w:rsidRDefault="008A797A" w:rsidP="00722391">
      <w:pPr>
        <w:spacing w:line="480" w:lineRule="auto"/>
        <w:ind w:firstLine="720"/>
        <w:jc w:val="both"/>
        <w:rPr>
          <w:sz w:val="24"/>
          <w:szCs w:val="24"/>
        </w:rPr>
      </w:pPr>
      <w:r w:rsidRPr="00573D98">
        <w:rPr>
          <w:sz w:val="24"/>
          <w:szCs w:val="24"/>
        </w:rPr>
        <w:t>Much like the Marble</w:t>
      </w:r>
      <w:r w:rsidRPr="00573D98">
        <w:rPr>
          <w:i/>
          <w:sz w:val="24"/>
          <w:szCs w:val="24"/>
        </w:rPr>
        <w:t xml:space="preserve"> </w:t>
      </w:r>
      <w:r w:rsidRPr="00573D98">
        <w:rPr>
          <w:sz w:val="24"/>
          <w:szCs w:val="24"/>
        </w:rPr>
        <w:t xml:space="preserve">Plan, the </w:t>
      </w:r>
      <w:r w:rsidRPr="00573D98">
        <w:rPr>
          <w:i/>
          <w:sz w:val="24"/>
          <w:szCs w:val="24"/>
        </w:rPr>
        <w:t>Regionaries</w:t>
      </w:r>
      <w:r w:rsidR="0091291A">
        <w:rPr>
          <w:sz w:val="24"/>
          <w:szCs w:val="24"/>
        </w:rPr>
        <w:t xml:space="preserve"> have</w:t>
      </w:r>
      <w:r w:rsidRPr="00573D98">
        <w:rPr>
          <w:sz w:val="24"/>
          <w:szCs w:val="24"/>
        </w:rPr>
        <w:t xml:space="preserve"> an obviously important connection to the office and person of the Urban Prefect. Whilst traditional historiography presents </w:t>
      </w:r>
      <w:r>
        <w:rPr>
          <w:sz w:val="24"/>
          <w:szCs w:val="24"/>
        </w:rPr>
        <w:t>Septimius</w:t>
      </w:r>
      <w:r w:rsidRPr="00573D98">
        <w:rPr>
          <w:sz w:val="24"/>
          <w:szCs w:val="24"/>
        </w:rPr>
        <w:t xml:space="preserve"> Severus as particularly hostile towards the Senate, he still needed to keep them onside as administrators for Rome.</w:t>
      </w:r>
      <w:r w:rsidRPr="00573D98">
        <w:rPr>
          <w:rStyle w:val="FootnoteReference"/>
          <w:sz w:val="24"/>
          <w:szCs w:val="24"/>
        </w:rPr>
        <w:footnoteReference w:id="240"/>
      </w:r>
      <w:r w:rsidRPr="00573D98">
        <w:rPr>
          <w:sz w:val="24"/>
          <w:szCs w:val="24"/>
        </w:rPr>
        <w:t xml:space="preserve"> This meant cultivating an air of unity, which would mean he would have to </w:t>
      </w:r>
      <w:r w:rsidR="008F494F">
        <w:rPr>
          <w:sz w:val="24"/>
          <w:szCs w:val="24"/>
        </w:rPr>
        <w:t>demonstrate he showed</w:t>
      </w:r>
      <w:r w:rsidRPr="00573D98">
        <w:rPr>
          <w:sz w:val="24"/>
          <w:szCs w:val="24"/>
        </w:rPr>
        <w:t xml:space="preserve"> the same values and reverence for the monumental fabric of Rome that the Senate did.  This</w:t>
      </w:r>
      <w:r w:rsidR="008F494F">
        <w:rPr>
          <w:sz w:val="24"/>
          <w:szCs w:val="24"/>
        </w:rPr>
        <w:t xml:space="preserve"> concern</w:t>
      </w:r>
      <w:r w:rsidRPr="00573D98">
        <w:rPr>
          <w:sz w:val="24"/>
          <w:szCs w:val="24"/>
        </w:rPr>
        <w:t xml:space="preserve"> is borne out by the fact that we see under the Severans the first major expansion of the role and powers of the Urban Prefect.</w:t>
      </w:r>
      <w:r w:rsidRPr="00573D98">
        <w:rPr>
          <w:rStyle w:val="FootnoteReference"/>
          <w:sz w:val="24"/>
          <w:szCs w:val="24"/>
        </w:rPr>
        <w:footnoteReference w:id="241"/>
      </w:r>
      <w:r w:rsidRPr="00573D98">
        <w:rPr>
          <w:sz w:val="24"/>
          <w:szCs w:val="24"/>
        </w:rPr>
        <w:t xml:space="preserve"> </w:t>
      </w:r>
    </w:p>
    <w:p w:rsidR="00E756D7" w:rsidRDefault="002456E3" w:rsidP="00722391">
      <w:pPr>
        <w:spacing w:line="480" w:lineRule="auto"/>
        <w:ind w:firstLine="720"/>
        <w:jc w:val="both"/>
        <w:rPr>
          <w:sz w:val="24"/>
          <w:szCs w:val="24"/>
        </w:rPr>
      </w:pPr>
      <w:r>
        <w:rPr>
          <w:sz w:val="24"/>
          <w:szCs w:val="24"/>
        </w:rPr>
        <w:t xml:space="preserve">The similarities in the origins of the Marble Plan and the </w:t>
      </w:r>
      <w:r>
        <w:rPr>
          <w:i/>
          <w:sz w:val="24"/>
          <w:szCs w:val="24"/>
        </w:rPr>
        <w:t>Regionaries</w:t>
      </w:r>
      <w:r>
        <w:rPr>
          <w:sz w:val="24"/>
          <w:szCs w:val="24"/>
        </w:rPr>
        <w:t xml:space="preserve"> are</w:t>
      </w:r>
      <w:r w:rsidR="00E756D7">
        <w:rPr>
          <w:sz w:val="24"/>
          <w:szCs w:val="24"/>
        </w:rPr>
        <w:t xml:space="preserve"> </w:t>
      </w:r>
      <w:r>
        <w:rPr>
          <w:sz w:val="24"/>
          <w:szCs w:val="24"/>
        </w:rPr>
        <w:t>further supported</w:t>
      </w:r>
      <w:r w:rsidR="00E756D7">
        <w:rPr>
          <w:sz w:val="24"/>
          <w:szCs w:val="24"/>
        </w:rPr>
        <w:t xml:space="preserve"> by the fact that at their most basic level, the Marble Plan and the </w:t>
      </w:r>
      <w:r w:rsidR="00E756D7">
        <w:rPr>
          <w:i/>
          <w:sz w:val="24"/>
          <w:szCs w:val="24"/>
        </w:rPr>
        <w:t>Regionaries</w:t>
      </w:r>
      <w:r w:rsidR="00E756D7">
        <w:rPr>
          <w:sz w:val="24"/>
          <w:szCs w:val="24"/>
        </w:rPr>
        <w:t xml:space="preserve"> share a number of similarities of content. On a much larger scale the Marble Plan also gives us a cartographical representation of some of the minor </w:t>
      </w:r>
      <w:r w:rsidR="00E756D7">
        <w:rPr>
          <w:i/>
          <w:sz w:val="24"/>
          <w:szCs w:val="24"/>
        </w:rPr>
        <w:t>balinea</w:t>
      </w:r>
      <w:r w:rsidR="00E756D7">
        <w:rPr>
          <w:sz w:val="24"/>
          <w:szCs w:val="24"/>
        </w:rPr>
        <w:t xml:space="preserve">, </w:t>
      </w:r>
      <w:r w:rsidR="00E756D7">
        <w:rPr>
          <w:i/>
          <w:sz w:val="24"/>
          <w:szCs w:val="24"/>
        </w:rPr>
        <w:t>insulae</w:t>
      </w:r>
      <w:r w:rsidR="00E756D7">
        <w:rPr>
          <w:sz w:val="24"/>
          <w:szCs w:val="24"/>
        </w:rPr>
        <w:t xml:space="preserve"> and </w:t>
      </w:r>
      <w:r w:rsidR="00E756D7">
        <w:rPr>
          <w:i/>
          <w:sz w:val="24"/>
          <w:szCs w:val="24"/>
        </w:rPr>
        <w:t>domus</w:t>
      </w:r>
      <w:r w:rsidR="00E756D7">
        <w:rPr>
          <w:sz w:val="24"/>
          <w:szCs w:val="24"/>
        </w:rPr>
        <w:t xml:space="preserve"> that are listed at the end of each </w:t>
      </w:r>
      <w:r w:rsidR="00E756D7">
        <w:rPr>
          <w:i/>
          <w:sz w:val="24"/>
          <w:szCs w:val="24"/>
        </w:rPr>
        <w:t xml:space="preserve">Regio </w:t>
      </w:r>
      <w:r w:rsidR="00E756D7">
        <w:rPr>
          <w:sz w:val="24"/>
          <w:szCs w:val="24"/>
        </w:rPr>
        <w:t xml:space="preserve">in the </w:t>
      </w:r>
      <w:r w:rsidR="00E756D7">
        <w:rPr>
          <w:i/>
          <w:sz w:val="24"/>
          <w:szCs w:val="24"/>
        </w:rPr>
        <w:t>Regionaries</w:t>
      </w:r>
      <w:r w:rsidR="00E756D7">
        <w:rPr>
          <w:sz w:val="24"/>
          <w:szCs w:val="24"/>
        </w:rPr>
        <w:t>.</w:t>
      </w:r>
      <w:r w:rsidR="00E756D7">
        <w:rPr>
          <w:rStyle w:val="FootnoteReference"/>
          <w:sz w:val="24"/>
          <w:szCs w:val="24"/>
        </w:rPr>
        <w:footnoteReference w:id="242"/>
      </w:r>
      <w:r w:rsidR="00E756D7">
        <w:rPr>
          <w:sz w:val="24"/>
          <w:szCs w:val="24"/>
        </w:rPr>
        <w:t xml:space="preserve"> There are also 54 items that appear in both the </w:t>
      </w:r>
      <w:r w:rsidR="00E756D7">
        <w:rPr>
          <w:i/>
          <w:sz w:val="24"/>
          <w:szCs w:val="24"/>
        </w:rPr>
        <w:t>Regionaries</w:t>
      </w:r>
      <w:r w:rsidR="00E756D7">
        <w:rPr>
          <w:sz w:val="24"/>
          <w:szCs w:val="24"/>
        </w:rPr>
        <w:t xml:space="preserve"> and our surviving fragments of the Marble Plan</w:t>
      </w:r>
      <w:r>
        <w:rPr>
          <w:sz w:val="24"/>
          <w:szCs w:val="24"/>
        </w:rPr>
        <w:t>, which can be seen in Appendix Two</w:t>
      </w:r>
      <w:r w:rsidR="00E756D7">
        <w:rPr>
          <w:sz w:val="24"/>
          <w:szCs w:val="24"/>
        </w:rPr>
        <w:t>.</w:t>
      </w:r>
      <w:r w:rsidR="00E756D7">
        <w:rPr>
          <w:rStyle w:val="FootnoteReference"/>
          <w:sz w:val="24"/>
          <w:szCs w:val="24"/>
        </w:rPr>
        <w:footnoteReference w:id="243"/>
      </w:r>
      <w:r w:rsidR="0091291A">
        <w:rPr>
          <w:sz w:val="24"/>
          <w:szCs w:val="24"/>
        </w:rPr>
        <w:t xml:space="preserve"> There are</w:t>
      </w:r>
      <w:r w:rsidR="00E756D7">
        <w:rPr>
          <w:sz w:val="24"/>
          <w:szCs w:val="24"/>
        </w:rPr>
        <w:t xml:space="preserve"> the </w:t>
      </w:r>
      <w:r w:rsidR="00E756D7">
        <w:rPr>
          <w:i/>
          <w:sz w:val="24"/>
          <w:szCs w:val="24"/>
        </w:rPr>
        <w:t>Porta Capena</w:t>
      </w:r>
      <w:r w:rsidR="00E756D7">
        <w:rPr>
          <w:sz w:val="24"/>
          <w:szCs w:val="24"/>
        </w:rPr>
        <w:t xml:space="preserve">, </w:t>
      </w:r>
      <w:r w:rsidR="00E756D7">
        <w:rPr>
          <w:i/>
          <w:sz w:val="24"/>
          <w:szCs w:val="24"/>
        </w:rPr>
        <w:t>Templum Pacis, Forum Romanum, Circus Flaminius</w:t>
      </w:r>
      <w:r w:rsidR="008F494F">
        <w:rPr>
          <w:sz w:val="24"/>
          <w:szCs w:val="24"/>
        </w:rPr>
        <w:t xml:space="preserve">, which act as </w:t>
      </w:r>
      <w:r w:rsidR="00E756D7">
        <w:rPr>
          <w:sz w:val="24"/>
          <w:szCs w:val="24"/>
        </w:rPr>
        <w:t>titles</w:t>
      </w:r>
      <w:r w:rsidR="008F494F">
        <w:rPr>
          <w:sz w:val="24"/>
          <w:szCs w:val="24"/>
        </w:rPr>
        <w:t xml:space="preserve"> of several Regions</w:t>
      </w:r>
      <w:r w:rsidR="00E756D7">
        <w:rPr>
          <w:sz w:val="24"/>
          <w:szCs w:val="24"/>
        </w:rPr>
        <w:t xml:space="preserve"> in the </w:t>
      </w:r>
      <w:r w:rsidR="00E756D7">
        <w:rPr>
          <w:i/>
          <w:sz w:val="24"/>
          <w:szCs w:val="24"/>
        </w:rPr>
        <w:t>Regionaries</w:t>
      </w:r>
      <w:r w:rsidR="00E756D7">
        <w:rPr>
          <w:sz w:val="24"/>
          <w:szCs w:val="24"/>
        </w:rPr>
        <w:t xml:space="preserve">. On a more mundane side there are the many porticoes of the city: </w:t>
      </w:r>
      <w:r w:rsidR="00E756D7">
        <w:rPr>
          <w:i/>
          <w:sz w:val="24"/>
          <w:szCs w:val="24"/>
        </w:rPr>
        <w:t>porticus Liviae, porticus Absidata, porticus Minucia, porticus Argonautarum, porticus Octaviae et Philippi</w:t>
      </w:r>
      <w:r w:rsidR="00E756D7">
        <w:rPr>
          <w:sz w:val="24"/>
          <w:szCs w:val="24"/>
        </w:rPr>
        <w:t xml:space="preserve">, and the </w:t>
      </w:r>
      <w:r w:rsidR="00E756D7">
        <w:rPr>
          <w:i/>
          <w:sz w:val="24"/>
          <w:szCs w:val="24"/>
        </w:rPr>
        <w:t>horrea Galbana</w:t>
      </w:r>
      <w:r w:rsidR="0091291A">
        <w:rPr>
          <w:sz w:val="24"/>
          <w:szCs w:val="24"/>
        </w:rPr>
        <w:t>, as well as the Market of Livia</w:t>
      </w:r>
      <w:r w:rsidR="00E756D7">
        <w:rPr>
          <w:sz w:val="24"/>
          <w:szCs w:val="24"/>
        </w:rPr>
        <w:t xml:space="preserve"> and two of the most important </w:t>
      </w:r>
      <w:r w:rsidR="008B44B0">
        <w:rPr>
          <w:sz w:val="24"/>
          <w:szCs w:val="24"/>
        </w:rPr>
        <w:t>imperial</w:t>
      </w:r>
      <w:r w:rsidR="00E756D7">
        <w:rPr>
          <w:sz w:val="24"/>
          <w:szCs w:val="24"/>
        </w:rPr>
        <w:t xml:space="preserve"> </w:t>
      </w:r>
      <w:r w:rsidR="00E756D7">
        <w:rPr>
          <w:i/>
          <w:sz w:val="24"/>
          <w:szCs w:val="24"/>
        </w:rPr>
        <w:t>fora:</w:t>
      </w:r>
      <w:r w:rsidR="00E756D7">
        <w:rPr>
          <w:sz w:val="24"/>
          <w:szCs w:val="24"/>
        </w:rPr>
        <w:t xml:space="preserve"> the </w:t>
      </w:r>
      <w:r w:rsidR="00E756D7">
        <w:rPr>
          <w:i/>
          <w:sz w:val="24"/>
          <w:szCs w:val="24"/>
        </w:rPr>
        <w:t>forum Traiani</w:t>
      </w:r>
      <w:r w:rsidR="00E756D7">
        <w:rPr>
          <w:sz w:val="24"/>
          <w:szCs w:val="24"/>
        </w:rPr>
        <w:t xml:space="preserve"> and the </w:t>
      </w:r>
      <w:r w:rsidR="00E756D7">
        <w:rPr>
          <w:i/>
          <w:sz w:val="24"/>
          <w:szCs w:val="24"/>
        </w:rPr>
        <w:lastRenderedPageBreak/>
        <w:t>forum Augusti</w:t>
      </w:r>
      <w:r w:rsidR="00E756D7">
        <w:rPr>
          <w:sz w:val="24"/>
          <w:szCs w:val="24"/>
        </w:rPr>
        <w:t xml:space="preserve">. The </w:t>
      </w:r>
      <w:r w:rsidR="00E756D7">
        <w:rPr>
          <w:i/>
          <w:sz w:val="24"/>
          <w:szCs w:val="24"/>
        </w:rPr>
        <w:t>Basilicae Pauli</w:t>
      </w:r>
      <w:r w:rsidR="00E756D7">
        <w:rPr>
          <w:sz w:val="24"/>
          <w:szCs w:val="24"/>
        </w:rPr>
        <w:t xml:space="preserve"> and</w:t>
      </w:r>
      <w:r w:rsidR="00E756D7">
        <w:rPr>
          <w:i/>
          <w:sz w:val="24"/>
          <w:szCs w:val="24"/>
        </w:rPr>
        <w:t xml:space="preserve"> Iulia</w:t>
      </w:r>
      <w:r w:rsidR="00E756D7">
        <w:rPr>
          <w:sz w:val="24"/>
          <w:szCs w:val="24"/>
        </w:rPr>
        <w:t xml:space="preserve"> and the </w:t>
      </w:r>
      <w:r w:rsidR="00E756D7">
        <w:rPr>
          <w:i/>
          <w:sz w:val="24"/>
          <w:szCs w:val="24"/>
        </w:rPr>
        <w:t>Graecostadium</w:t>
      </w:r>
      <w:r w:rsidR="00E756D7">
        <w:rPr>
          <w:sz w:val="24"/>
          <w:szCs w:val="24"/>
        </w:rPr>
        <w:t xml:space="preserve"> appear in both as well. There is also the </w:t>
      </w:r>
      <w:r w:rsidR="00E756D7">
        <w:rPr>
          <w:i/>
          <w:sz w:val="24"/>
          <w:szCs w:val="24"/>
        </w:rPr>
        <w:t>balneum/</w:t>
      </w:r>
      <w:r w:rsidR="00C43F79">
        <w:rPr>
          <w:i/>
          <w:sz w:val="24"/>
          <w:szCs w:val="24"/>
        </w:rPr>
        <w:t>thermae</w:t>
      </w:r>
      <w:r w:rsidR="00E756D7">
        <w:rPr>
          <w:i/>
          <w:sz w:val="24"/>
          <w:szCs w:val="24"/>
        </w:rPr>
        <w:t xml:space="preserve"> Surae</w:t>
      </w:r>
      <w:r w:rsidR="00E756D7">
        <w:rPr>
          <w:sz w:val="24"/>
          <w:szCs w:val="24"/>
        </w:rPr>
        <w:t xml:space="preserve">, the </w:t>
      </w:r>
      <w:r w:rsidR="00C43F79">
        <w:rPr>
          <w:i/>
          <w:sz w:val="24"/>
          <w:szCs w:val="24"/>
        </w:rPr>
        <w:t>thermae</w:t>
      </w:r>
      <w:r w:rsidR="00E756D7">
        <w:rPr>
          <w:i/>
          <w:sz w:val="24"/>
          <w:szCs w:val="24"/>
        </w:rPr>
        <w:t xml:space="preserve"> Agrippae</w:t>
      </w:r>
      <w:r w:rsidR="00E756D7">
        <w:rPr>
          <w:sz w:val="24"/>
          <w:szCs w:val="24"/>
        </w:rPr>
        <w:t xml:space="preserve">, </w:t>
      </w:r>
      <w:r w:rsidR="00C43F79">
        <w:rPr>
          <w:i/>
          <w:sz w:val="24"/>
          <w:szCs w:val="24"/>
        </w:rPr>
        <w:t>thermae</w:t>
      </w:r>
      <w:r w:rsidR="00E756D7">
        <w:rPr>
          <w:i/>
          <w:sz w:val="24"/>
          <w:szCs w:val="24"/>
        </w:rPr>
        <w:t xml:space="preserve"> Titi, </w:t>
      </w:r>
      <w:r w:rsidR="00E756D7">
        <w:rPr>
          <w:sz w:val="24"/>
          <w:szCs w:val="24"/>
        </w:rPr>
        <w:t xml:space="preserve">and the </w:t>
      </w:r>
      <w:r w:rsidR="00C43F79">
        <w:rPr>
          <w:i/>
          <w:sz w:val="24"/>
          <w:szCs w:val="24"/>
        </w:rPr>
        <w:t>thermae</w:t>
      </w:r>
      <w:r w:rsidR="00E756D7">
        <w:rPr>
          <w:i/>
          <w:sz w:val="24"/>
          <w:szCs w:val="24"/>
        </w:rPr>
        <w:t xml:space="preserve"> Traiani</w:t>
      </w:r>
      <w:r w:rsidR="00E756D7">
        <w:rPr>
          <w:sz w:val="24"/>
          <w:szCs w:val="24"/>
        </w:rPr>
        <w:t xml:space="preserve">. </w:t>
      </w:r>
      <w:r w:rsidR="00F367CD">
        <w:rPr>
          <w:sz w:val="24"/>
          <w:szCs w:val="24"/>
        </w:rPr>
        <w:t xml:space="preserve">The </w:t>
      </w:r>
      <w:r w:rsidR="00E756D7">
        <w:rPr>
          <w:sz w:val="24"/>
          <w:szCs w:val="24"/>
        </w:rPr>
        <w:t xml:space="preserve">Marble Plan’s </w:t>
      </w:r>
      <w:r w:rsidR="008B44B0">
        <w:rPr>
          <w:sz w:val="24"/>
          <w:szCs w:val="24"/>
        </w:rPr>
        <w:t>imperial</w:t>
      </w:r>
      <w:r w:rsidR="00E756D7">
        <w:rPr>
          <w:sz w:val="24"/>
          <w:szCs w:val="24"/>
        </w:rPr>
        <w:t xml:space="preserve"> palace (</w:t>
      </w:r>
      <w:r w:rsidR="00E756D7">
        <w:rPr>
          <w:i/>
          <w:sz w:val="24"/>
          <w:szCs w:val="24"/>
        </w:rPr>
        <w:t>domus palatina</w:t>
      </w:r>
      <w:r w:rsidR="00E756D7">
        <w:rPr>
          <w:sz w:val="24"/>
          <w:szCs w:val="24"/>
        </w:rPr>
        <w:t>) appears</w:t>
      </w:r>
      <w:r w:rsidR="00F367CD">
        <w:rPr>
          <w:sz w:val="24"/>
          <w:szCs w:val="24"/>
        </w:rPr>
        <w:t xml:space="preserve"> in the </w:t>
      </w:r>
      <w:r w:rsidR="00F367CD">
        <w:rPr>
          <w:i/>
          <w:sz w:val="24"/>
          <w:szCs w:val="24"/>
        </w:rPr>
        <w:t>Regionaries</w:t>
      </w:r>
      <w:r w:rsidR="00E756D7">
        <w:rPr>
          <w:sz w:val="24"/>
          <w:szCs w:val="24"/>
        </w:rPr>
        <w:t xml:space="preserve"> as the </w:t>
      </w:r>
      <w:r w:rsidR="00E756D7">
        <w:rPr>
          <w:i/>
          <w:sz w:val="24"/>
          <w:szCs w:val="24"/>
        </w:rPr>
        <w:t xml:space="preserve">domus Augustiana </w:t>
      </w:r>
      <w:proofErr w:type="gramStart"/>
      <w:r w:rsidR="00E756D7">
        <w:rPr>
          <w:i/>
          <w:sz w:val="24"/>
          <w:szCs w:val="24"/>
        </w:rPr>
        <w:t>et</w:t>
      </w:r>
      <w:proofErr w:type="gramEnd"/>
      <w:r w:rsidR="00E756D7">
        <w:rPr>
          <w:i/>
          <w:sz w:val="24"/>
          <w:szCs w:val="24"/>
        </w:rPr>
        <w:t xml:space="preserve"> Tiberiana</w:t>
      </w:r>
      <w:r w:rsidR="00E756D7">
        <w:rPr>
          <w:sz w:val="24"/>
          <w:szCs w:val="24"/>
        </w:rPr>
        <w:t>. There are</w:t>
      </w:r>
      <w:r w:rsidR="0091291A">
        <w:rPr>
          <w:sz w:val="24"/>
          <w:szCs w:val="24"/>
        </w:rPr>
        <w:t xml:space="preserve"> also three open areas </w:t>
      </w:r>
      <w:r w:rsidR="00E756D7">
        <w:rPr>
          <w:sz w:val="24"/>
          <w:szCs w:val="24"/>
        </w:rPr>
        <w:t xml:space="preserve">listed: the </w:t>
      </w:r>
      <w:r w:rsidR="00E756D7">
        <w:rPr>
          <w:i/>
          <w:sz w:val="24"/>
          <w:szCs w:val="24"/>
        </w:rPr>
        <w:t>area Radicaria</w:t>
      </w:r>
      <w:r w:rsidR="00E756D7">
        <w:rPr>
          <w:sz w:val="24"/>
          <w:szCs w:val="24"/>
        </w:rPr>
        <w:t xml:space="preserve">, </w:t>
      </w:r>
      <w:r w:rsidR="00E756D7">
        <w:rPr>
          <w:i/>
          <w:sz w:val="24"/>
          <w:szCs w:val="24"/>
        </w:rPr>
        <w:t>area Apollinis</w:t>
      </w:r>
      <w:r w:rsidR="00E756D7">
        <w:rPr>
          <w:sz w:val="24"/>
          <w:szCs w:val="24"/>
        </w:rPr>
        <w:t xml:space="preserve">, and the </w:t>
      </w:r>
      <w:r w:rsidR="00E756D7">
        <w:rPr>
          <w:i/>
          <w:sz w:val="24"/>
          <w:szCs w:val="24"/>
        </w:rPr>
        <w:t>mutatorium Caesaris</w:t>
      </w:r>
      <w:r w:rsidR="00E756D7">
        <w:rPr>
          <w:sz w:val="24"/>
          <w:szCs w:val="24"/>
        </w:rPr>
        <w:t xml:space="preserve">. The Fountain of Orpheus, </w:t>
      </w:r>
      <w:r w:rsidR="00E756D7">
        <w:rPr>
          <w:i/>
          <w:sz w:val="24"/>
          <w:szCs w:val="24"/>
        </w:rPr>
        <w:t>Septizodium</w:t>
      </w:r>
      <w:r w:rsidR="00E756D7">
        <w:rPr>
          <w:sz w:val="24"/>
          <w:szCs w:val="24"/>
        </w:rPr>
        <w:t xml:space="preserve"> and the Arch of Germanicus look a little lonely as the only major water feature/</w:t>
      </w:r>
      <w:r w:rsidR="008B44B0">
        <w:rPr>
          <w:sz w:val="24"/>
          <w:szCs w:val="24"/>
        </w:rPr>
        <w:t>imperial</w:t>
      </w:r>
      <w:r w:rsidR="00E756D7">
        <w:rPr>
          <w:sz w:val="24"/>
          <w:szCs w:val="24"/>
        </w:rPr>
        <w:t xml:space="preserve"> monuments that appear in both, but it is likely that there would be more in the rest of the Marble Plan.</w:t>
      </w:r>
    </w:p>
    <w:p w:rsidR="00E756D7" w:rsidRDefault="00E756D7" w:rsidP="00722391">
      <w:pPr>
        <w:spacing w:before="240" w:line="480" w:lineRule="auto"/>
        <w:ind w:firstLine="720"/>
        <w:jc w:val="both"/>
        <w:rPr>
          <w:sz w:val="24"/>
          <w:szCs w:val="24"/>
        </w:rPr>
      </w:pPr>
      <w:r>
        <w:rPr>
          <w:sz w:val="24"/>
          <w:szCs w:val="24"/>
        </w:rPr>
        <w:t xml:space="preserve">The most common items in both are the multitude of temples and shrines. The temples included are the </w:t>
      </w:r>
      <w:r>
        <w:rPr>
          <w:i/>
          <w:sz w:val="24"/>
          <w:szCs w:val="24"/>
        </w:rPr>
        <w:t>templum Divi Claudi</w:t>
      </w:r>
      <w:r>
        <w:rPr>
          <w:sz w:val="24"/>
          <w:szCs w:val="24"/>
        </w:rPr>
        <w:t xml:space="preserve">, </w:t>
      </w:r>
      <w:r>
        <w:rPr>
          <w:i/>
          <w:sz w:val="24"/>
          <w:szCs w:val="24"/>
        </w:rPr>
        <w:t>templum Divi Vespasiani</w:t>
      </w:r>
      <w:r>
        <w:rPr>
          <w:sz w:val="24"/>
          <w:szCs w:val="24"/>
        </w:rPr>
        <w:t xml:space="preserve">, </w:t>
      </w:r>
      <w:r>
        <w:rPr>
          <w:i/>
          <w:sz w:val="24"/>
          <w:szCs w:val="24"/>
        </w:rPr>
        <w:t>Templum Matidiae</w:t>
      </w:r>
      <w:r>
        <w:rPr>
          <w:sz w:val="24"/>
          <w:szCs w:val="24"/>
        </w:rPr>
        <w:t xml:space="preserve"> (which appears in the </w:t>
      </w:r>
      <w:r>
        <w:rPr>
          <w:i/>
          <w:sz w:val="24"/>
          <w:szCs w:val="24"/>
        </w:rPr>
        <w:t>Regionaries</w:t>
      </w:r>
      <w:r>
        <w:rPr>
          <w:sz w:val="24"/>
          <w:szCs w:val="24"/>
        </w:rPr>
        <w:t xml:space="preserve"> as the </w:t>
      </w:r>
      <w:r>
        <w:rPr>
          <w:i/>
          <w:sz w:val="24"/>
          <w:szCs w:val="24"/>
        </w:rPr>
        <w:t>Basilica Matidiae</w:t>
      </w:r>
      <w:r>
        <w:rPr>
          <w:sz w:val="24"/>
          <w:szCs w:val="24"/>
        </w:rPr>
        <w:t xml:space="preserve">), a temple to Hadrian’s deified mother-in-law and the Temple of </w:t>
      </w:r>
      <w:r>
        <w:rPr>
          <w:i/>
          <w:sz w:val="24"/>
          <w:szCs w:val="24"/>
        </w:rPr>
        <w:t>Fors Fortuna</w:t>
      </w:r>
      <w:r>
        <w:rPr>
          <w:sz w:val="24"/>
          <w:szCs w:val="24"/>
        </w:rPr>
        <w:t xml:space="preserve">. The Temple of Isis and </w:t>
      </w:r>
      <w:r w:rsidR="00902636">
        <w:rPr>
          <w:sz w:val="24"/>
          <w:szCs w:val="24"/>
        </w:rPr>
        <w:t>Serapis</w:t>
      </w:r>
      <w:r>
        <w:rPr>
          <w:sz w:val="24"/>
          <w:szCs w:val="24"/>
        </w:rPr>
        <w:t xml:space="preserve"> rebuilt after its destruction in AD 80 by Domitian and renovated by Hadrian and Severus</w:t>
      </w:r>
      <w:r w:rsidR="0091291A">
        <w:rPr>
          <w:sz w:val="24"/>
          <w:szCs w:val="24"/>
        </w:rPr>
        <w:t>,</w:t>
      </w:r>
      <w:r>
        <w:rPr>
          <w:sz w:val="24"/>
          <w:szCs w:val="24"/>
        </w:rPr>
        <w:t xml:space="preserve"> also makes an appearance in both the Marble Plan and the </w:t>
      </w:r>
      <w:r>
        <w:rPr>
          <w:i/>
          <w:sz w:val="24"/>
          <w:szCs w:val="24"/>
        </w:rPr>
        <w:t>Regionaries</w:t>
      </w:r>
      <w:r>
        <w:rPr>
          <w:sz w:val="24"/>
          <w:szCs w:val="24"/>
        </w:rPr>
        <w:t>.</w:t>
      </w:r>
      <w:r>
        <w:rPr>
          <w:rStyle w:val="FootnoteReference"/>
          <w:sz w:val="24"/>
          <w:szCs w:val="24"/>
        </w:rPr>
        <w:footnoteReference w:id="244"/>
      </w:r>
      <w:r w:rsidR="00F56C98">
        <w:rPr>
          <w:sz w:val="24"/>
          <w:szCs w:val="24"/>
        </w:rPr>
        <w:t xml:space="preserve"> The s</w:t>
      </w:r>
      <w:r>
        <w:rPr>
          <w:sz w:val="24"/>
          <w:szCs w:val="24"/>
        </w:rPr>
        <w:t xml:space="preserve">hrines in both are the </w:t>
      </w:r>
      <w:r>
        <w:rPr>
          <w:i/>
          <w:sz w:val="24"/>
          <w:szCs w:val="24"/>
        </w:rPr>
        <w:t>aedes Castoris</w:t>
      </w:r>
      <w:r>
        <w:rPr>
          <w:sz w:val="24"/>
          <w:szCs w:val="24"/>
        </w:rPr>
        <w:t xml:space="preserve">, </w:t>
      </w:r>
      <w:r>
        <w:rPr>
          <w:i/>
          <w:sz w:val="24"/>
          <w:szCs w:val="24"/>
        </w:rPr>
        <w:t>Saturni, Iovis Statoris</w:t>
      </w:r>
      <w:r>
        <w:rPr>
          <w:sz w:val="24"/>
          <w:szCs w:val="24"/>
        </w:rPr>
        <w:t xml:space="preserve">. The </w:t>
      </w:r>
      <w:r>
        <w:rPr>
          <w:i/>
          <w:sz w:val="24"/>
          <w:szCs w:val="24"/>
        </w:rPr>
        <w:t>Minervam Chalcidicam</w:t>
      </w:r>
      <w:r>
        <w:rPr>
          <w:sz w:val="24"/>
          <w:szCs w:val="24"/>
        </w:rPr>
        <w:t xml:space="preserve"> that appears in the Marble Plan appears only in the </w:t>
      </w:r>
      <w:r>
        <w:rPr>
          <w:i/>
          <w:sz w:val="24"/>
          <w:szCs w:val="24"/>
        </w:rPr>
        <w:t>Curiosum</w:t>
      </w:r>
      <w:r w:rsidR="0049637A">
        <w:rPr>
          <w:sz w:val="24"/>
          <w:szCs w:val="24"/>
        </w:rPr>
        <w:t xml:space="preserve"> as </w:t>
      </w:r>
      <w:r w:rsidR="0049637A">
        <w:rPr>
          <w:i/>
          <w:sz w:val="24"/>
          <w:szCs w:val="24"/>
        </w:rPr>
        <w:t>Minervam Calcidicam</w:t>
      </w:r>
      <w:r>
        <w:rPr>
          <w:sz w:val="24"/>
          <w:szCs w:val="24"/>
        </w:rPr>
        <w:t xml:space="preserve">. The </w:t>
      </w:r>
      <w:r>
        <w:rPr>
          <w:i/>
          <w:sz w:val="24"/>
          <w:szCs w:val="24"/>
        </w:rPr>
        <w:t>Divorum</w:t>
      </w:r>
      <w:r>
        <w:rPr>
          <w:sz w:val="24"/>
          <w:szCs w:val="24"/>
        </w:rPr>
        <w:t xml:space="preserve"> of the </w:t>
      </w:r>
      <w:r>
        <w:rPr>
          <w:i/>
          <w:sz w:val="24"/>
          <w:szCs w:val="24"/>
        </w:rPr>
        <w:t>Regionaries</w:t>
      </w:r>
      <w:r>
        <w:rPr>
          <w:sz w:val="24"/>
          <w:szCs w:val="24"/>
        </w:rPr>
        <w:t xml:space="preserve">, which included the </w:t>
      </w:r>
      <w:r>
        <w:rPr>
          <w:i/>
          <w:sz w:val="24"/>
          <w:szCs w:val="24"/>
        </w:rPr>
        <w:t>aedes</w:t>
      </w:r>
      <w:r>
        <w:rPr>
          <w:sz w:val="24"/>
          <w:szCs w:val="24"/>
        </w:rPr>
        <w:t xml:space="preserve"> of Titus and Vespasian and was constructed by Domitian</w:t>
      </w:r>
      <w:r w:rsidR="0091291A">
        <w:rPr>
          <w:sz w:val="24"/>
          <w:szCs w:val="24"/>
        </w:rPr>
        <w:t>,</w:t>
      </w:r>
      <w:r>
        <w:rPr>
          <w:sz w:val="24"/>
          <w:szCs w:val="24"/>
        </w:rPr>
        <w:t xml:space="preserve"> appears as the </w:t>
      </w:r>
      <w:r>
        <w:rPr>
          <w:i/>
          <w:sz w:val="24"/>
          <w:szCs w:val="24"/>
        </w:rPr>
        <w:t>Porticus Divorum</w:t>
      </w:r>
      <w:r>
        <w:rPr>
          <w:sz w:val="24"/>
          <w:szCs w:val="24"/>
        </w:rPr>
        <w:t xml:space="preserve"> on five fragments of the Marble Plan, whilst another 14 fragments represent the rest of the area of the </w:t>
      </w:r>
      <w:r>
        <w:rPr>
          <w:i/>
          <w:sz w:val="24"/>
          <w:szCs w:val="24"/>
        </w:rPr>
        <w:t>porticus</w:t>
      </w:r>
      <w:r>
        <w:rPr>
          <w:sz w:val="24"/>
          <w:szCs w:val="24"/>
        </w:rPr>
        <w:t>.</w:t>
      </w:r>
      <w:r>
        <w:rPr>
          <w:rStyle w:val="FootnoteReference"/>
          <w:sz w:val="24"/>
          <w:szCs w:val="24"/>
        </w:rPr>
        <w:footnoteReference w:id="245"/>
      </w:r>
      <w:r>
        <w:rPr>
          <w:sz w:val="24"/>
          <w:szCs w:val="24"/>
        </w:rPr>
        <w:t xml:space="preserve"> Similar to many of the unique items in the </w:t>
      </w:r>
      <w:r>
        <w:rPr>
          <w:i/>
          <w:sz w:val="24"/>
          <w:szCs w:val="24"/>
        </w:rPr>
        <w:t>Regionaries</w:t>
      </w:r>
      <w:r>
        <w:rPr>
          <w:sz w:val="24"/>
          <w:szCs w:val="24"/>
        </w:rPr>
        <w:t xml:space="preserve">, these shared temples and shrines seem to </w:t>
      </w:r>
      <w:r w:rsidR="00972DCE">
        <w:rPr>
          <w:sz w:val="24"/>
          <w:szCs w:val="24"/>
        </w:rPr>
        <w:t xml:space="preserve">be intimately connected to the </w:t>
      </w:r>
      <w:r w:rsidR="008B44B0">
        <w:rPr>
          <w:sz w:val="24"/>
          <w:szCs w:val="24"/>
        </w:rPr>
        <w:lastRenderedPageBreak/>
        <w:t>imperial</w:t>
      </w:r>
      <w:r>
        <w:rPr>
          <w:sz w:val="24"/>
          <w:szCs w:val="24"/>
        </w:rPr>
        <w:t xml:space="preserve"> family, in particular to the popular Flavian and Antonine dynasties either by</w:t>
      </w:r>
      <w:r w:rsidR="008F494F">
        <w:rPr>
          <w:sz w:val="24"/>
          <w:szCs w:val="24"/>
        </w:rPr>
        <w:t xml:space="preserve"> construction or renovation. </w:t>
      </w:r>
      <w:r>
        <w:rPr>
          <w:sz w:val="24"/>
          <w:szCs w:val="24"/>
        </w:rPr>
        <w:t xml:space="preserve">After the temples and shrines, the most listed items that appear in both lists are concerned with the entertainment of the city. </w:t>
      </w:r>
    </w:p>
    <w:p w:rsidR="00E756D7" w:rsidRDefault="00E756D7" w:rsidP="00722391">
      <w:pPr>
        <w:spacing w:before="240" w:line="480" w:lineRule="auto"/>
        <w:ind w:firstLine="720"/>
        <w:jc w:val="both"/>
        <w:rPr>
          <w:sz w:val="24"/>
          <w:szCs w:val="24"/>
        </w:rPr>
      </w:pPr>
      <w:r>
        <w:rPr>
          <w:sz w:val="24"/>
          <w:szCs w:val="24"/>
        </w:rPr>
        <w:t xml:space="preserve">There are the actual places of the entertainments: </w:t>
      </w:r>
      <w:r>
        <w:rPr>
          <w:i/>
          <w:sz w:val="24"/>
          <w:szCs w:val="24"/>
        </w:rPr>
        <w:t>Circus Maximus</w:t>
      </w:r>
      <w:r>
        <w:rPr>
          <w:sz w:val="24"/>
          <w:szCs w:val="24"/>
        </w:rPr>
        <w:t xml:space="preserve">, the Flavian Amphitheatre, </w:t>
      </w:r>
      <w:r>
        <w:rPr>
          <w:i/>
          <w:sz w:val="24"/>
          <w:szCs w:val="24"/>
        </w:rPr>
        <w:t xml:space="preserve">theatrum </w:t>
      </w:r>
      <w:proofErr w:type="gramStart"/>
      <w:r>
        <w:rPr>
          <w:i/>
          <w:sz w:val="24"/>
          <w:szCs w:val="24"/>
        </w:rPr>
        <w:t>et</w:t>
      </w:r>
      <w:proofErr w:type="gramEnd"/>
      <w:r>
        <w:rPr>
          <w:i/>
          <w:sz w:val="24"/>
          <w:szCs w:val="24"/>
        </w:rPr>
        <w:t xml:space="preserve"> crypta Balbi</w:t>
      </w:r>
      <w:r>
        <w:rPr>
          <w:sz w:val="24"/>
          <w:szCs w:val="24"/>
        </w:rPr>
        <w:t xml:space="preserve">, </w:t>
      </w:r>
      <w:r>
        <w:rPr>
          <w:i/>
          <w:sz w:val="24"/>
          <w:szCs w:val="24"/>
        </w:rPr>
        <w:t>Theatrum Marcelli</w:t>
      </w:r>
      <w:r>
        <w:rPr>
          <w:sz w:val="24"/>
          <w:szCs w:val="24"/>
        </w:rPr>
        <w:t xml:space="preserve">, but more significant is the inclusion in both the Marble Plan and the </w:t>
      </w:r>
      <w:r>
        <w:rPr>
          <w:i/>
          <w:sz w:val="24"/>
          <w:szCs w:val="24"/>
        </w:rPr>
        <w:t>Regionaries</w:t>
      </w:r>
      <w:r>
        <w:rPr>
          <w:sz w:val="24"/>
          <w:szCs w:val="24"/>
        </w:rPr>
        <w:t xml:space="preserve"> of the same supporting structures.</w:t>
      </w:r>
      <w:r>
        <w:rPr>
          <w:rStyle w:val="FootnoteReference"/>
          <w:sz w:val="24"/>
          <w:szCs w:val="24"/>
        </w:rPr>
        <w:footnoteReference w:id="246"/>
      </w:r>
      <w:r>
        <w:rPr>
          <w:sz w:val="24"/>
          <w:szCs w:val="24"/>
        </w:rPr>
        <w:t xml:space="preserve"> These include: the gladiatorial schools </w:t>
      </w:r>
      <w:r>
        <w:rPr>
          <w:i/>
          <w:sz w:val="24"/>
          <w:szCs w:val="24"/>
        </w:rPr>
        <w:t>Ludum Matutinum et Dacicum</w:t>
      </w:r>
      <w:r>
        <w:rPr>
          <w:sz w:val="24"/>
          <w:szCs w:val="24"/>
        </w:rPr>
        <w:t xml:space="preserve">, their supporting armouries in the </w:t>
      </w:r>
      <w:r>
        <w:rPr>
          <w:i/>
          <w:sz w:val="24"/>
          <w:szCs w:val="24"/>
        </w:rPr>
        <w:t>Armamentarium</w:t>
      </w:r>
      <w:r>
        <w:rPr>
          <w:sz w:val="24"/>
          <w:szCs w:val="24"/>
        </w:rPr>
        <w:t xml:space="preserve">, the </w:t>
      </w:r>
      <w:r>
        <w:rPr>
          <w:i/>
          <w:sz w:val="24"/>
          <w:szCs w:val="24"/>
        </w:rPr>
        <w:t>Castra Misenatium</w:t>
      </w:r>
      <w:r w:rsidR="002A3537">
        <w:rPr>
          <w:sz w:val="24"/>
          <w:szCs w:val="24"/>
        </w:rPr>
        <w:t xml:space="preserve"> (the barracks of the men who drew the awnings at the games)</w:t>
      </w:r>
      <w:r>
        <w:rPr>
          <w:sz w:val="24"/>
          <w:szCs w:val="24"/>
        </w:rPr>
        <w:t xml:space="preserve"> and even the </w:t>
      </w:r>
      <w:r w:rsidR="002A3537">
        <w:rPr>
          <w:sz w:val="24"/>
          <w:szCs w:val="24"/>
        </w:rPr>
        <w:t xml:space="preserve">famous </w:t>
      </w:r>
      <w:r>
        <w:rPr>
          <w:i/>
          <w:sz w:val="24"/>
          <w:szCs w:val="24"/>
        </w:rPr>
        <w:t>Naumachia</w:t>
      </w:r>
      <w:r w:rsidR="0091291A">
        <w:rPr>
          <w:i/>
          <w:sz w:val="24"/>
          <w:szCs w:val="24"/>
        </w:rPr>
        <w:t>,</w:t>
      </w:r>
      <w:r>
        <w:rPr>
          <w:sz w:val="24"/>
          <w:szCs w:val="24"/>
        </w:rPr>
        <w:t xml:space="preserve"> although in the Marble Plan the Naumachia are named as the </w:t>
      </w:r>
      <w:r>
        <w:rPr>
          <w:i/>
          <w:sz w:val="24"/>
          <w:szCs w:val="24"/>
        </w:rPr>
        <w:t>Naumachia Augusti</w:t>
      </w:r>
      <w:r>
        <w:rPr>
          <w:sz w:val="24"/>
          <w:szCs w:val="24"/>
        </w:rPr>
        <w:t xml:space="preserve"> and the </w:t>
      </w:r>
      <w:r>
        <w:rPr>
          <w:i/>
          <w:sz w:val="24"/>
          <w:szCs w:val="24"/>
        </w:rPr>
        <w:t>Naumachia Transtiberina</w:t>
      </w:r>
      <w:r>
        <w:rPr>
          <w:sz w:val="24"/>
          <w:szCs w:val="24"/>
        </w:rPr>
        <w:t xml:space="preserve">, whereas in the </w:t>
      </w:r>
      <w:r>
        <w:rPr>
          <w:i/>
          <w:sz w:val="24"/>
          <w:szCs w:val="24"/>
        </w:rPr>
        <w:t>Regionaries</w:t>
      </w:r>
      <w:r>
        <w:rPr>
          <w:sz w:val="24"/>
          <w:szCs w:val="24"/>
        </w:rPr>
        <w:t xml:space="preserve"> they are only listed as </w:t>
      </w:r>
      <w:r>
        <w:rPr>
          <w:i/>
          <w:sz w:val="24"/>
          <w:szCs w:val="24"/>
        </w:rPr>
        <w:t>Naumachia V</w:t>
      </w:r>
      <w:r>
        <w:rPr>
          <w:sz w:val="24"/>
          <w:szCs w:val="24"/>
        </w:rPr>
        <w:t>.</w:t>
      </w:r>
      <w:r>
        <w:rPr>
          <w:rStyle w:val="FootnoteReference"/>
          <w:sz w:val="24"/>
          <w:szCs w:val="24"/>
        </w:rPr>
        <w:footnoteReference w:id="247"/>
      </w:r>
      <w:r>
        <w:rPr>
          <w:sz w:val="24"/>
          <w:szCs w:val="24"/>
        </w:rPr>
        <w:t xml:space="preserve"> In the Marble</w:t>
      </w:r>
      <w:r w:rsidR="00972DCE">
        <w:rPr>
          <w:sz w:val="24"/>
          <w:szCs w:val="24"/>
        </w:rPr>
        <w:t xml:space="preserve"> Plan there is the road of the theatre s</w:t>
      </w:r>
      <w:r>
        <w:rPr>
          <w:sz w:val="24"/>
          <w:szCs w:val="24"/>
        </w:rPr>
        <w:t xml:space="preserve">uppliers, which is listed in the </w:t>
      </w:r>
      <w:r>
        <w:rPr>
          <w:i/>
          <w:sz w:val="24"/>
          <w:szCs w:val="24"/>
        </w:rPr>
        <w:t>Regionaries</w:t>
      </w:r>
      <w:r>
        <w:rPr>
          <w:sz w:val="24"/>
          <w:szCs w:val="24"/>
        </w:rPr>
        <w:t xml:space="preserve"> as the </w:t>
      </w:r>
      <w:r>
        <w:rPr>
          <w:i/>
          <w:sz w:val="24"/>
          <w:szCs w:val="24"/>
        </w:rPr>
        <w:t>summum choragum</w:t>
      </w:r>
      <w:r>
        <w:rPr>
          <w:sz w:val="24"/>
          <w:szCs w:val="24"/>
        </w:rPr>
        <w:t xml:space="preserve">. </w:t>
      </w:r>
    </w:p>
    <w:p w:rsidR="00F56C98" w:rsidRDefault="00E756D7" w:rsidP="00722391">
      <w:pPr>
        <w:spacing w:line="480" w:lineRule="auto"/>
        <w:ind w:firstLine="720"/>
        <w:jc w:val="both"/>
        <w:rPr>
          <w:sz w:val="24"/>
          <w:szCs w:val="24"/>
        </w:rPr>
      </w:pPr>
      <w:r>
        <w:rPr>
          <w:sz w:val="24"/>
          <w:szCs w:val="24"/>
        </w:rPr>
        <w:tab/>
        <w:t xml:space="preserve">But the </w:t>
      </w:r>
      <w:r>
        <w:rPr>
          <w:i/>
          <w:sz w:val="24"/>
          <w:szCs w:val="24"/>
        </w:rPr>
        <w:t>Regionaries</w:t>
      </w:r>
      <w:r>
        <w:rPr>
          <w:sz w:val="24"/>
          <w:szCs w:val="24"/>
        </w:rPr>
        <w:t xml:space="preserve"> are not a</w:t>
      </w:r>
      <w:r w:rsidR="0091291A">
        <w:rPr>
          <w:sz w:val="24"/>
          <w:szCs w:val="24"/>
        </w:rPr>
        <w:t>n exact copy of the Marble Plan;</w:t>
      </w:r>
      <w:r>
        <w:rPr>
          <w:sz w:val="24"/>
          <w:szCs w:val="24"/>
        </w:rPr>
        <w:t xml:space="preserve"> after all out of 1186 (</w:t>
      </w:r>
      <w:r w:rsidR="008F494F">
        <w:rPr>
          <w:sz w:val="24"/>
          <w:szCs w:val="24"/>
        </w:rPr>
        <w:t xml:space="preserve">of which </w:t>
      </w:r>
      <w:r>
        <w:rPr>
          <w:sz w:val="24"/>
          <w:szCs w:val="24"/>
        </w:rPr>
        <w:t>many are blank</w:t>
      </w:r>
      <w:r w:rsidR="00972DCE">
        <w:rPr>
          <w:sz w:val="24"/>
          <w:szCs w:val="24"/>
        </w:rPr>
        <w:t xml:space="preserve"> or contain non-monumental buildings such as </w:t>
      </w:r>
      <w:r w:rsidR="00972DCE">
        <w:rPr>
          <w:i/>
          <w:sz w:val="24"/>
          <w:szCs w:val="24"/>
        </w:rPr>
        <w:t>insulae</w:t>
      </w:r>
      <w:r w:rsidR="00972DCE">
        <w:rPr>
          <w:sz w:val="24"/>
          <w:szCs w:val="24"/>
        </w:rPr>
        <w:t xml:space="preserve"> and </w:t>
      </w:r>
      <w:r w:rsidR="00972DCE">
        <w:rPr>
          <w:i/>
          <w:sz w:val="24"/>
          <w:szCs w:val="24"/>
        </w:rPr>
        <w:t>mensae oleriae</w:t>
      </w:r>
      <w:r>
        <w:rPr>
          <w:sz w:val="24"/>
          <w:szCs w:val="24"/>
        </w:rPr>
        <w:t>) surviving fragments</w:t>
      </w:r>
      <w:r w:rsidR="00902636">
        <w:rPr>
          <w:sz w:val="24"/>
          <w:szCs w:val="24"/>
        </w:rPr>
        <w:t>,</w:t>
      </w:r>
      <w:r>
        <w:rPr>
          <w:sz w:val="24"/>
          <w:szCs w:val="24"/>
        </w:rPr>
        <w:t xml:space="preserve"> only 54 share</w:t>
      </w:r>
      <w:r w:rsidR="0091291A">
        <w:rPr>
          <w:sz w:val="24"/>
          <w:szCs w:val="24"/>
        </w:rPr>
        <w:t xml:space="preserve"> direct</w:t>
      </w:r>
      <w:r>
        <w:rPr>
          <w:sz w:val="24"/>
          <w:szCs w:val="24"/>
        </w:rPr>
        <w:t xml:space="preserve"> similarities with the </w:t>
      </w:r>
      <w:r>
        <w:rPr>
          <w:i/>
          <w:sz w:val="24"/>
          <w:szCs w:val="24"/>
        </w:rPr>
        <w:t>Catalogues</w:t>
      </w:r>
      <w:r>
        <w:rPr>
          <w:sz w:val="24"/>
          <w:szCs w:val="24"/>
        </w:rPr>
        <w:t xml:space="preserve">. The Marble Plan also lists several important </w:t>
      </w:r>
      <w:r w:rsidR="008B44B0">
        <w:rPr>
          <w:sz w:val="24"/>
          <w:szCs w:val="24"/>
        </w:rPr>
        <w:t>imperial</w:t>
      </w:r>
      <w:r>
        <w:rPr>
          <w:sz w:val="24"/>
          <w:szCs w:val="24"/>
        </w:rPr>
        <w:t xml:space="preserve"> monuments that the </w:t>
      </w:r>
      <w:r>
        <w:rPr>
          <w:i/>
          <w:sz w:val="24"/>
          <w:szCs w:val="24"/>
        </w:rPr>
        <w:t>Regionaries</w:t>
      </w:r>
      <w:r>
        <w:rPr>
          <w:sz w:val="24"/>
          <w:szCs w:val="24"/>
        </w:rPr>
        <w:t xml:space="preserve"> omit; </w:t>
      </w:r>
      <w:r w:rsidR="00972DCE">
        <w:rPr>
          <w:sz w:val="24"/>
          <w:szCs w:val="24"/>
        </w:rPr>
        <w:t xml:space="preserve">including </w:t>
      </w:r>
      <w:r>
        <w:rPr>
          <w:sz w:val="24"/>
          <w:szCs w:val="24"/>
        </w:rPr>
        <w:t xml:space="preserve">the Arches of Titus and Severus </w:t>
      </w:r>
      <w:r w:rsidR="00972DCE">
        <w:rPr>
          <w:sz w:val="24"/>
          <w:szCs w:val="24"/>
        </w:rPr>
        <w:t xml:space="preserve">and </w:t>
      </w:r>
      <w:r>
        <w:rPr>
          <w:sz w:val="24"/>
          <w:szCs w:val="24"/>
        </w:rPr>
        <w:t xml:space="preserve">the Mausoleum of Hadrian, as well as the location of the </w:t>
      </w:r>
      <w:r w:rsidR="0087599E">
        <w:rPr>
          <w:sz w:val="24"/>
          <w:szCs w:val="24"/>
        </w:rPr>
        <w:t>i</w:t>
      </w:r>
      <w:r w:rsidR="008B44B0">
        <w:rPr>
          <w:sz w:val="24"/>
          <w:szCs w:val="24"/>
        </w:rPr>
        <w:t>mperial</w:t>
      </w:r>
      <w:r>
        <w:rPr>
          <w:sz w:val="24"/>
          <w:szCs w:val="24"/>
        </w:rPr>
        <w:t xml:space="preserve"> Box in the </w:t>
      </w:r>
      <w:r>
        <w:rPr>
          <w:i/>
          <w:sz w:val="24"/>
          <w:szCs w:val="24"/>
        </w:rPr>
        <w:t>Circus Maximus</w:t>
      </w:r>
      <w:r>
        <w:rPr>
          <w:sz w:val="24"/>
          <w:szCs w:val="24"/>
        </w:rPr>
        <w:t xml:space="preserve">. It also illustrates the location of the Gardens of Celonia Fabia, the wife of the Urban Prefect Fabius Cilo </w:t>
      </w:r>
      <w:r w:rsidR="002A3537">
        <w:rPr>
          <w:sz w:val="24"/>
          <w:szCs w:val="24"/>
        </w:rPr>
        <w:t>(</w:t>
      </w:r>
      <w:r>
        <w:rPr>
          <w:sz w:val="24"/>
          <w:szCs w:val="24"/>
        </w:rPr>
        <w:t xml:space="preserve">whose house is in both the Marble Plan and the </w:t>
      </w:r>
      <w:r>
        <w:rPr>
          <w:i/>
          <w:sz w:val="24"/>
          <w:szCs w:val="24"/>
        </w:rPr>
        <w:t>Regionaries</w:t>
      </w:r>
      <w:r w:rsidR="002A3537">
        <w:rPr>
          <w:sz w:val="24"/>
          <w:szCs w:val="24"/>
        </w:rPr>
        <w:t>)</w:t>
      </w:r>
      <w:r w:rsidR="0091291A">
        <w:rPr>
          <w:sz w:val="24"/>
          <w:szCs w:val="24"/>
        </w:rPr>
        <w:t xml:space="preserve"> and t</w:t>
      </w:r>
      <w:r>
        <w:rPr>
          <w:sz w:val="24"/>
          <w:szCs w:val="24"/>
        </w:rPr>
        <w:t xml:space="preserve">wo voting halls, the </w:t>
      </w:r>
      <w:r>
        <w:rPr>
          <w:i/>
          <w:sz w:val="24"/>
          <w:szCs w:val="24"/>
        </w:rPr>
        <w:t>Saepta Iulia</w:t>
      </w:r>
      <w:r>
        <w:rPr>
          <w:sz w:val="24"/>
          <w:szCs w:val="24"/>
        </w:rPr>
        <w:t xml:space="preserve"> which had been </w:t>
      </w:r>
      <w:r>
        <w:rPr>
          <w:sz w:val="24"/>
          <w:szCs w:val="24"/>
        </w:rPr>
        <w:lastRenderedPageBreak/>
        <w:t xml:space="preserve">restored by Domitian and Hadrian, and the </w:t>
      </w:r>
      <w:r>
        <w:rPr>
          <w:i/>
          <w:sz w:val="24"/>
          <w:szCs w:val="24"/>
        </w:rPr>
        <w:t>Diribitorium</w:t>
      </w:r>
      <w:r>
        <w:rPr>
          <w:sz w:val="24"/>
          <w:szCs w:val="24"/>
        </w:rPr>
        <w:t xml:space="preserve"> built by Agrippa and restored by Titus.</w:t>
      </w:r>
      <w:r>
        <w:rPr>
          <w:rStyle w:val="FootnoteReference"/>
          <w:sz w:val="24"/>
          <w:szCs w:val="24"/>
        </w:rPr>
        <w:footnoteReference w:id="248"/>
      </w:r>
      <w:r>
        <w:rPr>
          <w:sz w:val="24"/>
          <w:szCs w:val="24"/>
        </w:rPr>
        <w:t xml:space="preserve"> It also includes the </w:t>
      </w:r>
      <w:r>
        <w:rPr>
          <w:i/>
          <w:sz w:val="24"/>
          <w:szCs w:val="24"/>
        </w:rPr>
        <w:t xml:space="preserve">Basilica Ulpia, </w:t>
      </w:r>
      <w:r>
        <w:rPr>
          <w:sz w:val="24"/>
          <w:szCs w:val="24"/>
        </w:rPr>
        <w:t xml:space="preserve">the centrepiece of the Forum of </w:t>
      </w:r>
      <w:r w:rsidR="0091291A">
        <w:rPr>
          <w:sz w:val="24"/>
          <w:szCs w:val="24"/>
        </w:rPr>
        <w:t>Trajan. Several other monuments</w:t>
      </w:r>
      <w:r>
        <w:rPr>
          <w:sz w:val="24"/>
          <w:szCs w:val="24"/>
        </w:rPr>
        <w:t xml:space="preserve"> lacking any significant </w:t>
      </w:r>
      <w:r w:rsidR="008B44B0">
        <w:rPr>
          <w:sz w:val="24"/>
          <w:szCs w:val="24"/>
        </w:rPr>
        <w:t>imperial</w:t>
      </w:r>
      <w:r>
        <w:rPr>
          <w:sz w:val="24"/>
          <w:szCs w:val="24"/>
        </w:rPr>
        <w:t xml:space="preserve"> connection are also included. This includes the funerary monument of Servius Sulpicius Galba</w:t>
      </w:r>
      <w:r w:rsidR="0091291A">
        <w:rPr>
          <w:sz w:val="24"/>
          <w:szCs w:val="24"/>
        </w:rPr>
        <w:t>,</w:t>
      </w:r>
      <w:r>
        <w:rPr>
          <w:sz w:val="24"/>
          <w:szCs w:val="24"/>
        </w:rPr>
        <w:t xml:space="preserve"> one of our oldest republican tombs; the </w:t>
      </w:r>
      <w:r w:rsidR="006F23C4">
        <w:rPr>
          <w:i/>
          <w:sz w:val="24"/>
          <w:szCs w:val="24"/>
        </w:rPr>
        <w:t>aedis i</w:t>
      </w:r>
      <w:r>
        <w:rPr>
          <w:i/>
          <w:sz w:val="24"/>
          <w:szCs w:val="24"/>
        </w:rPr>
        <w:t>uno</w:t>
      </w:r>
      <w:r w:rsidR="006F23C4">
        <w:rPr>
          <w:i/>
          <w:sz w:val="24"/>
          <w:szCs w:val="24"/>
        </w:rPr>
        <w:t>nis r</w:t>
      </w:r>
      <w:r>
        <w:rPr>
          <w:i/>
          <w:sz w:val="24"/>
          <w:szCs w:val="24"/>
        </w:rPr>
        <w:t>eginae</w:t>
      </w:r>
      <w:r>
        <w:rPr>
          <w:sz w:val="24"/>
          <w:szCs w:val="24"/>
        </w:rPr>
        <w:t xml:space="preserve"> vowed by the Consul Marcus Aemilius Lepidus; and the </w:t>
      </w:r>
      <w:r>
        <w:rPr>
          <w:i/>
          <w:sz w:val="24"/>
          <w:szCs w:val="24"/>
        </w:rPr>
        <w:t>aedes Bellonae</w:t>
      </w:r>
      <w:r>
        <w:rPr>
          <w:sz w:val="24"/>
          <w:szCs w:val="24"/>
        </w:rPr>
        <w:t xml:space="preserve"> and the </w:t>
      </w:r>
      <w:r>
        <w:rPr>
          <w:i/>
          <w:sz w:val="24"/>
          <w:szCs w:val="24"/>
        </w:rPr>
        <w:t>aedes</w:t>
      </w:r>
      <w:r>
        <w:rPr>
          <w:sz w:val="24"/>
          <w:szCs w:val="24"/>
        </w:rPr>
        <w:t xml:space="preserve"> </w:t>
      </w:r>
      <w:r w:rsidR="0049637A">
        <w:rPr>
          <w:i/>
          <w:sz w:val="24"/>
          <w:szCs w:val="24"/>
        </w:rPr>
        <w:t>Apollinis</w:t>
      </w:r>
      <w:r>
        <w:rPr>
          <w:sz w:val="24"/>
          <w:szCs w:val="24"/>
        </w:rPr>
        <w:t xml:space="preserve"> which were two of the oldest temples in Rome.</w:t>
      </w:r>
      <w:r>
        <w:rPr>
          <w:rStyle w:val="FootnoteReference"/>
          <w:sz w:val="24"/>
          <w:szCs w:val="24"/>
        </w:rPr>
        <w:footnoteReference w:id="249"/>
      </w:r>
      <w:r>
        <w:rPr>
          <w:sz w:val="24"/>
          <w:szCs w:val="24"/>
        </w:rPr>
        <w:t xml:space="preserve"> Several of Pompey’s notable structures are also included: the </w:t>
      </w:r>
      <w:r>
        <w:rPr>
          <w:i/>
          <w:sz w:val="24"/>
          <w:szCs w:val="24"/>
        </w:rPr>
        <w:t>porticus Pompeianae</w:t>
      </w:r>
      <w:r>
        <w:rPr>
          <w:sz w:val="24"/>
          <w:szCs w:val="24"/>
        </w:rPr>
        <w:t xml:space="preserve">, the </w:t>
      </w:r>
      <w:r>
        <w:rPr>
          <w:i/>
          <w:sz w:val="24"/>
          <w:szCs w:val="24"/>
        </w:rPr>
        <w:t>curia Pompeiana</w:t>
      </w:r>
      <w:r>
        <w:rPr>
          <w:sz w:val="24"/>
          <w:szCs w:val="24"/>
        </w:rPr>
        <w:t xml:space="preserve">, </w:t>
      </w:r>
      <w:r>
        <w:rPr>
          <w:i/>
          <w:sz w:val="24"/>
          <w:szCs w:val="24"/>
        </w:rPr>
        <w:t>aedes Venus Victricis</w:t>
      </w:r>
      <w:r>
        <w:rPr>
          <w:sz w:val="24"/>
          <w:szCs w:val="24"/>
        </w:rPr>
        <w:t>,</w:t>
      </w:r>
      <w:r w:rsidR="0091291A">
        <w:rPr>
          <w:sz w:val="24"/>
          <w:szCs w:val="24"/>
        </w:rPr>
        <w:t xml:space="preserve"> and</w:t>
      </w:r>
      <w:r>
        <w:rPr>
          <w:sz w:val="24"/>
          <w:szCs w:val="24"/>
        </w:rPr>
        <w:t xml:space="preserve"> the </w:t>
      </w:r>
      <w:r>
        <w:rPr>
          <w:i/>
          <w:sz w:val="24"/>
          <w:szCs w:val="24"/>
        </w:rPr>
        <w:t>Hecatostylum</w:t>
      </w:r>
      <w:r>
        <w:rPr>
          <w:sz w:val="24"/>
          <w:szCs w:val="24"/>
        </w:rPr>
        <w:t>.</w:t>
      </w:r>
      <w:r>
        <w:rPr>
          <w:rStyle w:val="FootnoteReference"/>
          <w:sz w:val="24"/>
          <w:szCs w:val="24"/>
        </w:rPr>
        <w:footnoteReference w:id="250"/>
      </w:r>
      <w:r>
        <w:rPr>
          <w:sz w:val="24"/>
          <w:szCs w:val="24"/>
        </w:rPr>
        <w:t xml:space="preserve"> Whilst the</w:t>
      </w:r>
      <w:r>
        <w:rPr>
          <w:i/>
          <w:sz w:val="24"/>
          <w:szCs w:val="24"/>
        </w:rPr>
        <w:t xml:space="preserve"> porticus </w:t>
      </w:r>
      <w:r>
        <w:rPr>
          <w:sz w:val="24"/>
          <w:szCs w:val="24"/>
        </w:rPr>
        <w:t xml:space="preserve">was one of the most popular throughout antiquity, and the </w:t>
      </w:r>
      <w:r>
        <w:rPr>
          <w:i/>
          <w:sz w:val="24"/>
          <w:szCs w:val="24"/>
        </w:rPr>
        <w:t xml:space="preserve">aedes </w:t>
      </w:r>
      <w:r>
        <w:rPr>
          <w:sz w:val="24"/>
          <w:szCs w:val="24"/>
        </w:rPr>
        <w:t xml:space="preserve">and </w:t>
      </w:r>
      <w:r>
        <w:rPr>
          <w:i/>
          <w:sz w:val="24"/>
          <w:szCs w:val="24"/>
        </w:rPr>
        <w:t>Hecatostylum</w:t>
      </w:r>
      <w:r>
        <w:rPr>
          <w:sz w:val="24"/>
          <w:szCs w:val="24"/>
        </w:rPr>
        <w:t xml:space="preserve"> were both part of the Theatre of Pompey, the </w:t>
      </w:r>
      <w:r>
        <w:rPr>
          <w:i/>
          <w:sz w:val="24"/>
          <w:szCs w:val="24"/>
        </w:rPr>
        <w:t>curia Pompeiana</w:t>
      </w:r>
      <w:r>
        <w:rPr>
          <w:sz w:val="24"/>
          <w:szCs w:val="24"/>
        </w:rPr>
        <w:t xml:space="preserve"> had been walled up by Augustus due it being the location of Julius Caesar’s murder.</w:t>
      </w:r>
      <w:r>
        <w:rPr>
          <w:rStyle w:val="FootnoteReference"/>
          <w:sz w:val="24"/>
          <w:szCs w:val="24"/>
        </w:rPr>
        <w:footnoteReference w:id="251"/>
      </w:r>
      <w:r>
        <w:rPr>
          <w:sz w:val="24"/>
          <w:szCs w:val="24"/>
        </w:rPr>
        <w:t xml:space="preserve"> </w:t>
      </w:r>
    </w:p>
    <w:p w:rsidR="00FB76CA" w:rsidRPr="00E50CE3" w:rsidRDefault="00E756D7" w:rsidP="00722391">
      <w:pPr>
        <w:spacing w:line="480" w:lineRule="auto"/>
        <w:ind w:firstLine="720"/>
        <w:jc w:val="both"/>
        <w:rPr>
          <w:iCs/>
          <w:sz w:val="24"/>
          <w:szCs w:val="24"/>
        </w:rPr>
      </w:pPr>
      <w:r>
        <w:rPr>
          <w:sz w:val="24"/>
          <w:szCs w:val="24"/>
        </w:rPr>
        <w:t xml:space="preserve">The oldest of them all is the </w:t>
      </w:r>
      <w:r>
        <w:rPr>
          <w:i/>
          <w:sz w:val="24"/>
          <w:szCs w:val="24"/>
        </w:rPr>
        <w:t>Roma Quadrata</w:t>
      </w:r>
      <w:r w:rsidR="006417EE">
        <w:rPr>
          <w:sz w:val="24"/>
          <w:szCs w:val="24"/>
        </w:rPr>
        <w:t>. In</w:t>
      </w:r>
      <w:r w:rsidR="007D570B">
        <w:rPr>
          <w:sz w:val="24"/>
          <w:szCs w:val="24"/>
        </w:rPr>
        <w:t>i</w:t>
      </w:r>
      <w:r w:rsidR="006417EE">
        <w:rPr>
          <w:sz w:val="24"/>
          <w:szCs w:val="24"/>
        </w:rPr>
        <w:t xml:space="preserve">tially believed to be </w:t>
      </w:r>
      <w:r>
        <w:rPr>
          <w:sz w:val="24"/>
          <w:szCs w:val="24"/>
        </w:rPr>
        <w:t xml:space="preserve">a mysterious area whose purpose was unclear even to historians writing in the Late Republic, but was suspected to be part of the original outline of the </w:t>
      </w:r>
      <w:r>
        <w:rPr>
          <w:i/>
          <w:sz w:val="24"/>
          <w:szCs w:val="24"/>
        </w:rPr>
        <w:t>pomerium</w:t>
      </w:r>
      <w:r>
        <w:rPr>
          <w:sz w:val="24"/>
          <w:szCs w:val="24"/>
        </w:rPr>
        <w:t xml:space="preserve">, Rome’s </w:t>
      </w:r>
      <w:r w:rsidR="00182EFE">
        <w:rPr>
          <w:sz w:val="24"/>
          <w:szCs w:val="24"/>
        </w:rPr>
        <w:t>sacred</w:t>
      </w:r>
      <w:r>
        <w:rPr>
          <w:sz w:val="24"/>
          <w:szCs w:val="24"/>
        </w:rPr>
        <w:t xml:space="preserve"> boundary.</w:t>
      </w:r>
      <w:r>
        <w:rPr>
          <w:rStyle w:val="FootnoteReference"/>
          <w:sz w:val="24"/>
          <w:szCs w:val="24"/>
        </w:rPr>
        <w:footnoteReference w:id="252"/>
      </w:r>
      <w:r>
        <w:rPr>
          <w:sz w:val="24"/>
          <w:szCs w:val="24"/>
        </w:rPr>
        <w:t xml:space="preserve"> </w:t>
      </w:r>
      <w:r w:rsidR="006417EE">
        <w:rPr>
          <w:sz w:val="24"/>
          <w:szCs w:val="24"/>
        </w:rPr>
        <w:t>It has now been shown to have been a shrine within which those ritual implements necessary fo</w:t>
      </w:r>
      <w:r w:rsidR="007D570B">
        <w:rPr>
          <w:sz w:val="24"/>
          <w:szCs w:val="24"/>
        </w:rPr>
        <w:t>r an auspicious city founding w</w:t>
      </w:r>
      <w:r w:rsidR="006417EE">
        <w:rPr>
          <w:sz w:val="24"/>
          <w:szCs w:val="24"/>
        </w:rPr>
        <w:t>ere deposited</w:t>
      </w:r>
      <w:r w:rsidR="007D570B">
        <w:rPr>
          <w:sz w:val="24"/>
          <w:szCs w:val="24"/>
        </w:rPr>
        <w:t>, including (possibly) the plough</w:t>
      </w:r>
      <w:r w:rsidR="0049756E">
        <w:rPr>
          <w:sz w:val="24"/>
          <w:szCs w:val="24"/>
        </w:rPr>
        <w:t xml:space="preserve"> used in the </w:t>
      </w:r>
      <w:r w:rsidR="0049756E">
        <w:rPr>
          <w:sz w:val="24"/>
          <w:szCs w:val="24"/>
        </w:rPr>
        <w:lastRenderedPageBreak/>
        <w:t xml:space="preserve">rituals of the </w:t>
      </w:r>
      <w:r w:rsidR="0049756E">
        <w:rPr>
          <w:i/>
          <w:sz w:val="24"/>
          <w:szCs w:val="24"/>
        </w:rPr>
        <w:t>Pomerium</w:t>
      </w:r>
      <w:r w:rsidR="006417EE">
        <w:rPr>
          <w:sz w:val="24"/>
          <w:szCs w:val="24"/>
        </w:rPr>
        <w:t>.</w:t>
      </w:r>
      <w:r w:rsidR="006417EE">
        <w:rPr>
          <w:rStyle w:val="FootnoteReference"/>
          <w:sz w:val="24"/>
          <w:szCs w:val="24"/>
        </w:rPr>
        <w:footnoteReference w:id="253"/>
      </w:r>
      <w:r w:rsidR="006417EE">
        <w:rPr>
          <w:sz w:val="24"/>
          <w:szCs w:val="24"/>
        </w:rPr>
        <w:t xml:space="preserve"> </w:t>
      </w:r>
      <w:r>
        <w:rPr>
          <w:sz w:val="24"/>
          <w:szCs w:val="24"/>
        </w:rPr>
        <w:t xml:space="preserve">This suggests a desired connection to the city’s </w:t>
      </w:r>
      <w:r w:rsidR="0091291A">
        <w:rPr>
          <w:sz w:val="24"/>
          <w:szCs w:val="24"/>
        </w:rPr>
        <w:t>Republican</w:t>
      </w:r>
      <w:r>
        <w:rPr>
          <w:sz w:val="24"/>
          <w:szCs w:val="24"/>
        </w:rPr>
        <w:t xml:space="preserve"> past in contrast to the much more </w:t>
      </w:r>
      <w:r w:rsidR="008B44B0">
        <w:rPr>
          <w:sz w:val="24"/>
          <w:szCs w:val="24"/>
        </w:rPr>
        <w:t>imperial</w:t>
      </w:r>
      <w:r w:rsidR="00972DCE">
        <w:rPr>
          <w:sz w:val="24"/>
          <w:szCs w:val="24"/>
        </w:rPr>
        <w:t>ly</w:t>
      </w:r>
      <w:r>
        <w:rPr>
          <w:sz w:val="24"/>
          <w:szCs w:val="24"/>
        </w:rPr>
        <w:t xml:space="preserve"> focused </w:t>
      </w:r>
      <w:r>
        <w:rPr>
          <w:i/>
          <w:sz w:val="24"/>
          <w:szCs w:val="24"/>
        </w:rPr>
        <w:t>Regionaries</w:t>
      </w:r>
      <w:r>
        <w:rPr>
          <w:sz w:val="24"/>
          <w:szCs w:val="24"/>
        </w:rPr>
        <w:t>.</w:t>
      </w:r>
      <w:r w:rsidR="00FB76CA" w:rsidRPr="00FB76CA">
        <w:rPr>
          <w:sz w:val="24"/>
          <w:szCs w:val="24"/>
        </w:rPr>
        <w:t xml:space="preserve"> </w:t>
      </w:r>
      <w:r w:rsidR="00FB76CA" w:rsidRPr="00E50CE3">
        <w:rPr>
          <w:iCs/>
          <w:sz w:val="24"/>
          <w:szCs w:val="24"/>
        </w:rPr>
        <w:t xml:space="preserve">As the </w:t>
      </w:r>
      <w:r w:rsidR="00182EFE">
        <w:rPr>
          <w:iCs/>
          <w:sz w:val="24"/>
          <w:szCs w:val="24"/>
        </w:rPr>
        <w:t>sacred</w:t>
      </w:r>
      <w:r w:rsidR="00FB76CA" w:rsidRPr="00E50CE3">
        <w:rPr>
          <w:iCs/>
          <w:sz w:val="24"/>
          <w:szCs w:val="24"/>
        </w:rPr>
        <w:t xml:space="preserve"> boundary that marked Rome apart from the world, it also carried a number of legal and social concerns. Foreign “rites” were banned within it and it was forbidden to bury dead within the </w:t>
      </w:r>
      <w:r w:rsidR="00FB76CA" w:rsidRPr="00E50CE3">
        <w:rPr>
          <w:i/>
          <w:sz w:val="24"/>
          <w:szCs w:val="24"/>
        </w:rPr>
        <w:t>pomerium</w:t>
      </w:r>
      <w:r w:rsidR="00FB76CA" w:rsidRPr="00E50CE3">
        <w:rPr>
          <w:iCs/>
          <w:sz w:val="24"/>
          <w:szCs w:val="24"/>
        </w:rPr>
        <w:t>. Most importan</w:t>
      </w:r>
      <w:r w:rsidR="0091291A">
        <w:rPr>
          <w:iCs/>
          <w:sz w:val="24"/>
          <w:szCs w:val="24"/>
        </w:rPr>
        <w:t>tly it was the demarcating line</w:t>
      </w:r>
      <w:r w:rsidR="00FB76CA" w:rsidRPr="00E50CE3">
        <w:rPr>
          <w:iCs/>
          <w:sz w:val="24"/>
          <w:szCs w:val="24"/>
        </w:rPr>
        <w:t xml:space="preserve"> within which it was forbidden to wear armour and carry weapons and (nominally) the point at which military authorities were forbidden from entering th</w:t>
      </w:r>
      <w:r w:rsidR="0091291A">
        <w:rPr>
          <w:iCs/>
          <w:sz w:val="24"/>
          <w:szCs w:val="24"/>
        </w:rPr>
        <w:t>e City except in the case of a t</w:t>
      </w:r>
      <w:r w:rsidR="00FB76CA" w:rsidRPr="00E50CE3">
        <w:rPr>
          <w:iCs/>
          <w:sz w:val="24"/>
          <w:szCs w:val="24"/>
        </w:rPr>
        <w:t>riumph.</w:t>
      </w:r>
      <w:r w:rsidR="00FB76CA" w:rsidRPr="00E50CE3">
        <w:rPr>
          <w:rStyle w:val="FootnoteReference"/>
          <w:iCs/>
          <w:sz w:val="24"/>
          <w:szCs w:val="24"/>
        </w:rPr>
        <w:footnoteReference w:id="254"/>
      </w:r>
      <w:r w:rsidR="00FB76CA" w:rsidRPr="00E50CE3">
        <w:rPr>
          <w:iCs/>
          <w:sz w:val="24"/>
          <w:szCs w:val="24"/>
        </w:rPr>
        <w:t xml:space="preserve"> The </w:t>
      </w:r>
      <w:r w:rsidR="0091291A">
        <w:rPr>
          <w:i/>
          <w:sz w:val="24"/>
          <w:szCs w:val="24"/>
        </w:rPr>
        <w:t>p</w:t>
      </w:r>
      <w:r w:rsidR="00FB76CA" w:rsidRPr="00E50CE3">
        <w:rPr>
          <w:i/>
          <w:sz w:val="24"/>
          <w:szCs w:val="24"/>
        </w:rPr>
        <w:t>omerium</w:t>
      </w:r>
      <w:r w:rsidR="00FB76CA" w:rsidRPr="00E50CE3">
        <w:rPr>
          <w:iCs/>
          <w:sz w:val="24"/>
          <w:szCs w:val="24"/>
        </w:rPr>
        <w:t xml:space="preserve"> was demarcated by the </w:t>
      </w:r>
      <w:r w:rsidR="00FB76CA" w:rsidRPr="00E50CE3">
        <w:rPr>
          <w:i/>
          <w:sz w:val="24"/>
          <w:szCs w:val="24"/>
        </w:rPr>
        <w:t xml:space="preserve">cippi, </w:t>
      </w:r>
      <w:r w:rsidR="00FB76CA" w:rsidRPr="00E50CE3">
        <w:rPr>
          <w:iCs/>
          <w:sz w:val="24"/>
          <w:szCs w:val="24"/>
        </w:rPr>
        <w:t xml:space="preserve">milestones which we should have expected to see in the </w:t>
      </w:r>
      <w:r w:rsidR="00FB76CA" w:rsidRPr="00E50CE3">
        <w:rPr>
          <w:i/>
          <w:sz w:val="24"/>
          <w:szCs w:val="24"/>
        </w:rPr>
        <w:t xml:space="preserve">Regionaries </w:t>
      </w:r>
      <w:r w:rsidR="00FB76CA" w:rsidRPr="00E50CE3">
        <w:rPr>
          <w:iCs/>
          <w:sz w:val="24"/>
          <w:szCs w:val="24"/>
        </w:rPr>
        <w:t xml:space="preserve">or their </w:t>
      </w:r>
      <w:r w:rsidR="00FB76CA" w:rsidRPr="00E50CE3">
        <w:rPr>
          <w:i/>
          <w:sz w:val="24"/>
          <w:szCs w:val="24"/>
        </w:rPr>
        <w:t>Appendices</w:t>
      </w:r>
      <w:r w:rsidR="00FB76CA" w:rsidRPr="00E50CE3">
        <w:rPr>
          <w:sz w:val="24"/>
          <w:szCs w:val="24"/>
        </w:rPr>
        <w:t xml:space="preserve"> at some point</w:t>
      </w:r>
      <w:r w:rsidR="0091291A">
        <w:rPr>
          <w:sz w:val="24"/>
          <w:szCs w:val="24"/>
        </w:rPr>
        <w:t xml:space="preserve"> since they would possess significant cultural and historical importance</w:t>
      </w:r>
      <w:r w:rsidR="00FB76CA" w:rsidRPr="00E50CE3">
        <w:rPr>
          <w:iCs/>
          <w:sz w:val="24"/>
          <w:szCs w:val="24"/>
        </w:rPr>
        <w:t>.</w:t>
      </w:r>
      <w:r w:rsidR="00FB76CA" w:rsidRPr="00E50CE3">
        <w:rPr>
          <w:rStyle w:val="FootnoteReference"/>
          <w:iCs/>
          <w:sz w:val="24"/>
          <w:szCs w:val="24"/>
        </w:rPr>
        <w:footnoteReference w:id="255"/>
      </w:r>
      <w:r w:rsidR="00FB76CA" w:rsidRPr="00E50CE3">
        <w:rPr>
          <w:iCs/>
          <w:sz w:val="24"/>
          <w:szCs w:val="24"/>
        </w:rPr>
        <w:t xml:space="preserve"> The Urban Prefect’s jurisdiction was defined by it (100 miles from the </w:t>
      </w:r>
      <w:r w:rsidR="00FB76CA" w:rsidRPr="00E50CE3">
        <w:rPr>
          <w:i/>
          <w:iCs/>
          <w:sz w:val="24"/>
          <w:szCs w:val="24"/>
        </w:rPr>
        <w:t>pomerium</w:t>
      </w:r>
      <w:r w:rsidR="00FB76CA" w:rsidRPr="00E50CE3">
        <w:rPr>
          <w:iCs/>
          <w:sz w:val="24"/>
          <w:szCs w:val="24"/>
        </w:rPr>
        <w:t xml:space="preserve">). It does appear quite odd that </w:t>
      </w:r>
      <w:r w:rsidR="009A041F">
        <w:rPr>
          <w:iCs/>
          <w:sz w:val="24"/>
          <w:szCs w:val="24"/>
        </w:rPr>
        <w:t>Rome’s</w:t>
      </w:r>
      <w:r w:rsidR="009A041F" w:rsidRPr="00E50CE3">
        <w:rPr>
          <w:sz w:val="24"/>
          <w:szCs w:val="24"/>
        </w:rPr>
        <w:t xml:space="preserve"> most significant religious boundary</w:t>
      </w:r>
      <w:r w:rsidR="009A041F">
        <w:rPr>
          <w:sz w:val="24"/>
          <w:szCs w:val="24"/>
        </w:rPr>
        <w:t xml:space="preserve">, a major cultural, political and legal </w:t>
      </w:r>
      <w:r w:rsidR="0049637A">
        <w:rPr>
          <w:sz w:val="24"/>
          <w:szCs w:val="24"/>
        </w:rPr>
        <w:t>institution</w:t>
      </w:r>
      <w:r w:rsidR="009A041F">
        <w:rPr>
          <w:sz w:val="24"/>
          <w:szCs w:val="24"/>
        </w:rPr>
        <w:t xml:space="preserve">, </w:t>
      </w:r>
      <w:r w:rsidR="009A041F">
        <w:rPr>
          <w:iCs/>
          <w:sz w:val="24"/>
          <w:szCs w:val="24"/>
        </w:rPr>
        <w:t xml:space="preserve">would be neglected from the </w:t>
      </w:r>
      <w:r w:rsidR="009A041F">
        <w:rPr>
          <w:i/>
          <w:iCs/>
          <w:sz w:val="24"/>
          <w:szCs w:val="24"/>
        </w:rPr>
        <w:t>Regionaries</w:t>
      </w:r>
      <w:r w:rsidR="009A041F">
        <w:rPr>
          <w:iCs/>
          <w:sz w:val="24"/>
          <w:szCs w:val="24"/>
        </w:rPr>
        <w:t>.</w:t>
      </w:r>
      <w:r w:rsidR="00FB76CA" w:rsidRPr="00E50CE3">
        <w:rPr>
          <w:iCs/>
          <w:sz w:val="24"/>
          <w:szCs w:val="24"/>
        </w:rPr>
        <w:t xml:space="preserve"> Traditionally historians have argued that the </w:t>
      </w:r>
      <w:r w:rsidR="00FB76CA" w:rsidRPr="00E50CE3">
        <w:rPr>
          <w:i/>
          <w:iCs/>
          <w:sz w:val="24"/>
          <w:szCs w:val="24"/>
        </w:rPr>
        <w:t>pomerium</w:t>
      </w:r>
      <w:r w:rsidR="00FB76CA" w:rsidRPr="00E50CE3">
        <w:rPr>
          <w:iCs/>
          <w:sz w:val="24"/>
          <w:szCs w:val="24"/>
        </w:rPr>
        <w:t xml:space="preserve"> had been extended to the Aurelian Walls, the massive circuit of walls constructed by the </w:t>
      </w:r>
      <w:r w:rsidR="008B44B0">
        <w:rPr>
          <w:iCs/>
          <w:sz w:val="24"/>
          <w:szCs w:val="24"/>
        </w:rPr>
        <w:t>Emperor</w:t>
      </w:r>
      <w:r w:rsidR="00FB76CA" w:rsidRPr="00E50CE3">
        <w:rPr>
          <w:iCs/>
          <w:sz w:val="24"/>
          <w:szCs w:val="24"/>
        </w:rPr>
        <w:t xml:space="preserve"> Aurelian between 271 and 275 that enclosed the city.</w:t>
      </w:r>
      <w:r w:rsidR="00FB76CA" w:rsidRPr="00E50CE3">
        <w:rPr>
          <w:rStyle w:val="FootnoteReference"/>
          <w:iCs/>
          <w:sz w:val="24"/>
          <w:szCs w:val="24"/>
        </w:rPr>
        <w:footnoteReference w:id="256"/>
      </w:r>
      <w:r w:rsidR="00FB76CA" w:rsidRPr="00E50CE3">
        <w:rPr>
          <w:iCs/>
          <w:sz w:val="24"/>
          <w:szCs w:val="24"/>
        </w:rPr>
        <w:t xml:space="preserve"> However this is based largely on a passage from the </w:t>
      </w:r>
      <w:r w:rsidR="00FB76CA" w:rsidRPr="00E50CE3">
        <w:rPr>
          <w:i/>
          <w:iCs/>
          <w:sz w:val="24"/>
          <w:szCs w:val="24"/>
        </w:rPr>
        <w:t>Historia Augusta</w:t>
      </w:r>
      <w:r w:rsidR="00FB76CA" w:rsidRPr="00E50CE3">
        <w:rPr>
          <w:iCs/>
          <w:sz w:val="24"/>
          <w:szCs w:val="24"/>
        </w:rPr>
        <w:t xml:space="preserve"> that declares Aurelian extended the </w:t>
      </w:r>
      <w:r w:rsidR="00FB76CA" w:rsidRPr="00E50CE3">
        <w:rPr>
          <w:i/>
          <w:iCs/>
          <w:sz w:val="24"/>
          <w:szCs w:val="24"/>
        </w:rPr>
        <w:t>pomerium</w:t>
      </w:r>
      <w:r w:rsidR="00FB76CA" w:rsidRPr="00E50CE3">
        <w:rPr>
          <w:iCs/>
          <w:sz w:val="24"/>
          <w:szCs w:val="24"/>
        </w:rPr>
        <w:t xml:space="preserve"> several times, which has in turn been transposed onto the construction of the Aurelian Wall. However the veracity and accuracy of the </w:t>
      </w:r>
      <w:r w:rsidR="00FB76CA" w:rsidRPr="00E50CE3">
        <w:rPr>
          <w:i/>
          <w:iCs/>
          <w:sz w:val="24"/>
          <w:szCs w:val="24"/>
        </w:rPr>
        <w:t>Historia Augusta</w:t>
      </w:r>
      <w:r w:rsidR="00FB76CA" w:rsidRPr="00E50CE3">
        <w:rPr>
          <w:iCs/>
          <w:sz w:val="24"/>
          <w:szCs w:val="24"/>
        </w:rPr>
        <w:t xml:space="preserve"> is subject to considerable dispute by historians so it is inappropriate to rely on it too heavily, particularly in the absence of the Aurelian Wall itself from the </w:t>
      </w:r>
      <w:r w:rsidR="00FB76CA" w:rsidRPr="00E50CE3">
        <w:rPr>
          <w:i/>
          <w:iCs/>
          <w:sz w:val="24"/>
          <w:szCs w:val="24"/>
        </w:rPr>
        <w:t>Regionaries</w:t>
      </w:r>
      <w:r w:rsidR="00FB76CA" w:rsidRPr="00E50CE3">
        <w:rPr>
          <w:iCs/>
          <w:sz w:val="24"/>
          <w:szCs w:val="24"/>
        </w:rPr>
        <w:t>.</w:t>
      </w:r>
      <w:r w:rsidR="00FB76CA" w:rsidRPr="00E50CE3">
        <w:rPr>
          <w:rStyle w:val="FootnoteReference"/>
          <w:iCs/>
          <w:sz w:val="24"/>
          <w:szCs w:val="24"/>
        </w:rPr>
        <w:footnoteReference w:id="257"/>
      </w:r>
      <w:r w:rsidR="00FB76CA" w:rsidRPr="00E50CE3">
        <w:rPr>
          <w:iCs/>
          <w:sz w:val="24"/>
          <w:szCs w:val="24"/>
        </w:rPr>
        <w:t xml:space="preserve">    </w:t>
      </w:r>
    </w:p>
    <w:p w:rsidR="00FB76CA" w:rsidRPr="00E50CE3" w:rsidRDefault="00FB76CA" w:rsidP="00722391">
      <w:pPr>
        <w:spacing w:line="480" w:lineRule="auto"/>
        <w:ind w:firstLine="720"/>
        <w:jc w:val="both"/>
        <w:rPr>
          <w:iCs/>
          <w:sz w:val="24"/>
          <w:szCs w:val="24"/>
        </w:rPr>
      </w:pPr>
      <w:r w:rsidRPr="00E50CE3">
        <w:rPr>
          <w:iCs/>
          <w:sz w:val="24"/>
          <w:szCs w:val="24"/>
        </w:rPr>
        <w:lastRenderedPageBreak/>
        <w:t>The question still remains as to w</w:t>
      </w:r>
      <w:r w:rsidR="009A041F">
        <w:rPr>
          <w:iCs/>
          <w:sz w:val="24"/>
          <w:szCs w:val="24"/>
        </w:rPr>
        <w:t>hy the Aurelian Wall</w:t>
      </w:r>
      <w:r w:rsidRPr="00E50CE3">
        <w:rPr>
          <w:iCs/>
          <w:sz w:val="24"/>
          <w:szCs w:val="24"/>
        </w:rPr>
        <w:t xml:space="preserve"> might not have been included in the </w:t>
      </w:r>
      <w:r w:rsidRPr="00E50CE3">
        <w:rPr>
          <w:i/>
          <w:iCs/>
          <w:sz w:val="24"/>
          <w:szCs w:val="24"/>
        </w:rPr>
        <w:t>Regionary Catalogues</w:t>
      </w:r>
      <w:r w:rsidRPr="00E50CE3">
        <w:rPr>
          <w:iCs/>
          <w:sz w:val="24"/>
          <w:szCs w:val="24"/>
        </w:rPr>
        <w:t xml:space="preserve">. </w:t>
      </w:r>
      <w:r>
        <w:rPr>
          <w:iCs/>
          <w:sz w:val="24"/>
          <w:szCs w:val="24"/>
        </w:rPr>
        <w:t>A</w:t>
      </w:r>
      <w:r w:rsidRPr="00E50CE3">
        <w:rPr>
          <w:iCs/>
          <w:sz w:val="24"/>
          <w:szCs w:val="24"/>
        </w:rPr>
        <w:t xml:space="preserve"> discussion of the </w:t>
      </w:r>
      <w:r w:rsidR="0091291A">
        <w:rPr>
          <w:i/>
          <w:iCs/>
          <w:sz w:val="24"/>
          <w:szCs w:val="24"/>
        </w:rPr>
        <w:t>p</w:t>
      </w:r>
      <w:r w:rsidRPr="00E50CE3">
        <w:rPr>
          <w:i/>
          <w:iCs/>
          <w:sz w:val="24"/>
          <w:szCs w:val="24"/>
        </w:rPr>
        <w:t>omerium</w:t>
      </w:r>
      <w:r w:rsidRPr="00E50CE3">
        <w:rPr>
          <w:iCs/>
          <w:sz w:val="24"/>
          <w:szCs w:val="24"/>
        </w:rPr>
        <w:t xml:space="preserve"> and its evolution is outside the scope of this thesis. The simplest suggestion is that it is simply not relevant to the functioning of the </w:t>
      </w:r>
      <w:r w:rsidRPr="00E50CE3">
        <w:rPr>
          <w:i/>
          <w:iCs/>
          <w:sz w:val="24"/>
          <w:szCs w:val="24"/>
        </w:rPr>
        <w:t>Regionary Catalogues</w:t>
      </w:r>
      <w:r w:rsidRPr="00E50CE3">
        <w:rPr>
          <w:iCs/>
          <w:sz w:val="24"/>
          <w:szCs w:val="24"/>
        </w:rPr>
        <w:t xml:space="preserve">. Any alteration of the </w:t>
      </w:r>
      <w:r w:rsidRPr="00E50CE3">
        <w:rPr>
          <w:i/>
          <w:iCs/>
          <w:sz w:val="24"/>
          <w:szCs w:val="24"/>
        </w:rPr>
        <w:t>Pomerium</w:t>
      </w:r>
      <w:r w:rsidRPr="00E50CE3">
        <w:rPr>
          <w:iCs/>
          <w:sz w:val="24"/>
          <w:szCs w:val="24"/>
        </w:rPr>
        <w:t xml:space="preserve"> was the responsibility and prerogative of the </w:t>
      </w:r>
      <w:r w:rsidR="0087599E">
        <w:rPr>
          <w:iCs/>
          <w:sz w:val="24"/>
          <w:szCs w:val="24"/>
        </w:rPr>
        <w:t>e</w:t>
      </w:r>
      <w:r w:rsidR="008B44B0">
        <w:rPr>
          <w:iCs/>
          <w:sz w:val="24"/>
          <w:szCs w:val="24"/>
        </w:rPr>
        <w:t>mperor</w:t>
      </w:r>
      <w:r w:rsidRPr="00E50CE3">
        <w:rPr>
          <w:iCs/>
          <w:sz w:val="24"/>
          <w:szCs w:val="24"/>
        </w:rPr>
        <w:t xml:space="preserve">, and </w:t>
      </w:r>
      <w:r w:rsidR="00787554">
        <w:rPr>
          <w:iCs/>
          <w:sz w:val="24"/>
          <w:szCs w:val="24"/>
        </w:rPr>
        <w:t xml:space="preserve">a subject </w:t>
      </w:r>
      <w:r w:rsidRPr="00E50CE3">
        <w:rPr>
          <w:iCs/>
          <w:sz w:val="24"/>
          <w:szCs w:val="24"/>
        </w:rPr>
        <w:t xml:space="preserve">far beyond the jurisdiction of the Urban Prefect. </w:t>
      </w:r>
    </w:p>
    <w:p w:rsidR="00E756D7" w:rsidRDefault="00E756D7" w:rsidP="00722391">
      <w:pPr>
        <w:spacing w:line="480" w:lineRule="auto"/>
        <w:ind w:firstLine="720"/>
        <w:jc w:val="both"/>
        <w:rPr>
          <w:sz w:val="24"/>
          <w:szCs w:val="24"/>
        </w:rPr>
      </w:pPr>
      <w:r>
        <w:rPr>
          <w:sz w:val="24"/>
          <w:szCs w:val="24"/>
        </w:rPr>
        <w:t xml:space="preserve">If the Marble Plan did play any role in the creation of the </w:t>
      </w:r>
      <w:r>
        <w:rPr>
          <w:i/>
          <w:sz w:val="24"/>
          <w:szCs w:val="24"/>
        </w:rPr>
        <w:t>Regionaries</w:t>
      </w:r>
      <w:r>
        <w:rPr>
          <w:sz w:val="24"/>
          <w:szCs w:val="24"/>
        </w:rPr>
        <w:t xml:space="preserve">, then by implication this would also suggest that by the time of the </w:t>
      </w:r>
      <w:r>
        <w:rPr>
          <w:i/>
          <w:sz w:val="24"/>
          <w:szCs w:val="24"/>
        </w:rPr>
        <w:t>Regionaries</w:t>
      </w:r>
      <w:r w:rsidR="0091291A">
        <w:rPr>
          <w:i/>
          <w:sz w:val="24"/>
          <w:szCs w:val="24"/>
        </w:rPr>
        <w:t>’</w:t>
      </w:r>
      <w:r>
        <w:rPr>
          <w:sz w:val="24"/>
          <w:szCs w:val="24"/>
        </w:rPr>
        <w:t xml:space="preserve"> creation, their </w:t>
      </w:r>
      <w:r w:rsidR="0091291A">
        <w:rPr>
          <w:sz w:val="24"/>
          <w:szCs w:val="24"/>
        </w:rPr>
        <w:t xml:space="preserve">author </w:t>
      </w:r>
      <w:r>
        <w:rPr>
          <w:sz w:val="24"/>
          <w:szCs w:val="24"/>
        </w:rPr>
        <w:t>felt that the monuments of the ci</w:t>
      </w:r>
      <w:r w:rsidR="0091291A">
        <w:rPr>
          <w:sz w:val="24"/>
          <w:szCs w:val="24"/>
        </w:rPr>
        <w:t>ty’s distant Republican past were</w:t>
      </w:r>
      <w:r>
        <w:rPr>
          <w:sz w:val="24"/>
          <w:szCs w:val="24"/>
        </w:rPr>
        <w:t xml:space="preserve"> of no relevance or use. </w:t>
      </w:r>
    </w:p>
    <w:p w:rsidR="00E756D7" w:rsidRDefault="00E756D7" w:rsidP="00722391">
      <w:pPr>
        <w:spacing w:line="480" w:lineRule="auto"/>
        <w:ind w:firstLine="720"/>
        <w:jc w:val="both"/>
        <w:rPr>
          <w:sz w:val="24"/>
          <w:szCs w:val="24"/>
        </w:rPr>
      </w:pPr>
      <w:r>
        <w:rPr>
          <w:sz w:val="24"/>
          <w:szCs w:val="24"/>
        </w:rPr>
        <w:t>There is also</w:t>
      </w:r>
      <w:r w:rsidR="0091291A">
        <w:rPr>
          <w:sz w:val="24"/>
          <w:szCs w:val="24"/>
        </w:rPr>
        <w:t xml:space="preserve"> a</w:t>
      </w:r>
      <w:r>
        <w:rPr>
          <w:sz w:val="24"/>
          <w:szCs w:val="24"/>
        </w:rPr>
        <w:t xml:space="preserve"> significant material difference</w:t>
      </w:r>
      <w:r w:rsidR="0091291A">
        <w:rPr>
          <w:sz w:val="24"/>
          <w:szCs w:val="24"/>
        </w:rPr>
        <w:t xml:space="preserve"> between the Marble Plan and </w:t>
      </w:r>
      <w:r>
        <w:rPr>
          <w:sz w:val="24"/>
          <w:szCs w:val="24"/>
        </w:rPr>
        <w:t xml:space="preserve">the </w:t>
      </w:r>
      <w:r>
        <w:rPr>
          <w:i/>
          <w:sz w:val="24"/>
          <w:szCs w:val="24"/>
        </w:rPr>
        <w:t>Regionaries</w:t>
      </w:r>
      <w:r>
        <w:rPr>
          <w:sz w:val="24"/>
          <w:szCs w:val="24"/>
        </w:rPr>
        <w:t>. Marble’s softness made it</w:t>
      </w:r>
      <w:r w:rsidR="0091291A">
        <w:rPr>
          <w:sz w:val="24"/>
          <w:szCs w:val="24"/>
        </w:rPr>
        <w:t xml:space="preserve"> an</w:t>
      </w:r>
      <w:r>
        <w:rPr>
          <w:sz w:val="24"/>
          <w:szCs w:val="24"/>
        </w:rPr>
        <w:t xml:space="preserve"> excellent stone for sculpture and carving, but its expense and difficulties of transport made it a luxury. Even when only used as a façade over the brickwork of the </w:t>
      </w:r>
      <w:r>
        <w:rPr>
          <w:i/>
          <w:sz w:val="24"/>
          <w:szCs w:val="24"/>
        </w:rPr>
        <w:t>Templum Pacis</w:t>
      </w:r>
      <w:r>
        <w:rPr>
          <w:sz w:val="24"/>
          <w:szCs w:val="24"/>
        </w:rPr>
        <w:t>, the plan would have required approximately 44 metric tonnes of marble to complete.</w:t>
      </w:r>
      <w:r>
        <w:rPr>
          <w:rStyle w:val="FootnoteReference"/>
          <w:sz w:val="24"/>
          <w:szCs w:val="24"/>
        </w:rPr>
        <w:footnoteReference w:id="258"/>
      </w:r>
      <w:r>
        <w:rPr>
          <w:sz w:val="24"/>
          <w:szCs w:val="24"/>
        </w:rPr>
        <w:t xml:space="preserve"> The logistics of transporting marble from the </w:t>
      </w:r>
      <w:r>
        <w:rPr>
          <w:i/>
          <w:sz w:val="24"/>
          <w:szCs w:val="24"/>
        </w:rPr>
        <w:t>emporium</w:t>
      </w:r>
      <w:r>
        <w:rPr>
          <w:sz w:val="24"/>
          <w:szCs w:val="24"/>
        </w:rPr>
        <w:t xml:space="preserve"> to the construction site alone would have made an impressive public spectacle. But the Marble Plan lacks any system of delineating individual properties, and was much too remote and large to have served as another expression of urban grandeur without som</w:t>
      </w:r>
      <w:r w:rsidR="00426B0D">
        <w:rPr>
          <w:sz w:val="24"/>
          <w:szCs w:val="24"/>
        </w:rPr>
        <w:t>e form of complimentary knowledge</w:t>
      </w:r>
      <w:r>
        <w:rPr>
          <w:sz w:val="24"/>
          <w:szCs w:val="24"/>
        </w:rPr>
        <w:t xml:space="preserve"> to help make sense of it.</w:t>
      </w:r>
      <w:r>
        <w:rPr>
          <w:rStyle w:val="FootnoteReference"/>
          <w:sz w:val="24"/>
          <w:szCs w:val="24"/>
        </w:rPr>
        <w:footnoteReference w:id="259"/>
      </w:r>
      <w:r>
        <w:rPr>
          <w:sz w:val="24"/>
          <w:szCs w:val="24"/>
        </w:rPr>
        <w:t xml:space="preserve">  Even when included in the lavishly illustrated </w:t>
      </w:r>
      <w:r>
        <w:rPr>
          <w:i/>
          <w:sz w:val="24"/>
          <w:szCs w:val="24"/>
        </w:rPr>
        <w:t>354 Codex-Calendar</w:t>
      </w:r>
      <w:r>
        <w:rPr>
          <w:sz w:val="24"/>
          <w:szCs w:val="24"/>
        </w:rPr>
        <w:t xml:space="preserve">, the </w:t>
      </w:r>
      <w:r>
        <w:rPr>
          <w:i/>
          <w:sz w:val="24"/>
          <w:szCs w:val="24"/>
        </w:rPr>
        <w:t>Regionaries</w:t>
      </w:r>
      <w:r>
        <w:rPr>
          <w:sz w:val="24"/>
          <w:szCs w:val="24"/>
        </w:rPr>
        <w:t xml:space="preserve"> look substantially less impressive. They lack the massive monumental grandeur of the Marble Plan. But the </w:t>
      </w:r>
      <w:r>
        <w:rPr>
          <w:i/>
          <w:sz w:val="24"/>
          <w:szCs w:val="24"/>
        </w:rPr>
        <w:t>Regionaries</w:t>
      </w:r>
      <w:r>
        <w:rPr>
          <w:sz w:val="24"/>
          <w:szCs w:val="24"/>
        </w:rPr>
        <w:t xml:space="preserve">, just like the </w:t>
      </w:r>
      <w:r>
        <w:rPr>
          <w:sz w:val="24"/>
          <w:szCs w:val="24"/>
        </w:rPr>
        <w:lastRenderedPageBreak/>
        <w:t xml:space="preserve">Marble Plan, </w:t>
      </w:r>
      <w:r w:rsidR="00AF3108">
        <w:rPr>
          <w:sz w:val="24"/>
          <w:szCs w:val="24"/>
        </w:rPr>
        <w:t>are</w:t>
      </w:r>
      <w:r>
        <w:rPr>
          <w:sz w:val="24"/>
          <w:szCs w:val="24"/>
        </w:rPr>
        <w:t xml:space="preserve"> only truly impressive with context and prior knowledge; </w:t>
      </w:r>
      <w:r w:rsidR="00AF3108">
        <w:rPr>
          <w:sz w:val="24"/>
          <w:szCs w:val="24"/>
        </w:rPr>
        <w:t xml:space="preserve">they </w:t>
      </w:r>
      <w:r w:rsidR="00902636">
        <w:rPr>
          <w:sz w:val="24"/>
          <w:szCs w:val="24"/>
        </w:rPr>
        <w:t>require</w:t>
      </w:r>
      <w:r>
        <w:rPr>
          <w:sz w:val="24"/>
          <w:szCs w:val="24"/>
        </w:rPr>
        <w:t xml:space="preserve"> the expert eye and education of a true citizen of Rome.</w:t>
      </w:r>
      <w:r>
        <w:rPr>
          <w:i/>
          <w:sz w:val="24"/>
          <w:szCs w:val="24"/>
        </w:rPr>
        <w:t xml:space="preserve"> </w:t>
      </w:r>
      <w:r>
        <w:rPr>
          <w:sz w:val="24"/>
          <w:szCs w:val="24"/>
        </w:rPr>
        <w:t xml:space="preserve">It is because of this that despite their material and content possessing significant differences, the final forms of the Marble Plan and the </w:t>
      </w:r>
      <w:r>
        <w:rPr>
          <w:i/>
          <w:sz w:val="24"/>
          <w:szCs w:val="24"/>
        </w:rPr>
        <w:t>Regionaries</w:t>
      </w:r>
      <w:r>
        <w:rPr>
          <w:sz w:val="24"/>
          <w:szCs w:val="24"/>
        </w:rPr>
        <w:t xml:space="preserve"> are remarkably similar. The forms of both meant that they would impress by the sheer power of their massed content, but in order to have a proper </w:t>
      </w:r>
      <w:r w:rsidR="00AF3108">
        <w:rPr>
          <w:sz w:val="24"/>
          <w:szCs w:val="24"/>
        </w:rPr>
        <w:t>interpretation</w:t>
      </w:r>
      <w:r>
        <w:rPr>
          <w:sz w:val="24"/>
          <w:szCs w:val="24"/>
        </w:rPr>
        <w:t xml:space="preserve"> both the Marble Plan and the </w:t>
      </w:r>
      <w:r>
        <w:rPr>
          <w:i/>
          <w:sz w:val="24"/>
          <w:szCs w:val="24"/>
        </w:rPr>
        <w:t>Regionaries</w:t>
      </w:r>
      <w:r>
        <w:rPr>
          <w:sz w:val="24"/>
          <w:szCs w:val="24"/>
        </w:rPr>
        <w:t xml:space="preserve"> required a certain level of understanding and education that would entail a more select audience. Certainly it would be a particular audience who would be able to gain any administrative use from either document. Just as we ask the question of the </w:t>
      </w:r>
      <w:r>
        <w:rPr>
          <w:i/>
          <w:sz w:val="24"/>
          <w:szCs w:val="24"/>
        </w:rPr>
        <w:t>Regionaries</w:t>
      </w:r>
      <w:r>
        <w:rPr>
          <w:sz w:val="24"/>
          <w:szCs w:val="24"/>
        </w:rPr>
        <w:t xml:space="preserve"> as to how they made administrative sense beyond the simple recording of information</w:t>
      </w:r>
      <w:r w:rsidR="00AF3108">
        <w:rPr>
          <w:sz w:val="24"/>
          <w:szCs w:val="24"/>
        </w:rPr>
        <w:t>,</w:t>
      </w:r>
      <w:r>
        <w:rPr>
          <w:sz w:val="24"/>
          <w:szCs w:val="24"/>
        </w:rPr>
        <w:t xml:space="preserve"> we should ask the same of the Marble Plan. </w:t>
      </w:r>
    </w:p>
    <w:p w:rsidR="00E756D7" w:rsidRDefault="00E756D7" w:rsidP="00722391">
      <w:pPr>
        <w:tabs>
          <w:tab w:val="left" w:pos="7702"/>
        </w:tabs>
        <w:spacing w:line="480" w:lineRule="auto"/>
        <w:jc w:val="both"/>
        <w:rPr>
          <w:sz w:val="24"/>
          <w:szCs w:val="24"/>
          <w:u w:val="single"/>
        </w:rPr>
      </w:pPr>
    </w:p>
    <w:p w:rsidR="00E756D7" w:rsidRDefault="00E756D7" w:rsidP="00722391">
      <w:pPr>
        <w:tabs>
          <w:tab w:val="left" w:pos="7702"/>
        </w:tabs>
        <w:spacing w:line="480" w:lineRule="auto"/>
        <w:jc w:val="both"/>
        <w:rPr>
          <w:sz w:val="24"/>
          <w:szCs w:val="24"/>
          <w:u w:val="single"/>
        </w:rPr>
      </w:pPr>
      <w:r>
        <w:rPr>
          <w:sz w:val="24"/>
          <w:szCs w:val="24"/>
          <w:u w:val="single"/>
        </w:rPr>
        <w:t>Who commiss</w:t>
      </w:r>
      <w:r w:rsidR="008A797A">
        <w:rPr>
          <w:sz w:val="24"/>
          <w:szCs w:val="24"/>
          <w:u w:val="single"/>
        </w:rPr>
        <w:t xml:space="preserve">ioned the </w:t>
      </w:r>
      <w:r w:rsidR="008A797A" w:rsidRPr="00E64EB9">
        <w:rPr>
          <w:i/>
          <w:sz w:val="24"/>
          <w:szCs w:val="24"/>
          <w:u w:val="single"/>
        </w:rPr>
        <w:t>Regionary Catalogues</w:t>
      </w:r>
      <w:r w:rsidR="008A797A">
        <w:rPr>
          <w:sz w:val="24"/>
          <w:szCs w:val="24"/>
          <w:u w:val="single"/>
        </w:rPr>
        <w:t>?</w:t>
      </w:r>
    </w:p>
    <w:p w:rsidR="0087599E" w:rsidRDefault="0087599E" w:rsidP="00722391">
      <w:pPr>
        <w:tabs>
          <w:tab w:val="left" w:pos="0"/>
        </w:tabs>
        <w:spacing w:line="480" w:lineRule="auto"/>
        <w:jc w:val="both"/>
        <w:rPr>
          <w:sz w:val="24"/>
          <w:szCs w:val="24"/>
        </w:rPr>
      </w:pPr>
    </w:p>
    <w:p w:rsidR="00FB76CA" w:rsidRPr="0087599E" w:rsidRDefault="0087599E" w:rsidP="00722391">
      <w:pPr>
        <w:tabs>
          <w:tab w:val="left" w:pos="0"/>
        </w:tabs>
        <w:spacing w:line="480" w:lineRule="auto"/>
        <w:jc w:val="both"/>
        <w:rPr>
          <w:sz w:val="24"/>
          <w:szCs w:val="24"/>
        </w:rPr>
      </w:pPr>
      <w:r>
        <w:rPr>
          <w:sz w:val="24"/>
          <w:szCs w:val="24"/>
        </w:rPr>
        <w:t>Emperors</w:t>
      </w:r>
      <w:r w:rsidR="00E756D7">
        <w:rPr>
          <w:sz w:val="24"/>
          <w:szCs w:val="24"/>
        </w:rPr>
        <w:t xml:space="preserve"> who seized power, rather than inheriting it, had to secure their success by developing the techniques of survival and self-promotion through association with the great </w:t>
      </w:r>
      <w:r>
        <w:rPr>
          <w:sz w:val="24"/>
          <w:szCs w:val="24"/>
        </w:rPr>
        <w:t>emperors</w:t>
      </w:r>
      <w:r w:rsidR="00E756D7">
        <w:rPr>
          <w:sz w:val="24"/>
          <w:szCs w:val="24"/>
        </w:rPr>
        <w:t xml:space="preserve"> of Rome’s past.</w:t>
      </w:r>
      <w:r w:rsidR="00E756D7">
        <w:rPr>
          <w:rStyle w:val="FootnoteReference"/>
          <w:sz w:val="24"/>
          <w:szCs w:val="24"/>
        </w:rPr>
        <w:footnoteReference w:id="260"/>
      </w:r>
      <w:r w:rsidR="00E756D7">
        <w:rPr>
          <w:rFonts w:cs="Times New Roman"/>
          <w:bCs/>
          <w:sz w:val="24"/>
          <w:szCs w:val="24"/>
        </w:rPr>
        <w:t xml:space="preserve"> The similarities between the </w:t>
      </w:r>
      <w:r w:rsidR="00E756D7">
        <w:rPr>
          <w:rFonts w:cs="Times New Roman"/>
          <w:bCs/>
          <w:i/>
          <w:sz w:val="24"/>
          <w:szCs w:val="24"/>
        </w:rPr>
        <w:t>Regionary Catalogues</w:t>
      </w:r>
      <w:r w:rsidR="00E756D7">
        <w:rPr>
          <w:rFonts w:cs="Times New Roman"/>
          <w:bCs/>
          <w:sz w:val="24"/>
          <w:szCs w:val="24"/>
        </w:rPr>
        <w:t xml:space="preserve"> and the Marble Plan would suggest that an </w:t>
      </w:r>
      <w:r>
        <w:rPr>
          <w:rFonts w:cs="Times New Roman"/>
          <w:bCs/>
          <w:sz w:val="24"/>
          <w:szCs w:val="24"/>
        </w:rPr>
        <w:t>e</w:t>
      </w:r>
      <w:r w:rsidR="008B44B0">
        <w:rPr>
          <w:rFonts w:cs="Times New Roman"/>
          <w:bCs/>
          <w:sz w:val="24"/>
          <w:szCs w:val="24"/>
        </w:rPr>
        <w:t>mperor</w:t>
      </w:r>
      <w:r w:rsidR="00E756D7">
        <w:rPr>
          <w:rFonts w:cs="Times New Roman"/>
          <w:bCs/>
          <w:sz w:val="24"/>
          <w:szCs w:val="24"/>
        </w:rPr>
        <w:t xml:space="preserve"> with a similar </w:t>
      </w:r>
      <w:r w:rsidR="00AF3108">
        <w:rPr>
          <w:rFonts w:cs="Times New Roman"/>
          <w:bCs/>
          <w:sz w:val="24"/>
          <w:szCs w:val="24"/>
        </w:rPr>
        <w:t>rise to power as</w:t>
      </w:r>
      <w:r w:rsidR="00E756D7">
        <w:rPr>
          <w:rFonts w:cs="Times New Roman"/>
          <w:bCs/>
          <w:sz w:val="24"/>
          <w:szCs w:val="24"/>
        </w:rPr>
        <w:t xml:space="preserve"> </w:t>
      </w:r>
      <w:r w:rsidR="008A797A">
        <w:rPr>
          <w:rFonts w:cs="Times New Roman"/>
          <w:bCs/>
          <w:sz w:val="24"/>
          <w:szCs w:val="24"/>
        </w:rPr>
        <w:t>Septimius</w:t>
      </w:r>
      <w:r w:rsidR="00E756D7">
        <w:rPr>
          <w:rFonts w:cs="Times New Roman"/>
          <w:bCs/>
          <w:sz w:val="24"/>
          <w:szCs w:val="24"/>
        </w:rPr>
        <w:t xml:space="preserve"> Severus commissioned the </w:t>
      </w:r>
      <w:r w:rsidR="005A2527">
        <w:rPr>
          <w:rFonts w:cs="Times New Roman"/>
          <w:bCs/>
          <w:i/>
          <w:sz w:val="24"/>
          <w:szCs w:val="24"/>
        </w:rPr>
        <w:t>Regionaries</w:t>
      </w:r>
      <w:r w:rsidR="005A2527">
        <w:rPr>
          <w:rFonts w:cs="Times New Roman"/>
          <w:bCs/>
          <w:sz w:val="24"/>
          <w:szCs w:val="24"/>
        </w:rPr>
        <w:t xml:space="preserve">. </w:t>
      </w:r>
      <w:r w:rsidR="00DD5328">
        <w:rPr>
          <w:rFonts w:cs="Times New Roman"/>
          <w:bCs/>
          <w:i/>
          <w:sz w:val="24"/>
          <w:szCs w:val="24"/>
        </w:rPr>
        <w:t xml:space="preserve"> </w:t>
      </w:r>
      <w:r w:rsidR="005A2527">
        <w:rPr>
          <w:rFonts w:cs="Times New Roman"/>
          <w:bCs/>
          <w:sz w:val="24"/>
          <w:szCs w:val="24"/>
        </w:rPr>
        <w:t xml:space="preserve">However it would be a different </w:t>
      </w:r>
      <w:r w:rsidR="008B44B0">
        <w:rPr>
          <w:rFonts w:cs="Times New Roman"/>
          <w:bCs/>
          <w:sz w:val="24"/>
          <w:szCs w:val="24"/>
        </w:rPr>
        <w:t>Emperor</w:t>
      </w:r>
      <w:r w:rsidR="005A2527">
        <w:rPr>
          <w:rFonts w:cs="Times New Roman"/>
          <w:bCs/>
          <w:sz w:val="24"/>
          <w:szCs w:val="24"/>
        </w:rPr>
        <w:t>,</w:t>
      </w:r>
      <w:r w:rsidR="00DD5328">
        <w:rPr>
          <w:rFonts w:cs="Times New Roman"/>
          <w:bCs/>
          <w:sz w:val="24"/>
          <w:szCs w:val="24"/>
        </w:rPr>
        <w:t xml:space="preserve"> one with </w:t>
      </w:r>
      <w:r w:rsidR="005A2527">
        <w:rPr>
          <w:rFonts w:cs="Times New Roman"/>
          <w:bCs/>
          <w:sz w:val="24"/>
          <w:szCs w:val="24"/>
        </w:rPr>
        <w:t xml:space="preserve">the </w:t>
      </w:r>
      <w:r w:rsidR="00DD5328">
        <w:rPr>
          <w:rFonts w:cs="Times New Roman"/>
          <w:bCs/>
          <w:sz w:val="24"/>
          <w:szCs w:val="24"/>
        </w:rPr>
        <w:t>different prior</w:t>
      </w:r>
      <w:r w:rsidR="009A041F">
        <w:rPr>
          <w:rFonts w:cs="Times New Roman"/>
          <w:bCs/>
          <w:sz w:val="24"/>
          <w:szCs w:val="24"/>
        </w:rPr>
        <w:t xml:space="preserve">ities and needs which </w:t>
      </w:r>
      <w:r w:rsidR="005A2527">
        <w:rPr>
          <w:rFonts w:cs="Times New Roman"/>
          <w:bCs/>
          <w:sz w:val="24"/>
          <w:szCs w:val="24"/>
        </w:rPr>
        <w:t>would explain</w:t>
      </w:r>
      <w:r w:rsidR="009A041F">
        <w:rPr>
          <w:rFonts w:cs="Times New Roman"/>
          <w:bCs/>
          <w:sz w:val="24"/>
          <w:szCs w:val="24"/>
        </w:rPr>
        <w:t xml:space="preserve"> the significant differences</w:t>
      </w:r>
      <w:r w:rsidR="005A2527">
        <w:rPr>
          <w:rFonts w:cs="Times New Roman"/>
          <w:bCs/>
          <w:sz w:val="24"/>
          <w:szCs w:val="24"/>
        </w:rPr>
        <w:t xml:space="preserve"> in form and content</w:t>
      </w:r>
      <w:r w:rsidR="009A041F">
        <w:rPr>
          <w:rFonts w:cs="Times New Roman"/>
          <w:bCs/>
          <w:sz w:val="24"/>
          <w:szCs w:val="24"/>
        </w:rPr>
        <w:t xml:space="preserve"> between the two documents. </w:t>
      </w:r>
      <w:r w:rsidR="00AF3108">
        <w:rPr>
          <w:rFonts w:cs="Times New Roman"/>
          <w:bCs/>
          <w:sz w:val="24"/>
          <w:szCs w:val="24"/>
        </w:rPr>
        <w:t>He</w:t>
      </w:r>
      <w:r w:rsidR="00E756D7">
        <w:rPr>
          <w:rFonts w:cs="Times New Roman"/>
          <w:bCs/>
          <w:sz w:val="24"/>
          <w:szCs w:val="24"/>
        </w:rPr>
        <w:t xml:space="preserve"> would be a figure</w:t>
      </w:r>
      <w:r w:rsidR="00602500">
        <w:rPr>
          <w:rFonts w:cs="Times New Roman"/>
          <w:bCs/>
          <w:sz w:val="24"/>
          <w:szCs w:val="24"/>
        </w:rPr>
        <w:t xml:space="preserve"> who had</w:t>
      </w:r>
      <w:r w:rsidR="00C645A8" w:rsidRPr="00C645A8">
        <w:rPr>
          <w:rFonts w:cs="Times New Roman"/>
          <w:bCs/>
          <w:sz w:val="24"/>
          <w:szCs w:val="24"/>
        </w:rPr>
        <w:t xml:space="preserve"> </w:t>
      </w:r>
      <w:r w:rsidR="00C645A8">
        <w:rPr>
          <w:rFonts w:cs="Times New Roman"/>
          <w:bCs/>
          <w:sz w:val="24"/>
          <w:szCs w:val="24"/>
        </w:rPr>
        <w:t xml:space="preserve">seized the </w:t>
      </w:r>
      <w:r>
        <w:rPr>
          <w:rFonts w:cs="Times New Roman"/>
          <w:bCs/>
          <w:sz w:val="24"/>
          <w:szCs w:val="24"/>
        </w:rPr>
        <w:t>i</w:t>
      </w:r>
      <w:r w:rsidR="008B44B0">
        <w:rPr>
          <w:rFonts w:cs="Times New Roman"/>
          <w:bCs/>
          <w:sz w:val="24"/>
          <w:szCs w:val="24"/>
        </w:rPr>
        <w:t>mperial</w:t>
      </w:r>
      <w:r w:rsidR="00C645A8">
        <w:rPr>
          <w:rFonts w:cs="Times New Roman"/>
          <w:bCs/>
          <w:sz w:val="24"/>
          <w:szCs w:val="24"/>
        </w:rPr>
        <w:t xml:space="preserve"> Purple by force and then</w:t>
      </w:r>
      <w:r w:rsidR="00E756D7">
        <w:rPr>
          <w:rFonts w:cs="Times New Roman"/>
          <w:bCs/>
          <w:sz w:val="24"/>
          <w:szCs w:val="24"/>
        </w:rPr>
        <w:t xml:space="preserve"> </w:t>
      </w:r>
      <w:r w:rsidR="00AF3108">
        <w:rPr>
          <w:rFonts w:cs="Times New Roman"/>
          <w:bCs/>
          <w:sz w:val="24"/>
          <w:szCs w:val="24"/>
        </w:rPr>
        <w:t xml:space="preserve">gained control of </w:t>
      </w:r>
      <w:r w:rsidR="00E756D7">
        <w:rPr>
          <w:rFonts w:cs="Times New Roman"/>
          <w:bCs/>
          <w:sz w:val="24"/>
          <w:szCs w:val="24"/>
        </w:rPr>
        <w:t xml:space="preserve">the Empire </w:t>
      </w:r>
      <w:r w:rsidR="00C645A8">
        <w:rPr>
          <w:rFonts w:cs="Times New Roman"/>
          <w:bCs/>
          <w:sz w:val="24"/>
          <w:szCs w:val="24"/>
        </w:rPr>
        <w:t>(</w:t>
      </w:r>
      <w:r w:rsidR="00E756D7">
        <w:rPr>
          <w:rFonts w:cs="Times New Roman"/>
          <w:bCs/>
          <w:sz w:val="24"/>
          <w:szCs w:val="24"/>
        </w:rPr>
        <w:t>after a prolonged period of civil war</w:t>
      </w:r>
      <w:r w:rsidR="00C645A8">
        <w:rPr>
          <w:rFonts w:cs="Times New Roman"/>
          <w:bCs/>
          <w:sz w:val="24"/>
          <w:szCs w:val="24"/>
        </w:rPr>
        <w:t>)</w:t>
      </w:r>
      <w:r w:rsidR="00E756D7">
        <w:rPr>
          <w:rFonts w:cs="Times New Roman"/>
          <w:bCs/>
          <w:sz w:val="24"/>
          <w:szCs w:val="24"/>
        </w:rPr>
        <w:t xml:space="preserve">. </w:t>
      </w:r>
      <w:r w:rsidR="00E756D7">
        <w:rPr>
          <w:rFonts w:cs="Times New Roman"/>
          <w:bCs/>
          <w:sz w:val="24"/>
          <w:szCs w:val="24"/>
        </w:rPr>
        <w:lastRenderedPageBreak/>
        <w:t xml:space="preserve">More importantly both </w:t>
      </w:r>
      <w:r>
        <w:rPr>
          <w:rFonts w:cs="Times New Roman"/>
          <w:bCs/>
          <w:sz w:val="24"/>
          <w:szCs w:val="24"/>
        </w:rPr>
        <w:t>emperors</w:t>
      </w:r>
      <w:r w:rsidR="00E756D7">
        <w:rPr>
          <w:rFonts w:cs="Times New Roman"/>
          <w:bCs/>
          <w:sz w:val="24"/>
          <w:szCs w:val="24"/>
        </w:rPr>
        <w:t xml:space="preserve"> had to restore a Rome that</w:t>
      </w:r>
      <w:r w:rsidR="007C365A">
        <w:rPr>
          <w:rFonts w:cs="Times New Roman"/>
          <w:bCs/>
          <w:sz w:val="24"/>
          <w:szCs w:val="24"/>
        </w:rPr>
        <w:t>, on account of their upbringing and employment,</w:t>
      </w:r>
      <w:r w:rsidR="00E756D7">
        <w:rPr>
          <w:rFonts w:cs="Times New Roman"/>
          <w:bCs/>
          <w:sz w:val="24"/>
          <w:szCs w:val="24"/>
        </w:rPr>
        <w:t xml:space="preserve"> they had little connection or affection for, but one that they had to accord a certain level of importance by virtue of its history.</w:t>
      </w:r>
      <w:r w:rsidR="00E756D7">
        <w:rPr>
          <w:rStyle w:val="FootnoteReference"/>
          <w:rFonts w:cs="Times New Roman"/>
          <w:bCs/>
          <w:sz w:val="24"/>
          <w:szCs w:val="24"/>
        </w:rPr>
        <w:footnoteReference w:id="261"/>
      </w:r>
      <w:r w:rsidR="00E756D7">
        <w:rPr>
          <w:rFonts w:cs="Times New Roman"/>
          <w:bCs/>
          <w:sz w:val="24"/>
          <w:szCs w:val="24"/>
        </w:rPr>
        <w:t xml:space="preserve"> </w:t>
      </w:r>
    </w:p>
    <w:p w:rsidR="008A797A" w:rsidRPr="00B05459" w:rsidRDefault="00FB76CA" w:rsidP="00722391">
      <w:pPr>
        <w:tabs>
          <w:tab w:val="left" w:pos="0"/>
        </w:tabs>
        <w:spacing w:line="480" w:lineRule="auto"/>
        <w:jc w:val="both"/>
        <w:rPr>
          <w:rFonts w:cs="Times New Roman"/>
          <w:bCs/>
          <w:sz w:val="24"/>
          <w:szCs w:val="24"/>
        </w:rPr>
      </w:pPr>
      <w:r>
        <w:rPr>
          <w:rFonts w:cs="Times New Roman"/>
          <w:bCs/>
          <w:sz w:val="24"/>
          <w:szCs w:val="24"/>
        </w:rPr>
        <w:tab/>
      </w:r>
      <w:r w:rsidR="00E756D7">
        <w:rPr>
          <w:rFonts w:cs="Times New Roman"/>
          <w:bCs/>
          <w:sz w:val="24"/>
          <w:szCs w:val="24"/>
        </w:rPr>
        <w:t>Now this could possibly be applica</w:t>
      </w:r>
      <w:r w:rsidR="00AF3108">
        <w:rPr>
          <w:rFonts w:cs="Times New Roman"/>
          <w:bCs/>
          <w:sz w:val="24"/>
          <w:szCs w:val="24"/>
        </w:rPr>
        <w:t xml:space="preserve">ble to Aurelian, Diocletian or </w:t>
      </w:r>
      <w:r w:rsidR="00E756D7">
        <w:rPr>
          <w:rFonts w:cs="Times New Roman"/>
          <w:bCs/>
          <w:sz w:val="24"/>
          <w:szCs w:val="24"/>
        </w:rPr>
        <w:t>Constantine.</w:t>
      </w:r>
      <w:r w:rsidR="008A797A">
        <w:rPr>
          <w:rFonts w:cs="Times New Roman"/>
          <w:bCs/>
          <w:sz w:val="24"/>
          <w:szCs w:val="24"/>
        </w:rPr>
        <w:t xml:space="preserve"> </w:t>
      </w:r>
      <w:r w:rsidR="008A797A" w:rsidRPr="00573D98">
        <w:rPr>
          <w:sz w:val="24"/>
          <w:szCs w:val="24"/>
        </w:rPr>
        <w:t xml:space="preserve">Arvast Nordh concluded that the Marble Plan had formed the basis for the </w:t>
      </w:r>
      <w:r w:rsidR="008A797A" w:rsidRPr="00573D98">
        <w:rPr>
          <w:i/>
          <w:sz w:val="24"/>
          <w:szCs w:val="24"/>
        </w:rPr>
        <w:t>Curiosum</w:t>
      </w:r>
      <w:r w:rsidR="008A797A" w:rsidRPr="00573D98">
        <w:rPr>
          <w:sz w:val="24"/>
          <w:szCs w:val="24"/>
        </w:rPr>
        <w:t xml:space="preserve"> during the reign of Diocletian.</w:t>
      </w:r>
      <w:r w:rsidR="008A797A" w:rsidRPr="00573D98">
        <w:rPr>
          <w:rStyle w:val="FootnoteReference"/>
          <w:sz w:val="24"/>
          <w:szCs w:val="24"/>
        </w:rPr>
        <w:footnoteReference w:id="262"/>
      </w:r>
      <w:r w:rsidR="008A797A" w:rsidRPr="008A797A">
        <w:rPr>
          <w:sz w:val="24"/>
          <w:szCs w:val="24"/>
        </w:rPr>
        <w:t xml:space="preserve"> </w:t>
      </w:r>
      <w:r w:rsidR="008A797A">
        <w:rPr>
          <w:sz w:val="24"/>
          <w:szCs w:val="24"/>
        </w:rPr>
        <w:t>Most</w:t>
      </w:r>
      <w:r w:rsidR="008A797A" w:rsidRPr="00D023A7">
        <w:rPr>
          <w:sz w:val="24"/>
          <w:szCs w:val="24"/>
        </w:rPr>
        <w:t xml:space="preserve"> approaches to the </w:t>
      </w:r>
      <w:r w:rsidR="008A797A" w:rsidRPr="00D023A7">
        <w:rPr>
          <w:i/>
          <w:sz w:val="24"/>
          <w:szCs w:val="24"/>
        </w:rPr>
        <w:t>Regionary Catalogues</w:t>
      </w:r>
      <w:r w:rsidR="008A797A" w:rsidRPr="00D023A7">
        <w:rPr>
          <w:sz w:val="24"/>
          <w:szCs w:val="24"/>
        </w:rPr>
        <w:t xml:space="preserve"> have dated the earliest parts of the </w:t>
      </w:r>
      <w:r w:rsidR="008A797A" w:rsidRPr="00D023A7">
        <w:rPr>
          <w:i/>
          <w:sz w:val="24"/>
          <w:szCs w:val="24"/>
        </w:rPr>
        <w:t>Regionaries</w:t>
      </w:r>
      <w:r w:rsidR="008A797A" w:rsidRPr="00D023A7">
        <w:rPr>
          <w:sz w:val="24"/>
          <w:szCs w:val="24"/>
        </w:rPr>
        <w:t xml:space="preserve"> to AD 312/313 on the basis of the presence of the Praetorian Guard Camp and the Equestrian Statue of Constantine.</w:t>
      </w:r>
      <w:r w:rsidR="008A797A" w:rsidRPr="00D023A7">
        <w:rPr>
          <w:rStyle w:val="FootnoteReference"/>
          <w:sz w:val="24"/>
          <w:szCs w:val="24"/>
        </w:rPr>
        <w:footnoteReference w:id="263"/>
      </w:r>
      <w:r w:rsidR="008A797A" w:rsidRPr="00D023A7">
        <w:rPr>
          <w:sz w:val="24"/>
          <w:szCs w:val="24"/>
        </w:rPr>
        <w:t xml:space="preserve"> </w:t>
      </w:r>
      <w:r w:rsidR="00E756D7">
        <w:rPr>
          <w:rFonts w:cs="Times New Roman"/>
          <w:bCs/>
          <w:sz w:val="24"/>
          <w:szCs w:val="24"/>
        </w:rPr>
        <w:t xml:space="preserve"> However the lack of the Aurelian Wall in the </w:t>
      </w:r>
      <w:r w:rsidR="00E756D7">
        <w:rPr>
          <w:rFonts w:cs="Times New Roman"/>
          <w:bCs/>
          <w:i/>
          <w:sz w:val="24"/>
          <w:szCs w:val="24"/>
        </w:rPr>
        <w:t>Regionaries</w:t>
      </w:r>
      <w:r w:rsidR="00E756D7">
        <w:rPr>
          <w:rFonts w:cs="Times New Roman"/>
          <w:bCs/>
          <w:sz w:val="24"/>
          <w:szCs w:val="24"/>
        </w:rPr>
        <w:t xml:space="preserve"> and the</w:t>
      </w:r>
      <w:r w:rsidR="00EF3B18">
        <w:rPr>
          <w:rFonts w:cs="Times New Roman"/>
          <w:bCs/>
          <w:sz w:val="24"/>
          <w:szCs w:val="24"/>
        </w:rPr>
        <w:t xml:space="preserve"> catalogues</w:t>
      </w:r>
      <w:r w:rsidR="00E756D7">
        <w:rPr>
          <w:rFonts w:cs="Times New Roman"/>
          <w:bCs/>
          <w:sz w:val="24"/>
          <w:szCs w:val="24"/>
        </w:rPr>
        <w:t xml:space="preserve"> also </w:t>
      </w:r>
      <w:r w:rsidR="00902636">
        <w:rPr>
          <w:rFonts w:cs="Times New Roman"/>
          <w:bCs/>
          <w:sz w:val="24"/>
          <w:szCs w:val="24"/>
        </w:rPr>
        <w:t>possessing</w:t>
      </w:r>
      <w:r w:rsidR="00E756D7">
        <w:rPr>
          <w:rFonts w:cs="Times New Roman"/>
          <w:bCs/>
          <w:sz w:val="24"/>
          <w:szCs w:val="24"/>
        </w:rPr>
        <w:t xml:space="preserve"> the first recorded appearance of the Temple of the Sun and</w:t>
      </w:r>
      <w:r w:rsidR="008A797A">
        <w:rPr>
          <w:rFonts w:cs="Times New Roman"/>
          <w:bCs/>
          <w:sz w:val="24"/>
          <w:szCs w:val="24"/>
        </w:rPr>
        <w:t xml:space="preserve"> its</w:t>
      </w:r>
      <w:r w:rsidR="00E756D7">
        <w:rPr>
          <w:rFonts w:cs="Times New Roman"/>
          <w:bCs/>
          <w:sz w:val="24"/>
          <w:szCs w:val="24"/>
        </w:rPr>
        <w:t xml:space="preserve"> attached Urban Cohort barracks which were a result of Aurelian’s urban reforms</w:t>
      </w:r>
      <w:r w:rsidR="008A797A">
        <w:rPr>
          <w:rFonts w:cs="Times New Roman"/>
          <w:bCs/>
          <w:sz w:val="24"/>
          <w:szCs w:val="24"/>
        </w:rPr>
        <w:t>, suggests an earlier date</w:t>
      </w:r>
      <w:r w:rsidR="00E756D7">
        <w:rPr>
          <w:rFonts w:cs="Times New Roman"/>
          <w:bCs/>
          <w:sz w:val="24"/>
          <w:szCs w:val="24"/>
        </w:rPr>
        <w:t xml:space="preserve">. </w:t>
      </w:r>
      <w:r w:rsidR="008A797A">
        <w:rPr>
          <w:rFonts w:cs="Times New Roman"/>
          <w:bCs/>
          <w:sz w:val="24"/>
          <w:szCs w:val="24"/>
        </w:rPr>
        <w:t>Furthermore Septimius</w:t>
      </w:r>
      <w:r w:rsidR="00E756D7">
        <w:rPr>
          <w:rFonts w:cs="Times New Roman"/>
          <w:bCs/>
          <w:sz w:val="24"/>
          <w:szCs w:val="24"/>
        </w:rPr>
        <w:t xml:space="preserve"> Severus and Aurelian had both increased the powers and duties of the Urban Prefect, whilst Diocletian and Constantine both weakened the office.</w:t>
      </w:r>
      <w:r w:rsidR="00E756D7">
        <w:rPr>
          <w:rStyle w:val="FootnoteReference"/>
          <w:rFonts w:cs="Times New Roman"/>
          <w:bCs/>
          <w:sz w:val="24"/>
          <w:szCs w:val="24"/>
        </w:rPr>
        <w:footnoteReference w:id="264"/>
      </w:r>
      <w:r w:rsidR="00E756D7">
        <w:rPr>
          <w:rFonts w:cs="Times New Roman"/>
          <w:bCs/>
          <w:sz w:val="24"/>
          <w:szCs w:val="24"/>
        </w:rPr>
        <w:t xml:space="preserve"> In particular Diocletian reduced the number of troops in the city below the numbers recorded in the </w:t>
      </w:r>
      <w:r w:rsidR="00E756D7">
        <w:rPr>
          <w:rFonts w:cs="Times New Roman"/>
          <w:bCs/>
          <w:i/>
          <w:sz w:val="24"/>
          <w:szCs w:val="24"/>
        </w:rPr>
        <w:t>Regionaries</w:t>
      </w:r>
      <w:r w:rsidR="00E756D7">
        <w:rPr>
          <w:rFonts w:cs="Times New Roman"/>
          <w:bCs/>
          <w:sz w:val="24"/>
          <w:szCs w:val="24"/>
        </w:rPr>
        <w:t xml:space="preserve"> </w:t>
      </w:r>
      <w:r w:rsidR="00AF3108">
        <w:rPr>
          <w:rFonts w:cs="Times New Roman"/>
          <w:bCs/>
          <w:sz w:val="24"/>
          <w:szCs w:val="24"/>
        </w:rPr>
        <w:t>and Constantine removed them al</w:t>
      </w:r>
      <w:r w:rsidR="00E756D7">
        <w:rPr>
          <w:rFonts w:cs="Times New Roman"/>
          <w:bCs/>
          <w:sz w:val="24"/>
          <w:szCs w:val="24"/>
        </w:rPr>
        <w:t xml:space="preserve">together, </w:t>
      </w:r>
      <w:r w:rsidR="008A797A">
        <w:rPr>
          <w:rFonts w:cs="Times New Roman"/>
          <w:bCs/>
          <w:sz w:val="24"/>
          <w:szCs w:val="24"/>
        </w:rPr>
        <w:t>whereas Septimius</w:t>
      </w:r>
      <w:r w:rsidR="00E756D7">
        <w:rPr>
          <w:rFonts w:cs="Times New Roman"/>
          <w:bCs/>
          <w:sz w:val="24"/>
          <w:szCs w:val="24"/>
        </w:rPr>
        <w:t xml:space="preserve"> Severus and Aurelian had both stationed troops within the city.</w:t>
      </w:r>
      <w:r w:rsidR="00E756D7">
        <w:rPr>
          <w:rStyle w:val="FootnoteReference"/>
          <w:rFonts w:cs="Times New Roman"/>
          <w:bCs/>
          <w:sz w:val="24"/>
          <w:szCs w:val="24"/>
        </w:rPr>
        <w:footnoteReference w:id="265"/>
      </w:r>
      <w:r w:rsidR="008A797A" w:rsidRPr="008A797A">
        <w:rPr>
          <w:sz w:val="24"/>
          <w:szCs w:val="24"/>
        </w:rPr>
        <w:t xml:space="preserve"> </w:t>
      </w:r>
      <w:r w:rsidR="008A797A" w:rsidRPr="00573D98">
        <w:rPr>
          <w:sz w:val="24"/>
          <w:szCs w:val="24"/>
        </w:rPr>
        <w:t>Aurelian was anothe</w:t>
      </w:r>
      <w:r w:rsidR="00AF3108">
        <w:rPr>
          <w:sz w:val="24"/>
          <w:szCs w:val="24"/>
        </w:rPr>
        <w:t xml:space="preserve">r </w:t>
      </w:r>
      <w:r w:rsidR="0087599E">
        <w:rPr>
          <w:sz w:val="24"/>
          <w:szCs w:val="24"/>
        </w:rPr>
        <w:t>e</w:t>
      </w:r>
      <w:r w:rsidR="008B44B0">
        <w:rPr>
          <w:sz w:val="24"/>
          <w:szCs w:val="24"/>
        </w:rPr>
        <w:t>mperor</w:t>
      </w:r>
      <w:r w:rsidR="00AF3108">
        <w:rPr>
          <w:sz w:val="24"/>
          <w:szCs w:val="24"/>
        </w:rPr>
        <w:t xml:space="preserve"> who required his “Roman</w:t>
      </w:r>
      <w:r w:rsidR="008A797A" w:rsidRPr="00573D98">
        <w:rPr>
          <w:sz w:val="24"/>
          <w:szCs w:val="24"/>
        </w:rPr>
        <w:t>” affairs settled so he could focus on the wider issues of the Empire</w:t>
      </w:r>
      <w:r w:rsidR="008F494F">
        <w:rPr>
          <w:sz w:val="24"/>
          <w:szCs w:val="24"/>
        </w:rPr>
        <w:t xml:space="preserve"> (in particular the Palmyrene Queen Zenobia)</w:t>
      </w:r>
      <w:r w:rsidR="008A797A" w:rsidRPr="00573D98">
        <w:rPr>
          <w:sz w:val="24"/>
          <w:szCs w:val="24"/>
        </w:rPr>
        <w:t xml:space="preserve"> and would also need to entrust</w:t>
      </w:r>
      <w:r w:rsidR="00AF3108">
        <w:rPr>
          <w:sz w:val="24"/>
          <w:szCs w:val="24"/>
        </w:rPr>
        <w:t xml:space="preserve"> </w:t>
      </w:r>
      <w:r w:rsidR="008A797A" w:rsidRPr="00573D98">
        <w:rPr>
          <w:sz w:val="24"/>
          <w:szCs w:val="24"/>
        </w:rPr>
        <w:t>the enactm</w:t>
      </w:r>
      <w:r w:rsidR="0087599E">
        <w:rPr>
          <w:sz w:val="24"/>
          <w:szCs w:val="24"/>
        </w:rPr>
        <w:t>ent of his reforms to reliable s</w:t>
      </w:r>
      <w:r w:rsidR="008A797A" w:rsidRPr="00573D98">
        <w:rPr>
          <w:sz w:val="24"/>
          <w:szCs w:val="24"/>
        </w:rPr>
        <w:t xml:space="preserve">enators. The </w:t>
      </w:r>
      <w:r w:rsidR="008A797A" w:rsidRPr="00573D98">
        <w:rPr>
          <w:i/>
          <w:sz w:val="24"/>
          <w:szCs w:val="24"/>
        </w:rPr>
        <w:t>Chronicle of the City of Rome</w:t>
      </w:r>
      <w:r w:rsidR="008A797A" w:rsidRPr="00573D98">
        <w:rPr>
          <w:sz w:val="24"/>
          <w:szCs w:val="24"/>
        </w:rPr>
        <w:t xml:space="preserve"> from the</w:t>
      </w:r>
      <w:r w:rsidR="008A797A" w:rsidRPr="00573D98">
        <w:rPr>
          <w:i/>
          <w:sz w:val="24"/>
          <w:szCs w:val="24"/>
        </w:rPr>
        <w:t xml:space="preserve"> 354 Codex-Calendar</w:t>
      </w:r>
      <w:r w:rsidR="008A797A" w:rsidRPr="00573D98">
        <w:rPr>
          <w:sz w:val="24"/>
          <w:szCs w:val="24"/>
        </w:rPr>
        <w:t xml:space="preserve"> in fact states that</w:t>
      </w:r>
      <w:r w:rsidR="008A797A">
        <w:rPr>
          <w:sz w:val="24"/>
          <w:szCs w:val="24"/>
        </w:rPr>
        <w:t xml:space="preserve"> several</w:t>
      </w:r>
      <w:r w:rsidR="008A797A" w:rsidRPr="00573D98">
        <w:rPr>
          <w:sz w:val="24"/>
          <w:szCs w:val="24"/>
        </w:rPr>
        <w:t xml:space="preserve"> portions of the city </w:t>
      </w:r>
      <w:r w:rsidR="00AF3108">
        <w:rPr>
          <w:sz w:val="24"/>
          <w:szCs w:val="24"/>
        </w:rPr>
        <w:t>which had been</w:t>
      </w:r>
      <w:r w:rsidR="008A797A" w:rsidRPr="00573D98">
        <w:rPr>
          <w:sz w:val="24"/>
          <w:szCs w:val="24"/>
        </w:rPr>
        <w:t xml:space="preserve"> burnt and destroyed during the </w:t>
      </w:r>
      <w:r w:rsidR="00AF3108">
        <w:rPr>
          <w:sz w:val="24"/>
          <w:szCs w:val="24"/>
        </w:rPr>
        <w:t xml:space="preserve">third century were </w:t>
      </w:r>
      <w:r w:rsidR="00AF3108">
        <w:rPr>
          <w:sz w:val="24"/>
          <w:szCs w:val="24"/>
        </w:rPr>
        <w:lastRenderedPageBreak/>
        <w:t>repaired and</w:t>
      </w:r>
      <w:r w:rsidR="008A797A">
        <w:rPr>
          <w:sz w:val="24"/>
          <w:szCs w:val="24"/>
        </w:rPr>
        <w:t xml:space="preserve"> then </w:t>
      </w:r>
      <w:r w:rsidR="008A797A" w:rsidRPr="00573D98">
        <w:rPr>
          <w:sz w:val="24"/>
          <w:szCs w:val="24"/>
        </w:rPr>
        <w:t>rebuilt by Aurelian as part of his extensive building program.</w:t>
      </w:r>
      <w:r w:rsidR="008A797A" w:rsidRPr="00573D98">
        <w:rPr>
          <w:rStyle w:val="FootnoteReference"/>
          <w:sz w:val="24"/>
          <w:szCs w:val="24"/>
        </w:rPr>
        <w:footnoteReference w:id="266"/>
      </w:r>
      <w:r w:rsidR="00E756D7">
        <w:rPr>
          <w:rFonts w:cs="Times New Roman"/>
          <w:bCs/>
          <w:sz w:val="24"/>
          <w:szCs w:val="24"/>
        </w:rPr>
        <w:t xml:space="preserve"> Given that both the </w:t>
      </w:r>
      <w:r w:rsidR="00E756D7">
        <w:rPr>
          <w:rFonts w:cs="Times New Roman"/>
          <w:bCs/>
          <w:i/>
          <w:sz w:val="24"/>
          <w:szCs w:val="24"/>
        </w:rPr>
        <w:t>Regionaries</w:t>
      </w:r>
      <w:r w:rsidR="00E756D7">
        <w:rPr>
          <w:rFonts w:cs="Times New Roman"/>
          <w:bCs/>
          <w:sz w:val="24"/>
          <w:szCs w:val="24"/>
        </w:rPr>
        <w:t xml:space="preserve"> and the Marble Plan possess a connection to the office of the Urban Prefect and that Aurelian pione</w:t>
      </w:r>
      <w:r w:rsidR="00DD5328">
        <w:rPr>
          <w:rFonts w:cs="Times New Roman"/>
          <w:bCs/>
          <w:sz w:val="24"/>
          <w:szCs w:val="24"/>
        </w:rPr>
        <w:t xml:space="preserve">ered many of the urban reforms </w:t>
      </w:r>
      <w:r w:rsidR="00E756D7">
        <w:rPr>
          <w:rFonts w:cs="Times New Roman"/>
          <w:bCs/>
          <w:sz w:val="24"/>
          <w:szCs w:val="24"/>
        </w:rPr>
        <w:t xml:space="preserve">Diocletian is credited with, Aurelian seems the more likely candidate under whom the </w:t>
      </w:r>
      <w:r w:rsidR="00E756D7">
        <w:rPr>
          <w:rFonts w:cs="Times New Roman"/>
          <w:bCs/>
          <w:i/>
          <w:sz w:val="24"/>
          <w:szCs w:val="24"/>
        </w:rPr>
        <w:t>proto-Regionaries</w:t>
      </w:r>
      <w:r w:rsidR="00E756D7">
        <w:rPr>
          <w:rFonts w:cs="Times New Roman"/>
          <w:bCs/>
          <w:sz w:val="24"/>
          <w:szCs w:val="24"/>
        </w:rPr>
        <w:t xml:space="preserve"> were </w:t>
      </w:r>
      <w:r w:rsidR="00E756D7" w:rsidRPr="00B05459">
        <w:rPr>
          <w:rFonts w:cs="Times New Roman"/>
          <w:bCs/>
          <w:sz w:val="24"/>
          <w:szCs w:val="24"/>
        </w:rPr>
        <w:t xml:space="preserve">authored. </w:t>
      </w:r>
      <w:r w:rsidR="008A797A" w:rsidRPr="00B05459">
        <w:rPr>
          <w:rFonts w:cs="Times New Roman"/>
          <w:bCs/>
          <w:sz w:val="24"/>
          <w:szCs w:val="24"/>
        </w:rPr>
        <w:t xml:space="preserve"> </w:t>
      </w:r>
    </w:p>
    <w:p w:rsidR="00E756D7" w:rsidRDefault="008A797A" w:rsidP="00722391">
      <w:pPr>
        <w:tabs>
          <w:tab w:val="left" w:pos="0"/>
        </w:tabs>
        <w:spacing w:line="480" w:lineRule="auto"/>
        <w:jc w:val="both"/>
        <w:rPr>
          <w:sz w:val="24"/>
          <w:szCs w:val="24"/>
        </w:rPr>
      </w:pPr>
      <w:r>
        <w:rPr>
          <w:sz w:val="24"/>
          <w:szCs w:val="24"/>
        </w:rPr>
        <w:tab/>
      </w:r>
      <w:r w:rsidR="00E756D7">
        <w:rPr>
          <w:sz w:val="24"/>
          <w:szCs w:val="24"/>
        </w:rPr>
        <w:t xml:space="preserve">By cross-referencing the </w:t>
      </w:r>
      <w:r w:rsidR="00E756D7">
        <w:rPr>
          <w:i/>
          <w:sz w:val="24"/>
          <w:szCs w:val="24"/>
        </w:rPr>
        <w:t>Regionaries</w:t>
      </w:r>
      <w:r w:rsidR="00E756D7">
        <w:rPr>
          <w:sz w:val="24"/>
          <w:szCs w:val="24"/>
        </w:rPr>
        <w:t xml:space="preserve"> with the Severan Marble Plan, we have</w:t>
      </w:r>
      <w:r w:rsidR="00B003FC">
        <w:rPr>
          <w:sz w:val="24"/>
          <w:szCs w:val="24"/>
        </w:rPr>
        <w:t xml:space="preserve"> had</w:t>
      </w:r>
      <w:r w:rsidR="00E756D7">
        <w:rPr>
          <w:sz w:val="24"/>
          <w:szCs w:val="24"/>
        </w:rPr>
        <w:t xml:space="preserve"> our greatest chance at accurately relating the </w:t>
      </w:r>
      <w:r w:rsidR="00E756D7">
        <w:rPr>
          <w:i/>
          <w:sz w:val="24"/>
          <w:szCs w:val="24"/>
        </w:rPr>
        <w:t>Regionaries</w:t>
      </w:r>
      <w:r w:rsidR="00E756D7">
        <w:rPr>
          <w:sz w:val="24"/>
          <w:szCs w:val="24"/>
        </w:rPr>
        <w:t xml:space="preserve"> to the material context of the city. In doing</w:t>
      </w:r>
      <w:r w:rsidR="00AF3108">
        <w:rPr>
          <w:sz w:val="24"/>
          <w:szCs w:val="24"/>
        </w:rPr>
        <w:t xml:space="preserve"> so,</w:t>
      </w:r>
      <w:r w:rsidR="00B05459">
        <w:rPr>
          <w:sz w:val="24"/>
          <w:szCs w:val="24"/>
        </w:rPr>
        <w:t xml:space="preserve"> we will also reinforce my</w:t>
      </w:r>
      <w:r w:rsidR="00B003FC">
        <w:rPr>
          <w:sz w:val="24"/>
          <w:szCs w:val="24"/>
        </w:rPr>
        <w:t xml:space="preserve"> hypothesis for</w:t>
      </w:r>
      <w:r w:rsidR="00AF3108">
        <w:rPr>
          <w:sz w:val="24"/>
          <w:szCs w:val="24"/>
        </w:rPr>
        <w:t xml:space="preserve"> a</w:t>
      </w:r>
      <w:r w:rsidR="00E756D7">
        <w:rPr>
          <w:sz w:val="24"/>
          <w:szCs w:val="24"/>
        </w:rPr>
        <w:t xml:space="preserve"> production context of the </w:t>
      </w:r>
      <w:r w:rsidR="00E756D7">
        <w:rPr>
          <w:i/>
          <w:sz w:val="24"/>
          <w:szCs w:val="24"/>
        </w:rPr>
        <w:t>proto-Regionaries</w:t>
      </w:r>
      <w:r w:rsidR="00E756D7">
        <w:rPr>
          <w:sz w:val="24"/>
          <w:szCs w:val="24"/>
        </w:rPr>
        <w:t xml:space="preserve"> at the outset of Aurelian’s reign by demonstrating its similarities with the Severan Marble Plan and </w:t>
      </w:r>
      <w:r>
        <w:rPr>
          <w:sz w:val="24"/>
          <w:szCs w:val="24"/>
        </w:rPr>
        <w:t>Septimius</w:t>
      </w:r>
      <w:r w:rsidR="00E756D7">
        <w:rPr>
          <w:sz w:val="24"/>
          <w:szCs w:val="24"/>
        </w:rPr>
        <w:t xml:space="preserve"> Severus’ own large-scale building and construction projects. </w:t>
      </w:r>
      <w:r w:rsidRPr="00573D98">
        <w:rPr>
          <w:sz w:val="24"/>
          <w:szCs w:val="24"/>
        </w:rPr>
        <w:t xml:space="preserve">I would argue that the initial layer of the </w:t>
      </w:r>
      <w:r w:rsidRPr="00573D98">
        <w:rPr>
          <w:i/>
          <w:sz w:val="24"/>
          <w:szCs w:val="24"/>
        </w:rPr>
        <w:t xml:space="preserve">Regionary Catalogues </w:t>
      </w:r>
      <w:r w:rsidRPr="00573D98">
        <w:rPr>
          <w:sz w:val="24"/>
          <w:szCs w:val="24"/>
        </w:rPr>
        <w:t xml:space="preserve">actually corresponds to the city of Rome’s administration at the time of the construction of the Aurelian Wall and the accompanying urban reforms (270-275) during the </w:t>
      </w:r>
      <w:r w:rsidR="00AF3108">
        <w:rPr>
          <w:sz w:val="24"/>
          <w:szCs w:val="24"/>
        </w:rPr>
        <w:t>period of office of</w:t>
      </w:r>
      <w:r w:rsidRPr="00573D98">
        <w:rPr>
          <w:sz w:val="24"/>
          <w:szCs w:val="24"/>
        </w:rPr>
        <w:t xml:space="preserve"> Aurelian’s most trusted Roman administrators, the Urban Prefect Flavius Antiochanus and his immediate successors.</w:t>
      </w:r>
      <w:r>
        <w:rPr>
          <w:sz w:val="24"/>
          <w:szCs w:val="24"/>
        </w:rPr>
        <w:t xml:space="preserve"> </w:t>
      </w:r>
      <w:r w:rsidRPr="00E04E86">
        <w:rPr>
          <w:sz w:val="24"/>
          <w:szCs w:val="24"/>
        </w:rPr>
        <w:t xml:space="preserve">This can be seen as several buildings which first appear in the </w:t>
      </w:r>
      <w:r w:rsidRPr="00E04E86">
        <w:rPr>
          <w:i/>
          <w:sz w:val="24"/>
          <w:szCs w:val="24"/>
        </w:rPr>
        <w:t xml:space="preserve">Regionary Catalogues </w:t>
      </w:r>
      <w:r w:rsidRPr="00E04E86">
        <w:rPr>
          <w:sz w:val="24"/>
          <w:szCs w:val="24"/>
        </w:rPr>
        <w:t>and its statistics only makes sense in the context of Aurelian’s administrative reforms. As we have previously discussed</w:t>
      </w:r>
      <w:r w:rsidR="00AF3108">
        <w:rPr>
          <w:sz w:val="24"/>
          <w:szCs w:val="24"/>
        </w:rPr>
        <w:t>, the Aurelian Wall is</w:t>
      </w:r>
      <w:r w:rsidRPr="00E04E86">
        <w:rPr>
          <w:sz w:val="24"/>
          <w:szCs w:val="24"/>
        </w:rPr>
        <w:t xml:space="preserve"> completely absent from the </w:t>
      </w:r>
      <w:r w:rsidRPr="00E04E86">
        <w:rPr>
          <w:i/>
          <w:sz w:val="24"/>
          <w:szCs w:val="24"/>
        </w:rPr>
        <w:t>Regionaries</w:t>
      </w:r>
      <w:r w:rsidRPr="00E04E86">
        <w:rPr>
          <w:sz w:val="24"/>
          <w:szCs w:val="24"/>
        </w:rPr>
        <w:t xml:space="preserve"> which would suggest that the document was written before or during the construction of the Walls. Due to Aurelian’s prolonged absences during these events, he would have had t</w:t>
      </w:r>
      <w:r w:rsidR="00AF3108">
        <w:rPr>
          <w:sz w:val="24"/>
          <w:szCs w:val="24"/>
        </w:rPr>
        <w:t>o have entrusted someone else with</w:t>
      </w:r>
      <w:r w:rsidRPr="00E04E86">
        <w:rPr>
          <w:sz w:val="24"/>
          <w:szCs w:val="24"/>
        </w:rPr>
        <w:t xml:space="preserve"> enact</w:t>
      </w:r>
      <w:r w:rsidR="00AF3108">
        <w:rPr>
          <w:sz w:val="24"/>
          <w:szCs w:val="24"/>
        </w:rPr>
        <w:t>ing</w:t>
      </w:r>
      <w:r w:rsidRPr="00E04E86">
        <w:rPr>
          <w:sz w:val="24"/>
          <w:szCs w:val="24"/>
        </w:rPr>
        <w:t xml:space="preserve"> his reforms. Prosopographical studies show that Aurelian had a circle of trusted local </w:t>
      </w:r>
      <w:r w:rsidR="0087599E">
        <w:rPr>
          <w:sz w:val="24"/>
          <w:szCs w:val="24"/>
        </w:rPr>
        <w:t>s</w:t>
      </w:r>
      <w:r w:rsidR="008B44B0">
        <w:rPr>
          <w:sz w:val="24"/>
          <w:szCs w:val="24"/>
        </w:rPr>
        <w:t>enatorial</w:t>
      </w:r>
      <w:r w:rsidRPr="00E04E86">
        <w:rPr>
          <w:sz w:val="24"/>
          <w:szCs w:val="24"/>
        </w:rPr>
        <w:t xml:space="preserve"> office-</w:t>
      </w:r>
      <w:r w:rsidRPr="00E04E86">
        <w:rPr>
          <w:sz w:val="24"/>
          <w:szCs w:val="24"/>
        </w:rPr>
        <w:lastRenderedPageBreak/>
        <w:t>holders who</w:t>
      </w:r>
      <w:r w:rsidR="002F60DA">
        <w:rPr>
          <w:sz w:val="24"/>
          <w:szCs w:val="24"/>
        </w:rPr>
        <w:t xml:space="preserve"> served as the city’s </w:t>
      </w:r>
      <w:r w:rsidR="008B44B0">
        <w:rPr>
          <w:sz w:val="24"/>
          <w:szCs w:val="24"/>
        </w:rPr>
        <w:t>imperial</w:t>
      </w:r>
      <w:r w:rsidR="002F60DA">
        <w:rPr>
          <w:sz w:val="24"/>
          <w:szCs w:val="24"/>
        </w:rPr>
        <w:t xml:space="preserve"> administrators</w:t>
      </w:r>
      <w:r w:rsidRPr="00E04E86">
        <w:rPr>
          <w:sz w:val="24"/>
          <w:szCs w:val="24"/>
        </w:rPr>
        <w:t xml:space="preserve"> and are therefore the likely commissioners of a document in this style.</w:t>
      </w:r>
    </w:p>
    <w:p w:rsidR="00787554" w:rsidRDefault="00787554" w:rsidP="00787554">
      <w:pPr>
        <w:spacing w:line="480" w:lineRule="auto"/>
        <w:ind w:firstLine="720"/>
        <w:jc w:val="both"/>
        <w:rPr>
          <w:sz w:val="24"/>
          <w:szCs w:val="24"/>
        </w:rPr>
      </w:pPr>
      <w:r w:rsidRPr="00E50CE3">
        <w:rPr>
          <w:sz w:val="24"/>
          <w:szCs w:val="24"/>
        </w:rPr>
        <w:t>The seeming muddle of the administrative information and the apparent absence of one of Rome’s most significant tradi</w:t>
      </w:r>
      <w:r w:rsidR="00AF3108">
        <w:rPr>
          <w:sz w:val="24"/>
          <w:szCs w:val="24"/>
        </w:rPr>
        <w:t>tional boundaries and construction projects</w:t>
      </w:r>
      <w:r w:rsidRPr="00E50CE3">
        <w:rPr>
          <w:sz w:val="24"/>
          <w:szCs w:val="24"/>
        </w:rPr>
        <w:t xml:space="preserve"> (the </w:t>
      </w:r>
      <w:r w:rsidRPr="00E50CE3">
        <w:rPr>
          <w:i/>
          <w:sz w:val="24"/>
          <w:szCs w:val="24"/>
        </w:rPr>
        <w:t>Pomerium</w:t>
      </w:r>
      <w:r w:rsidRPr="00E50CE3">
        <w:rPr>
          <w:sz w:val="24"/>
          <w:szCs w:val="24"/>
        </w:rPr>
        <w:t xml:space="preserve"> and Aurelian Wall respectively)</w:t>
      </w:r>
      <w:r w:rsidR="00AF3108">
        <w:rPr>
          <w:sz w:val="24"/>
          <w:szCs w:val="24"/>
        </w:rPr>
        <w:t xml:space="preserve"> suggest,</w:t>
      </w:r>
      <w:r w:rsidRPr="00E50CE3">
        <w:rPr>
          <w:sz w:val="24"/>
          <w:szCs w:val="24"/>
        </w:rPr>
        <w:t xml:space="preserve"> I believe</w:t>
      </w:r>
      <w:r w:rsidR="00AF3108">
        <w:rPr>
          <w:sz w:val="24"/>
          <w:szCs w:val="24"/>
        </w:rPr>
        <w:t>,</w:t>
      </w:r>
      <w:r w:rsidRPr="00E50CE3">
        <w:rPr>
          <w:sz w:val="24"/>
          <w:szCs w:val="24"/>
        </w:rPr>
        <w:t xml:space="preserve"> </w:t>
      </w:r>
      <w:r w:rsidR="00AF3108">
        <w:rPr>
          <w:sz w:val="24"/>
          <w:szCs w:val="24"/>
        </w:rPr>
        <w:t>a</w:t>
      </w:r>
      <w:r w:rsidR="00B003FC">
        <w:rPr>
          <w:sz w:val="24"/>
          <w:szCs w:val="24"/>
        </w:rPr>
        <w:t xml:space="preserve"> production context for </w:t>
      </w:r>
      <w:r w:rsidR="005A2527">
        <w:rPr>
          <w:sz w:val="24"/>
          <w:szCs w:val="24"/>
        </w:rPr>
        <w:t xml:space="preserve">the proto-Regionaries </w:t>
      </w:r>
      <w:r w:rsidR="00B003FC">
        <w:rPr>
          <w:sz w:val="24"/>
          <w:szCs w:val="24"/>
        </w:rPr>
        <w:t>belonging to the period of</w:t>
      </w:r>
      <w:r w:rsidR="005A2527">
        <w:rPr>
          <w:sz w:val="24"/>
          <w:szCs w:val="24"/>
        </w:rPr>
        <w:t xml:space="preserve"> </w:t>
      </w:r>
      <w:r w:rsidRPr="00E50CE3">
        <w:rPr>
          <w:sz w:val="24"/>
          <w:szCs w:val="24"/>
        </w:rPr>
        <w:t xml:space="preserve">Aurelian’s urban reforms AD 271-275. The Aurelian Wall’s absence from the </w:t>
      </w:r>
      <w:r w:rsidRPr="00E50CE3">
        <w:rPr>
          <w:i/>
          <w:sz w:val="24"/>
          <w:szCs w:val="24"/>
        </w:rPr>
        <w:t>Regionaries</w:t>
      </w:r>
      <w:r w:rsidRPr="00E50CE3">
        <w:rPr>
          <w:sz w:val="24"/>
          <w:szCs w:val="24"/>
        </w:rPr>
        <w:t xml:space="preserve"> is significant and I think it is more </w:t>
      </w:r>
      <w:r w:rsidR="00AF3108">
        <w:rPr>
          <w:sz w:val="24"/>
          <w:szCs w:val="24"/>
        </w:rPr>
        <w:t>lik</w:t>
      </w:r>
      <w:r w:rsidRPr="00E50CE3">
        <w:rPr>
          <w:sz w:val="24"/>
          <w:szCs w:val="24"/>
        </w:rPr>
        <w:t>e</w:t>
      </w:r>
      <w:r w:rsidR="00AF3108">
        <w:rPr>
          <w:sz w:val="24"/>
          <w:szCs w:val="24"/>
        </w:rPr>
        <w:t>ly</w:t>
      </w:r>
      <w:r w:rsidRPr="00E50CE3">
        <w:rPr>
          <w:sz w:val="24"/>
          <w:szCs w:val="24"/>
        </w:rPr>
        <w:t xml:space="preserve"> that the Wall did not exist at the time of production rather than</w:t>
      </w:r>
      <w:r w:rsidR="00AF3108">
        <w:rPr>
          <w:sz w:val="24"/>
          <w:szCs w:val="24"/>
        </w:rPr>
        <w:t xml:space="preserve"> that</w:t>
      </w:r>
      <w:r w:rsidRPr="00E50CE3">
        <w:rPr>
          <w:sz w:val="24"/>
          <w:szCs w:val="24"/>
        </w:rPr>
        <w:t xml:space="preserve"> it was simply left out given its importance to Rome and its administration. </w:t>
      </w:r>
    </w:p>
    <w:p w:rsidR="002F60DA" w:rsidRDefault="002F60DA" w:rsidP="00787554">
      <w:pPr>
        <w:spacing w:line="480" w:lineRule="auto"/>
        <w:ind w:firstLine="720"/>
        <w:jc w:val="both"/>
        <w:rPr>
          <w:sz w:val="24"/>
          <w:szCs w:val="24"/>
        </w:rPr>
      </w:pPr>
    </w:p>
    <w:p w:rsidR="008A797A" w:rsidRDefault="008A797A" w:rsidP="00722391">
      <w:pPr>
        <w:spacing w:line="480" w:lineRule="auto"/>
        <w:jc w:val="both"/>
        <w:rPr>
          <w:sz w:val="24"/>
          <w:szCs w:val="24"/>
          <w:u w:val="single"/>
        </w:rPr>
      </w:pPr>
      <w:r w:rsidRPr="00E04E86">
        <w:rPr>
          <w:sz w:val="24"/>
          <w:szCs w:val="24"/>
          <w:u w:val="single"/>
        </w:rPr>
        <w:t>Aurelian’s Engagement with the City of Rome:</w:t>
      </w:r>
    </w:p>
    <w:p w:rsidR="00B003FC" w:rsidRPr="00E04E86" w:rsidRDefault="00B003FC" w:rsidP="00722391">
      <w:pPr>
        <w:spacing w:line="480" w:lineRule="auto"/>
        <w:jc w:val="both"/>
        <w:rPr>
          <w:sz w:val="24"/>
          <w:szCs w:val="24"/>
        </w:rPr>
      </w:pPr>
    </w:p>
    <w:p w:rsidR="00323C86" w:rsidRPr="00BF285B" w:rsidRDefault="005A2527" w:rsidP="00323C86">
      <w:pPr>
        <w:spacing w:line="480" w:lineRule="auto"/>
        <w:jc w:val="both"/>
        <w:rPr>
          <w:sz w:val="24"/>
          <w:szCs w:val="24"/>
        </w:rPr>
      </w:pPr>
      <w:r>
        <w:rPr>
          <w:sz w:val="24"/>
          <w:szCs w:val="24"/>
        </w:rPr>
        <w:t xml:space="preserve">Whilst we have </w:t>
      </w:r>
      <w:r w:rsidR="0049637A">
        <w:rPr>
          <w:sz w:val="24"/>
          <w:szCs w:val="24"/>
        </w:rPr>
        <w:t>too</w:t>
      </w:r>
      <w:r>
        <w:rPr>
          <w:sz w:val="24"/>
          <w:szCs w:val="24"/>
        </w:rPr>
        <w:t xml:space="preserve"> little information to definitively prove Aurelian’s involvement with the </w:t>
      </w:r>
      <w:r>
        <w:rPr>
          <w:i/>
          <w:sz w:val="24"/>
          <w:szCs w:val="24"/>
        </w:rPr>
        <w:t>Regionaries</w:t>
      </w:r>
      <w:r>
        <w:rPr>
          <w:sz w:val="24"/>
          <w:szCs w:val="24"/>
        </w:rPr>
        <w:t>, we can make so cautionary conclusions about how t</w:t>
      </w:r>
      <w:r w:rsidR="00323C86">
        <w:rPr>
          <w:sz w:val="24"/>
          <w:szCs w:val="24"/>
        </w:rPr>
        <w:t xml:space="preserve">he manner and causes of Aurelian’s engagement with the City of Rome </w:t>
      </w:r>
      <w:r>
        <w:rPr>
          <w:sz w:val="24"/>
          <w:szCs w:val="24"/>
        </w:rPr>
        <w:t>seem</w:t>
      </w:r>
      <w:r w:rsidR="001E6F4E">
        <w:rPr>
          <w:sz w:val="24"/>
          <w:szCs w:val="24"/>
        </w:rPr>
        <w:t>ed</w:t>
      </w:r>
      <w:r>
        <w:rPr>
          <w:sz w:val="24"/>
          <w:szCs w:val="24"/>
        </w:rPr>
        <w:t xml:space="preserve"> to have served</w:t>
      </w:r>
      <w:r w:rsidR="00E549C1">
        <w:rPr>
          <w:sz w:val="24"/>
          <w:szCs w:val="24"/>
        </w:rPr>
        <w:t xml:space="preserve"> as</w:t>
      </w:r>
      <w:r w:rsidR="00323C86">
        <w:rPr>
          <w:sz w:val="24"/>
          <w:szCs w:val="24"/>
        </w:rPr>
        <w:t xml:space="preserve"> the main driver behind the </w:t>
      </w:r>
      <w:r w:rsidR="00323C86">
        <w:rPr>
          <w:i/>
          <w:sz w:val="24"/>
          <w:szCs w:val="24"/>
        </w:rPr>
        <w:t>Regionary Catalogues</w:t>
      </w:r>
      <w:r w:rsidR="00323C86">
        <w:rPr>
          <w:sz w:val="24"/>
          <w:szCs w:val="24"/>
        </w:rPr>
        <w:t xml:space="preserve"> creation and the manner of their creation</w:t>
      </w:r>
      <w:r w:rsidR="002F60DA">
        <w:rPr>
          <w:sz w:val="24"/>
          <w:szCs w:val="24"/>
        </w:rPr>
        <w:t xml:space="preserve">. </w:t>
      </w:r>
      <w:r>
        <w:rPr>
          <w:sz w:val="24"/>
          <w:szCs w:val="24"/>
        </w:rPr>
        <w:t>I</w:t>
      </w:r>
      <w:r w:rsidR="00F3516D">
        <w:rPr>
          <w:sz w:val="24"/>
          <w:szCs w:val="24"/>
        </w:rPr>
        <w:t>n</w:t>
      </w:r>
      <w:r>
        <w:rPr>
          <w:sz w:val="24"/>
          <w:szCs w:val="24"/>
        </w:rPr>
        <w:t xml:space="preserve"> order to</w:t>
      </w:r>
      <w:r w:rsidR="00F3516D">
        <w:rPr>
          <w:sz w:val="24"/>
          <w:szCs w:val="24"/>
        </w:rPr>
        <w:t xml:space="preserve"> </w:t>
      </w:r>
      <w:r>
        <w:rPr>
          <w:sz w:val="24"/>
          <w:szCs w:val="24"/>
        </w:rPr>
        <w:t>t</w:t>
      </w:r>
      <w:r w:rsidR="001E6F4E">
        <w:rPr>
          <w:sz w:val="24"/>
          <w:szCs w:val="24"/>
        </w:rPr>
        <w:t>est this</w:t>
      </w:r>
      <w:r>
        <w:rPr>
          <w:sz w:val="24"/>
          <w:szCs w:val="24"/>
        </w:rPr>
        <w:t xml:space="preserve"> hypothesis</w:t>
      </w:r>
      <w:r w:rsidR="00F3516D">
        <w:rPr>
          <w:sz w:val="24"/>
          <w:szCs w:val="24"/>
        </w:rPr>
        <w:t>, we must explore first explore the nature and causes of the administrative reforms.</w:t>
      </w:r>
      <w:r w:rsidR="006C07CC" w:rsidRPr="006C07CC">
        <w:rPr>
          <w:sz w:val="24"/>
          <w:szCs w:val="24"/>
        </w:rPr>
        <w:t xml:space="preserve"> </w:t>
      </w:r>
      <w:r w:rsidR="006C07CC" w:rsidRPr="00B00D34">
        <w:rPr>
          <w:sz w:val="24"/>
          <w:szCs w:val="24"/>
        </w:rPr>
        <w:t>After some background on Aurelian’s engagement with the city of Rome</w:t>
      </w:r>
      <w:r w:rsidR="006C07CC">
        <w:rPr>
          <w:sz w:val="24"/>
          <w:szCs w:val="24"/>
        </w:rPr>
        <w:t>,</w:t>
      </w:r>
      <w:r w:rsidR="006C07CC" w:rsidRPr="00B00D34">
        <w:rPr>
          <w:sz w:val="24"/>
          <w:szCs w:val="24"/>
        </w:rPr>
        <w:t xml:space="preserve"> I will turn to a detailed analysis of the </w:t>
      </w:r>
      <w:r w:rsidR="00BF285B">
        <w:rPr>
          <w:i/>
          <w:sz w:val="24"/>
          <w:szCs w:val="24"/>
        </w:rPr>
        <w:t>Regionari</w:t>
      </w:r>
      <w:r w:rsidR="006C07CC" w:rsidRPr="00B00D34">
        <w:rPr>
          <w:i/>
          <w:sz w:val="24"/>
          <w:szCs w:val="24"/>
        </w:rPr>
        <w:t>e</w:t>
      </w:r>
      <w:r w:rsidR="00BF285B">
        <w:rPr>
          <w:i/>
          <w:sz w:val="24"/>
          <w:szCs w:val="24"/>
        </w:rPr>
        <w:t>s</w:t>
      </w:r>
      <w:r w:rsidR="006C07CC" w:rsidRPr="00B00D34">
        <w:rPr>
          <w:sz w:val="24"/>
          <w:szCs w:val="24"/>
        </w:rPr>
        <w:t xml:space="preserve"> through a series of case studies</w:t>
      </w:r>
      <w:r w:rsidR="006C07CC">
        <w:rPr>
          <w:sz w:val="24"/>
          <w:szCs w:val="24"/>
        </w:rPr>
        <w:t xml:space="preserve"> that focus on the areas of the food supply and law and order. These two areas are the core duties of the Urban Prefecture </w:t>
      </w:r>
      <w:r w:rsidR="00BF285B">
        <w:rPr>
          <w:sz w:val="24"/>
          <w:szCs w:val="24"/>
        </w:rPr>
        <w:t xml:space="preserve">and as such if the </w:t>
      </w:r>
      <w:r w:rsidR="00BF285B">
        <w:rPr>
          <w:i/>
          <w:sz w:val="24"/>
          <w:szCs w:val="24"/>
        </w:rPr>
        <w:t xml:space="preserve">Regionaries </w:t>
      </w:r>
      <w:r w:rsidR="00E9665F">
        <w:rPr>
          <w:sz w:val="24"/>
          <w:szCs w:val="24"/>
        </w:rPr>
        <w:t>are a production of the Urban Prefect, then we will see a certain level of concern with these areas.</w:t>
      </w:r>
    </w:p>
    <w:p w:rsidR="008A797A" w:rsidRPr="004D7E6B" w:rsidRDefault="008A797A" w:rsidP="00722391">
      <w:pPr>
        <w:spacing w:line="480" w:lineRule="auto"/>
        <w:ind w:firstLine="720"/>
        <w:jc w:val="both"/>
        <w:rPr>
          <w:color w:val="FF0000"/>
          <w:sz w:val="24"/>
          <w:szCs w:val="24"/>
        </w:rPr>
      </w:pPr>
      <w:r w:rsidRPr="00E04E86">
        <w:rPr>
          <w:sz w:val="24"/>
          <w:szCs w:val="24"/>
        </w:rPr>
        <w:lastRenderedPageBreak/>
        <w:t xml:space="preserve">Almost immediately after the start of his reign, Aurelian was forced to repel an invasion </w:t>
      </w:r>
      <w:r w:rsidR="00AF3108">
        <w:rPr>
          <w:sz w:val="24"/>
          <w:szCs w:val="24"/>
        </w:rPr>
        <w:t>of Juthungi and Vandals</w:t>
      </w:r>
      <w:r w:rsidRPr="00E04E86">
        <w:rPr>
          <w:sz w:val="24"/>
          <w:szCs w:val="24"/>
        </w:rPr>
        <w:t xml:space="preserve">, but </w:t>
      </w:r>
      <w:r w:rsidR="00AF3108">
        <w:rPr>
          <w:sz w:val="24"/>
          <w:szCs w:val="24"/>
        </w:rPr>
        <w:t>w</w:t>
      </w:r>
      <w:r w:rsidRPr="00E04E86">
        <w:rPr>
          <w:sz w:val="24"/>
          <w:szCs w:val="24"/>
        </w:rPr>
        <w:t>as not able to do so before the barbarians had penetrated into northern Italy.</w:t>
      </w:r>
      <w:r w:rsidRPr="00E04E86">
        <w:rPr>
          <w:rStyle w:val="FootnoteReference"/>
          <w:sz w:val="24"/>
          <w:szCs w:val="24"/>
        </w:rPr>
        <w:footnoteReference w:id="267"/>
      </w:r>
      <w:r w:rsidR="00787554">
        <w:rPr>
          <w:sz w:val="24"/>
          <w:szCs w:val="24"/>
        </w:rPr>
        <w:t xml:space="preserve"> In contrast Septimius Severus had marched on Rome after defeating rival claimants</w:t>
      </w:r>
      <w:r w:rsidR="00AF3108">
        <w:rPr>
          <w:sz w:val="24"/>
          <w:szCs w:val="24"/>
        </w:rPr>
        <w:t xml:space="preserve"> to the </w:t>
      </w:r>
      <w:r w:rsidR="0087599E">
        <w:rPr>
          <w:sz w:val="24"/>
          <w:szCs w:val="24"/>
        </w:rPr>
        <w:t>e</w:t>
      </w:r>
      <w:r w:rsidR="008B44B0">
        <w:rPr>
          <w:sz w:val="24"/>
          <w:szCs w:val="24"/>
        </w:rPr>
        <w:t>mperor</w:t>
      </w:r>
      <w:r w:rsidR="00AF3108">
        <w:rPr>
          <w:sz w:val="24"/>
          <w:szCs w:val="24"/>
        </w:rPr>
        <w:t>. Nonetheless,</w:t>
      </w:r>
      <w:r w:rsidR="008F494F">
        <w:rPr>
          <w:sz w:val="24"/>
          <w:szCs w:val="24"/>
        </w:rPr>
        <w:t xml:space="preserve"> b</w:t>
      </w:r>
      <w:r w:rsidR="00787554">
        <w:rPr>
          <w:sz w:val="24"/>
          <w:szCs w:val="24"/>
        </w:rPr>
        <w:t xml:space="preserve">oth </w:t>
      </w:r>
      <w:r w:rsidR="0087599E">
        <w:rPr>
          <w:sz w:val="24"/>
          <w:szCs w:val="24"/>
        </w:rPr>
        <w:t>emperors</w:t>
      </w:r>
      <w:r w:rsidR="00787554">
        <w:rPr>
          <w:sz w:val="24"/>
          <w:szCs w:val="24"/>
        </w:rPr>
        <w:t xml:space="preserve"> had the problem of reassuring a frightened populace in light of a substantial and threating military presence.</w:t>
      </w:r>
      <w:r w:rsidRPr="00E04E86">
        <w:rPr>
          <w:sz w:val="24"/>
          <w:szCs w:val="24"/>
        </w:rPr>
        <w:t xml:space="preserve"> In order to reassure the population of Rome (and warn them about the extent of his power) Aurelian ordered the construction of a massive 19km circuit of walls to surround the city</w:t>
      </w:r>
      <w:r>
        <w:rPr>
          <w:sz w:val="24"/>
          <w:szCs w:val="24"/>
        </w:rPr>
        <w:t>.</w:t>
      </w:r>
      <w:r w:rsidRPr="00E04E86">
        <w:rPr>
          <w:rStyle w:val="FootnoteReference"/>
          <w:sz w:val="24"/>
          <w:szCs w:val="24"/>
        </w:rPr>
        <w:footnoteReference w:id="268"/>
      </w:r>
      <w:r w:rsidRPr="008A797A">
        <w:rPr>
          <w:sz w:val="24"/>
          <w:szCs w:val="24"/>
        </w:rPr>
        <w:t xml:space="preserve"> </w:t>
      </w:r>
      <w:r w:rsidRPr="00E04E86">
        <w:rPr>
          <w:sz w:val="24"/>
          <w:szCs w:val="24"/>
        </w:rPr>
        <w:t>A redefinition of the city of Rome</w:t>
      </w:r>
      <w:r>
        <w:rPr>
          <w:sz w:val="24"/>
          <w:szCs w:val="24"/>
        </w:rPr>
        <w:t xml:space="preserve"> would have had to</w:t>
      </w:r>
      <w:r w:rsidRPr="00E04E86">
        <w:rPr>
          <w:sz w:val="24"/>
          <w:szCs w:val="24"/>
        </w:rPr>
        <w:t xml:space="preserve"> </w:t>
      </w:r>
      <w:r w:rsidR="00787554" w:rsidRPr="00E04E86">
        <w:rPr>
          <w:sz w:val="24"/>
          <w:szCs w:val="24"/>
        </w:rPr>
        <w:t>accompany</w:t>
      </w:r>
      <w:r w:rsidRPr="00E04E86">
        <w:rPr>
          <w:sz w:val="24"/>
          <w:szCs w:val="24"/>
        </w:rPr>
        <w:t xml:space="preserve"> </w:t>
      </w:r>
      <w:r>
        <w:rPr>
          <w:sz w:val="24"/>
          <w:szCs w:val="24"/>
        </w:rPr>
        <w:t>this</w:t>
      </w:r>
      <w:r w:rsidRPr="00E04E86">
        <w:rPr>
          <w:sz w:val="24"/>
          <w:szCs w:val="24"/>
        </w:rPr>
        <w:t>, not just in terms of its topography but also in terms of how the city was</w:t>
      </w:r>
      <w:r>
        <w:rPr>
          <w:sz w:val="24"/>
          <w:szCs w:val="24"/>
        </w:rPr>
        <w:t xml:space="preserve"> managed</w:t>
      </w:r>
      <w:r w:rsidRPr="00E04E86">
        <w:rPr>
          <w:sz w:val="24"/>
          <w:szCs w:val="24"/>
        </w:rPr>
        <w:t>. Tactical efficacy may have been the necessary pretext for the wall, although this is subject to debate, but its construction required the topographical and administrative restructuring of the urban landscape.</w:t>
      </w:r>
      <w:r w:rsidRPr="00E04E86">
        <w:rPr>
          <w:rStyle w:val="FootnoteReference"/>
          <w:sz w:val="24"/>
          <w:szCs w:val="24"/>
        </w:rPr>
        <w:footnoteReference w:id="269"/>
      </w:r>
      <w:r w:rsidR="004D7E6B">
        <w:rPr>
          <w:sz w:val="24"/>
          <w:szCs w:val="24"/>
        </w:rPr>
        <w:t xml:space="preserve"> </w:t>
      </w:r>
      <w:r w:rsidR="004D7E6B" w:rsidRPr="004D566B">
        <w:rPr>
          <w:sz w:val="24"/>
          <w:szCs w:val="24"/>
        </w:rPr>
        <w:t>The Wall’s construction was</w:t>
      </w:r>
      <w:r w:rsidR="004D7E6B">
        <w:rPr>
          <w:sz w:val="24"/>
          <w:szCs w:val="24"/>
        </w:rPr>
        <w:t xml:space="preserve"> therefore</w:t>
      </w:r>
      <w:r w:rsidR="004D7E6B" w:rsidRPr="004D566B">
        <w:rPr>
          <w:sz w:val="24"/>
          <w:szCs w:val="24"/>
        </w:rPr>
        <w:t xml:space="preserve"> contemporaneous with the City’s largest program</w:t>
      </w:r>
      <w:r w:rsidR="00AF3108">
        <w:rPr>
          <w:sz w:val="24"/>
          <w:szCs w:val="24"/>
        </w:rPr>
        <w:t>me</w:t>
      </w:r>
      <w:r w:rsidR="004D7E6B" w:rsidRPr="004D566B">
        <w:rPr>
          <w:sz w:val="24"/>
          <w:szCs w:val="24"/>
        </w:rPr>
        <w:t xml:space="preserve"> of administrative reforms until the reign of Constantine.</w:t>
      </w:r>
      <w:r w:rsidR="004D7E6B" w:rsidRPr="004D566B">
        <w:rPr>
          <w:rStyle w:val="FootnoteReference"/>
          <w:sz w:val="24"/>
          <w:szCs w:val="24"/>
        </w:rPr>
        <w:footnoteReference w:id="270"/>
      </w:r>
      <w:r w:rsidR="004D7E6B" w:rsidRPr="004D566B">
        <w:rPr>
          <w:sz w:val="24"/>
          <w:szCs w:val="24"/>
        </w:rPr>
        <w:t xml:space="preserve"> </w:t>
      </w:r>
    </w:p>
    <w:p w:rsidR="004D7E6B" w:rsidRDefault="008A797A" w:rsidP="004F6B0E">
      <w:pPr>
        <w:spacing w:line="480" w:lineRule="auto"/>
        <w:ind w:firstLine="720"/>
        <w:jc w:val="both"/>
        <w:rPr>
          <w:sz w:val="24"/>
          <w:szCs w:val="24"/>
        </w:rPr>
      </w:pPr>
      <w:r w:rsidRPr="00E04E86">
        <w:rPr>
          <w:sz w:val="24"/>
          <w:szCs w:val="24"/>
        </w:rPr>
        <w:t xml:space="preserve"> As a result of this, Aurelian</w:t>
      </w:r>
      <w:r w:rsidR="004F6B0E">
        <w:rPr>
          <w:sz w:val="24"/>
          <w:szCs w:val="24"/>
        </w:rPr>
        <w:t>, like Severus,</w:t>
      </w:r>
      <w:r w:rsidRPr="00E04E86">
        <w:rPr>
          <w:sz w:val="24"/>
          <w:szCs w:val="24"/>
        </w:rPr>
        <w:t xml:space="preserve"> made substantial changes to the </w:t>
      </w:r>
      <w:r w:rsidRPr="00E04E86">
        <w:rPr>
          <w:i/>
          <w:sz w:val="24"/>
          <w:szCs w:val="24"/>
        </w:rPr>
        <w:t>annona</w:t>
      </w:r>
      <w:r w:rsidR="001E6F4E">
        <w:rPr>
          <w:i/>
          <w:sz w:val="24"/>
          <w:szCs w:val="24"/>
        </w:rPr>
        <w:t>e</w:t>
      </w:r>
      <w:r w:rsidRPr="00E04E86">
        <w:rPr>
          <w:sz w:val="24"/>
          <w:szCs w:val="24"/>
        </w:rPr>
        <w:t xml:space="preserve">, the subsidised food supply of Rome. Most notably was his introduction of a free pork ration and subsidised wine. His administrative reforms also included a reform of the free bread ration from the distribution of grain to a ration of baked </w:t>
      </w:r>
      <w:r w:rsidR="00966CD0" w:rsidRPr="00E04E86">
        <w:rPr>
          <w:sz w:val="24"/>
          <w:szCs w:val="24"/>
        </w:rPr>
        <w:t>bread</w:t>
      </w:r>
      <w:r w:rsidR="00966CD0">
        <w:rPr>
          <w:sz w:val="24"/>
          <w:szCs w:val="24"/>
        </w:rPr>
        <w:t xml:space="preserve">. </w:t>
      </w:r>
      <w:r w:rsidR="00105B2D">
        <w:rPr>
          <w:sz w:val="24"/>
          <w:szCs w:val="24"/>
        </w:rPr>
        <w:t xml:space="preserve">His </w:t>
      </w:r>
      <w:r w:rsidR="006674B8">
        <w:rPr>
          <w:sz w:val="24"/>
          <w:szCs w:val="24"/>
        </w:rPr>
        <w:t xml:space="preserve">Temple of Sol served as one of the many </w:t>
      </w:r>
      <w:r w:rsidR="006674B8">
        <w:rPr>
          <w:i/>
          <w:sz w:val="24"/>
          <w:szCs w:val="24"/>
        </w:rPr>
        <w:t>gradus</w:t>
      </w:r>
      <w:r w:rsidR="0085288B">
        <w:rPr>
          <w:sz w:val="24"/>
          <w:szCs w:val="24"/>
        </w:rPr>
        <w:t xml:space="preserve"> scattered across the city</w:t>
      </w:r>
      <w:r w:rsidR="006674B8">
        <w:rPr>
          <w:sz w:val="24"/>
          <w:szCs w:val="24"/>
        </w:rPr>
        <w:t xml:space="preserve">, </w:t>
      </w:r>
      <w:r w:rsidR="003636F2">
        <w:rPr>
          <w:sz w:val="24"/>
          <w:szCs w:val="24"/>
        </w:rPr>
        <w:t xml:space="preserve">stepped buildings from which people could collect (and observed the collection) of their portion of the </w:t>
      </w:r>
      <w:r w:rsidR="003636F2">
        <w:rPr>
          <w:i/>
          <w:sz w:val="24"/>
          <w:szCs w:val="24"/>
        </w:rPr>
        <w:t>annona</w:t>
      </w:r>
      <w:r w:rsidR="00966CD0">
        <w:rPr>
          <w:sz w:val="24"/>
          <w:szCs w:val="24"/>
        </w:rPr>
        <w:t>.</w:t>
      </w:r>
      <w:r w:rsidR="003636F2">
        <w:rPr>
          <w:rStyle w:val="FootnoteReference"/>
          <w:sz w:val="24"/>
          <w:szCs w:val="24"/>
        </w:rPr>
        <w:footnoteReference w:id="271"/>
      </w:r>
      <w:r w:rsidRPr="00E04E86">
        <w:rPr>
          <w:sz w:val="24"/>
          <w:szCs w:val="24"/>
        </w:rPr>
        <w:t xml:space="preserve"> </w:t>
      </w:r>
      <w:r w:rsidR="00966CD0">
        <w:rPr>
          <w:sz w:val="24"/>
          <w:szCs w:val="24"/>
        </w:rPr>
        <w:t xml:space="preserve">He also </w:t>
      </w:r>
      <w:r w:rsidR="00966CD0">
        <w:rPr>
          <w:sz w:val="24"/>
          <w:szCs w:val="24"/>
        </w:rPr>
        <w:lastRenderedPageBreak/>
        <w:t>enacted a</w:t>
      </w:r>
      <w:r w:rsidRPr="00E04E86">
        <w:rPr>
          <w:sz w:val="24"/>
          <w:szCs w:val="24"/>
        </w:rPr>
        <w:t xml:space="preserve"> reform of the olive oil ration which was distributed from the </w:t>
      </w:r>
      <w:r w:rsidRPr="00E04E86">
        <w:rPr>
          <w:i/>
          <w:sz w:val="24"/>
          <w:szCs w:val="24"/>
        </w:rPr>
        <w:t>mens</w:t>
      </w:r>
      <w:r w:rsidR="00AF3108">
        <w:rPr>
          <w:i/>
          <w:sz w:val="24"/>
          <w:szCs w:val="24"/>
        </w:rPr>
        <w:t>a</w:t>
      </w:r>
      <w:r w:rsidRPr="00E04E86">
        <w:rPr>
          <w:i/>
          <w:sz w:val="24"/>
          <w:szCs w:val="24"/>
        </w:rPr>
        <w:t xml:space="preserve">e </w:t>
      </w:r>
      <w:r w:rsidR="0049637A" w:rsidRPr="00E04E86">
        <w:rPr>
          <w:i/>
          <w:sz w:val="24"/>
          <w:szCs w:val="24"/>
        </w:rPr>
        <w:t>oleriae</w:t>
      </w:r>
      <w:r w:rsidR="00AF3108">
        <w:rPr>
          <w:sz w:val="24"/>
          <w:szCs w:val="24"/>
        </w:rPr>
        <w:t xml:space="preserve"> (state olive oil shops)</w:t>
      </w:r>
      <w:r w:rsidR="00C722EF">
        <w:rPr>
          <w:sz w:val="24"/>
          <w:szCs w:val="24"/>
        </w:rPr>
        <w:t>,</w:t>
      </w:r>
      <w:r w:rsidR="00AF3108">
        <w:rPr>
          <w:sz w:val="24"/>
          <w:szCs w:val="24"/>
        </w:rPr>
        <w:t xml:space="preserve"> which </w:t>
      </w:r>
      <w:r w:rsidRPr="00E04E86">
        <w:rPr>
          <w:sz w:val="24"/>
          <w:szCs w:val="24"/>
        </w:rPr>
        <w:t xml:space="preserve">are listed in the appendices of the </w:t>
      </w:r>
      <w:r w:rsidRPr="00E04E86">
        <w:rPr>
          <w:i/>
          <w:sz w:val="24"/>
          <w:szCs w:val="24"/>
        </w:rPr>
        <w:t>Regionary Catalogues</w:t>
      </w:r>
      <w:r w:rsidRPr="00E04E86">
        <w:rPr>
          <w:sz w:val="24"/>
          <w:szCs w:val="24"/>
        </w:rPr>
        <w:t>.</w:t>
      </w:r>
      <w:r w:rsidRPr="00E04E86">
        <w:rPr>
          <w:rStyle w:val="FootnoteReference"/>
          <w:sz w:val="24"/>
          <w:szCs w:val="24"/>
        </w:rPr>
        <w:footnoteReference w:id="272"/>
      </w:r>
      <w:r w:rsidR="001E6F4E">
        <w:rPr>
          <w:sz w:val="24"/>
          <w:szCs w:val="24"/>
        </w:rPr>
        <w:t xml:space="preserve"> </w:t>
      </w:r>
      <w:r w:rsidRPr="00E04E86">
        <w:rPr>
          <w:sz w:val="24"/>
          <w:szCs w:val="24"/>
        </w:rPr>
        <w:t xml:space="preserve"> </w:t>
      </w:r>
      <w:r w:rsidR="004F6B0E">
        <w:rPr>
          <w:sz w:val="24"/>
          <w:szCs w:val="24"/>
        </w:rPr>
        <w:tab/>
      </w:r>
    </w:p>
    <w:p w:rsidR="008A797A" w:rsidRPr="008A797A" w:rsidRDefault="00AF3108" w:rsidP="004F6B0E">
      <w:pPr>
        <w:spacing w:line="480" w:lineRule="auto"/>
        <w:ind w:firstLine="720"/>
        <w:jc w:val="both"/>
        <w:rPr>
          <w:sz w:val="24"/>
          <w:szCs w:val="24"/>
        </w:rPr>
      </w:pPr>
      <w:r>
        <w:rPr>
          <w:sz w:val="24"/>
          <w:szCs w:val="24"/>
        </w:rPr>
        <w:t xml:space="preserve">It cannot be over-stressed how important </w:t>
      </w:r>
      <w:r w:rsidR="008A797A" w:rsidRPr="008A797A">
        <w:rPr>
          <w:sz w:val="24"/>
          <w:szCs w:val="24"/>
        </w:rPr>
        <w:t>the food supply</w:t>
      </w:r>
      <w:r>
        <w:rPr>
          <w:sz w:val="24"/>
          <w:szCs w:val="24"/>
        </w:rPr>
        <w:t xml:space="preserve"> was</w:t>
      </w:r>
      <w:r w:rsidR="008A797A" w:rsidRPr="008A797A">
        <w:rPr>
          <w:sz w:val="24"/>
          <w:szCs w:val="24"/>
        </w:rPr>
        <w:t xml:space="preserve"> to the city of Rome and how much of a concern it was to the</w:t>
      </w:r>
      <w:r w:rsidR="004D7E6B">
        <w:rPr>
          <w:sz w:val="24"/>
          <w:szCs w:val="24"/>
        </w:rPr>
        <w:t xml:space="preserve"> </w:t>
      </w:r>
      <w:r w:rsidR="0087599E">
        <w:rPr>
          <w:sz w:val="24"/>
          <w:szCs w:val="24"/>
        </w:rPr>
        <w:t>emperors</w:t>
      </w:r>
      <w:r w:rsidR="004D7E6B">
        <w:rPr>
          <w:sz w:val="24"/>
          <w:szCs w:val="24"/>
        </w:rPr>
        <w:t xml:space="preserve"> and their</w:t>
      </w:r>
      <w:r w:rsidR="008A797A" w:rsidRPr="008A797A">
        <w:rPr>
          <w:sz w:val="24"/>
          <w:szCs w:val="24"/>
        </w:rPr>
        <w:t xml:space="preserve"> Urban Prefects. At the mere prospect of a grain shortage </w:t>
      </w:r>
      <w:r w:rsidR="008F494F">
        <w:rPr>
          <w:sz w:val="24"/>
          <w:szCs w:val="24"/>
        </w:rPr>
        <w:t>in AD 360, an angry mob marched</w:t>
      </w:r>
      <w:r w:rsidR="008A797A" w:rsidRPr="008A797A">
        <w:rPr>
          <w:sz w:val="24"/>
          <w:szCs w:val="24"/>
        </w:rPr>
        <w:t xml:space="preserve"> to the Urban Prefect’s Tertullus’s house and he only narrowly avoided death by presenting his two baby sons to the mercy of the people.</w:t>
      </w:r>
      <w:r w:rsidR="008A797A" w:rsidRPr="008A797A">
        <w:rPr>
          <w:rStyle w:val="FootnoteReference"/>
          <w:sz w:val="24"/>
          <w:szCs w:val="24"/>
        </w:rPr>
        <w:footnoteReference w:id="273"/>
      </w:r>
      <w:r w:rsidR="008A797A" w:rsidRPr="008A797A">
        <w:rPr>
          <w:sz w:val="24"/>
          <w:szCs w:val="24"/>
        </w:rPr>
        <w:t xml:space="preserve"> However the statistics and buildings concerned with food supply in the </w:t>
      </w:r>
      <w:r w:rsidR="008A797A" w:rsidRPr="008A797A">
        <w:rPr>
          <w:i/>
          <w:sz w:val="24"/>
          <w:szCs w:val="24"/>
        </w:rPr>
        <w:t>Regionary Catalogues</w:t>
      </w:r>
      <w:r w:rsidR="008A797A" w:rsidRPr="008A797A">
        <w:rPr>
          <w:sz w:val="24"/>
          <w:szCs w:val="24"/>
        </w:rPr>
        <w:t xml:space="preserve"> do not make sense outside </w:t>
      </w:r>
      <w:r>
        <w:rPr>
          <w:sz w:val="24"/>
          <w:szCs w:val="24"/>
        </w:rPr>
        <w:t>of the third-</w:t>
      </w:r>
      <w:r w:rsidR="008A797A" w:rsidRPr="008A797A">
        <w:rPr>
          <w:sz w:val="24"/>
          <w:szCs w:val="24"/>
        </w:rPr>
        <w:t xml:space="preserve">century context of Aurelian’s reforms. These reforms, whilst not novel, greatly added to the administrative burden and jurisdiction of the Urban Prefect. Whilst he nominally had the assistance of the Prefect of the </w:t>
      </w:r>
      <w:r w:rsidR="006F23C4">
        <w:rPr>
          <w:i/>
          <w:sz w:val="24"/>
          <w:szCs w:val="24"/>
        </w:rPr>
        <w:t>Annona</w:t>
      </w:r>
      <w:r w:rsidR="008A797A" w:rsidRPr="008A797A">
        <w:rPr>
          <w:sz w:val="24"/>
          <w:szCs w:val="24"/>
        </w:rPr>
        <w:t xml:space="preserve"> to aid him, it was not until the reign of Constan</w:t>
      </w:r>
      <w:r>
        <w:rPr>
          <w:sz w:val="24"/>
          <w:szCs w:val="24"/>
        </w:rPr>
        <w:t xml:space="preserve">tine that the Prefect of the </w:t>
      </w:r>
      <w:r w:rsidRPr="00B003FC">
        <w:rPr>
          <w:i/>
          <w:sz w:val="24"/>
          <w:szCs w:val="24"/>
        </w:rPr>
        <w:t>An</w:t>
      </w:r>
      <w:r w:rsidR="008A797A" w:rsidRPr="00B003FC">
        <w:rPr>
          <w:i/>
          <w:sz w:val="24"/>
          <w:szCs w:val="24"/>
        </w:rPr>
        <w:t>nona</w:t>
      </w:r>
      <w:r w:rsidR="008A797A" w:rsidRPr="008A797A">
        <w:rPr>
          <w:sz w:val="24"/>
          <w:szCs w:val="24"/>
        </w:rPr>
        <w:t xml:space="preserve"> received any extensive jurisdiction over the food supply</w:t>
      </w:r>
      <w:r>
        <w:rPr>
          <w:sz w:val="24"/>
          <w:szCs w:val="24"/>
        </w:rPr>
        <w:t>,</w:t>
      </w:r>
      <w:r w:rsidR="008F494F">
        <w:rPr>
          <w:sz w:val="24"/>
          <w:szCs w:val="24"/>
        </w:rPr>
        <w:t xml:space="preserve"> and</w:t>
      </w:r>
      <w:r w:rsidR="008A797A" w:rsidRPr="008A797A">
        <w:rPr>
          <w:sz w:val="24"/>
          <w:szCs w:val="24"/>
        </w:rPr>
        <w:t xml:space="preserve"> </w:t>
      </w:r>
      <w:r>
        <w:rPr>
          <w:sz w:val="24"/>
          <w:szCs w:val="24"/>
        </w:rPr>
        <w:t xml:space="preserve">his </w:t>
      </w:r>
      <w:r w:rsidR="008A797A" w:rsidRPr="008A797A">
        <w:rPr>
          <w:sz w:val="24"/>
          <w:szCs w:val="24"/>
        </w:rPr>
        <w:t xml:space="preserve">duties were largely concerned with procuring and transporting the </w:t>
      </w:r>
      <w:r w:rsidR="008A797A" w:rsidRPr="008A797A">
        <w:rPr>
          <w:i/>
          <w:sz w:val="24"/>
          <w:szCs w:val="24"/>
        </w:rPr>
        <w:t>annona</w:t>
      </w:r>
      <w:r w:rsidR="001E6F4E">
        <w:rPr>
          <w:i/>
          <w:sz w:val="24"/>
          <w:szCs w:val="24"/>
        </w:rPr>
        <w:t>e</w:t>
      </w:r>
      <w:r w:rsidR="008A797A" w:rsidRPr="008A797A">
        <w:rPr>
          <w:sz w:val="24"/>
          <w:szCs w:val="24"/>
        </w:rPr>
        <w:t xml:space="preserve"> to Rome.</w:t>
      </w:r>
      <w:r w:rsidR="008A797A" w:rsidRPr="008A797A">
        <w:rPr>
          <w:rStyle w:val="FootnoteReference"/>
          <w:sz w:val="24"/>
          <w:szCs w:val="24"/>
        </w:rPr>
        <w:footnoteReference w:id="274"/>
      </w:r>
      <w:r w:rsidR="004F6B0E">
        <w:rPr>
          <w:sz w:val="24"/>
          <w:szCs w:val="24"/>
        </w:rPr>
        <w:t xml:space="preserve"> </w:t>
      </w:r>
      <w:r w:rsidR="008A797A" w:rsidRPr="008A797A">
        <w:rPr>
          <w:sz w:val="24"/>
          <w:szCs w:val="24"/>
        </w:rPr>
        <w:t xml:space="preserve">It is </w:t>
      </w:r>
      <w:r w:rsidR="004F6B0E">
        <w:rPr>
          <w:sz w:val="24"/>
          <w:szCs w:val="24"/>
        </w:rPr>
        <w:t xml:space="preserve">therefore </w:t>
      </w:r>
      <w:r w:rsidR="008A797A" w:rsidRPr="008A797A">
        <w:rPr>
          <w:sz w:val="24"/>
          <w:szCs w:val="24"/>
        </w:rPr>
        <w:t xml:space="preserve">not surprising that we see within the </w:t>
      </w:r>
      <w:r w:rsidR="008A797A" w:rsidRPr="008A797A">
        <w:rPr>
          <w:i/>
          <w:sz w:val="24"/>
          <w:szCs w:val="24"/>
        </w:rPr>
        <w:t>Regionary Catalogues</w:t>
      </w:r>
      <w:r w:rsidR="008A797A" w:rsidRPr="008A797A">
        <w:rPr>
          <w:sz w:val="24"/>
          <w:szCs w:val="24"/>
        </w:rPr>
        <w:t xml:space="preserve"> a wide-ranging concern with the provision of food for the City</w:t>
      </w:r>
      <w:r w:rsidR="008A797A" w:rsidRPr="008A797A">
        <w:rPr>
          <w:i/>
          <w:sz w:val="24"/>
          <w:szCs w:val="24"/>
        </w:rPr>
        <w:t xml:space="preserve">. </w:t>
      </w:r>
      <w:r w:rsidR="008A797A" w:rsidRPr="008A797A">
        <w:rPr>
          <w:sz w:val="24"/>
          <w:szCs w:val="24"/>
        </w:rPr>
        <w:t xml:space="preserve">Amongst the City of Rome’s many achievements and successes, a singular one has to be that for several hundred years the urban government was able to provide bread, wine and olive oil for a city of several hundred thousand people on a fairly consistent basis. Even throughout the various invasions, usurpations and civil wars of the third century, the subsidised grain ration that was first introduced by Gaius </w:t>
      </w:r>
      <w:r w:rsidR="008A797A" w:rsidRPr="008A797A">
        <w:rPr>
          <w:sz w:val="24"/>
          <w:szCs w:val="24"/>
        </w:rPr>
        <w:lastRenderedPageBreak/>
        <w:t>Gracchus in 123 BC, remained as much a tradition of the city as the games and monuments.</w:t>
      </w:r>
      <w:r w:rsidR="008A797A" w:rsidRPr="008A797A">
        <w:rPr>
          <w:rStyle w:val="FootnoteReference"/>
          <w:sz w:val="24"/>
          <w:szCs w:val="24"/>
        </w:rPr>
        <w:footnoteReference w:id="275"/>
      </w:r>
      <w:r w:rsidR="008A797A" w:rsidRPr="008A797A">
        <w:rPr>
          <w:sz w:val="24"/>
          <w:szCs w:val="24"/>
        </w:rPr>
        <w:t xml:space="preserve"> </w:t>
      </w:r>
    </w:p>
    <w:p w:rsidR="008A797A" w:rsidRPr="008A797A" w:rsidRDefault="008A797A" w:rsidP="00722391">
      <w:pPr>
        <w:spacing w:line="480" w:lineRule="auto"/>
        <w:ind w:firstLine="720"/>
        <w:jc w:val="both"/>
        <w:rPr>
          <w:sz w:val="24"/>
          <w:szCs w:val="24"/>
        </w:rPr>
      </w:pPr>
      <w:r w:rsidRPr="008A797A">
        <w:rPr>
          <w:rFonts w:cs="Times New Roman"/>
          <w:sz w:val="24"/>
          <w:szCs w:val="24"/>
        </w:rPr>
        <w:t xml:space="preserve">In addition to the grain dole, there were two other significant parts of the public rations in Rome. </w:t>
      </w:r>
      <w:r w:rsidR="00AF3108">
        <w:rPr>
          <w:rFonts w:cs="Times New Roman"/>
          <w:sz w:val="24"/>
          <w:szCs w:val="24"/>
        </w:rPr>
        <w:t>These were</w:t>
      </w:r>
      <w:r w:rsidRPr="008A797A">
        <w:rPr>
          <w:rFonts w:cs="Times New Roman"/>
          <w:sz w:val="24"/>
          <w:szCs w:val="24"/>
        </w:rPr>
        <w:t xml:space="preserve"> the subsidised (and under Aurelian free) pork distributions, which we know from Ulpian</w:t>
      </w:r>
      <w:r w:rsidR="00AF3108">
        <w:rPr>
          <w:rFonts w:cs="Times New Roman"/>
          <w:sz w:val="24"/>
          <w:szCs w:val="24"/>
        </w:rPr>
        <w:t xml:space="preserve"> (a Praetorian Prefect during</w:t>
      </w:r>
      <w:r w:rsidR="004F6B0E">
        <w:rPr>
          <w:rFonts w:cs="Times New Roman"/>
          <w:sz w:val="24"/>
          <w:szCs w:val="24"/>
        </w:rPr>
        <w:t xml:space="preserve"> the late Severan dynasty)</w:t>
      </w:r>
      <w:r w:rsidRPr="008A797A">
        <w:rPr>
          <w:rFonts w:cs="Times New Roman"/>
          <w:sz w:val="24"/>
          <w:szCs w:val="24"/>
        </w:rPr>
        <w:t xml:space="preserve"> was a definite responsibility of the Urban Prefect, and</w:t>
      </w:r>
      <w:r w:rsidR="00AF3108">
        <w:rPr>
          <w:rFonts w:cs="Times New Roman"/>
          <w:sz w:val="24"/>
          <w:szCs w:val="24"/>
        </w:rPr>
        <w:t xml:space="preserve"> also </w:t>
      </w:r>
      <w:r w:rsidRPr="008A797A">
        <w:rPr>
          <w:rFonts w:cs="Times New Roman"/>
          <w:sz w:val="24"/>
          <w:szCs w:val="24"/>
        </w:rPr>
        <w:t xml:space="preserve">a subsidised wine </w:t>
      </w:r>
      <w:r w:rsidRPr="008A797A">
        <w:rPr>
          <w:sz w:val="24"/>
          <w:szCs w:val="24"/>
        </w:rPr>
        <w:t>distribution</w:t>
      </w:r>
      <w:r w:rsidRPr="008A797A">
        <w:rPr>
          <w:rFonts w:cs="Times New Roman"/>
          <w:sz w:val="24"/>
          <w:szCs w:val="24"/>
        </w:rPr>
        <w:t>.</w:t>
      </w:r>
      <w:r w:rsidRPr="008A797A">
        <w:rPr>
          <w:rStyle w:val="FootnoteReference"/>
          <w:rFonts w:cs="Times New Roman"/>
          <w:sz w:val="24"/>
          <w:szCs w:val="24"/>
        </w:rPr>
        <w:footnoteReference w:id="276"/>
      </w:r>
      <w:r w:rsidRPr="008A797A">
        <w:rPr>
          <w:rFonts w:cs="Times New Roman"/>
          <w:sz w:val="24"/>
          <w:szCs w:val="24"/>
        </w:rPr>
        <w:t xml:space="preserve"> Th</w:t>
      </w:r>
      <w:r w:rsidR="001E6F4E">
        <w:rPr>
          <w:rFonts w:cs="Times New Roman"/>
          <w:sz w:val="24"/>
          <w:szCs w:val="24"/>
        </w:rPr>
        <w:t>e Urban Prefect’s involvement in the food supply</w:t>
      </w:r>
      <w:r w:rsidRPr="008A797A">
        <w:rPr>
          <w:rFonts w:cs="Times New Roman"/>
          <w:sz w:val="24"/>
          <w:szCs w:val="24"/>
        </w:rPr>
        <w:t xml:space="preserve"> can be seen by the inclusion of the </w:t>
      </w:r>
      <w:r w:rsidR="00B003FC">
        <w:rPr>
          <w:rFonts w:cs="Times New Roman"/>
          <w:i/>
          <w:sz w:val="24"/>
          <w:szCs w:val="24"/>
        </w:rPr>
        <w:t>f</w:t>
      </w:r>
      <w:r w:rsidRPr="008A797A">
        <w:rPr>
          <w:rFonts w:cs="Times New Roman"/>
          <w:i/>
          <w:sz w:val="24"/>
          <w:szCs w:val="24"/>
        </w:rPr>
        <w:t>orum suarium</w:t>
      </w:r>
      <w:r w:rsidRPr="008A797A">
        <w:rPr>
          <w:rFonts w:cs="Times New Roman"/>
          <w:sz w:val="24"/>
          <w:szCs w:val="24"/>
        </w:rPr>
        <w:t xml:space="preserve"> (the pig-market), and Aurelian’s Temple of Sol, constructed in AD 273 upon Aurelian’s return from the East, which have their first recorded appearance in the </w:t>
      </w:r>
      <w:r w:rsidRPr="008A797A">
        <w:rPr>
          <w:rFonts w:cs="Times New Roman"/>
          <w:i/>
          <w:sz w:val="24"/>
          <w:szCs w:val="24"/>
        </w:rPr>
        <w:t>Regionary Catalogues</w:t>
      </w:r>
      <w:r w:rsidRPr="008A797A">
        <w:rPr>
          <w:rFonts w:cs="Times New Roman"/>
          <w:sz w:val="24"/>
          <w:szCs w:val="24"/>
        </w:rPr>
        <w:t xml:space="preserve"> in the </w:t>
      </w:r>
      <w:r w:rsidR="001E6F4E">
        <w:rPr>
          <w:rFonts w:cs="Times New Roman"/>
          <w:i/>
          <w:sz w:val="24"/>
          <w:szCs w:val="24"/>
        </w:rPr>
        <w:t>Regio</w:t>
      </w:r>
      <w:r w:rsidRPr="008A797A">
        <w:rPr>
          <w:rFonts w:cs="Times New Roman"/>
          <w:i/>
          <w:sz w:val="24"/>
          <w:szCs w:val="24"/>
        </w:rPr>
        <w:t xml:space="preserve"> VII Via Lata</w:t>
      </w:r>
      <w:r w:rsidRPr="008A797A">
        <w:rPr>
          <w:rFonts w:cs="Times New Roman"/>
          <w:sz w:val="24"/>
          <w:szCs w:val="24"/>
        </w:rPr>
        <w:t>.</w:t>
      </w:r>
      <w:r w:rsidRPr="008A797A">
        <w:rPr>
          <w:rStyle w:val="FootnoteReference"/>
          <w:rFonts w:cs="Times New Roman"/>
          <w:sz w:val="24"/>
          <w:szCs w:val="24"/>
        </w:rPr>
        <w:footnoteReference w:id="277"/>
      </w:r>
      <w:r w:rsidRPr="008A797A">
        <w:rPr>
          <w:rFonts w:cs="Times New Roman"/>
          <w:sz w:val="24"/>
          <w:szCs w:val="24"/>
        </w:rPr>
        <w:t xml:space="preserve"> </w:t>
      </w:r>
      <w:r w:rsidRPr="008A797A">
        <w:rPr>
          <w:sz w:val="24"/>
          <w:szCs w:val="24"/>
        </w:rPr>
        <w:t xml:space="preserve">The </w:t>
      </w:r>
      <w:r w:rsidRPr="00B003FC">
        <w:rPr>
          <w:i/>
          <w:sz w:val="24"/>
          <w:szCs w:val="24"/>
        </w:rPr>
        <w:t>Regionary Catalogues</w:t>
      </w:r>
      <w:r w:rsidRPr="008A797A">
        <w:rPr>
          <w:sz w:val="24"/>
          <w:szCs w:val="24"/>
        </w:rPr>
        <w:t xml:space="preserve"> locate for the first time the </w:t>
      </w:r>
      <w:r w:rsidRPr="008A797A">
        <w:rPr>
          <w:i/>
          <w:iCs/>
          <w:sz w:val="24"/>
          <w:szCs w:val="24"/>
        </w:rPr>
        <w:t>forum suarium</w:t>
      </w:r>
      <w:r w:rsidRPr="008A797A">
        <w:rPr>
          <w:sz w:val="24"/>
          <w:szCs w:val="24"/>
        </w:rPr>
        <w:t xml:space="preserve"> in the area of the Campus Martius, and whilst its existence can be attested from the beginning of the third century, Aurelian’s plans to reintroduce the free pork ration in the 270s must have increased its importance (and consequently</w:t>
      </w:r>
      <w:r w:rsidR="00AF3108">
        <w:rPr>
          <w:sz w:val="24"/>
          <w:szCs w:val="24"/>
        </w:rPr>
        <w:t xml:space="preserve"> the</w:t>
      </w:r>
      <w:r w:rsidRPr="008A797A">
        <w:rPr>
          <w:sz w:val="24"/>
          <w:szCs w:val="24"/>
        </w:rPr>
        <w:t xml:space="preserve"> importance of the location) substantially.</w:t>
      </w:r>
      <w:r w:rsidRPr="008A797A">
        <w:rPr>
          <w:rStyle w:val="FootnoteReference"/>
          <w:sz w:val="24"/>
          <w:szCs w:val="24"/>
        </w:rPr>
        <w:footnoteReference w:id="278"/>
      </w:r>
      <w:r w:rsidRPr="008A797A">
        <w:rPr>
          <w:sz w:val="24"/>
          <w:szCs w:val="24"/>
        </w:rPr>
        <w:t xml:space="preserve"> The wine market, the </w:t>
      </w:r>
      <w:r w:rsidRPr="008A797A">
        <w:rPr>
          <w:i/>
          <w:sz w:val="24"/>
          <w:szCs w:val="24"/>
        </w:rPr>
        <w:t>septem caesares</w:t>
      </w:r>
      <w:r w:rsidRPr="008A797A">
        <w:rPr>
          <w:sz w:val="24"/>
          <w:szCs w:val="24"/>
        </w:rPr>
        <w:t>, is believed to have been located in Campus Martius, but there is no mention of it in</w:t>
      </w:r>
      <w:r w:rsidR="00AF3108">
        <w:rPr>
          <w:sz w:val="24"/>
          <w:szCs w:val="24"/>
        </w:rPr>
        <w:t xml:space="preserve"> the</w:t>
      </w:r>
      <w:r w:rsidRPr="008A797A">
        <w:rPr>
          <w:sz w:val="24"/>
          <w:szCs w:val="24"/>
        </w:rPr>
        <w:t xml:space="preserve"> third or fourth centuries or the </w:t>
      </w:r>
      <w:r w:rsidRPr="008A797A">
        <w:rPr>
          <w:i/>
          <w:iCs/>
          <w:sz w:val="24"/>
          <w:szCs w:val="24"/>
        </w:rPr>
        <w:t>Regionaries</w:t>
      </w:r>
      <w:r w:rsidRPr="008A797A">
        <w:rPr>
          <w:sz w:val="24"/>
          <w:szCs w:val="24"/>
        </w:rPr>
        <w:t>.</w:t>
      </w:r>
      <w:r w:rsidRPr="008A797A">
        <w:rPr>
          <w:rStyle w:val="FootnoteReference"/>
          <w:sz w:val="24"/>
          <w:szCs w:val="24"/>
        </w:rPr>
        <w:footnoteReference w:id="279"/>
      </w:r>
      <w:r w:rsidRPr="008A797A">
        <w:rPr>
          <w:sz w:val="24"/>
          <w:szCs w:val="24"/>
        </w:rPr>
        <w:t xml:space="preserve"> Given Aurelian’s reforms to the wine ration it seems reasonable t</w:t>
      </w:r>
      <w:r w:rsidR="00AF3108">
        <w:rPr>
          <w:sz w:val="24"/>
          <w:szCs w:val="24"/>
        </w:rPr>
        <w:t>o assume that his Temple of Sol</w:t>
      </w:r>
      <w:r w:rsidRPr="008A797A">
        <w:rPr>
          <w:sz w:val="24"/>
          <w:szCs w:val="24"/>
        </w:rPr>
        <w:t xml:space="preserve"> was made the new centre of the </w:t>
      </w:r>
      <w:r w:rsidRPr="008A797A">
        <w:rPr>
          <w:i/>
          <w:sz w:val="24"/>
          <w:szCs w:val="24"/>
        </w:rPr>
        <w:t xml:space="preserve">arca </w:t>
      </w:r>
      <w:r w:rsidRPr="008A797A">
        <w:rPr>
          <w:i/>
          <w:sz w:val="24"/>
          <w:szCs w:val="24"/>
        </w:rPr>
        <w:lastRenderedPageBreak/>
        <w:t>vinaria</w:t>
      </w:r>
      <w:r w:rsidRPr="008A797A">
        <w:rPr>
          <w:sz w:val="24"/>
          <w:szCs w:val="24"/>
        </w:rPr>
        <w:t xml:space="preserve"> (the state treasury for the wine ration).</w:t>
      </w:r>
      <w:r w:rsidRPr="008A797A">
        <w:rPr>
          <w:rStyle w:val="FootnoteReference"/>
          <w:sz w:val="24"/>
          <w:szCs w:val="24"/>
        </w:rPr>
        <w:footnoteReference w:id="280"/>
      </w:r>
      <w:r w:rsidRPr="008A797A">
        <w:rPr>
          <w:sz w:val="24"/>
          <w:szCs w:val="24"/>
        </w:rPr>
        <w:t xml:space="preserve"> The</w:t>
      </w:r>
      <w:r w:rsidR="00AF3108" w:rsidRPr="00AF3108">
        <w:rPr>
          <w:i/>
          <w:sz w:val="24"/>
          <w:szCs w:val="24"/>
        </w:rPr>
        <w:t xml:space="preserve"> </w:t>
      </w:r>
      <w:r w:rsidR="00AF3108" w:rsidRPr="008A797A">
        <w:rPr>
          <w:i/>
          <w:sz w:val="24"/>
          <w:szCs w:val="24"/>
        </w:rPr>
        <w:t xml:space="preserve">mensae </w:t>
      </w:r>
      <w:r w:rsidR="0049637A" w:rsidRPr="008A797A">
        <w:rPr>
          <w:i/>
          <w:sz w:val="24"/>
          <w:szCs w:val="24"/>
        </w:rPr>
        <w:t>oleriae</w:t>
      </w:r>
      <w:r w:rsidR="00AF3108">
        <w:rPr>
          <w:i/>
          <w:sz w:val="24"/>
          <w:szCs w:val="24"/>
        </w:rPr>
        <w:t xml:space="preserve">, </w:t>
      </w:r>
      <w:r w:rsidR="00AF3108" w:rsidRPr="00AF3108">
        <w:rPr>
          <w:sz w:val="24"/>
          <w:szCs w:val="24"/>
        </w:rPr>
        <w:t>the</w:t>
      </w:r>
      <w:r w:rsidR="00AF3108">
        <w:rPr>
          <w:sz w:val="24"/>
          <w:szCs w:val="24"/>
        </w:rPr>
        <w:t xml:space="preserve"> </w:t>
      </w:r>
      <w:r w:rsidRPr="008A797A">
        <w:rPr>
          <w:sz w:val="24"/>
          <w:szCs w:val="24"/>
        </w:rPr>
        <w:t>shops that distributed the oil ration</w:t>
      </w:r>
      <w:r w:rsidR="004F6B0E">
        <w:rPr>
          <w:sz w:val="24"/>
          <w:szCs w:val="24"/>
        </w:rPr>
        <w:t xml:space="preserve">, introduced by Septimius Severus, are listed in </w:t>
      </w:r>
      <w:r w:rsidR="004F6B0E" w:rsidRPr="004F6B0E">
        <w:rPr>
          <w:sz w:val="24"/>
          <w:szCs w:val="24"/>
        </w:rPr>
        <w:t>a</w:t>
      </w:r>
      <w:r w:rsidRPr="004F6B0E">
        <w:rPr>
          <w:sz w:val="24"/>
          <w:szCs w:val="24"/>
        </w:rPr>
        <w:t>ppendices</w:t>
      </w:r>
      <w:r w:rsidR="00AF3108">
        <w:rPr>
          <w:sz w:val="24"/>
          <w:szCs w:val="24"/>
        </w:rPr>
        <w:t xml:space="preserve"> to</w:t>
      </w:r>
      <w:r w:rsidR="004F6B0E">
        <w:rPr>
          <w:sz w:val="24"/>
          <w:szCs w:val="24"/>
        </w:rPr>
        <w:t xml:space="preserve"> the </w:t>
      </w:r>
      <w:r w:rsidR="004F6B0E">
        <w:rPr>
          <w:i/>
          <w:sz w:val="24"/>
          <w:szCs w:val="24"/>
        </w:rPr>
        <w:t>Regionaries</w:t>
      </w:r>
      <w:r w:rsidRPr="008A797A">
        <w:rPr>
          <w:sz w:val="24"/>
          <w:szCs w:val="24"/>
        </w:rPr>
        <w:t xml:space="preserve"> as numbering 2300.</w:t>
      </w:r>
      <w:r w:rsidRPr="008A797A">
        <w:rPr>
          <w:rStyle w:val="FootnoteReference"/>
          <w:sz w:val="24"/>
          <w:szCs w:val="24"/>
        </w:rPr>
        <w:footnoteReference w:id="281"/>
      </w:r>
      <w:r w:rsidRPr="008A797A">
        <w:rPr>
          <w:sz w:val="24"/>
          <w:szCs w:val="24"/>
        </w:rPr>
        <w:t xml:space="preserve"> The inclusion of the centres for the pork, wine and oil distribution, aspects that were a direct responsibility of the Urban Prefect, in a single area demonstrates again a concern for the overarching administrative structures that are required for the distribution of the food dole, particularly in light of Aurelian’s intended reforms to the food rations.</w:t>
      </w:r>
      <w:r w:rsidR="00C722EF">
        <w:rPr>
          <w:rStyle w:val="FootnoteReference"/>
          <w:sz w:val="24"/>
          <w:szCs w:val="24"/>
        </w:rPr>
        <w:footnoteReference w:id="282"/>
      </w:r>
      <w:r w:rsidRPr="008A797A">
        <w:rPr>
          <w:sz w:val="24"/>
          <w:szCs w:val="24"/>
        </w:rPr>
        <w:t xml:space="preserve"> </w:t>
      </w:r>
      <w:r w:rsidR="001E6F4E">
        <w:rPr>
          <w:rFonts w:cs="Times New Roman"/>
          <w:sz w:val="24"/>
          <w:szCs w:val="24"/>
        </w:rPr>
        <w:t xml:space="preserve">Since </w:t>
      </w:r>
      <w:r w:rsidR="001E6F4E" w:rsidRPr="008A797A">
        <w:rPr>
          <w:rFonts w:cs="Times New Roman"/>
          <w:sz w:val="24"/>
          <w:szCs w:val="24"/>
        </w:rPr>
        <w:t xml:space="preserve">Aurelian’s reforms of the food supply had made the Urban Prefect responsible for a great deal more of the food distribution, </w:t>
      </w:r>
      <w:r w:rsidR="001E6F4E">
        <w:rPr>
          <w:rFonts w:cs="Times New Roman"/>
          <w:sz w:val="24"/>
          <w:szCs w:val="24"/>
        </w:rPr>
        <w:t>the contents of the proto-</w:t>
      </w:r>
      <w:r w:rsidR="001E6F4E">
        <w:rPr>
          <w:rFonts w:cs="Times New Roman"/>
          <w:i/>
          <w:sz w:val="24"/>
          <w:szCs w:val="24"/>
        </w:rPr>
        <w:t>Regionaries</w:t>
      </w:r>
      <w:r w:rsidR="001E6F4E">
        <w:rPr>
          <w:rFonts w:cs="Times New Roman"/>
          <w:sz w:val="24"/>
          <w:szCs w:val="24"/>
        </w:rPr>
        <w:t xml:space="preserve"> are more attributable </w:t>
      </w:r>
      <w:r w:rsidR="001E6F4E" w:rsidRPr="008A797A">
        <w:rPr>
          <w:rFonts w:cs="Times New Roman"/>
          <w:sz w:val="24"/>
          <w:szCs w:val="24"/>
        </w:rPr>
        <w:t>to Aurelian’s reign.</w:t>
      </w:r>
    </w:p>
    <w:p w:rsidR="008A797A" w:rsidRPr="008A797A" w:rsidRDefault="008F494F" w:rsidP="00722391">
      <w:pPr>
        <w:spacing w:line="480" w:lineRule="auto"/>
        <w:ind w:firstLine="720"/>
        <w:jc w:val="both"/>
        <w:rPr>
          <w:sz w:val="24"/>
          <w:szCs w:val="24"/>
        </w:rPr>
      </w:pPr>
      <w:r>
        <w:rPr>
          <w:sz w:val="24"/>
          <w:szCs w:val="24"/>
        </w:rPr>
        <w:t>The</w:t>
      </w:r>
      <w:r w:rsidR="008A797A" w:rsidRPr="008A797A">
        <w:rPr>
          <w:sz w:val="24"/>
          <w:szCs w:val="24"/>
        </w:rPr>
        <w:t xml:space="preserve"> particular concern</w:t>
      </w:r>
      <w:r w:rsidR="00AF3108">
        <w:rPr>
          <w:sz w:val="24"/>
          <w:szCs w:val="24"/>
        </w:rPr>
        <w:t xml:space="preserve"> of the Urban Prefect</w:t>
      </w:r>
      <w:r>
        <w:rPr>
          <w:sz w:val="24"/>
          <w:szCs w:val="24"/>
        </w:rPr>
        <w:t xml:space="preserve"> with regards to the </w:t>
      </w:r>
      <w:r>
        <w:rPr>
          <w:i/>
          <w:sz w:val="24"/>
          <w:szCs w:val="24"/>
        </w:rPr>
        <w:t>annonae</w:t>
      </w:r>
      <w:r w:rsidR="008A797A" w:rsidRPr="008A797A">
        <w:rPr>
          <w:sz w:val="24"/>
          <w:szCs w:val="24"/>
        </w:rPr>
        <w:t xml:space="preserve"> was the storage and distribution of Rome’s food supplies, rather than their procurement</w:t>
      </w:r>
      <w:r w:rsidR="00AF3108">
        <w:rPr>
          <w:sz w:val="24"/>
          <w:szCs w:val="24"/>
        </w:rPr>
        <w:t>,</w:t>
      </w:r>
      <w:r w:rsidR="008A797A" w:rsidRPr="008A797A">
        <w:rPr>
          <w:sz w:val="24"/>
          <w:szCs w:val="24"/>
        </w:rPr>
        <w:t xml:space="preserve"> and this is what we can see at this layer of the </w:t>
      </w:r>
      <w:r w:rsidR="008A797A" w:rsidRPr="008A797A">
        <w:rPr>
          <w:i/>
          <w:sz w:val="24"/>
          <w:szCs w:val="24"/>
        </w:rPr>
        <w:t>Regionary Catalogues</w:t>
      </w:r>
      <w:r w:rsidR="008A797A" w:rsidRPr="008A797A">
        <w:rPr>
          <w:sz w:val="24"/>
          <w:szCs w:val="24"/>
        </w:rPr>
        <w:t xml:space="preserve">. If we examine the </w:t>
      </w:r>
      <w:r w:rsidR="008A797A" w:rsidRPr="008A797A">
        <w:rPr>
          <w:i/>
          <w:sz w:val="24"/>
          <w:szCs w:val="24"/>
        </w:rPr>
        <w:t>Regionaries</w:t>
      </w:r>
      <w:r w:rsidR="008A797A" w:rsidRPr="008A797A">
        <w:rPr>
          <w:sz w:val="24"/>
          <w:szCs w:val="24"/>
        </w:rPr>
        <w:t xml:space="preserve"> </w:t>
      </w:r>
      <w:r w:rsidR="008A797A" w:rsidRPr="008A797A">
        <w:rPr>
          <w:rFonts w:cs="Times New Roman"/>
          <w:sz w:val="24"/>
          <w:szCs w:val="24"/>
        </w:rPr>
        <w:t>there are five grain warehouses (</w:t>
      </w:r>
      <w:r w:rsidR="008A797A" w:rsidRPr="008A797A">
        <w:rPr>
          <w:rFonts w:cs="Times New Roman"/>
          <w:i/>
          <w:sz w:val="24"/>
          <w:szCs w:val="24"/>
        </w:rPr>
        <w:t>horrea</w:t>
      </w:r>
      <w:r w:rsidR="008A797A" w:rsidRPr="008A797A">
        <w:rPr>
          <w:rFonts w:cs="Times New Roman"/>
          <w:sz w:val="24"/>
          <w:szCs w:val="24"/>
        </w:rPr>
        <w:t>)</w:t>
      </w:r>
      <w:r w:rsidR="008A797A" w:rsidRPr="008A797A">
        <w:rPr>
          <w:rFonts w:cs="Times New Roman"/>
          <w:i/>
          <w:sz w:val="24"/>
          <w:szCs w:val="24"/>
        </w:rPr>
        <w:t xml:space="preserve"> </w:t>
      </w:r>
      <w:r w:rsidR="008A797A" w:rsidRPr="008A797A">
        <w:rPr>
          <w:rFonts w:cs="Times New Roman"/>
          <w:sz w:val="24"/>
          <w:szCs w:val="24"/>
        </w:rPr>
        <w:t xml:space="preserve">of note within the main document: the </w:t>
      </w:r>
      <w:r w:rsidR="008A797A" w:rsidRPr="008A797A">
        <w:rPr>
          <w:rFonts w:cs="Times New Roman"/>
          <w:i/>
          <w:sz w:val="24"/>
          <w:szCs w:val="24"/>
        </w:rPr>
        <w:t>Horrea</w:t>
      </w:r>
      <w:r w:rsidR="008A797A" w:rsidRPr="008A797A">
        <w:rPr>
          <w:rFonts w:cs="Times New Roman"/>
          <w:sz w:val="24"/>
          <w:szCs w:val="24"/>
        </w:rPr>
        <w:t xml:space="preserve"> </w:t>
      </w:r>
      <w:r w:rsidR="008A797A" w:rsidRPr="008A797A">
        <w:rPr>
          <w:rFonts w:cs="Times New Roman"/>
          <w:i/>
          <w:sz w:val="24"/>
          <w:szCs w:val="24"/>
        </w:rPr>
        <w:t>Chartaria</w:t>
      </w:r>
      <w:r w:rsidR="008A797A" w:rsidRPr="008A797A">
        <w:rPr>
          <w:rFonts w:cs="Times New Roman"/>
          <w:sz w:val="24"/>
          <w:szCs w:val="24"/>
        </w:rPr>
        <w:t xml:space="preserve"> in </w:t>
      </w:r>
      <w:r w:rsidR="008A797A" w:rsidRPr="008A797A">
        <w:rPr>
          <w:rFonts w:cs="Times New Roman"/>
          <w:i/>
          <w:sz w:val="24"/>
          <w:szCs w:val="24"/>
        </w:rPr>
        <w:t>Regio IV</w:t>
      </w:r>
      <w:r w:rsidR="008A797A" w:rsidRPr="008A797A">
        <w:rPr>
          <w:rFonts w:cs="Times New Roman"/>
          <w:sz w:val="24"/>
          <w:szCs w:val="24"/>
        </w:rPr>
        <w:t xml:space="preserve">, the </w:t>
      </w:r>
      <w:r w:rsidR="008A797A" w:rsidRPr="008A797A">
        <w:rPr>
          <w:rFonts w:cs="Times New Roman"/>
          <w:i/>
          <w:sz w:val="24"/>
          <w:szCs w:val="24"/>
        </w:rPr>
        <w:t>Horrea</w:t>
      </w:r>
      <w:r w:rsidR="008A797A" w:rsidRPr="008A797A">
        <w:rPr>
          <w:rFonts w:cs="Times New Roman"/>
          <w:sz w:val="24"/>
          <w:szCs w:val="24"/>
        </w:rPr>
        <w:t xml:space="preserve"> </w:t>
      </w:r>
      <w:r w:rsidR="008A797A" w:rsidRPr="008A797A">
        <w:rPr>
          <w:rFonts w:cs="Times New Roman"/>
          <w:i/>
          <w:sz w:val="24"/>
          <w:szCs w:val="24"/>
        </w:rPr>
        <w:t>Germaniciana</w:t>
      </w:r>
      <w:r w:rsidR="008A797A" w:rsidRPr="008A797A">
        <w:rPr>
          <w:rFonts w:cs="Times New Roman"/>
          <w:sz w:val="24"/>
          <w:szCs w:val="24"/>
        </w:rPr>
        <w:t xml:space="preserve"> and </w:t>
      </w:r>
      <w:r w:rsidR="008A797A" w:rsidRPr="008A797A">
        <w:rPr>
          <w:rFonts w:cs="Times New Roman"/>
          <w:i/>
          <w:iCs/>
          <w:sz w:val="24"/>
          <w:szCs w:val="24"/>
        </w:rPr>
        <w:t>Agrippa</w:t>
      </w:r>
      <w:r w:rsidR="008A797A" w:rsidRPr="008A797A">
        <w:rPr>
          <w:rFonts w:cs="Times New Roman"/>
          <w:sz w:val="24"/>
          <w:szCs w:val="24"/>
        </w:rPr>
        <w:t xml:space="preserve"> in </w:t>
      </w:r>
      <w:r w:rsidR="008A797A" w:rsidRPr="008A797A">
        <w:rPr>
          <w:rFonts w:cs="Times New Roman"/>
          <w:i/>
          <w:sz w:val="24"/>
          <w:szCs w:val="24"/>
        </w:rPr>
        <w:t>Regio VIII: Forum Romanum</w:t>
      </w:r>
      <w:r w:rsidR="008A797A" w:rsidRPr="008A797A">
        <w:rPr>
          <w:rFonts w:cs="Times New Roman"/>
          <w:sz w:val="24"/>
          <w:szCs w:val="24"/>
        </w:rPr>
        <w:t xml:space="preserve">, the </w:t>
      </w:r>
      <w:r w:rsidR="008A797A" w:rsidRPr="008A797A">
        <w:rPr>
          <w:rFonts w:cs="Times New Roman"/>
          <w:i/>
          <w:sz w:val="24"/>
          <w:szCs w:val="24"/>
        </w:rPr>
        <w:t>Horrea</w:t>
      </w:r>
      <w:r w:rsidR="008A797A" w:rsidRPr="008A797A">
        <w:rPr>
          <w:rFonts w:cs="Times New Roman"/>
          <w:sz w:val="24"/>
          <w:szCs w:val="24"/>
        </w:rPr>
        <w:t xml:space="preserve"> of </w:t>
      </w:r>
      <w:r w:rsidR="008A797A" w:rsidRPr="008A797A">
        <w:rPr>
          <w:rFonts w:cs="Times New Roman"/>
          <w:i/>
          <w:iCs/>
          <w:sz w:val="24"/>
          <w:szCs w:val="24"/>
        </w:rPr>
        <w:t>Galba</w:t>
      </w:r>
      <w:r w:rsidR="008A797A" w:rsidRPr="008A797A">
        <w:rPr>
          <w:rFonts w:cs="Times New Roman"/>
          <w:sz w:val="24"/>
          <w:szCs w:val="24"/>
        </w:rPr>
        <w:t xml:space="preserve"> and the </w:t>
      </w:r>
      <w:r w:rsidR="008A797A" w:rsidRPr="008A797A">
        <w:rPr>
          <w:rFonts w:cs="Times New Roman"/>
          <w:i/>
          <w:sz w:val="24"/>
          <w:szCs w:val="24"/>
        </w:rPr>
        <w:t xml:space="preserve">Anicii </w:t>
      </w:r>
      <w:r w:rsidR="008A797A" w:rsidRPr="008A797A">
        <w:rPr>
          <w:rFonts w:cs="Times New Roman"/>
          <w:sz w:val="24"/>
          <w:szCs w:val="24"/>
        </w:rPr>
        <w:t xml:space="preserve">on the </w:t>
      </w:r>
      <w:r w:rsidR="008A797A" w:rsidRPr="008A797A">
        <w:rPr>
          <w:rFonts w:cs="Times New Roman"/>
          <w:i/>
          <w:sz w:val="24"/>
          <w:szCs w:val="24"/>
        </w:rPr>
        <w:t>Regio XIII: Aventinus</w:t>
      </w:r>
      <w:r w:rsidR="008A797A" w:rsidRPr="008A797A">
        <w:rPr>
          <w:rFonts w:cs="Times New Roman"/>
          <w:sz w:val="24"/>
          <w:szCs w:val="24"/>
        </w:rPr>
        <w:t xml:space="preserve">. Conventionally, </w:t>
      </w:r>
      <w:r w:rsidR="008A797A" w:rsidRPr="008A797A">
        <w:rPr>
          <w:rFonts w:cs="Times New Roman"/>
          <w:i/>
          <w:sz w:val="24"/>
          <w:szCs w:val="24"/>
        </w:rPr>
        <w:t>horreum</w:t>
      </w:r>
      <w:r w:rsidR="008A797A" w:rsidRPr="008A797A">
        <w:rPr>
          <w:rFonts w:cs="Times New Roman"/>
          <w:sz w:val="24"/>
          <w:szCs w:val="24"/>
        </w:rPr>
        <w:t xml:space="preserve"> is translated specifically as a granary or grain barn; however this is not necessarily applicable to the five listed above. Of them only the </w:t>
      </w:r>
      <w:r w:rsidR="008A797A" w:rsidRPr="008A797A">
        <w:rPr>
          <w:rFonts w:cs="Times New Roman"/>
          <w:i/>
          <w:sz w:val="24"/>
          <w:szCs w:val="24"/>
        </w:rPr>
        <w:t xml:space="preserve">horrea </w:t>
      </w:r>
      <w:r w:rsidR="008A797A" w:rsidRPr="008A797A">
        <w:rPr>
          <w:rFonts w:cs="Times New Roman"/>
          <w:sz w:val="24"/>
          <w:szCs w:val="24"/>
        </w:rPr>
        <w:t xml:space="preserve">of Galba can be confidently said to have stored grain, according to inscriptions that state it stored the </w:t>
      </w:r>
      <w:r w:rsidR="008A797A" w:rsidRPr="008A797A">
        <w:rPr>
          <w:rFonts w:cs="Times New Roman"/>
          <w:i/>
          <w:sz w:val="24"/>
          <w:szCs w:val="24"/>
        </w:rPr>
        <w:t>annona publica</w:t>
      </w:r>
      <w:r w:rsidR="008A797A" w:rsidRPr="008A797A">
        <w:rPr>
          <w:rFonts w:cs="Times New Roman"/>
          <w:sz w:val="24"/>
          <w:szCs w:val="24"/>
        </w:rPr>
        <w:t xml:space="preserve">, but other inscriptions indicate that it was used to store a multitude of other items as well. In particular the following; </w:t>
      </w:r>
      <w:r w:rsidR="008A797A" w:rsidRPr="008A797A">
        <w:rPr>
          <w:rFonts w:cs="Times New Roman"/>
          <w:i/>
          <w:sz w:val="24"/>
          <w:szCs w:val="24"/>
        </w:rPr>
        <w:t>Sulpicii</w:t>
      </w:r>
      <w:r w:rsidR="00A2673C">
        <w:rPr>
          <w:rFonts w:cs="Times New Roman"/>
          <w:i/>
          <w:sz w:val="24"/>
          <w:szCs w:val="24"/>
        </w:rPr>
        <w:t>:</w:t>
      </w:r>
      <w:r w:rsidR="008A797A" w:rsidRPr="008A797A">
        <w:rPr>
          <w:rFonts w:cs="Times New Roman"/>
          <w:i/>
          <w:sz w:val="24"/>
          <w:szCs w:val="24"/>
        </w:rPr>
        <w:t xml:space="preserve"> Galbae horrea dicit</w:t>
      </w:r>
      <w:r w:rsidR="00A2673C">
        <w:rPr>
          <w:rFonts w:cs="Times New Roman"/>
          <w:i/>
          <w:sz w:val="24"/>
          <w:szCs w:val="24"/>
        </w:rPr>
        <w:t>.</w:t>
      </w:r>
      <w:r w:rsidR="008A797A" w:rsidRPr="008A797A">
        <w:rPr>
          <w:rFonts w:cs="Times New Roman"/>
          <w:i/>
          <w:sz w:val="24"/>
          <w:szCs w:val="24"/>
        </w:rPr>
        <w:t xml:space="preserve"> </w:t>
      </w:r>
      <w:proofErr w:type="gramStart"/>
      <w:r w:rsidR="00A2673C">
        <w:rPr>
          <w:rFonts w:cs="Times New Roman"/>
          <w:i/>
          <w:sz w:val="24"/>
          <w:szCs w:val="24"/>
        </w:rPr>
        <w:t>h</w:t>
      </w:r>
      <w:r w:rsidR="008A797A" w:rsidRPr="008A797A">
        <w:rPr>
          <w:rFonts w:cs="Times New Roman"/>
          <w:i/>
          <w:sz w:val="24"/>
          <w:szCs w:val="24"/>
        </w:rPr>
        <w:t>odieque</w:t>
      </w:r>
      <w:proofErr w:type="gramEnd"/>
      <w:r w:rsidR="008A797A" w:rsidRPr="008A797A">
        <w:rPr>
          <w:rFonts w:cs="Times New Roman"/>
          <w:i/>
          <w:sz w:val="24"/>
          <w:szCs w:val="24"/>
        </w:rPr>
        <w:t xml:space="preserve"> autem Galbae horrea vino et oleo et similibus aliis referta sunt</w:t>
      </w:r>
      <w:r w:rsidR="008A797A" w:rsidRPr="008A797A">
        <w:rPr>
          <w:rFonts w:cs="Times New Roman"/>
          <w:sz w:val="24"/>
          <w:szCs w:val="24"/>
        </w:rPr>
        <w:t xml:space="preserve">, would suggest that actually these larger </w:t>
      </w:r>
      <w:r w:rsidR="008A797A" w:rsidRPr="008A797A">
        <w:rPr>
          <w:rFonts w:cs="Times New Roman"/>
          <w:i/>
          <w:sz w:val="24"/>
          <w:szCs w:val="24"/>
        </w:rPr>
        <w:t>horrea</w:t>
      </w:r>
      <w:r w:rsidR="008A797A" w:rsidRPr="008A797A">
        <w:rPr>
          <w:rFonts w:cs="Times New Roman"/>
          <w:sz w:val="24"/>
          <w:szCs w:val="24"/>
        </w:rPr>
        <w:t xml:space="preserve"> were instead used </w:t>
      </w:r>
      <w:r w:rsidR="008A797A" w:rsidRPr="008A797A">
        <w:rPr>
          <w:rFonts w:cs="Times New Roman"/>
          <w:sz w:val="24"/>
          <w:szCs w:val="24"/>
        </w:rPr>
        <w:lastRenderedPageBreak/>
        <w:t>to store much of the public ration including the subsidised oil and wine rations.</w:t>
      </w:r>
      <w:r w:rsidR="008A797A" w:rsidRPr="008A797A">
        <w:rPr>
          <w:rStyle w:val="FootnoteReference"/>
          <w:rFonts w:cs="Times New Roman"/>
          <w:sz w:val="24"/>
          <w:szCs w:val="24"/>
        </w:rPr>
        <w:footnoteReference w:id="283"/>
      </w:r>
      <w:r w:rsidR="008A797A" w:rsidRPr="008A797A">
        <w:rPr>
          <w:rFonts w:cs="Times New Roman"/>
          <w:sz w:val="24"/>
          <w:szCs w:val="24"/>
        </w:rPr>
        <w:t xml:space="preserve"> In Richardson’s </w:t>
      </w:r>
      <w:r w:rsidR="008A797A" w:rsidRPr="008A797A">
        <w:rPr>
          <w:rFonts w:cs="Times New Roman"/>
          <w:i/>
          <w:sz w:val="24"/>
          <w:szCs w:val="24"/>
        </w:rPr>
        <w:t>Topographical Dictionary</w:t>
      </w:r>
      <w:r w:rsidR="008A797A" w:rsidRPr="008A797A">
        <w:rPr>
          <w:rFonts w:cs="Times New Roman"/>
          <w:sz w:val="24"/>
          <w:szCs w:val="24"/>
        </w:rPr>
        <w:t xml:space="preserve"> the </w:t>
      </w:r>
      <w:r w:rsidR="008A797A" w:rsidRPr="008A797A">
        <w:rPr>
          <w:rFonts w:cs="Times New Roman"/>
          <w:i/>
          <w:sz w:val="24"/>
          <w:szCs w:val="24"/>
        </w:rPr>
        <w:t>Horrea Chartaria</w:t>
      </w:r>
      <w:r w:rsidR="008A797A" w:rsidRPr="008A797A">
        <w:rPr>
          <w:rFonts w:cs="Times New Roman"/>
          <w:sz w:val="24"/>
          <w:szCs w:val="24"/>
        </w:rPr>
        <w:t xml:space="preserve"> appears as a, ‘well-known storehouse for paper’ amongst other things.</w:t>
      </w:r>
      <w:r w:rsidR="008A797A" w:rsidRPr="008A797A">
        <w:rPr>
          <w:rStyle w:val="FootnoteReference"/>
          <w:rFonts w:cs="Times New Roman"/>
          <w:sz w:val="24"/>
          <w:szCs w:val="24"/>
        </w:rPr>
        <w:footnoteReference w:id="284"/>
      </w:r>
      <w:r w:rsidR="008A797A" w:rsidRPr="008A797A">
        <w:rPr>
          <w:rFonts w:cs="Times New Roman"/>
          <w:sz w:val="24"/>
          <w:szCs w:val="24"/>
        </w:rPr>
        <w:t xml:space="preserve"> They were also, like many of the other buildings in the </w:t>
      </w:r>
      <w:r w:rsidR="008A797A" w:rsidRPr="008A797A">
        <w:rPr>
          <w:rFonts w:cs="Times New Roman"/>
          <w:i/>
          <w:sz w:val="24"/>
          <w:szCs w:val="24"/>
        </w:rPr>
        <w:t>Regionaries</w:t>
      </w:r>
      <w:r w:rsidR="008A797A" w:rsidRPr="008A797A">
        <w:rPr>
          <w:rFonts w:cs="Times New Roman"/>
          <w:sz w:val="24"/>
          <w:szCs w:val="24"/>
        </w:rPr>
        <w:t xml:space="preserve">, buildings of noble heritage. The </w:t>
      </w:r>
      <w:r w:rsidR="008A797A" w:rsidRPr="008A797A">
        <w:rPr>
          <w:rFonts w:cs="Times New Roman"/>
          <w:i/>
          <w:sz w:val="24"/>
          <w:szCs w:val="24"/>
        </w:rPr>
        <w:t xml:space="preserve">Horrea Galba </w:t>
      </w:r>
      <w:r w:rsidR="008A797A" w:rsidRPr="008A797A">
        <w:rPr>
          <w:rFonts w:cs="Times New Roman"/>
          <w:sz w:val="24"/>
          <w:szCs w:val="24"/>
        </w:rPr>
        <w:t xml:space="preserve">had been a possession of the honoured </w:t>
      </w:r>
      <w:r w:rsidR="008A797A" w:rsidRPr="008A797A">
        <w:rPr>
          <w:rFonts w:cs="Times New Roman"/>
          <w:i/>
          <w:sz w:val="24"/>
          <w:szCs w:val="24"/>
        </w:rPr>
        <w:t>Sulpicii Galbae</w:t>
      </w:r>
      <w:r w:rsidR="008A797A" w:rsidRPr="008A797A">
        <w:rPr>
          <w:rFonts w:cs="Times New Roman"/>
          <w:sz w:val="24"/>
          <w:szCs w:val="24"/>
        </w:rPr>
        <w:t xml:space="preserve">, a family who listed a number of Consuls and even an </w:t>
      </w:r>
      <w:r w:rsidR="0087599E">
        <w:rPr>
          <w:rFonts w:cs="Times New Roman"/>
          <w:sz w:val="24"/>
          <w:szCs w:val="24"/>
        </w:rPr>
        <w:t>e</w:t>
      </w:r>
      <w:r w:rsidR="008B44B0">
        <w:rPr>
          <w:rFonts w:cs="Times New Roman"/>
          <w:sz w:val="24"/>
          <w:szCs w:val="24"/>
        </w:rPr>
        <w:t>mperor</w:t>
      </w:r>
      <w:r w:rsidR="008A797A" w:rsidRPr="008A797A">
        <w:rPr>
          <w:rFonts w:cs="Times New Roman"/>
          <w:sz w:val="24"/>
          <w:szCs w:val="24"/>
        </w:rPr>
        <w:t xml:space="preserve"> amongst their ranks.</w:t>
      </w:r>
      <w:r w:rsidR="008A797A" w:rsidRPr="008A797A">
        <w:rPr>
          <w:rStyle w:val="FootnoteReference"/>
          <w:rFonts w:cs="Times New Roman"/>
          <w:sz w:val="24"/>
          <w:szCs w:val="24"/>
        </w:rPr>
        <w:footnoteReference w:id="285"/>
      </w:r>
      <w:r w:rsidR="008A797A" w:rsidRPr="008A797A">
        <w:rPr>
          <w:rFonts w:cs="Times New Roman"/>
          <w:sz w:val="24"/>
          <w:szCs w:val="24"/>
        </w:rPr>
        <w:t xml:space="preserve"> Even if the </w:t>
      </w:r>
      <w:r w:rsidR="008A797A" w:rsidRPr="008A797A">
        <w:rPr>
          <w:rFonts w:cs="Times New Roman"/>
          <w:i/>
          <w:iCs/>
          <w:sz w:val="24"/>
          <w:szCs w:val="24"/>
        </w:rPr>
        <w:t xml:space="preserve">Horrea </w:t>
      </w:r>
      <w:r w:rsidR="008A797A" w:rsidRPr="008A797A">
        <w:rPr>
          <w:rFonts w:cs="Times New Roman"/>
          <w:sz w:val="24"/>
          <w:szCs w:val="24"/>
        </w:rPr>
        <w:t>were dedicated for the grain the Urban Prefect would have known what was stored there. And in any case a list of potential warehouses would always be useful, particularly if they had a proud and distinguished heritage that would add further honour to the Urban Prefect’s duty.</w:t>
      </w:r>
    </w:p>
    <w:p w:rsidR="008A797A" w:rsidRPr="008A797A" w:rsidRDefault="008A797A" w:rsidP="00722391">
      <w:pPr>
        <w:spacing w:line="480" w:lineRule="auto"/>
        <w:ind w:firstLine="720"/>
        <w:jc w:val="both"/>
        <w:rPr>
          <w:rFonts w:cs="Times New Roman"/>
          <w:sz w:val="24"/>
          <w:szCs w:val="24"/>
        </w:rPr>
      </w:pPr>
      <w:r w:rsidRPr="008A797A">
        <w:rPr>
          <w:sz w:val="24"/>
          <w:szCs w:val="24"/>
        </w:rPr>
        <w:t xml:space="preserve">Prior to Aurelian the </w:t>
      </w:r>
      <w:r w:rsidRPr="008A797A">
        <w:rPr>
          <w:i/>
          <w:iCs/>
          <w:sz w:val="24"/>
          <w:szCs w:val="24"/>
        </w:rPr>
        <w:t>annona</w:t>
      </w:r>
      <w:r w:rsidR="00592B39">
        <w:rPr>
          <w:i/>
          <w:iCs/>
          <w:sz w:val="24"/>
          <w:szCs w:val="24"/>
        </w:rPr>
        <w:t>e</w:t>
      </w:r>
      <w:r w:rsidRPr="008A797A">
        <w:rPr>
          <w:sz w:val="24"/>
          <w:szCs w:val="24"/>
        </w:rPr>
        <w:t xml:space="preserve"> was comprised of actual grain and after his reforms the citize</w:t>
      </w:r>
      <w:r w:rsidR="008F494F">
        <w:rPr>
          <w:sz w:val="24"/>
          <w:szCs w:val="24"/>
        </w:rPr>
        <w:t>ns of Rome received baked bread</w:t>
      </w:r>
      <w:r w:rsidRPr="008A797A">
        <w:rPr>
          <w:sz w:val="24"/>
          <w:szCs w:val="24"/>
        </w:rPr>
        <w:t>.</w:t>
      </w:r>
      <w:r w:rsidRPr="008A797A">
        <w:rPr>
          <w:rStyle w:val="FootnoteReference"/>
          <w:sz w:val="24"/>
          <w:szCs w:val="24"/>
        </w:rPr>
        <w:footnoteReference w:id="286"/>
      </w:r>
      <w:r w:rsidRPr="008A797A">
        <w:rPr>
          <w:sz w:val="24"/>
          <w:szCs w:val="24"/>
        </w:rPr>
        <w:t xml:space="preserve"> </w:t>
      </w:r>
      <w:r w:rsidRPr="008A797A">
        <w:rPr>
          <w:rFonts w:cs="Times New Roman"/>
          <w:sz w:val="24"/>
          <w:szCs w:val="24"/>
        </w:rPr>
        <w:t>With the Urban Prefect possessing the responsibility for the grain from the point of delivery, he would also n</w:t>
      </w:r>
      <w:r w:rsidR="00AF3108">
        <w:rPr>
          <w:rFonts w:cs="Times New Roman"/>
          <w:sz w:val="24"/>
          <w:szCs w:val="24"/>
        </w:rPr>
        <w:t>eed to ensure it was baked for</w:t>
      </w:r>
      <w:r w:rsidR="00F56C98">
        <w:rPr>
          <w:rFonts w:cs="Times New Roman"/>
          <w:sz w:val="24"/>
          <w:szCs w:val="24"/>
        </w:rPr>
        <w:t xml:space="preserve"> the new</w:t>
      </w:r>
      <w:r w:rsidRPr="008A797A">
        <w:rPr>
          <w:rFonts w:cs="Times New Roman"/>
          <w:sz w:val="24"/>
          <w:szCs w:val="24"/>
        </w:rPr>
        <w:t xml:space="preserve"> bread ration. When we consider that</w:t>
      </w:r>
      <w:r w:rsidR="00AF3108">
        <w:rPr>
          <w:rFonts w:cs="Times New Roman"/>
          <w:sz w:val="24"/>
          <w:szCs w:val="24"/>
        </w:rPr>
        <w:t xml:space="preserve"> the</w:t>
      </w:r>
      <w:r w:rsidRPr="008A797A">
        <w:rPr>
          <w:rFonts w:cs="Times New Roman"/>
          <w:sz w:val="24"/>
          <w:szCs w:val="24"/>
        </w:rPr>
        <w:t xml:space="preserve"> </w:t>
      </w:r>
      <w:r w:rsidRPr="008A797A">
        <w:rPr>
          <w:rFonts w:cs="Times New Roman"/>
          <w:i/>
          <w:sz w:val="24"/>
          <w:szCs w:val="24"/>
        </w:rPr>
        <w:t xml:space="preserve">Regionaries </w:t>
      </w:r>
      <w:r w:rsidR="00AF3108">
        <w:rPr>
          <w:rFonts w:cs="Times New Roman"/>
          <w:sz w:val="24"/>
          <w:szCs w:val="24"/>
        </w:rPr>
        <w:t>note</w:t>
      </w:r>
      <w:r w:rsidRPr="008A797A">
        <w:rPr>
          <w:rFonts w:cs="Times New Roman"/>
          <w:sz w:val="24"/>
          <w:szCs w:val="24"/>
        </w:rPr>
        <w:t xml:space="preserve"> the </w:t>
      </w:r>
      <w:r w:rsidRPr="008A797A">
        <w:rPr>
          <w:rFonts w:cs="Times New Roman"/>
          <w:i/>
          <w:sz w:val="24"/>
          <w:szCs w:val="24"/>
        </w:rPr>
        <w:t>Janiculum</w:t>
      </w:r>
      <w:r w:rsidRPr="008A797A">
        <w:rPr>
          <w:rFonts w:cs="Times New Roman"/>
          <w:sz w:val="24"/>
          <w:szCs w:val="24"/>
        </w:rPr>
        <w:t xml:space="preserve">, an area noted for its mills in the </w:t>
      </w:r>
      <w:r w:rsidRPr="008A797A">
        <w:rPr>
          <w:rFonts w:cs="Times New Roman"/>
          <w:i/>
          <w:sz w:val="24"/>
          <w:szCs w:val="24"/>
        </w:rPr>
        <w:t>Regio</w:t>
      </w:r>
      <w:r w:rsidRPr="008A797A">
        <w:rPr>
          <w:rFonts w:cs="Times New Roman"/>
          <w:sz w:val="24"/>
          <w:szCs w:val="24"/>
        </w:rPr>
        <w:t xml:space="preserve"> </w:t>
      </w:r>
      <w:r w:rsidRPr="008A797A">
        <w:rPr>
          <w:rFonts w:cs="Times New Roman"/>
          <w:i/>
          <w:sz w:val="24"/>
          <w:szCs w:val="24"/>
        </w:rPr>
        <w:t>XIII: Transtiberim</w:t>
      </w:r>
      <w:r w:rsidRPr="008A797A">
        <w:rPr>
          <w:rFonts w:cs="Times New Roman"/>
          <w:sz w:val="24"/>
          <w:szCs w:val="24"/>
        </w:rPr>
        <w:t xml:space="preserve">, and that each region of the </w:t>
      </w:r>
      <w:r w:rsidRPr="008A797A">
        <w:rPr>
          <w:rFonts w:cs="Times New Roman"/>
          <w:i/>
          <w:sz w:val="24"/>
          <w:szCs w:val="24"/>
        </w:rPr>
        <w:t>Regionary Catalogues</w:t>
      </w:r>
      <w:r w:rsidRPr="008A797A">
        <w:rPr>
          <w:rFonts w:cs="Times New Roman"/>
          <w:sz w:val="24"/>
          <w:szCs w:val="24"/>
        </w:rPr>
        <w:t xml:space="preserve"> possesses figures for </w:t>
      </w:r>
      <w:r w:rsidRPr="008A797A">
        <w:rPr>
          <w:rFonts w:cs="Times New Roman"/>
          <w:i/>
          <w:sz w:val="24"/>
          <w:szCs w:val="24"/>
        </w:rPr>
        <w:t>pistrina</w:t>
      </w:r>
      <w:r w:rsidRPr="008A797A">
        <w:rPr>
          <w:rFonts w:cs="Times New Roman"/>
          <w:sz w:val="24"/>
          <w:szCs w:val="24"/>
        </w:rPr>
        <w:t>,</w:t>
      </w:r>
      <w:r w:rsidRPr="008A797A">
        <w:rPr>
          <w:rFonts w:cs="Times New Roman"/>
          <w:i/>
          <w:sz w:val="24"/>
          <w:szCs w:val="24"/>
        </w:rPr>
        <w:t xml:space="preserve"> </w:t>
      </w:r>
      <w:r w:rsidRPr="008A797A">
        <w:rPr>
          <w:rFonts w:cs="Times New Roman"/>
          <w:sz w:val="24"/>
          <w:szCs w:val="24"/>
        </w:rPr>
        <w:t xml:space="preserve">the </w:t>
      </w:r>
      <w:r w:rsidRPr="008A797A">
        <w:rPr>
          <w:rFonts w:cs="Times New Roman"/>
          <w:i/>
          <w:sz w:val="24"/>
          <w:szCs w:val="24"/>
        </w:rPr>
        <w:t>Regionary Catalogues</w:t>
      </w:r>
      <w:r w:rsidRPr="008A797A">
        <w:rPr>
          <w:rFonts w:cs="Times New Roman"/>
          <w:sz w:val="24"/>
          <w:szCs w:val="24"/>
        </w:rPr>
        <w:t xml:space="preserve"> provide us with those places that could be used to produce the bread ration.</w:t>
      </w:r>
      <w:r w:rsidRPr="008A797A">
        <w:rPr>
          <w:rStyle w:val="FootnoteReference"/>
          <w:rFonts w:cs="Times New Roman"/>
          <w:sz w:val="24"/>
          <w:szCs w:val="24"/>
        </w:rPr>
        <w:footnoteReference w:id="287"/>
      </w:r>
      <w:r w:rsidRPr="008A797A">
        <w:rPr>
          <w:rFonts w:cs="Times New Roman"/>
          <w:sz w:val="24"/>
          <w:szCs w:val="24"/>
        </w:rPr>
        <w:t xml:space="preserve"> This makes it an issue of the populace’s </w:t>
      </w:r>
      <w:r w:rsidRPr="008A797A">
        <w:rPr>
          <w:rFonts w:cs="Times New Roman"/>
          <w:i/>
          <w:sz w:val="24"/>
          <w:szCs w:val="24"/>
        </w:rPr>
        <w:t>munera</w:t>
      </w:r>
      <w:r w:rsidRPr="008A797A">
        <w:rPr>
          <w:rFonts w:cs="Times New Roman"/>
          <w:sz w:val="24"/>
          <w:szCs w:val="24"/>
        </w:rPr>
        <w:t xml:space="preserve"> (civil obligations) to the state, an area of the Urban Prefect’s responsibility.</w:t>
      </w:r>
      <w:r w:rsidRPr="008A797A">
        <w:rPr>
          <w:sz w:val="24"/>
          <w:szCs w:val="24"/>
        </w:rPr>
        <w:t xml:space="preserve"> As we know that the </w:t>
      </w:r>
      <w:r w:rsidRPr="008A797A">
        <w:rPr>
          <w:i/>
          <w:iCs/>
          <w:sz w:val="24"/>
          <w:szCs w:val="24"/>
        </w:rPr>
        <w:t>annona’s</w:t>
      </w:r>
      <w:r w:rsidRPr="008A797A">
        <w:rPr>
          <w:sz w:val="24"/>
          <w:szCs w:val="24"/>
        </w:rPr>
        <w:t xml:space="preserve"> distribution remained under the direct care of the Urban Prefect until 331, the </w:t>
      </w:r>
      <w:r w:rsidRPr="008A797A">
        <w:rPr>
          <w:i/>
          <w:iCs/>
          <w:sz w:val="24"/>
          <w:szCs w:val="24"/>
        </w:rPr>
        <w:t>Regionaries</w:t>
      </w:r>
      <w:r w:rsidRPr="008A797A">
        <w:rPr>
          <w:sz w:val="24"/>
          <w:szCs w:val="24"/>
        </w:rPr>
        <w:t xml:space="preserve"> make sense as a document belonging to the </w:t>
      </w:r>
      <w:r w:rsidRPr="008A797A">
        <w:rPr>
          <w:sz w:val="24"/>
          <w:szCs w:val="24"/>
        </w:rPr>
        <w:lastRenderedPageBreak/>
        <w:t>civic administration of the Urban Prefect.</w:t>
      </w:r>
      <w:r w:rsidRPr="008A797A">
        <w:rPr>
          <w:rStyle w:val="FootnoteReference"/>
          <w:sz w:val="24"/>
          <w:szCs w:val="24"/>
        </w:rPr>
        <w:footnoteReference w:id="288"/>
      </w:r>
      <w:r w:rsidRPr="008A797A">
        <w:rPr>
          <w:sz w:val="24"/>
          <w:szCs w:val="24"/>
        </w:rPr>
        <w:t xml:space="preserve"> </w:t>
      </w:r>
      <w:r w:rsidRPr="008A797A">
        <w:rPr>
          <w:rFonts w:cs="Times New Roman"/>
          <w:sz w:val="24"/>
          <w:szCs w:val="24"/>
        </w:rPr>
        <w:t xml:space="preserve">The inclusion of the </w:t>
      </w:r>
      <w:r w:rsidRPr="008A797A">
        <w:rPr>
          <w:rFonts w:cs="Times New Roman"/>
          <w:i/>
          <w:sz w:val="24"/>
          <w:szCs w:val="24"/>
        </w:rPr>
        <w:t>horrea</w:t>
      </w:r>
      <w:r w:rsidRPr="008A797A">
        <w:rPr>
          <w:rFonts w:cs="Times New Roman"/>
          <w:sz w:val="24"/>
          <w:szCs w:val="24"/>
        </w:rPr>
        <w:t xml:space="preserve"> and </w:t>
      </w:r>
      <w:r w:rsidRPr="008A797A">
        <w:rPr>
          <w:rFonts w:cs="Times New Roman"/>
          <w:i/>
          <w:sz w:val="24"/>
          <w:szCs w:val="24"/>
        </w:rPr>
        <w:t>pistrina</w:t>
      </w:r>
      <w:r w:rsidRPr="008A797A">
        <w:rPr>
          <w:rFonts w:cs="Times New Roman"/>
          <w:sz w:val="24"/>
          <w:szCs w:val="24"/>
        </w:rPr>
        <w:t xml:space="preserve"> in the statistics at the end of each region and the appendices suggests a much more wide-ranging concern with the food supply for the whole city, rather than the specific details of the distribution that would be the concern of the Prefect of the </w:t>
      </w:r>
      <w:r w:rsidRPr="008A797A">
        <w:rPr>
          <w:rFonts w:cs="Times New Roman"/>
          <w:i/>
          <w:sz w:val="24"/>
          <w:szCs w:val="24"/>
        </w:rPr>
        <w:t>Annona</w:t>
      </w:r>
      <w:r w:rsidR="001E6F4E">
        <w:rPr>
          <w:rFonts w:cs="Times New Roman"/>
          <w:i/>
          <w:sz w:val="24"/>
          <w:szCs w:val="24"/>
        </w:rPr>
        <w:t>e</w:t>
      </w:r>
      <w:r w:rsidRPr="008A797A">
        <w:rPr>
          <w:sz w:val="24"/>
          <w:szCs w:val="24"/>
        </w:rPr>
        <w:t xml:space="preserve">. Only the Urban Prefect would find administrative use from a record of those buildings involved in the preparation and distribution of the </w:t>
      </w:r>
      <w:r w:rsidRPr="008A797A">
        <w:rPr>
          <w:i/>
          <w:sz w:val="24"/>
          <w:szCs w:val="24"/>
        </w:rPr>
        <w:t>annonae</w:t>
      </w:r>
      <w:r w:rsidRPr="008A797A">
        <w:rPr>
          <w:sz w:val="24"/>
          <w:szCs w:val="24"/>
        </w:rPr>
        <w:t xml:space="preserve"> without more specific detail. This demonstration of the obligations owed to the Urban Prefect reinforces the administrative hierarchy of the city and establishes the importance of the Urban Prefecture in the wider hierarchies of the Empire.</w:t>
      </w:r>
    </w:p>
    <w:p w:rsidR="00C63702" w:rsidRDefault="008A797A" w:rsidP="00722391">
      <w:pPr>
        <w:spacing w:line="480" w:lineRule="auto"/>
        <w:jc w:val="both"/>
        <w:rPr>
          <w:sz w:val="24"/>
          <w:szCs w:val="24"/>
        </w:rPr>
      </w:pPr>
      <w:r w:rsidRPr="008A797A">
        <w:rPr>
          <w:sz w:val="24"/>
          <w:szCs w:val="24"/>
        </w:rPr>
        <w:tab/>
        <w:t xml:space="preserve">The concern of the person who created the </w:t>
      </w:r>
      <w:r w:rsidRPr="008A797A">
        <w:rPr>
          <w:i/>
          <w:sz w:val="24"/>
          <w:szCs w:val="24"/>
        </w:rPr>
        <w:t>Regionary Catalogues</w:t>
      </w:r>
      <w:r w:rsidRPr="008A797A">
        <w:rPr>
          <w:sz w:val="24"/>
          <w:szCs w:val="24"/>
        </w:rPr>
        <w:t xml:space="preserve"> was not for supplying the city; these iss</w:t>
      </w:r>
      <w:r w:rsidR="00A720D0">
        <w:rPr>
          <w:sz w:val="24"/>
          <w:szCs w:val="24"/>
        </w:rPr>
        <w:t xml:space="preserve">ues were settled far outside </w:t>
      </w:r>
      <w:r w:rsidRPr="008A797A">
        <w:rPr>
          <w:sz w:val="24"/>
          <w:szCs w:val="24"/>
        </w:rPr>
        <w:t>Rome and beyond the jurisdiction of the Urban Prefect (although not necessarily his personal influence). From the evidence above,  what appears to be the concern of the Urban Prefect was the maintenance of the structures involved with the storage and distribution of the various foodstuffs that the cit</w:t>
      </w:r>
      <w:r w:rsidR="00A720D0">
        <w:rPr>
          <w:sz w:val="24"/>
          <w:szCs w:val="24"/>
        </w:rPr>
        <w:t xml:space="preserve">y was entitled to, of which </w:t>
      </w:r>
      <w:r w:rsidRPr="008A797A">
        <w:rPr>
          <w:sz w:val="24"/>
          <w:szCs w:val="24"/>
        </w:rPr>
        <w:t xml:space="preserve">grain was only one.  This means yet another connection with the </w:t>
      </w:r>
      <w:r w:rsidRPr="008A797A">
        <w:rPr>
          <w:i/>
          <w:sz w:val="24"/>
          <w:szCs w:val="24"/>
        </w:rPr>
        <w:t>munera</w:t>
      </w:r>
      <w:r w:rsidRPr="008A797A">
        <w:rPr>
          <w:sz w:val="24"/>
          <w:szCs w:val="24"/>
        </w:rPr>
        <w:t xml:space="preserve"> that provided for the city. The mandatory labour required of the </w:t>
      </w:r>
      <w:r w:rsidRPr="008A797A">
        <w:rPr>
          <w:i/>
          <w:sz w:val="24"/>
          <w:szCs w:val="24"/>
        </w:rPr>
        <w:t>collegia</w:t>
      </w:r>
      <w:r w:rsidRPr="008A797A">
        <w:rPr>
          <w:sz w:val="24"/>
          <w:szCs w:val="24"/>
        </w:rPr>
        <w:t xml:space="preserve"> (city guilds) from the beginn</w:t>
      </w:r>
      <w:r w:rsidR="00A720D0">
        <w:rPr>
          <w:sz w:val="24"/>
          <w:szCs w:val="24"/>
        </w:rPr>
        <w:t>ing of the reign of Constantine</w:t>
      </w:r>
      <w:r w:rsidRPr="008A797A">
        <w:rPr>
          <w:sz w:val="24"/>
          <w:szCs w:val="24"/>
        </w:rPr>
        <w:t xml:space="preserve"> saw its beginning in the reforms of Aurelian to provide labour for the construction the Aurelian Wall.</w:t>
      </w:r>
      <w:r w:rsidRPr="008A797A">
        <w:rPr>
          <w:rStyle w:val="FootnoteReference"/>
          <w:sz w:val="24"/>
          <w:szCs w:val="24"/>
        </w:rPr>
        <w:footnoteReference w:id="289"/>
      </w:r>
      <w:r w:rsidRPr="008A797A">
        <w:rPr>
          <w:sz w:val="24"/>
          <w:szCs w:val="24"/>
        </w:rPr>
        <w:t xml:space="preserve">  In the absence of the </w:t>
      </w:r>
      <w:r w:rsidR="001E6F4E">
        <w:rPr>
          <w:sz w:val="24"/>
          <w:szCs w:val="24"/>
        </w:rPr>
        <w:t>army to provide engineers, the bakers’, butchers’ and o</w:t>
      </w:r>
      <w:r w:rsidRPr="008A797A">
        <w:rPr>
          <w:sz w:val="24"/>
          <w:szCs w:val="24"/>
        </w:rPr>
        <w:t xml:space="preserve">il-sellers’ </w:t>
      </w:r>
      <w:r w:rsidRPr="008A797A">
        <w:rPr>
          <w:i/>
          <w:sz w:val="24"/>
          <w:szCs w:val="24"/>
        </w:rPr>
        <w:t>collegia</w:t>
      </w:r>
      <w:r w:rsidRPr="008A797A">
        <w:rPr>
          <w:sz w:val="24"/>
          <w:szCs w:val="24"/>
        </w:rPr>
        <w:t xml:space="preserve"> provided labour to Aurelian as part of their </w:t>
      </w:r>
      <w:r w:rsidRPr="008A797A">
        <w:rPr>
          <w:i/>
          <w:sz w:val="24"/>
          <w:szCs w:val="24"/>
        </w:rPr>
        <w:t>munera</w:t>
      </w:r>
      <w:r w:rsidRPr="008A797A">
        <w:rPr>
          <w:sz w:val="24"/>
          <w:szCs w:val="24"/>
        </w:rPr>
        <w:t xml:space="preserve"> and this meant a redrawing of the social and political hierarchy.</w:t>
      </w:r>
      <w:r w:rsidR="00122F69">
        <w:rPr>
          <w:rStyle w:val="FootnoteReference"/>
          <w:sz w:val="24"/>
          <w:szCs w:val="24"/>
        </w:rPr>
        <w:footnoteReference w:id="290"/>
      </w:r>
      <w:r w:rsidRPr="008A797A">
        <w:rPr>
          <w:sz w:val="24"/>
          <w:szCs w:val="24"/>
        </w:rPr>
        <w:t xml:space="preserve"> With the</w:t>
      </w:r>
      <w:r w:rsidR="00A720D0">
        <w:rPr>
          <w:sz w:val="24"/>
          <w:szCs w:val="24"/>
        </w:rPr>
        <w:t xml:space="preserve"> addition of civil duties came </w:t>
      </w:r>
      <w:r w:rsidRPr="008A797A">
        <w:rPr>
          <w:sz w:val="24"/>
          <w:szCs w:val="24"/>
        </w:rPr>
        <w:t xml:space="preserve">an increase in one’s civil honour and this </w:t>
      </w:r>
      <w:r w:rsidRPr="008A797A">
        <w:rPr>
          <w:sz w:val="24"/>
          <w:szCs w:val="24"/>
        </w:rPr>
        <w:lastRenderedPageBreak/>
        <w:t>would entail a change in the social composition of the city and so the ability of administrators to exert</w:t>
      </w:r>
      <w:r w:rsidR="00676018">
        <w:rPr>
          <w:sz w:val="24"/>
          <w:szCs w:val="24"/>
        </w:rPr>
        <w:t xml:space="preserve"> their</w:t>
      </w:r>
      <w:r w:rsidRPr="008A797A">
        <w:rPr>
          <w:sz w:val="24"/>
          <w:szCs w:val="24"/>
        </w:rPr>
        <w:t xml:space="preserve"> authority upon people. As the figure directly responsible for both the administration of Aurelian’s new rations as well as the construction of his Wall, it would be the Urban Prefect’s duty to enforce the compliance of those buildings and businesses that either owed or could be compelled to give service to the government. Whilst the specifics could be left to his staff, the Urban Prefect had to be able to deal with, and be seen to be dealing with, the </w:t>
      </w:r>
      <w:r w:rsidR="001E6F4E">
        <w:rPr>
          <w:i/>
          <w:sz w:val="24"/>
          <w:szCs w:val="24"/>
        </w:rPr>
        <w:t>a</w:t>
      </w:r>
      <w:r w:rsidRPr="008A797A">
        <w:rPr>
          <w:i/>
          <w:sz w:val="24"/>
          <w:szCs w:val="24"/>
        </w:rPr>
        <w:t>nnonae</w:t>
      </w:r>
      <w:r w:rsidRPr="008A797A">
        <w:rPr>
          <w:sz w:val="24"/>
          <w:szCs w:val="24"/>
        </w:rPr>
        <w:t xml:space="preserve">. It was an issue of prestige, not only because the </w:t>
      </w:r>
      <w:r w:rsidRPr="008A797A">
        <w:rPr>
          <w:i/>
          <w:sz w:val="24"/>
          <w:szCs w:val="24"/>
        </w:rPr>
        <w:t>annonae</w:t>
      </w:r>
      <w:r w:rsidRPr="008A797A">
        <w:rPr>
          <w:sz w:val="24"/>
          <w:szCs w:val="24"/>
        </w:rPr>
        <w:t xml:space="preserve"> was one of Rome’s oldest traditions and most lucrative privileges, but because if he failed to provide for the city</w:t>
      </w:r>
      <w:r w:rsidR="00A720D0">
        <w:rPr>
          <w:sz w:val="24"/>
          <w:szCs w:val="24"/>
        </w:rPr>
        <w:t>,</w:t>
      </w:r>
      <w:r w:rsidRPr="008A797A">
        <w:rPr>
          <w:sz w:val="24"/>
          <w:szCs w:val="24"/>
        </w:rPr>
        <w:t xml:space="preserve"> the city would rebuke him in the harshest of terms. As the pinnacle of the social hie</w:t>
      </w:r>
      <w:r w:rsidR="00A720D0">
        <w:rPr>
          <w:sz w:val="24"/>
          <w:szCs w:val="24"/>
        </w:rPr>
        <w:t>rarchy, there was a consequent</w:t>
      </w:r>
      <w:r w:rsidRPr="008A797A">
        <w:rPr>
          <w:sz w:val="24"/>
          <w:szCs w:val="24"/>
        </w:rPr>
        <w:t xml:space="preserve"> need to adhere to the greater expectations of the Urban Prefect’s social role. If such a senior figure did not fulfil his obligations, it would be difficult to enforce his orders.</w:t>
      </w:r>
      <w:r w:rsidRPr="008A797A">
        <w:rPr>
          <w:rStyle w:val="FootnoteReference"/>
          <w:sz w:val="24"/>
          <w:szCs w:val="24"/>
        </w:rPr>
        <w:footnoteReference w:id="291"/>
      </w:r>
      <w:r w:rsidRPr="008A797A">
        <w:rPr>
          <w:sz w:val="24"/>
          <w:szCs w:val="24"/>
        </w:rPr>
        <w:t xml:space="preserve"> A food riot was a dangerous thing and such events brought down more than one Urban Prefect. They coul</w:t>
      </w:r>
      <w:r w:rsidR="001E6F4E">
        <w:rPr>
          <w:sz w:val="24"/>
          <w:szCs w:val="24"/>
        </w:rPr>
        <w:t>d haunt a s</w:t>
      </w:r>
      <w:r w:rsidRPr="008A797A">
        <w:rPr>
          <w:sz w:val="24"/>
          <w:szCs w:val="24"/>
        </w:rPr>
        <w:t>enator even after his term of office had finished.</w:t>
      </w:r>
      <w:r w:rsidR="00C76CC5">
        <w:rPr>
          <w:sz w:val="24"/>
          <w:szCs w:val="24"/>
        </w:rPr>
        <w:t xml:space="preserve"> The former Urban Prefect</w:t>
      </w:r>
      <w:r w:rsidRPr="008A797A">
        <w:rPr>
          <w:sz w:val="24"/>
          <w:szCs w:val="24"/>
        </w:rPr>
        <w:t xml:space="preserve"> </w:t>
      </w:r>
      <w:r w:rsidR="00C76CC5">
        <w:rPr>
          <w:sz w:val="24"/>
          <w:szCs w:val="24"/>
        </w:rPr>
        <w:t>Lucius Aurelius Symmachus’</w:t>
      </w:r>
      <w:r w:rsidRPr="008A797A">
        <w:rPr>
          <w:sz w:val="24"/>
          <w:szCs w:val="24"/>
        </w:rPr>
        <w:t xml:space="preserve"> house was burnt down</w:t>
      </w:r>
      <w:r w:rsidR="00EA70A3">
        <w:rPr>
          <w:sz w:val="24"/>
          <w:szCs w:val="24"/>
        </w:rPr>
        <w:t xml:space="preserve"> (circa. 368 onwards)</w:t>
      </w:r>
      <w:r w:rsidRPr="008A797A">
        <w:rPr>
          <w:sz w:val="24"/>
          <w:szCs w:val="24"/>
        </w:rPr>
        <w:t xml:space="preserve"> as a result of a rumour that</w:t>
      </w:r>
      <w:r w:rsidR="00C76CC5">
        <w:rPr>
          <w:sz w:val="24"/>
          <w:szCs w:val="24"/>
        </w:rPr>
        <w:t>, as Urban Prefect,</w:t>
      </w:r>
      <w:r w:rsidRPr="008A797A">
        <w:rPr>
          <w:sz w:val="24"/>
          <w:szCs w:val="24"/>
        </w:rPr>
        <w:t xml:space="preserve"> he had refused to alleviate a shortage by refusing to sell his personal wine reserves at the expected price.</w:t>
      </w:r>
      <w:r w:rsidRPr="008A797A">
        <w:rPr>
          <w:rStyle w:val="FootnoteReference"/>
          <w:sz w:val="24"/>
          <w:szCs w:val="24"/>
        </w:rPr>
        <w:footnoteReference w:id="292"/>
      </w:r>
      <w:r w:rsidRPr="008A797A">
        <w:rPr>
          <w:sz w:val="24"/>
          <w:szCs w:val="24"/>
        </w:rPr>
        <w:t xml:space="preserve">  The Bishop Ambrose of Milan would later wryly remark to the </w:t>
      </w:r>
      <w:r w:rsidR="0087599E">
        <w:rPr>
          <w:sz w:val="24"/>
          <w:szCs w:val="24"/>
        </w:rPr>
        <w:t>e</w:t>
      </w:r>
      <w:r w:rsidR="008B44B0">
        <w:rPr>
          <w:sz w:val="24"/>
          <w:szCs w:val="24"/>
        </w:rPr>
        <w:t>mperor</w:t>
      </w:r>
      <w:r w:rsidRPr="008A797A">
        <w:rPr>
          <w:sz w:val="24"/>
          <w:szCs w:val="24"/>
        </w:rPr>
        <w:t xml:space="preserve"> Theodosius on the subject, ‘Do you remember</w:t>
      </w:r>
      <w:proofErr w:type="gramStart"/>
      <w:r w:rsidRPr="008A797A">
        <w:rPr>
          <w:sz w:val="24"/>
          <w:szCs w:val="24"/>
        </w:rPr>
        <w:t>,</w:t>
      </w:r>
      <w:proofErr w:type="gramEnd"/>
      <w:r w:rsidRPr="008A797A">
        <w:rPr>
          <w:sz w:val="24"/>
          <w:szCs w:val="24"/>
        </w:rPr>
        <w:t xml:space="preserve"> O </w:t>
      </w:r>
      <w:r w:rsidR="008B44B0">
        <w:rPr>
          <w:sz w:val="24"/>
          <w:szCs w:val="24"/>
        </w:rPr>
        <w:t>Emperor</w:t>
      </w:r>
      <w:r w:rsidRPr="008A797A">
        <w:rPr>
          <w:sz w:val="24"/>
          <w:szCs w:val="24"/>
        </w:rPr>
        <w:t>, how many homes of prefects at Rome have been burned, and no one exacted punishment’.</w:t>
      </w:r>
      <w:r w:rsidRPr="008A797A">
        <w:rPr>
          <w:rStyle w:val="FootnoteReference"/>
          <w:sz w:val="24"/>
          <w:szCs w:val="24"/>
        </w:rPr>
        <w:footnoteReference w:id="293"/>
      </w:r>
    </w:p>
    <w:p w:rsidR="004D7E6B" w:rsidRPr="004D7E6B" w:rsidRDefault="004D7E6B" w:rsidP="00722391">
      <w:pPr>
        <w:spacing w:line="480" w:lineRule="auto"/>
        <w:ind w:firstLine="720"/>
        <w:jc w:val="both"/>
        <w:rPr>
          <w:sz w:val="24"/>
          <w:szCs w:val="24"/>
        </w:rPr>
      </w:pPr>
      <w:r w:rsidRPr="004D7E6B">
        <w:rPr>
          <w:sz w:val="24"/>
          <w:szCs w:val="24"/>
        </w:rPr>
        <w:t xml:space="preserve">Another argument for Aurelian’s commissioning of the </w:t>
      </w:r>
      <w:r w:rsidRPr="004D7E6B">
        <w:rPr>
          <w:i/>
          <w:sz w:val="24"/>
          <w:szCs w:val="24"/>
        </w:rPr>
        <w:t>Regionaries</w:t>
      </w:r>
      <w:r w:rsidRPr="004D7E6B">
        <w:rPr>
          <w:sz w:val="24"/>
          <w:szCs w:val="24"/>
        </w:rPr>
        <w:t xml:space="preserve"> can be found in its links to the Urban Prefecture’s original duty of keeping the peace in R</w:t>
      </w:r>
      <w:r w:rsidR="00A720D0">
        <w:rPr>
          <w:sz w:val="24"/>
          <w:szCs w:val="24"/>
        </w:rPr>
        <w:t xml:space="preserve">ome in the absence </w:t>
      </w:r>
      <w:r w:rsidR="00A720D0">
        <w:rPr>
          <w:sz w:val="24"/>
          <w:szCs w:val="24"/>
        </w:rPr>
        <w:lastRenderedPageBreak/>
        <w:t xml:space="preserve">of the </w:t>
      </w:r>
      <w:r w:rsidR="0087599E">
        <w:rPr>
          <w:sz w:val="24"/>
          <w:szCs w:val="24"/>
        </w:rPr>
        <w:t>e</w:t>
      </w:r>
      <w:r w:rsidR="008B44B0">
        <w:rPr>
          <w:sz w:val="24"/>
          <w:szCs w:val="24"/>
        </w:rPr>
        <w:t>mperor</w:t>
      </w:r>
      <w:r w:rsidRPr="004D7E6B">
        <w:rPr>
          <w:sz w:val="24"/>
          <w:szCs w:val="24"/>
        </w:rPr>
        <w:t xml:space="preserve">. As the Senate’s role in the military had declined in the second and third centuries, </w:t>
      </w:r>
      <w:r w:rsidR="0087599E">
        <w:rPr>
          <w:sz w:val="24"/>
          <w:szCs w:val="24"/>
        </w:rPr>
        <w:t>emperors</w:t>
      </w:r>
      <w:r w:rsidRPr="004D7E6B">
        <w:rPr>
          <w:sz w:val="24"/>
          <w:szCs w:val="24"/>
        </w:rPr>
        <w:t xml:space="preserve"> were far from keen to leave military commands under potential rivals. In light of the fact that</w:t>
      </w:r>
      <w:r w:rsidR="00A720D0">
        <w:rPr>
          <w:sz w:val="24"/>
          <w:szCs w:val="24"/>
        </w:rPr>
        <w:t xml:space="preserve"> the early part of</w:t>
      </w:r>
      <w:r w:rsidRPr="004D7E6B">
        <w:rPr>
          <w:sz w:val="24"/>
          <w:szCs w:val="24"/>
        </w:rPr>
        <w:t xml:space="preserve"> Aurelia</w:t>
      </w:r>
      <w:r w:rsidR="00A720D0">
        <w:rPr>
          <w:sz w:val="24"/>
          <w:szCs w:val="24"/>
        </w:rPr>
        <w:t xml:space="preserve">n’s reign had </w:t>
      </w:r>
      <w:r w:rsidR="001E6F4E">
        <w:rPr>
          <w:sz w:val="24"/>
          <w:szCs w:val="24"/>
        </w:rPr>
        <w:t>seen a serious revolt of the mint w</w:t>
      </w:r>
      <w:r w:rsidRPr="004D7E6B">
        <w:rPr>
          <w:sz w:val="24"/>
          <w:szCs w:val="24"/>
        </w:rPr>
        <w:t>orkers at Rome, encouraged (Aurelian believed) by the Senate, the peace and order of the city will have been a particular concern of his Urban Prefects.</w:t>
      </w:r>
      <w:r w:rsidRPr="004D7E6B">
        <w:rPr>
          <w:rStyle w:val="FootnoteReference"/>
          <w:sz w:val="24"/>
          <w:szCs w:val="24"/>
        </w:rPr>
        <w:footnoteReference w:id="294"/>
      </w:r>
      <w:r w:rsidR="00DB632E" w:rsidRPr="00DB632E">
        <w:rPr>
          <w:sz w:val="24"/>
          <w:szCs w:val="24"/>
        </w:rPr>
        <w:t xml:space="preserve"> </w:t>
      </w:r>
      <w:r w:rsidR="00DB632E" w:rsidRPr="004D7E6B">
        <w:rPr>
          <w:sz w:val="24"/>
          <w:szCs w:val="24"/>
        </w:rPr>
        <w:t>The Urban Prefect had access to</w:t>
      </w:r>
      <w:r w:rsidR="00DB632E">
        <w:rPr>
          <w:sz w:val="24"/>
          <w:szCs w:val="24"/>
        </w:rPr>
        <w:t xml:space="preserve"> limited</w:t>
      </w:r>
      <w:r w:rsidR="00DB632E" w:rsidRPr="004D7E6B">
        <w:rPr>
          <w:sz w:val="24"/>
          <w:szCs w:val="24"/>
        </w:rPr>
        <w:t xml:space="preserve"> military power, but also the responsibility and dangers of that power.</w:t>
      </w:r>
    </w:p>
    <w:p w:rsidR="004D7E6B" w:rsidRPr="004D7E6B" w:rsidRDefault="004D7E6B" w:rsidP="00722391">
      <w:pPr>
        <w:spacing w:line="480" w:lineRule="auto"/>
        <w:ind w:firstLine="720"/>
        <w:jc w:val="both"/>
        <w:rPr>
          <w:rFonts w:eastAsiaTheme="majorEastAsia"/>
          <w:bCs/>
          <w:sz w:val="24"/>
          <w:szCs w:val="24"/>
        </w:rPr>
      </w:pPr>
      <w:r w:rsidRPr="004D7E6B">
        <w:rPr>
          <w:rFonts w:eastAsiaTheme="majorEastAsia"/>
          <w:bCs/>
          <w:sz w:val="24"/>
          <w:szCs w:val="24"/>
        </w:rPr>
        <w:t xml:space="preserve">There are several important military buildings which would indicate the capacity to maintain a much larger garrison to enforce peace and order. The most important would be the </w:t>
      </w:r>
      <w:r w:rsidRPr="004D7E6B">
        <w:rPr>
          <w:rFonts w:eastAsiaTheme="majorEastAsia"/>
          <w:bCs/>
          <w:i/>
          <w:sz w:val="24"/>
          <w:szCs w:val="24"/>
        </w:rPr>
        <w:t>castra praetoria</w:t>
      </w:r>
      <w:r w:rsidRPr="004D7E6B">
        <w:rPr>
          <w:rFonts w:eastAsiaTheme="majorEastAsia"/>
          <w:bCs/>
          <w:sz w:val="24"/>
          <w:szCs w:val="24"/>
        </w:rPr>
        <w:t xml:space="preserve"> and ten cohorts of Praetorian Guards but there other important military buildings which would suggest Rome hosted a substantial military-police force. The </w:t>
      </w:r>
      <w:r w:rsidRPr="004D7E6B">
        <w:rPr>
          <w:rFonts w:eastAsiaTheme="majorEastAsia"/>
          <w:bCs/>
          <w:i/>
          <w:sz w:val="24"/>
          <w:szCs w:val="24"/>
        </w:rPr>
        <w:t>castra peregrina</w:t>
      </w:r>
      <w:r w:rsidRPr="004D7E6B">
        <w:rPr>
          <w:rFonts w:eastAsiaTheme="majorEastAsia"/>
          <w:bCs/>
          <w:sz w:val="24"/>
          <w:szCs w:val="24"/>
        </w:rPr>
        <w:t xml:space="preserve"> served as the barracks for those soldiers on special assignment in Rome. At first they seemed to have bee</w:t>
      </w:r>
      <w:r w:rsidR="00F630A0">
        <w:rPr>
          <w:rFonts w:eastAsiaTheme="majorEastAsia"/>
          <w:bCs/>
          <w:sz w:val="24"/>
          <w:szCs w:val="24"/>
        </w:rPr>
        <w:t>n attached to</w:t>
      </w:r>
      <w:r w:rsidR="00A720D0">
        <w:rPr>
          <w:rFonts w:eastAsiaTheme="majorEastAsia"/>
          <w:bCs/>
          <w:sz w:val="24"/>
          <w:szCs w:val="24"/>
        </w:rPr>
        <w:t xml:space="preserve"> the</w:t>
      </w:r>
      <w:r w:rsidR="00F630A0">
        <w:rPr>
          <w:rFonts w:eastAsiaTheme="majorEastAsia"/>
          <w:bCs/>
          <w:sz w:val="24"/>
          <w:szCs w:val="24"/>
        </w:rPr>
        <w:t xml:space="preserve"> army commissariat, although</w:t>
      </w:r>
      <w:r w:rsidRPr="004D7E6B">
        <w:rPr>
          <w:rFonts w:eastAsiaTheme="majorEastAsia"/>
          <w:bCs/>
          <w:sz w:val="24"/>
          <w:szCs w:val="24"/>
        </w:rPr>
        <w:t xml:space="preserve"> Mann argues that they actually came to serve as spies and secret police and</w:t>
      </w:r>
      <w:r w:rsidR="00A720D0">
        <w:rPr>
          <w:rFonts w:eastAsiaTheme="majorEastAsia"/>
          <w:bCs/>
          <w:sz w:val="24"/>
          <w:szCs w:val="24"/>
        </w:rPr>
        <w:t>,</w:t>
      </w:r>
      <w:r w:rsidRPr="004D7E6B">
        <w:rPr>
          <w:rFonts w:eastAsiaTheme="majorEastAsia"/>
          <w:bCs/>
          <w:sz w:val="24"/>
          <w:szCs w:val="24"/>
        </w:rPr>
        <w:t xml:space="preserve"> when called</w:t>
      </w:r>
      <w:r w:rsidR="00A720D0">
        <w:rPr>
          <w:rFonts w:eastAsiaTheme="majorEastAsia"/>
          <w:bCs/>
          <w:sz w:val="24"/>
          <w:szCs w:val="24"/>
        </w:rPr>
        <w:t>,</w:t>
      </w:r>
      <w:r w:rsidRPr="004D7E6B">
        <w:rPr>
          <w:rFonts w:eastAsiaTheme="majorEastAsia"/>
          <w:bCs/>
          <w:sz w:val="24"/>
          <w:szCs w:val="24"/>
        </w:rPr>
        <w:t xml:space="preserve"> for assassins!</w:t>
      </w:r>
      <w:r w:rsidRPr="004D7E6B">
        <w:rPr>
          <w:rStyle w:val="FootnoteReference"/>
          <w:rFonts w:eastAsiaTheme="majorEastAsia"/>
          <w:bCs/>
          <w:sz w:val="24"/>
          <w:szCs w:val="24"/>
        </w:rPr>
        <w:footnoteReference w:id="295"/>
      </w:r>
      <w:r w:rsidRPr="004D7E6B">
        <w:rPr>
          <w:rFonts w:eastAsiaTheme="majorEastAsia"/>
          <w:bCs/>
          <w:sz w:val="24"/>
          <w:szCs w:val="24"/>
        </w:rPr>
        <w:t xml:space="preserve"> They were organised along military lines and were commanded by the </w:t>
      </w:r>
      <w:r w:rsidR="00A720D0">
        <w:rPr>
          <w:rFonts w:eastAsiaTheme="majorEastAsia"/>
          <w:bCs/>
          <w:i/>
          <w:sz w:val="24"/>
          <w:szCs w:val="24"/>
        </w:rPr>
        <w:t>princeps pere</w:t>
      </w:r>
      <w:r w:rsidRPr="004D7E6B">
        <w:rPr>
          <w:rFonts w:eastAsiaTheme="majorEastAsia"/>
          <w:bCs/>
          <w:i/>
          <w:sz w:val="24"/>
          <w:szCs w:val="24"/>
        </w:rPr>
        <w:t>grinorum</w:t>
      </w:r>
      <w:r w:rsidRPr="004D7E6B">
        <w:rPr>
          <w:rFonts w:eastAsiaTheme="majorEastAsia"/>
          <w:bCs/>
          <w:sz w:val="24"/>
          <w:szCs w:val="24"/>
        </w:rPr>
        <w:t xml:space="preserve"> who was assisted by several centurions. All of our direct knowledge for these </w:t>
      </w:r>
      <w:r w:rsidR="00A720D0">
        <w:rPr>
          <w:rFonts w:eastAsiaTheme="majorEastAsia"/>
          <w:bCs/>
          <w:sz w:val="24"/>
          <w:szCs w:val="24"/>
        </w:rPr>
        <w:t xml:space="preserve">soldiers comes </w:t>
      </w:r>
      <w:r w:rsidRPr="004D7E6B">
        <w:rPr>
          <w:rFonts w:eastAsiaTheme="majorEastAsia"/>
          <w:bCs/>
          <w:sz w:val="24"/>
          <w:szCs w:val="24"/>
        </w:rPr>
        <w:t>from inscriptions although their presence has been inferred by several ancient authors.</w:t>
      </w:r>
      <w:r w:rsidRPr="004D7E6B">
        <w:rPr>
          <w:rStyle w:val="FootnoteReference"/>
          <w:rFonts w:eastAsiaTheme="majorEastAsia"/>
          <w:bCs/>
          <w:sz w:val="24"/>
          <w:szCs w:val="24"/>
        </w:rPr>
        <w:footnoteReference w:id="296"/>
      </w:r>
      <w:r w:rsidRPr="004D7E6B">
        <w:rPr>
          <w:rFonts w:eastAsiaTheme="majorEastAsia"/>
          <w:bCs/>
          <w:sz w:val="24"/>
          <w:szCs w:val="24"/>
        </w:rPr>
        <w:t xml:space="preserve"> The absence of any more information beyond their barracks would suggest that their duties, whatever they may have been, kept them absent from Rome. If the </w:t>
      </w:r>
      <w:r w:rsidRPr="004D7E6B">
        <w:rPr>
          <w:rFonts w:eastAsiaTheme="majorEastAsia"/>
          <w:bCs/>
          <w:i/>
          <w:iCs/>
          <w:sz w:val="24"/>
          <w:szCs w:val="24"/>
        </w:rPr>
        <w:t>castra peregrina</w:t>
      </w:r>
      <w:r w:rsidRPr="004D7E6B">
        <w:rPr>
          <w:rFonts w:eastAsiaTheme="majorEastAsia"/>
          <w:bCs/>
          <w:sz w:val="24"/>
          <w:szCs w:val="24"/>
        </w:rPr>
        <w:t xml:space="preserve"> was a regularly stationed camp in the capital, there would be a greater presence of inscriptions of the sort we see in other legionary encampments or the </w:t>
      </w:r>
      <w:r w:rsidRPr="004D7E6B">
        <w:rPr>
          <w:rFonts w:eastAsiaTheme="majorEastAsia"/>
          <w:bCs/>
          <w:i/>
          <w:iCs/>
          <w:sz w:val="24"/>
          <w:szCs w:val="24"/>
        </w:rPr>
        <w:t xml:space="preserve">castra </w:t>
      </w:r>
      <w:r w:rsidRPr="004D7E6B">
        <w:rPr>
          <w:rFonts w:eastAsiaTheme="majorEastAsia"/>
          <w:bCs/>
          <w:i/>
          <w:iCs/>
          <w:sz w:val="24"/>
          <w:szCs w:val="24"/>
        </w:rPr>
        <w:lastRenderedPageBreak/>
        <w:t>praetoria</w:t>
      </w:r>
      <w:r w:rsidRPr="004D7E6B">
        <w:rPr>
          <w:rFonts w:eastAsiaTheme="majorEastAsia"/>
          <w:bCs/>
          <w:sz w:val="24"/>
          <w:szCs w:val="24"/>
        </w:rPr>
        <w:t>.</w:t>
      </w:r>
      <w:r w:rsidRPr="004D7E6B">
        <w:rPr>
          <w:rStyle w:val="FootnoteReference"/>
          <w:rFonts w:eastAsiaTheme="majorEastAsia"/>
          <w:bCs/>
          <w:sz w:val="24"/>
          <w:szCs w:val="24"/>
        </w:rPr>
        <w:footnoteReference w:id="297"/>
      </w:r>
      <w:r w:rsidR="00F630A0">
        <w:rPr>
          <w:rFonts w:eastAsiaTheme="majorEastAsia"/>
          <w:bCs/>
          <w:sz w:val="24"/>
          <w:szCs w:val="24"/>
        </w:rPr>
        <w:t xml:space="preserve"> But it</w:t>
      </w:r>
      <w:r w:rsidRPr="004D7E6B">
        <w:rPr>
          <w:rFonts w:eastAsiaTheme="majorEastAsia"/>
          <w:bCs/>
          <w:sz w:val="24"/>
          <w:szCs w:val="24"/>
        </w:rPr>
        <w:t xml:space="preserve"> would certainly be wrong to assume that this barracks serves as window-dressing simply because we cannot attribute a clear purpose to it. Even if its purpose is not clear to us, the inclusion of a military force that served elsewhere in the Empire demonstrates the Urban Prefect’s continued involvement with affairs outside of Rome. If they served as part of the army’s logistical corps or as “spies and assassins” then the Urban Prefect would need to liaise with them in order to provide them with what they need. The presence in the </w:t>
      </w:r>
      <w:r w:rsidRPr="004D7E6B">
        <w:rPr>
          <w:rFonts w:eastAsiaTheme="majorEastAsia"/>
          <w:bCs/>
          <w:i/>
          <w:iCs/>
          <w:sz w:val="24"/>
          <w:szCs w:val="24"/>
        </w:rPr>
        <w:t>Regionaries</w:t>
      </w:r>
      <w:r w:rsidRPr="004D7E6B">
        <w:rPr>
          <w:rFonts w:eastAsiaTheme="majorEastAsia"/>
          <w:bCs/>
          <w:sz w:val="24"/>
          <w:szCs w:val="24"/>
        </w:rPr>
        <w:t xml:space="preserve"> of their camp at the very least indicates a military detachment was stationed regularly in the capital, an</w:t>
      </w:r>
      <w:r w:rsidR="00A720D0">
        <w:rPr>
          <w:rFonts w:eastAsiaTheme="majorEastAsia"/>
          <w:bCs/>
          <w:sz w:val="24"/>
          <w:szCs w:val="24"/>
        </w:rPr>
        <w:t xml:space="preserve"> unsurprising result given </w:t>
      </w:r>
      <w:r w:rsidR="001E6F4E">
        <w:rPr>
          <w:rFonts w:eastAsiaTheme="majorEastAsia"/>
          <w:bCs/>
          <w:sz w:val="24"/>
          <w:szCs w:val="24"/>
        </w:rPr>
        <w:t>the mint w</w:t>
      </w:r>
      <w:r w:rsidRPr="004D7E6B">
        <w:rPr>
          <w:rFonts w:eastAsiaTheme="majorEastAsia"/>
          <w:bCs/>
          <w:sz w:val="24"/>
          <w:szCs w:val="24"/>
        </w:rPr>
        <w:t>orker</w:t>
      </w:r>
      <w:r w:rsidR="00A720D0">
        <w:rPr>
          <w:rFonts w:eastAsiaTheme="majorEastAsia"/>
          <w:bCs/>
          <w:sz w:val="24"/>
          <w:szCs w:val="24"/>
        </w:rPr>
        <w:t>’</w:t>
      </w:r>
      <w:r w:rsidRPr="004D7E6B">
        <w:rPr>
          <w:rFonts w:eastAsiaTheme="majorEastAsia"/>
          <w:bCs/>
          <w:sz w:val="24"/>
          <w:szCs w:val="24"/>
        </w:rPr>
        <w:t xml:space="preserve">s rebellion and Aurelian’s ongoing reunification of the Empire. It would be a powerful, if unsubtle, statement of the </w:t>
      </w:r>
      <w:r w:rsidR="0049637A">
        <w:rPr>
          <w:rFonts w:eastAsiaTheme="majorEastAsia"/>
          <w:bCs/>
          <w:sz w:val="24"/>
          <w:szCs w:val="24"/>
        </w:rPr>
        <w:t>emperor’s</w:t>
      </w:r>
      <w:r w:rsidR="0049637A" w:rsidRPr="004D7E6B">
        <w:rPr>
          <w:rFonts w:eastAsiaTheme="majorEastAsia"/>
          <w:bCs/>
          <w:sz w:val="24"/>
          <w:szCs w:val="24"/>
        </w:rPr>
        <w:t xml:space="preserve"> trust</w:t>
      </w:r>
      <w:r w:rsidRPr="004D7E6B">
        <w:rPr>
          <w:rFonts w:eastAsiaTheme="majorEastAsia"/>
          <w:bCs/>
          <w:sz w:val="24"/>
          <w:szCs w:val="24"/>
        </w:rPr>
        <w:t xml:space="preserve"> in the Urban Prefect and the power he wield</w:t>
      </w:r>
      <w:r w:rsidR="00A720D0">
        <w:rPr>
          <w:rFonts w:eastAsiaTheme="majorEastAsia"/>
          <w:bCs/>
          <w:sz w:val="24"/>
          <w:szCs w:val="24"/>
        </w:rPr>
        <w:t>ed</w:t>
      </w:r>
      <w:r w:rsidRPr="004D7E6B">
        <w:rPr>
          <w:rFonts w:eastAsiaTheme="majorEastAsia"/>
          <w:bCs/>
          <w:sz w:val="24"/>
          <w:szCs w:val="24"/>
        </w:rPr>
        <w:t xml:space="preserve"> to enforce the Law in the </w:t>
      </w:r>
      <w:r w:rsidR="0049637A">
        <w:rPr>
          <w:rFonts w:eastAsiaTheme="majorEastAsia"/>
          <w:bCs/>
          <w:sz w:val="24"/>
          <w:szCs w:val="24"/>
        </w:rPr>
        <w:t>emperor’s</w:t>
      </w:r>
      <w:r w:rsidR="0049637A" w:rsidRPr="004D7E6B">
        <w:rPr>
          <w:rFonts w:eastAsiaTheme="majorEastAsia"/>
          <w:bCs/>
          <w:sz w:val="24"/>
          <w:szCs w:val="24"/>
        </w:rPr>
        <w:t xml:space="preserve"> name</w:t>
      </w:r>
      <w:r w:rsidRPr="004D7E6B">
        <w:rPr>
          <w:rFonts w:eastAsiaTheme="majorEastAsia"/>
          <w:bCs/>
          <w:sz w:val="24"/>
          <w:szCs w:val="24"/>
        </w:rPr>
        <w:t xml:space="preserve">. </w:t>
      </w:r>
    </w:p>
    <w:p w:rsidR="004D7E6B" w:rsidRPr="004D7E6B" w:rsidRDefault="004D7E6B" w:rsidP="00722391">
      <w:pPr>
        <w:spacing w:line="480" w:lineRule="auto"/>
        <w:ind w:firstLine="720"/>
        <w:jc w:val="both"/>
        <w:rPr>
          <w:sz w:val="24"/>
          <w:szCs w:val="24"/>
        </w:rPr>
      </w:pPr>
      <w:r w:rsidRPr="004D7E6B">
        <w:rPr>
          <w:rFonts w:eastAsiaTheme="majorEastAsia"/>
          <w:bCs/>
          <w:sz w:val="24"/>
          <w:szCs w:val="24"/>
        </w:rPr>
        <w:t>Beyond these units, any other military units under the Urban Prefect’s control would have had to</w:t>
      </w:r>
      <w:r w:rsidR="00A720D0">
        <w:rPr>
          <w:rFonts w:eastAsiaTheme="majorEastAsia"/>
          <w:bCs/>
          <w:sz w:val="24"/>
          <w:szCs w:val="24"/>
        </w:rPr>
        <w:t xml:space="preserve"> have</w:t>
      </w:r>
      <w:r w:rsidRPr="004D7E6B">
        <w:rPr>
          <w:rFonts w:eastAsiaTheme="majorEastAsia"/>
          <w:bCs/>
          <w:sz w:val="24"/>
          <w:szCs w:val="24"/>
        </w:rPr>
        <w:t xml:space="preserve"> been allocated to Rome by the </w:t>
      </w:r>
      <w:r w:rsidR="0087599E">
        <w:rPr>
          <w:rFonts w:eastAsiaTheme="majorEastAsia"/>
          <w:bCs/>
          <w:sz w:val="24"/>
          <w:szCs w:val="24"/>
        </w:rPr>
        <w:t>e</w:t>
      </w:r>
      <w:r w:rsidR="008B44B0">
        <w:rPr>
          <w:rFonts w:eastAsiaTheme="majorEastAsia"/>
          <w:bCs/>
          <w:sz w:val="24"/>
          <w:szCs w:val="24"/>
        </w:rPr>
        <w:t>mperor</w:t>
      </w:r>
      <w:r w:rsidRPr="004D7E6B">
        <w:rPr>
          <w:rFonts w:eastAsiaTheme="majorEastAsia"/>
          <w:bCs/>
          <w:sz w:val="24"/>
          <w:szCs w:val="24"/>
        </w:rPr>
        <w:t xml:space="preserve"> and would not necessarily serve under his command. This</w:t>
      </w:r>
      <w:r w:rsidR="00A720D0">
        <w:rPr>
          <w:rFonts w:eastAsiaTheme="majorEastAsia"/>
          <w:bCs/>
          <w:sz w:val="24"/>
          <w:szCs w:val="24"/>
        </w:rPr>
        <w:t>,</w:t>
      </w:r>
      <w:r w:rsidRPr="004D7E6B">
        <w:rPr>
          <w:rFonts w:eastAsiaTheme="majorEastAsia"/>
          <w:bCs/>
          <w:sz w:val="24"/>
          <w:szCs w:val="24"/>
        </w:rPr>
        <w:t xml:space="preserve"> I would conclude</w:t>
      </w:r>
      <w:r w:rsidR="00A720D0">
        <w:rPr>
          <w:rFonts w:eastAsiaTheme="majorEastAsia"/>
          <w:bCs/>
          <w:sz w:val="24"/>
          <w:szCs w:val="24"/>
        </w:rPr>
        <w:t xml:space="preserve">, is the reason </w:t>
      </w:r>
      <w:r w:rsidRPr="004D7E6B">
        <w:rPr>
          <w:rFonts w:eastAsiaTheme="majorEastAsia"/>
          <w:bCs/>
          <w:sz w:val="24"/>
          <w:szCs w:val="24"/>
        </w:rPr>
        <w:t>why we do not have any numbers for the Praetorians beyond a general estimation.</w:t>
      </w:r>
      <w:r w:rsidR="001E6F4E">
        <w:rPr>
          <w:rFonts w:eastAsiaTheme="majorEastAsia"/>
          <w:bCs/>
          <w:sz w:val="24"/>
          <w:szCs w:val="24"/>
        </w:rPr>
        <w:t xml:space="preserve"> The Urban Prefect</w:t>
      </w:r>
      <w:r w:rsidRPr="004D7E6B">
        <w:rPr>
          <w:rFonts w:eastAsiaTheme="majorEastAsia"/>
          <w:bCs/>
          <w:sz w:val="24"/>
          <w:szCs w:val="24"/>
        </w:rPr>
        <w:t xml:space="preserve"> </w:t>
      </w:r>
      <w:r w:rsidR="00F630A0">
        <w:rPr>
          <w:rFonts w:eastAsiaTheme="majorEastAsia"/>
          <w:bCs/>
          <w:sz w:val="24"/>
          <w:szCs w:val="24"/>
        </w:rPr>
        <w:t>would not be</w:t>
      </w:r>
      <w:r w:rsidRPr="004D7E6B">
        <w:rPr>
          <w:rFonts w:eastAsiaTheme="majorEastAsia"/>
          <w:bCs/>
          <w:sz w:val="24"/>
          <w:szCs w:val="24"/>
        </w:rPr>
        <w:t xml:space="preserve"> in control of them and so their display would not burnish the prestige of his office or add to his ability to carry out his duties</w:t>
      </w:r>
      <w:r w:rsidR="00F630A0">
        <w:rPr>
          <w:rFonts w:eastAsiaTheme="majorEastAsia"/>
          <w:bCs/>
          <w:sz w:val="24"/>
          <w:szCs w:val="24"/>
        </w:rPr>
        <w:t xml:space="preserve"> (quite the opposite in fact)</w:t>
      </w:r>
      <w:r w:rsidRPr="004D7E6B">
        <w:rPr>
          <w:rFonts w:eastAsiaTheme="majorEastAsia"/>
          <w:bCs/>
          <w:sz w:val="24"/>
          <w:szCs w:val="24"/>
        </w:rPr>
        <w:t xml:space="preserve">. </w:t>
      </w:r>
      <w:r w:rsidRPr="004D7E6B">
        <w:rPr>
          <w:sz w:val="24"/>
          <w:szCs w:val="24"/>
        </w:rPr>
        <w:t xml:space="preserve">The </w:t>
      </w:r>
      <w:r w:rsidRPr="004D7E6B">
        <w:rPr>
          <w:i/>
          <w:sz w:val="24"/>
          <w:szCs w:val="24"/>
        </w:rPr>
        <w:t>quorum excubitoria XIII</w:t>
      </w:r>
      <w:r w:rsidR="00A720D0">
        <w:rPr>
          <w:sz w:val="24"/>
          <w:szCs w:val="24"/>
        </w:rPr>
        <w:t xml:space="preserve"> (13 cohorts of “Guardsmen”)</w:t>
      </w:r>
      <w:r w:rsidRPr="004D7E6B">
        <w:rPr>
          <w:sz w:val="24"/>
          <w:szCs w:val="24"/>
        </w:rPr>
        <w:t xml:space="preserve"> would imply that actually the vast majority of the cohorts listed in the </w:t>
      </w:r>
      <w:r w:rsidRPr="004D7E6B">
        <w:rPr>
          <w:i/>
          <w:sz w:val="24"/>
          <w:szCs w:val="24"/>
        </w:rPr>
        <w:t>Regionaries</w:t>
      </w:r>
      <w:r w:rsidRPr="004D7E6B">
        <w:rPr>
          <w:sz w:val="24"/>
          <w:szCs w:val="24"/>
        </w:rPr>
        <w:t xml:space="preserve"> would only appear in the personal presence of the </w:t>
      </w:r>
      <w:r w:rsidR="0087599E">
        <w:rPr>
          <w:sz w:val="24"/>
          <w:szCs w:val="24"/>
        </w:rPr>
        <w:t>e</w:t>
      </w:r>
      <w:r w:rsidR="008B44B0">
        <w:rPr>
          <w:sz w:val="24"/>
          <w:szCs w:val="24"/>
        </w:rPr>
        <w:t>mperor</w:t>
      </w:r>
      <w:r w:rsidRPr="004D7E6B">
        <w:rPr>
          <w:sz w:val="24"/>
          <w:szCs w:val="24"/>
        </w:rPr>
        <w:t>, which suggests that the Urban Pref</w:t>
      </w:r>
      <w:r w:rsidR="00A720D0">
        <w:rPr>
          <w:sz w:val="24"/>
          <w:szCs w:val="24"/>
        </w:rPr>
        <w:t>ect need only have an estimate</w:t>
      </w:r>
      <w:r w:rsidRPr="004D7E6B">
        <w:rPr>
          <w:sz w:val="24"/>
          <w:szCs w:val="24"/>
        </w:rPr>
        <w:t xml:space="preserve"> of how many soldiers the city could reasonably support. </w:t>
      </w:r>
      <w:r w:rsidRPr="004D7E6B">
        <w:rPr>
          <w:rFonts w:eastAsiaTheme="majorEastAsia"/>
          <w:bCs/>
          <w:sz w:val="24"/>
          <w:szCs w:val="24"/>
        </w:rPr>
        <w:t xml:space="preserve">The </w:t>
      </w:r>
      <w:r w:rsidR="0049637A" w:rsidRPr="004D7E6B">
        <w:rPr>
          <w:rFonts w:eastAsiaTheme="majorEastAsia"/>
          <w:bCs/>
          <w:i/>
          <w:sz w:val="24"/>
          <w:szCs w:val="24"/>
        </w:rPr>
        <w:t>Breviarium</w:t>
      </w:r>
      <w:r w:rsidR="001E6F4E">
        <w:rPr>
          <w:rFonts w:eastAsiaTheme="majorEastAsia"/>
          <w:bCs/>
          <w:sz w:val="24"/>
          <w:szCs w:val="24"/>
        </w:rPr>
        <w:t xml:space="preserve">, the </w:t>
      </w:r>
      <w:r w:rsidR="001E6F4E">
        <w:rPr>
          <w:rFonts w:eastAsiaTheme="majorEastAsia"/>
          <w:bCs/>
          <w:i/>
          <w:sz w:val="24"/>
          <w:szCs w:val="24"/>
        </w:rPr>
        <w:t>Regionary Catalogues</w:t>
      </w:r>
      <w:r w:rsidR="001E6F4E">
        <w:rPr>
          <w:rFonts w:eastAsiaTheme="majorEastAsia"/>
          <w:bCs/>
          <w:sz w:val="24"/>
          <w:szCs w:val="24"/>
        </w:rPr>
        <w:t>’ second appendix,</w:t>
      </w:r>
      <w:r w:rsidRPr="004D7E6B">
        <w:rPr>
          <w:rFonts w:eastAsiaTheme="majorEastAsia"/>
          <w:bCs/>
          <w:i/>
          <w:sz w:val="24"/>
          <w:szCs w:val="24"/>
        </w:rPr>
        <w:t xml:space="preserve"> </w:t>
      </w:r>
      <w:r w:rsidRPr="004D7E6B">
        <w:rPr>
          <w:rFonts w:eastAsiaTheme="majorEastAsia"/>
          <w:bCs/>
          <w:sz w:val="24"/>
          <w:szCs w:val="24"/>
        </w:rPr>
        <w:t xml:space="preserve">lists Rome as possessing two barracks of the </w:t>
      </w:r>
      <w:r w:rsidRPr="004D7E6B">
        <w:rPr>
          <w:rFonts w:eastAsiaTheme="majorEastAsia"/>
          <w:bCs/>
          <w:i/>
          <w:sz w:val="24"/>
          <w:szCs w:val="24"/>
        </w:rPr>
        <w:t>Equites Singulares Augusti</w:t>
      </w:r>
      <w:r w:rsidRPr="004D7E6B">
        <w:rPr>
          <w:rFonts w:eastAsiaTheme="majorEastAsia"/>
          <w:bCs/>
          <w:sz w:val="24"/>
          <w:szCs w:val="24"/>
        </w:rPr>
        <w:t xml:space="preserve">, the </w:t>
      </w:r>
      <w:r w:rsidR="0087599E">
        <w:rPr>
          <w:rFonts w:eastAsiaTheme="majorEastAsia"/>
          <w:bCs/>
          <w:sz w:val="24"/>
          <w:szCs w:val="24"/>
        </w:rPr>
        <w:t>e</w:t>
      </w:r>
      <w:r w:rsidR="008B44B0">
        <w:rPr>
          <w:rFonts w:eastAsiaTheme="majorEastAsia"/>
          <w:bCs/>
          <w:sz w:val="24"/>
          <w:szCs w:val="24"/>
        </w:rPr>
        <w:t>mperor’s</w:t>
      </w:r>
      <w:r w:rsidR="00B05459">
        <w:rPr>
          <w:rFonts w:eastAsiaTheme="majorEastAsia"/>
          <w:bCs/>
          <w:sz w:val="24"/>
          <w:szCs w:val="24"/>
        </w:rPr>
        <w:t xml:space="preserve"> </w:t>
      </w:r>
      <w:r w:rsidRPr="004D7E6B">
        <w:rPr>
          <w:rFonts w:eastAsiaTheme="majorEastAsia"/>
          <w:bCs/>
          <w:sz w:val="24"/>
          <w:szCs w:val="24"/>
        </w:rPr>
        <w:t>personal horse guards. This further indicates that</w:t>
      </w:r>
      <w:r w:rsidR="00A720D0">
        <w:rPr>
          <w:rFonts w:eastAsiaTheme="majorEastAsia"/>
          <w:bCs/>
          <w:sz w:val="24"/>
          <w:szCs w:val="24"/>
        </w:rPr>
        <w:t xml:space="preserve"> the</w:t>
      </w:r>
      <w:r w:rsidRPr="004D7E6B">
        <w:rPr>
          <w:rFonts w:eastAsiaTheme="majorEastAsia"/>
          <w:bCs/>
          <w:sz w:val="24"/>
          <w:szCs w:val="24"/>
        </w:rPr>
        <w:t xml:space="preserve"> </w:t>
      </w:r>
      <w:r w:rsidRPr="004D7E6B">
        <w:rPr>
          <w:rFonts w:eastAsiaTheme="majorEastAsia"/>
          <w:bCs/>
          <w:i/>
          <w:sz w:val="24"/>
          <w:szCs w:val="24"/>
        </w:rPr>
        <w:t>Regionaries</w:t>
      </w:r>
      <w:r w:rsidR="00A720D0">
        <w:rPr>
          <w:rFonts w:eastAsiaTheme="majorEastAsia"/>
          <w:bCs/>
          <w:sz w:val="24"/>
          <w:szCs w:val="24"/>
        </w:rPr>
        <w:t xml:space="preserve"> date from</w:t>
      </w:r>
      <w:r w:rsidRPr="004D7E6B">
        <w:rPr>
          <w:rFonts w:eastAsiaTheme="majorEastAsia"/>
          <w:bCs/>
          <w:sz w:val="24"/>
          <w:szCs w:val="24"/>
        </w:rPr>
        <w:t xml:space="preserve"> after </w:t>
      </w:r>
      <w:r w:rsidR="00F630A0">
        <w:rPr>
          <w:rFonts w:eastAsiaTheme="majorEastAsia"/>
          <w:bCs/>
          <w:sz w:val="24"/>
          <w:szCs w:val="24"/>
        </w:rPr>
        <w:t>Septimius</w:t>
      </w:r>
      <w:r w:rsidRPr="004D7E6B">
        <w:rPr>
          <w:rFonts w:eastAsiaTheme="majorEastAsia"/>
          <w:bCs/>
          <w:sz w:val="24"/>
          <w:szCs w:val="24"/>
        </w:rPr>
        <w:t xml:space="preserve"> Severus but </w:t>
      </w:r>
      <w:r w:rsidRPr="004D7E6B">
        <w:rPr>
          <w:rFonts w:eastAsiaTheme="majorEastAsia"/>
          <w:bCs/>
          <w:sz w:val="24"/>
          <w:szCs w:val="24"/>
        </w:rPr>
        <w:lastRenderedPageBreak/>
        <w:t xml:space="preserve">prior to Constantine. Severus created a second barracks for the </w:t>
      </w:r>
      <w:r w:rsidRPr="004D7E6B">
        <w:rPr>
          <w:rFonts w:eastAsiaTheme="majorEastAsia"/>
          <w:bCs/>
          <w:i/>
          <w:sz w:val="24"/>
          <w:szCs w:val="24"/>
        </w:rPr>
        <w:t>Singulares</w:t>
      </w:r>
      <w:r w:rsidRPr="004D7E6B">
        <w:rPr>
          <w:rFonts w:eastAsiaTheme="majorEastAsia"/>
          <w:bCs/>
          <w:sz w:val="24"/>
          <w:szCs w:val="24"/>
        </w:rPr>
        <w:t xml:space="preserve"> which Constantine later demolished and gifted to the Christian Church.</w:t>
      </w:r>
      <w:r w:rsidRPr="004D7E6B">
        <w:rPr>
          <w:rStyle w:val="FootnoteReference"/>
          <w:rFonts w:eastAsiaTheme="majorEastAsia"/>
          <w:bCs/>
          <w:sz w:val="24"/>
          <w:szCs w:val="24"/>
        </w:rPr>
        <w:footnoteReference w:id="298"/>
      </w:r>
      <w:r w:rsidRPr="004D7E6B">
        <w:rPr>
          <w:rFonts w:eastAsiaTheme="majorEastAsia"/>
          <w:bCs/>
          <w:sz w:val="24"/>
          <w:szCs w:val="24"/>
        </w:rPr>
        <w:t xml:space="preserve"> However unlike the </w:t>
      </w:r>
      <w:r w:rsidRPr="004D7E6B">
        <w:rPr>
          <w:rFonts w:eastAsiaTheme="majorEastAsia"/>
          <w:bCs/>
          <w:i/>
          <w:sz w:val="24"/>
          <w:szCs w:val="24"/>
        </w:rPr>
        <w:t>Praetorians</w:t>
      </w:r>
      <w:r w:rsidRPr="004D7E6B">
        <w:rPr>
          <w:rFonts w:eastAsiaTheme="majorEastAsia"/>
          <w:bCs/>
          <w:sz w:val="24"/>
          <w:szCs w:val="24"/>
        </w:rPr>
        <w:t xml:space="preserve">, the </w:t>
      </w:r>
      <w:r w:rsidRPr="004D7E6B">
        <w:rPr>
          <w:rFonts w:eastAsiaTheme="majorEastAsia"/>
          <w:bCs/>
          <w:i/>
          <w:sz w:val="24"/>
          <w:szCs w:val="24"/>
        </w:rPr>
        <w:t xml:space="preserve">Singulares </w:t>
      </w:r>
      <w:r w:rsidRPr="004D7E6B">
        <w:rPr>
          <w:rFonts w:eastAsiaTheme="majorEastAsia"/>
          <w:bCs/>
          <w:sz w:val="24"/>
          <w:szCs w:val="24"/>
        </w:rPr>
        <w:t xml:space="preserve">were not regularly posted in Rome and their barracks </w:t>
      </w:r>
      <w:r w:rsidR="00A720D0">
        <w:rPr>
          <w:rFonts w:eastAsiaTheme="majorEastAsia"/>
          <w:bCs/>
          <w:sz w:val="24"/>
          <w:szCs w:val="24"/>
        </w:rPr>
        <w:t>were no object to the Aurelian</w:t>
      </w:r>
      <w:r w:rsidRPr="004D7E6B">
        <w:rPr>
          <w:rFonts w:eastAsiaTheme="majorEastAsia"/>
          <w:bCs/>
          <w:sz w:val="24"/>
          <w:szCs w:val="24"/>
        </w:rPr>
        <w:t xml:space="preserve"> Wall</w:t>
      </w:r>
      <w:r w:rsidR="00A720D0">
        <w:rPr>
          <w:rFonts w:eastAsiaTheme="majorEastAsia"/>
          <w:bCs/>
          <w:sz w:val="24"/>
          <w:szCs w:val="24"/>
        </w:rPr>
        <w:t>’s</w:t>
      </w:r>
      <w:r w:rsidRPr="004D7E6B">
        <w:rPr>
          <w:rFonts w:eastAsiaTheme="majorEastAsia"/>
          <w:bCs/>
          <w:sz w:val="24"/>
          <w:szCs w:val="24"/>
        </w:rPr>
        <w:t xml:space="preserve"> construction so it is no surprise we do not see a greater depiction in the main body of the </w:t>
      </w:r>
      <w:r w:rsidRPr="004D7E6B">
        <w:rPr>
          <w:rFonts w:eastAsiaTheme="majorEastAsia"/>
          <w:bCs/>
          <w:i/>
          <w:sz w:val="24"/>
          <w:szCs w:val="24"/>
        </w:rPr>
        <w:t>Regionaries</w:t>
      </w:r>
      <w:r w:rsidRPr="004D7E6B">
        <w:rPr>
          <w:sz w:val="24"/>
          <w:szCs w:val="24"/>
        </w:rPr>
        <w:t>.</w:t>
      </w:r>
      <w:r w:rsidRPr="004D7E6B">
        <w:rPr>
          <w:rStyle w:val="FootnoteReference"/>
          <w:sz w:val="24"/>
          <w:szCs w:val="24"/>
        </w:rPr>
        <w:footnoteReference w:id="299"/>
      </w:r>
      <w:r w:rsidRPr="004D7E6B">
        <w:rPr>
          <w:sz w:val="24"/>
          <w:szCs w:val="24"/>
        </w:rPr>
        <w:t xml:space="preserve"> </w:t>
      </w:r>
    </w:p>
    <w:p w:rsidR="001E6F4E" w:rsidRDefault="004D7E6B" w:rsidP="00E64EB9">
      <w:pPr>
        <w:spacing w:line="480" w:lineRule="auto"/>
        <w:ind w:firstLine="720"/>
        <w:jc w:val="both"/>
        <w:rPr>
          <w:sz w:val="24"/>
          <w:szCs w:val="24"/>
        </w:rPr>
      </w:pPr>
      <w:r w:rsidRPr="004D7E6B">
        <w:rPr>
          <w:sz w:val="24"/>
          <w:szCs w:val="24"/>
        </w:rPr>
        <w:t xml:space="preserve">During the construction of the Wall, the Praetorian Guard, </w:t>
      </w:r>
      <w:r w:rsidRPr="004D7E6B">
        <w:rPr>
          <w:i/>
          <w:sz w:val="24"/>
          <w:szCs w:val="24"/>
        </w:rPr>
        <w:t>Equites Singulares</w:t>
      </w:r>
      <w:r w:rsidRPr="004D7E6B">
        <w:rPr>
          <w:sz w:val="24"/>
          <w:szCs w:val="24"/>
        </w:rPr>
        <w:t xml:space="preserve"> and several of the Urban Cohorts served with Aurelian in Palmyra, but it seems entirely understandable that the City’s administration wo</w:t>
      </w:r>
      <w:r w:rsidR="00A720D0">
        <w:rPr>
          <w:sz w:val="24"/>
          <w:szCs w:val="24"/>
        </w:rPr>
        <w:t>uld want to keep track of around</w:t>
      </w:r>
      <w:r w:rsidRPr="004D7E6B">
        <w:rPr>
          <w:sz w:val="24"/>
          <w:szCs w:val="24"/>
        </w:rPr>
        <w:t xml:space="preserve"> 10</w:t>
      </w:r>
      <w:r w:rsidR="00A720D0">
        <w:rPr>
          <w:sz w:val="24"/>
          <w:szCs w:val="24"/>
        </w:rPr>
        <w:t xml:space="preserve">,000 </w:t>
      </w:r>
      <w:r w:rsidRPr="004D7E6B">
        <w:rPr>
          <w:sz w:val="24"/>
          <w:szCs w:val="24"/>
        </w:rPr>
        <w:t>armed men. The logistical and legal responsibilities of keeping soldiers garrisoned were a matter of major concern, particular</w:t>
      </w:r>
      <w:r w:rsidR="00A720D0">
        <w:rPr>
          <w:sz w:val="24"/>
          <w:szCs w:val="24"/>
        </w:rPr>
        <w:t>ly</w:t>
      </w:r>
      <w:r w:rsidRPr="004D7E6B">
        <w:rPr>
          <w:sz w:val="24"/>
          <w:szCs w:val="24"/>
        </w:rPr>
        <w:t xml:space="preserve"> given the Praetorian and Urban Cohorts</w:t>
      </w:r>
      <w:r w:rsidR="00A720D0">
        <w:rPr>
          <w:sz w:val="24"/>
          <w:szCs w:val="24"/>
        </w:rPr>
        <w:t>’</w:t>
      </w:r>
      <w:r w:rsidRPr="004D7E6B">
        <w:rPr>
          <w:sz w:val="24"/>
          <w:szCs w:val="24"/>
        </w:rPr>
        <w:t xml:space="preserve"> propensity for internecine violence.</w:t>
      </w:r>
      <w:r w:rsidRPr="004D7E6B">
        <w:rPr>
          <w:rStyle w:val="FootnoteReference"/>
          <w:sz w:val="24"/>
          <w:szCs w:val="24"/>
        </w:rPr>
        <w:footnoteReference w:id="300"/>
      </w:r>
      <w:r w:rsidRPr="004D7E6B">
        <w:rPr>
          <w:sz w:val="24"/>
          <w:szCs w:val="24"/>
        </w:rPr>
        <w:t xml:space="preserve"> </w:t>
      </w:r>
    </w:p>
    <w:p w:rsidR="00E64EB9" w:rsidRDefault="00E64EB9" w:rsidP="00E64EB9">
      <w:pPr>
        <w:spacing w:line="480" w:lineRule="auto"/>
        <w:ind w:firstLine="720"/>
        <w:jc w:val="both"/>
        <w:rPr>
          <w:sz w:val="24"/>
          <w:szCs w:val="24"/>
        </w:rPr>
      </w:pPr>
    </w:p>
    <w:p w:rsidR="001E6F4E" w:rsidRDefault="008B44B0" w:rsidP="001E6F4E">
      <w:pPr>
        <w:spacing w:line="480" w:lineRule="auto"/>
        <w:jc w:val="both"/>
        <w:rPr>
          <w:sz w:val="24"/>
          <w:szCs w:val="24"/>
          <w:u w:val="single"/>
        </w:rPr>
      </w:pPr>
      <w:r>
        <w:rPr>
          <w:sz w:val="24"/>
          <w:szCs w:val="24"/>
          <w:u w:val="single"/>
        </w:rPr>
        <w:t>“A Monumental Issue”: Imperial Power, Culture, and Administrative Practice:</w:t>
      </w:r>
    </w:p>
    <w:p w:rsidR="00592B39" w:rsidRPr="001E6F4E" w:rsidRDefault="00592B39" w:rsidP="001E6F4E">
      <w:pPr>
        <w:spacing w:line="480" w:lineRule="auto"/>
        <w:jc w:val="both"/>
        <w:rPr>
          <w:sz w:val="24"/>
          <w:szCs w:val="24"/>
          <w:u w:val="single"/>
        </w:rPr>
      </w:pPr>
    </w:p>
    <w:p w:rsidR="00DF274F" w:rsidRDefault="001253F8" w:rsidP="00A46203">
      <w:pPr>
        <w:spacing w:line="480" w:lineRule="auto"/>
        <w:jc w:val="both"/>
        <w:rPr>
          <w:sz w:val="24"/>
          <w:szCs w:val="24"/>
        </w:rPr>
      </w:pPr>
      <w:r>
        <w:rPr>
          <w:sz w:val="24"/>
          <w:szCs w:val="24"/>
        </w:rPr>
        <w:t>The influence monuments</w:t>
      </w:r>
      <w:r w:rsidR="00FB76CA">
        <w:rPr>
          <w:sz w:val="24"/>
          <w:szCs w:val="24"/>
        </w:rPr>
        <w:t xml:space="preserve"> like the </w:t>
      </w:r>
      <w:r w:rsidR="00FB76CA">
        <w:rPr>
          <w:i/>
          <w:sz w:val="24"/>
          <w:szCs w:val="24"/>
        </w:rPr>
        <w:t xml:space="preserve">Marble Plan </w:t>
      </w:r>
      <w:r w:rsidR="00FB76CA">
        <w:rPr>
          <w:sz w:val="24"/>
          <w:szCs w:val="24"/>
        </w:rPr>
        <w:t xml:space="preserve">and the </w:t>
      </w:r>
      <w:r>
        <w:rPr>
          <w:sz w:val="24"/>
          <w:szCs w:val="24"/>
        </w:rPr>
        <w:t xml:space="preserve">Aurelian Walls </w:t>
      </w:r>
      <w:r w:rsidR="00FB76CA">
        <w:rPr>
          <w:sz w:val="24"/>
          <w:szCs w:val="24"/>
        </w:rPr>
        <w:t xml:space="preserve">had over the administrators and the administered in the third century can be best explored by looking at the logic behind the construction of Aurelian’s Wall.  Aurelian’s Wall was as much a project to demonstrate that Rome remained important and worthy of protection, that its </w:t>
      </w:r>
      <w:r w:rsidR="0087599E">
        <w:rPr>
          <w:sz w:val="24"/>
          <w:szCs w:val="24"/>
        </w:rPr>
        <w:t>emperors</w:t>
      </w:r>
      <w:r w:rsidR="00FB76CA">
        <w:rPr>
          <w:sz w:val="24"/>
          <w:szCs w:val="24"/>
        </w:rPr>
        <w:t xml:space="preserve"> still valued it despite having largely ignored it over the third century, as it was a</w:t>
      </w:r>
      <w:r w:rsidR="00F630A0">
        <w:rPr>
          <w:sz w:val="24"/>
          <w:szCs w:val="24"/>
        </w:rPr>
        <w:t>n impressive</w:t>
      </w:r>
      <w:r w:rsidR="00FB76CA">
        <w:rPr>
          <w:sz w:val="24"/>
          <w:szCs w:val="24"/>
        </w:rPr>
        <w:t xml:space="preserve"> defensive fortification.</w:t>
      </w:r>
      <w:r w:rsidR="00FB76CA" w:rsidRPr="00E60A99">
        <w:rPr>
          <w:sz w:val="24"/>
          <w:szCs w:val="24"/>
        </w:rPr>
        <w:t xml:space="preserve"> </w:t>
      </w:r>
      <w:r w:rsidR="00FB76CA">
        <w:rPr>
          <w:sz w:val="24"/>
          <w:szCs w:val="24"/>
        </w:rPr>
        <w:t xml:space="preserve">To oversee the construction of his Wall, Aurelian began by </w:t>
      </w:r>
      <w:r w:rsidR="00FB76CA">
        <w:rPr>
          <w:sz w:val="24"/>
          <w:szCs w:val="24"/>
        </w:rPr>
        <w:lastRenderedPageBreak/>
        <w:t>appointing a series of Urban Prefects who each possessed the strong connections to the Roman Senate that would be necessary for completing such extensive construction.</w:t>
      </w:r>
      <w:r w:rsidR="00FB76CA" w:rsidRPr="00E60A99">
        <w:rPr>
          <w:sz w:val="24"/>
          <w:szCs w:val="24"/>
        </w:rPr>
        <w:t xml:space="preserve"> </w:t>
      </w:r>
      <w:r w:rsidR="00FB76CA" w:rsidRPr="0076389E">
        <w:rPr>
          <w:sz w:val="24"/>
          <w:szCs w:val="24"/>
        </w:rPr>
        <w:t xml:space="preserve">During the period of the Wall’s construction, Aurelian </w:t>
      </w:r>
      <w:r w:rsidR="00FB76CA">
        <w:rPr>
          <w:sz w:val="24"/>
          <w:szCs w:val="24"/>
        </w:rPr>
        <w:t xml:space="preserve">remained </w:t>
      </w:r>
      <w:r w:rsidR="00FB76CA" w:rsidRPr="0076389E">
        <w:rPr>
          <w:sz w:val="24"/>
          <w:szCs w:val="24"/>
        </w:rPr>
        <w:t>largely absent from Rome as had become the norm in the past century. Responsibility for the construction and restructuring of the City’s administration would h</w:t>
      </w:r>
      <w:r w:rsidR="008B44B0">
        <w:rPr>
          <w:sz w:val="24"/>
          <w:szCs w:val="24"/>
        </w:rPr>
        <w:t>ave consequently fallen to the imperial</w:t>
      </w:r>
      <w:r w:rsidR="00FB76CA" w:rsidRPr="0076389E">
        <w:rPr>
          <w:sz w:val="24"/>
          <w:szCs w:val="24"/>
        </w:rPr>
        <w:t xml:space="preserve"> representative, the Urban Prefect who was the only figure who possessed the authority to oversee such work in the </w:t>
      </w:r>
      <w:r w:rsidR="0049637A">
        <w:rPr>
          <w:sz w:val="24"/>
          <w:szCs w:val="24"/>
        </w:rPr>
        <w:t>emperor’s</w:t>
      </w:r>
      <w:r w:rsidR="0049637A" w:rsidRPr="0076389E">
        <w:rPr>
          <w:sz w:val="24"/>
          <w:szCs w:val="24"/>
        </w:rPr>
        <w:t xml:space="preserve"> absence</w:t>
      </w:r>
      <w:r w:rsidR="00FB76CA" w:rsidRPr="0076389E">
        <w:rPr>
          <w:sz w:val="24"/>
          <w:szCs w:val="24"/>
        </w:rPr>
        <w:t>. These prolonged absences campaigning would have meant that the Prefect would have been unable to seek advice or clarification and would have been required to make many of the decisions over the reforms and restructuring. The Urban Prefect would</w:t>
      </w:r>
      <w:r w:rsidR="00FB76CA">
        <w:rPr>
          <w:sz w:val="24"/>
          <w:szCs w:val="24"/>
        </w:rPr>
        <w:t xml:space="preserve"> therefore need</w:t>
      </w:r>
      <w:r w:rsidR="00FB76CA" w:rsidRPr="0076389E">
        <w:rPr>
          <w:sz w:val="24"/>
          <w:szCs w:val="24"/>
        </w:rPr>
        <w:t xml:space="preserve"> to guide himself according to the traditions of his office and the City. </w:t>
      </w:r>
      <w:r w:rsidR="00FB76CA">
        <w:rPr>
          <w:sz w:val="24"/>
          <w:szCs w:val="24"/>
        </w:rPr>
        <w:t xml:space="preserve"> </w:t>
      </w:r>
    </w:p>
    <w:p w:rsidR="00FB76CA" w:rsidRPr="00B526B9" w:rsidRDefault="00A720D0" w:rsidP="00722391">
      <w:pPr>
        <w:spacing w:line="480" w:lineRule="auto"/>
        <w:ind w:firstLine="720"/>
        <w:jc w:val="both"/>
        <w:rPr>
          <w:sz w:val="24"/>
          <w:szCs w:val="24"/>
        </w:rPr>
      </w:pPr>
      <w:r>
        <w:rPr>
          <w:sz w:val="24"/>
          <w:szCs w:val="24"/>
        </w:rPr>
        <w:t>Prosopographical research</w:t>
      </w:r>
      <w:r w:rsidR="00FB76CA" w:rsidRPr="00B526B9">
        <w:rPr>
          <w:sz w:val="24"/>
          <w:szCs w:val="24"/>
        </w:rPr>
        <w:t xml:space="preserve"> shows us that in implementing these reforms Aurelian could rely on a number of trusted and highly respected Urban Prefects, drawn from the </w:t>
      </w:r>
      <w:r w:rsidR="008B44B0">
        <w:rPr>
          <w:sz w:val="24"/>
          <w:szCs w:val="24"/>
        </w:rPr>
        <w:t>senatorial</w:t>
      </w:r>
      <w:r w:rsidR="00FB76CA" w:rsidRPr="00B526B9">
        <w:rPr>
          <w:sz w:val="24"/>
          <w:szCs w:val="24"/>
        </w:rPr>
        <w:t xml:space="preserve"> aristocracy.</w:t>
      </w:r>
      <w:r w:rsidR="00FB76CA" w:rsidRPr="00B526B9">
        <w:rPr>
          <w:rStyle w:val="FootnoteReference"/>
          <w:sz w:val="24"/>
          <w:szCs w:val="24"/>
        </w:rPr>
        <w:footnoteReference w:id="301"/>
      </w:r>
      <w:r w:rsidR="00FB76CA" w:rsidRPr="00B526B9">
        <w:rPr>
          <w:sz w:val="24"/>
          <w:szCs w:val="24"/>
        </w:rPr>
        <w:t xml:space="preserve"> These are the prime candidates for having commissioned the </w:t>
      </w:r>
      <w:r w:rsidR="00FB76CA" w:rsidRPr="00B526B9">
        <w:rPr>
          <w:i/>
          <w:sz w:val="24"/>
          <w:szCs w:val="24"/>
        </w:rPr>
        <w:t>Regionaries</w:t>
      </w:r>
      <w:r w:rsidR="00FB76CA" w:rsidRPr="00B526B9">
        <w:rPr>
          <w:sz w:val="24"/>
          <w:szCs w:val="24"/>
        </w:rPr>
        <w:t xml:space="preserve">, beginning with Flavius Antiochanus. Like all Urban Prefects, Flavius Antiochanus had an impeccable lineage and family connections. His father had served as Praetorian Prefect for the </w:t>
      </w:r>
      <w:r w:rsidR="008B44B0">
        <w:rPr>
          <w:sz w:val="24"/>
          <w:szCs w:val="24"/>
        </w:rPr>
        <w:t>Emperor</w:t>
      </w:r>
      <w:r w:rsidR="00FB76CA" w:rsidRPr="00B526B9">
        <w:rPr>
          <w:sz w:val="24"/>
          <w:szCs w:val="24"/>
        </w:rPr>
        <w:t xml:space="preserve"> Elagabalus and</w:t>
      </w:r>
      <w:r>
        <w:rPr>
          <w:sz w:val="24"/>
          <w:szCs w:val="24"/>
        </w:rPr>
        <w:t>,</w:t>
      </w:r>
      <w:r w:rsidR="00FB76CA" w:rsidRPr="00B526B9">
        <w:rPr>
          <w:sz w:val="24"/>
          <w:szCs w:val="24"/>
        </w:rPr>
        <w:t xml:space="preserve"> through his </w:t>
      </w:r>
      <w:r w:rsidR="00592B39" w:rsidRPr="00B526B9">
        <w:rPr>
          <w:sz w:val="24"/>
          <w:szCs w:val="24"/>
        </w:rPr>
        <w:t>wife</w:t>
      </w:r>
      <w:r w:rsidR="00592B39">
        <w:rPr>
          <w:sz w:val="24"/>
          <w:szCs w:val="24"/>
        </w:rPr>
        <w:t>;</w:t>
      </w:r>
      <w:r w:rsidR="00FB76CA" w:rsidRPr="00B526B9">
        <w:rPr>
          <w:sz w:val="24"/>
          <w:szCs w:val="24"/>
        </w:rPr>
        <w:t xml:space="preserve"> Antiochanus possessed a connection to the Antonine dynasty of the second century. He had served in all the requisite posts along the </w:t>
      </w:r>
      <w:r w:rsidR="00FB76CA" w:rsidRPr="00B526B9">
        <w:rPr>
          <w:i/>
          <w:sz w:val="24"/>
          <w:szCs w:val="24"/>
        </w:rPr>
        <w:t>cursus honorum</w:t>
      </w:r>
      <w:r w:rsidR="00FB76CA" w:rsidRPr="00B526B9">
        <w:rPr>
          <w:sz w:val="24"/>
          <w:szCs w:val="24"/>
        </w:rPr>
        <w:t xml:space="preserve"> (the </w:t>
      </w:r>
      <w:r w:rsidR="008B44B0">
        <w:rPr>
          <w:sz w:val="24"/>
          <w:szCs w:val="24"/>
        </w:rPr>
        <w:t>senatorial</w:t>
      </w:r>
      <w:r w:rsidR="00FB76CA" w:rsidRPr="00B526B9">
        <w:rPr>
          <w:sz w:val="24"/>
          <w:szCs w:val="24"/>
        </w:rPr>
        <w:t xml:space="preserve"> career path), and was the Urban Prefect by the time Aurelian took the purple.</w:t>
      </w:r>
      <w:r w:rsidR="00FB76CA" w:rsidRPr="00B526B9">
        <w:rPr>
          <w:rStyle w:val="FootnoteReference"/>
          <w:sz w:val="24"/>
          <w:szCs w:val="24"/>
        </w:rPr>
        <w:footnoteReference w:id="302"/>
      </w:r>
      <w:r w:rsidR="00FB76CA" w:rsidRPr="00B526B9">
        <w:rPr>
          <w:sz w:val="24"/>
          <w:szCs w:val="24"/>
        </w:rPr>
        <w:t xml:space="preserve"> Under the Republic and the early Empire, the </w:t>
      </w:r>
      <w:r w:rsidR="00FB76CA" w:rsidRPr="00B526B9">
        <w:rPr>
          <w:i/>
          <w:sz w:val="24"/>
          <w:szCs w:val="24"/>
        </w:rPr>
        <w:t>cursus honorum</w:t>
      </w:r>
      <w:r>
        <w:rPr>
          <w:sz w:val="24"/>
          <w:szCs w:val="24"/>
        </w:rPr>
        <w:t xml:space="preserve"> had gone hand-in-</w:t>
      </w:r>
      <w:r w:rsidR="00FB76CA" w:rsidRPr="00B526B9">
        <w:rPr>
          <w:sz w:val="24"/>
          <w:szCs w:val="24"/>
        </w:rPr>
        <w:t xml:space="preserve">hand with the administrative structure of the Empire, with the power and dignity of the office reflecting upon the </w:t>
      </w:r>
      <w:r w:rsidR="00FB76CA" w:rsidRPr="00B526B9">
        <w:rPr>
          <w:i/>
          <w:sz w:val="24"/>
          <w:szCs w:val="24"/>
        </w:rPr>
        <w:t>dignitas</w:t>
      </w:r>
      <w:r w:rsidR="00FB76CA" w:rsidRPr="00B526B9">
        <w:rPr>
          <w:sz w:val="24"/>
          <w:szCs w:val="24"/>
        </w:rPr>
        <w:t xml:space="preserve"> (honour) of the holder and </w:t>
      </w:r>
      <w:r w:rsidR="00FB76CA" w:rsidRPr="00B526B9">
        <w:rPr>
          <w:sz w:val="24"/>
          <w:szCs w:val="24"/>
        </w:rPr>
        <w:lastRenderedPageBreak/>
        <w:t>provided experience of the administration</w:t>
      </w:r>
      <w:r>
        <w:rPr>
          <w:sz w:val="24"/>
          <w:szCs w:val="24"/>
        </w:rPr>
        <w:t>,</w:t>
      </w:r>
      <w:r w:rsidR="00FB76CA" w:rsidRPr="00B526B9">
        <w:rPr>
          <w:sz w:val="24"/>
          <w:szCs w:val="24"/>
        </w:rPr>
        <w:t xml:space="preserve"> if not traini</w:t>
      </w:r>
      <w:r>
        <w:rPr>
          <w:sz w:val="24"/>
          <w:szCs w:val="24"/>
        </w:rPr>
        <w:t>ng. But at no point was any specific qualification</w:t>
      </w:r>
      <w:r w:rsidR="00FB76CA" w:rsidRPr="00B526B9">
        <w:rPr>
          <w:sz w:val="24"/>
          <w:szCs w:val="24"/>
        </w:rPr>
        <w:t xml:space="preserve"> required for these posts beyond the “gentlemanliness” of the man’s birth and character.</w:t>
      </w:r>
    </w:p>
    <w:p w:rsidR="00FB76CA" w:rsidRPr="00B526B9" w:rsidRDefault="00F630A0" w:rsidP="00722391">
      <w:pPr>
        <w:spacing w:line="480" w:lineRule="auto"/>
        <w:ind w:firstLine="720"/>
        <w:jc w:val="both"/>
        <w:rPr>
          <w:sz w:val="24"/>
          <w:szCs w:val="24"/>
        </w:rPr>
      </w:pPr>
      <w:r>
        <w:rPr>
          <w:sz w:val="24"/>
          <w:szCs w:val="24"/>
        </w:rPr>
        <w:t xml:space="preserve">Surprisingly, given </w:t>
      </w:r>
      <w:r w:rsidR="00A720D0">
        <w:rPr>
          <w:sz w:val="24"/>
          <w:szCs w:val="24"/>
        </w:rPr>
        <w:t>his</w:t>
      </w:r>
      <w:r>
        <w:rPr>
          <w:sz w:val="24"/>
          <w:szCs w:val="24"/>
        </w:rPr>
        <w:t xml:space="preserve"> paranoia about the Senate, </w:t>
      </w:r>
      <w:r w:rsidR="00FB76CA" w:rsidRPr="00B526B9">
        <w:rPr>
          <w:sz w:val="24"/>
          <w:szCs w:val="24"/>
        </w:rPr>
        <w:t xml:space="preserve">Aurelian appears to have favoured and trusted the </w:t>
      </w:r>
      <w:r w:rsidR="0087599E">
        <w:rPr>
          <w:sz w:val="24"/>
          <w:szCs w:val="24"/>
        </w:rPr>
        <w:t>s</w:t>
      </w:r>
      <w:r w:rsidR="008B44B0">
        <w:rPr>
          <w:sz w:val="24"/>
          <w:szCs w:val="24"/>
        </w:rPr>
        <w:t>enatorial</w:t>
      </w:r>
      <w:r w:rsidR="00FB76CA" w:rsidRPr="00B526B9">
        <w:rPr>
          <w:sz w:val="24"/>
          <w:szCs w:val="24"/>
        </w:rPr>
        <w:t xml:space="preserve"> Antiochanus, for he continued to hold the Urban Prefecture until 271 and was rewarded with the honour of serving an ordinary consulship with Aurelian himself.</w:t>
      </w:r>
      <w:r w:rsidR="00FB76CA" w:rsidRPr="00B526B9">
        <w:rPr>
          <w:rStyle w:val="FootnoteReference"/>
          <w:sz w:val="24"/>
          <w:szCs w:val="24"/>
        </w:rPr>
        <w:footnoteReference w:id="303"/>
      </w:r>
      <w:r w:rsidR="00FB76CA" w:rsidRPr="00B526B9">
        <w:rPr>
          <w:sz w:val="24"/>
          <w:szCs w:val="24"/>
        </w:rPr>
        <w:t xml:space="preserve"> Such a figure would be invested in the </w:t>
      </w:r>
      <w:r w:rsidR="008B44B0">
        <w:rPr>
          <w:sz w:val="24"/>
          <w:szCs w:val="24"/>
        </w:rPr>
        <w:t xml:space="preserve">emperor’s </w:t>
      </w:r>
      <w:r w:rsidR="00FB76CA" w:rsidRPr="00B526B9">
        <w:rPr>
          <w:sz w:val="24"/>
          <w:szCs w:val="24"/>
        </w:rPr>
        <w:t>new reg</w:t>
      </w:r>
      <w:r w:rsidR="008B44B0">
        <w:rPr>
          <w:sz w:val="24"/>
          <w:szCs w:val="24"/>
        </w:rPr>
        <w:t>ime and close enough to the emperor</w:t>
      </w:r>
      <w:r w:rsidR="00FB76CA" w:rsidRPr="00B526B9">
        <w:rPr>
          <w:sz w:val="24"/>
          <w:szCs w:val="24"/>
        </w:rPr>
        <w:t xml:space="preserve"> to represent </w:t>
      </w:r>
      <w:r w:rsidR="008B44B0">
        <w:rPr>
          <w:sz w:val="24"/>
          <w:szCs w:val="24"/>
        </w:rPr>
        <w:t>imperial</w:t>
      </w:r>
      <w:r w:rsidR="00FB76CA" w:rsidRPr="00B526B9">
        <w:rPr>
          <w:sz w:val="24"/>
          <w:szCs w:val="24"/>
        </w:rPr>
        <w:t xml:space="preserve"> interests in his absence, along with possessing sufficient prestige to command the respect and obedience of his contemporaries and successors. It seems likely therefore that Flavius Antiochanus would be entrusted with overseeing the initial phase of planning and construction and therefore would have good cause to produce the </w:t>
      </w:r>
      <w:r w:rsidR="00FB76CA" w:rsidRPr="00B526B9">
        <w:rPr>
          <w:i/>
          <w:sz w:val="24"/>
          <w:szCs w:val="24"/>
        </w:rPr>
        <w:t>Regionaries</w:t>
      </w:r>
      <w:r w:rsidR="00FB76CA" w:rsidRPr="00B526B9">
        <w:rPr>
          <w:sz w:val="24"/>
          <w:szCs w:val="24"/>
        </w:rPr>
        <w:t>. He was certainly well</w:t>
      </w:r>
      <w:r w:rsidR="00A720D0">
        <w:rPr>
          <w:sz w:val="24"/>
          <w:szCs w:val="24"/>
        </w:rPr>
        <w:t xml:space="preserve"> enough connected </w:t>
      </w:r>
      <w:r w:rsidR="00FB76CA" w:rsidRPr="00B526B9">
        <w:rPr>
          <w:sz w:val="24"/>
          <w:szCs w:val="24"/>
        </w:rPr>
        <w:t xml:space="preserve">to his successors to have motive to bequeath a document as useful as the </w:t>
      </w:r>
      <w:r w:rsidR="00FB76CA" w:rsidRPr="00B526B9">
        <w:rPr>
          <w:i/>
          <w:sz w:val="24"/>
          <w:szCs w:val="24"/>
        </w:rPr>
        <w:t>Regionaries</w:t>
      </w:r>
      <w:r w:rsidR="00FB76CA" w:rsidRPr="00B526B9">
        <w:rPr>
          <w:sz w:val="24"/>
          <w:szCs w:val="24"/>
        </w:rPr>
        <w:t xml:space="preserve"> to them</w:t>
      </w:r>
      <w:r w:rsidR="000E7ED6">
        <w:rPr>
          <w:sz w:val="24"/>
          <w:szCs w:val="24"/>
        </w:rPr>
        <w:t>. To fail to provide your allies with support would be dishonourable and potentially fatal to one’s ability to government as we will discuss in a later chapter</w:t>
      </w:r>
      <w:r w:rsidR="00FB76CA" w:rsidRPr="00B526B9">
        <w:rPr>
          <w:sz w:val="24"/>
          <w:szCs w:val="24"/>
        </w:rPr>
        <w:t xml:space="preserve">. Antiochanus’s wife was the sister of the </w:t>
      </w:r>
      <w:r w:rsidR="00FB76CA" w:rsidRPr="00B526B9">
        <w:rPr>
          <w:i/>
          <w:sz w:val="24"/>
          <w:szCs w:val="24"/>
        </w:rPr>
        <w:t>princeps senatus</w:t>
      </w:r>
      <w:r w:rsidR="00FB76CA" w:rsidRPr="00B526B9">
        <w:rPr>
          <w:sz w:val="24"/>
          <w:szCs w:val="24"/>
        </w:rPr>
        <w:t xml:space="preserve"> (the preeminent senator of the day) Pomponius Bassus who also </w:t>
      </w:r>
      <w:r w:rsidR="00A720D0">
        <w:rPr>
          <w:sz w:val="24"/>
          <w:szCs w:val="24"/>
        </w:rPr>
        <w:t xml:space="preserve">succeeded Antiochanus </w:t>
      </w:r>
      <w:r w:rsidR="00FB76CA" w:rsidRPr="00B526B9">
        <w:rPr>
          <w:sz w:val="24"/>
          <w:szCs w:val="24"/>
        </w:rPr>
        <w:t>as Urban Prefect in AD 271.</w:t>
      </w:r>
      <w:r w:rsidR="00FB76CA" w:rsidRPr="00B526B9">
        <w:rPr>
          <w:rStyle w:val="FootnoteReference"/>
          <w:sz w:val="24"/>
          <w:szCs w:val="24"/>
        </w:rPr>
        <w:footnoteReference w:id="304"/>
      </w:r>
      <w:r w:rsidR="00FB76CA" w:rsidRPr="00B526B9">
        <w:rPr>
          <w:sz w:val="24"/>
          <w:szCs w:val="24"/>
        </w:rPr>
        <w:t xml:space="preserve"> Along with Aurelian, Antiochanus’s co-consul for 270 was Virius Orfitus, descended from the noble republican family</w:t>
      </w:r>
      <w:r w:rsidR="000E7ED6">
        <w:rPr>
          <w:sz w:val="24"/>
          <w:szCs w:val="24"/>
        </w:rPr>
        <w:t xml:space="preserve"> of</w:t>
      </w:r>
      <w:r w:rsidR="00FB76CA" w:rsidRPr="00B526B9">
        <w:rPr>
          <w:sz w:val="24"/>
          <w:szCs w:val="24"/>
        </w:rPr>
        <w:t xml:space="preserve"> the Cornelii Scipiones, and</w:t>
      </w:r>
      <w:r w:rsidR="000E7ED6">
        <w:rPr>
          <w:sz w:val="24"/>
          <w:szCs w:val="24"/>
        </w:rPr>
        <w:t xml:space="preserve"> who</w:t>
      </w:r>
      <w:r w:rsidR="00FB76CA" w:rsidRPr="00B526B9">
        <w:rPr>
          <w:sz w:val="24"/>
          <w:szCs w:val="24"/>
        </w:rPr>
        <w:t xml:space="preserve"> served in AD 273 as the successor to </w:t>
      </w:r>
      <w:r w:rsidR="000E7ED6">
        <w:rPr>
          <w:sz w:val="24"/>
          <w:szCs w:val="24"/>
        </w:rPr>
        <w:t>Antiochanus</w:t>
      </w:r>
      <w:r w:rsidR="00FB76CA" w:rsidRPr="00B526B9">
        <w:rPr>
          <w:sz w:val="24"/>
          <w:szCs w:val="24"/>
        </w:rPr>
        <w:t>’</w:t>
      </w:r>
      <w:r w:rsidR="000E7ED6">
        <w:rPr>
          <w:sz w:val="24"/>
          <w:szCs w:val="24"/>
        </w:rPr>
        <w:t>s</w:t>
      </w:r>
      <w:r w:rsidR="00FB76CA" w:rsidRPr="00B526B9">
        <w:rPr>
          <w:sz w:val="24"/>
          <w:szCs w:val="24"/>
        </w:rPr>
        <w:t xml:space="preserve"> second term as Urban Prefect. Virius Orfitus’ successor in AD 275, Postumius Suagrus, was a relative of Postumius Varus</w:t>
      </w:r>
      <w:r w:rsidR="000E7ED6">
        <w:rPr>
          <w:sz w:val="24"/>
          <w:szCs w:val="24"/>
        </w:rPr>
        <w:t>,</w:t>
      </w:r>
      <w:r w:rsidR="00FB76CA" w:rsidRPr="00B526B9">
        <w:rPr>
          <w:sz w:val="24"/>
          <w:szCs w:val="24"/>
        </w:rPr>
        <w:t xml:space="preserve"> a notable orator of the day, and was also a priest in Aurelian’s new College </w:t>
      </w:r>
      <w:r w:rsidR="00FB76CA" w:rsidRPr="00B526B9">
        <w:rPr>
          <w:sz w:val="24"/>
          <w:szCs w:val="24"/>
        </w:rPr>
        <w:lastRenderedPageBreak/>
        <w:t>of Sol Invictus.</w:t>
      </w:r>
      <w:r w:rsidR="00FB76CA" w:rsidRPr="00B526B9">
        <w:rPr>
          <w:rStyle w:val="FootnoteReference"/>
          <w:sz w:val="24"/>
          <w:szCs w:val="24"/>
        </w:rPr>
        <w:footnoteReference w:id="305"/>
      </w:r>
      <w:r w:rsidR="00FB76CA" w:rsidRPr="00B526B9">
        <w:rPr>
          <w:sz w:val="24"/>
          <w:szCs w:val="24"/>
        </w:rPr>
        <w:t xml:space="preserve"> Here then we have a group of figures possessing the status and connections to fit into Lendon’s “government by honour” model</w:t>
      </w:r>
      <w:r w:rsidR="008B44B0">
        <w:rPr>
          <w:sz w:val="24"/>
          <w:szCs w:val="24"/>
        </w:rPr>
        <w:t xml:space="preserve"> to which I will return in the next chapter</w:t>
      </w:r>
      <w:r w:rsidR="00FB76CA" w:rsidRPr="00B526B9">
        <w:rPr>
          <w:sz w:val="24"/>
          <w:szCs w:val="24"/>
        </w:rPr>
        <w:t>.</w:t>
      </w:r>
      <w:r w:rsidR="008B44B0">
        <w:rPr>
          <w:sz w:val="24"/>
          <w:szCs w:val="24"/>
        </w:rPr>
        <w:t xml:space="preserve"> </w:t>
      </w:r>
      <w:r w:rsidR="006C1423">
        <w:rPr>
          <w:sz w:val="24"/>
          <w:szCs w:val="24"/>
        </w:rPr>
        <w:t>S</w:t>
      </w:r>
      <w:r w:rsidR="008B44B0">
        <w:rPr>
          <w:sz w:val="24"/>
          <w:szCs w:val="24"/>
        </w:rPr>
        <w:t>uch an intimate network of related figures</w:t>
      </w:r>
      <w:r w:rsidR="006C1423">
        <w:rPr>
          <w:sz w:val="24"/>
          <w:szCs w:val="24"/>
        </w:rPr>
        <w:t xml:space="preserve"> </w:t>
      </w:r>
      <w:r w:rsidR="008B44B0">
        <w:rPr>
          <w:sz w:val="24"/>
          <w:szCs w:val="24"/>
        </w:rPr>
        <w:t>could provide</w:t>
      </w:r>
      <w:r w:rsidR="006C1423">
        <w:rPr>
          <w:sz w:val="24"/>
          <w:szCs w:val="24"/>
        </w:rPr>
        <w:t xml:space="preserve"> both advice and consistent oversight that an extended project such as the Aurelian Wall would require</w:t>
      </w:r>
      <w:r w:rsidR="008B44B0">
        <w:rPr>
          <w:sz w:val="24"/>
          <w:szCs w:val="24"/>
        </w:rPr>
        <w:t>.</w:t>
      </w:r>
    </w:p>
    <w:p w:rsidR="00FB76CA" w:rsidRDefault="00FB76CA" w:rsidP="00722391">
      <w:pPr>
        <w:spacing w:line="480" w:lineRule="auto"/>
        <w:ind w:firstLine="720"/>
        <w:jc w:val="both"/>
        <w:rPr>
          <w:sz w:val="24"/>
          <w:szCs w:val="24"/>
        </w:rPr>
      </w:pPr>
      <w:r>
        <w:rPr>
          <w:sz w:val="24"/>
          <w:szCs w:val="24"/>
        </w:rPr>
        <w:t>During the planning stages, the walls were often diverted in order to ensure as much of the city’s monumental heritage either avoided damage or was included within the circuit, despite creating significant areas of tactical weakness.</w:t>
      </w:r>
      <w:r>
        <w:rPr>
          <w:rStyle w:val="FootnoteReference"/>
          <w:sz w:val="24"/>
          <w:szCs w:val="24"/>
        </w:rPr>
        <w:footnoteReference w:id="306"/>
      </w:r>
      <w:r>
        <w:rPr>
          <w:sz w:val="24"/>
          <w:szCs w:val="24"/>
        </w:rPr>
        <w:t xml:space="preserve"> In order to further appease the city, as much of the construction as possible was routed through the </w:t>
      </w:r>
      <w:r w:rsidR="008B44B0">
        <w:rPr>
          <w:sz w:val="24"/>
          <w:szCs w:val="24"/>
        </w:rPr>
        <w:t>imperial</w:t>
      </w:r>
      <w:r>
        <w:rPr>
          <w:sz w:val="24"/>
          <w:szCs w:val="24"/>
        </w:rPr>
        <w:t xml:space="preserve"> land and estates, often cutting straight through </w:t>
      </w:r>
      <w:r w:rsidR="008B44B0">
        <w:rPr>
          <w:sz w:val="24"/>
          <w:szCs w:val="24"/>
        </w:rPr>
        <w:t>imperial</w:t>
      </w:r>
      <w:r>
        <w:rPr>
          <w:sz w:val="24"/>
          <w:szCs w:val="24"/>
        </w:rPr>
        <w:t xml:space="preserve"> buildings and saving noted cultural buildings.</w:t>
      </w:r>
      <w:r>
        <w:rPr>
          <w:rStyle w:val="FootnoteReference"/>
          <w:sz w:val="24"/>
          <w:szCs w:val="24"/>
        </w:rPr>
        <w:footnoteReference w:id="307"/>
      </w:r>
      <w:r>
        <w:rPr>
          <w:sz w:val="24"/>
          <w:szCs w:val="24"/>
        </w:rPr>
        <w:t xml:space="preserve"> Two substantial </w:t>
      </w:r>
      <w:r w:rsidR="0087599E">
        <w:rPr>
          <w:sz w:val="24"/>
          <w:szCs w:val="24"/>
        </w:rPr>
        <w:t>i</w:t>
      </w:r>
      <w:r w:rsidR="008B44B0">
        <w:rPr>
          <w:sz w:val="24"/>
          <w:szCs w:val="24"/>
        </w:rPr>
        <w:t>mperial</w:t>
      </w:r>
      <w:r>
        <w:rPr>
          <w:sz w:val="24"/>
          <w:szCs w:val="24"/>
        </w:rPr>
        <w:t xml:space="preserve"> Palaces, the </w:t>
      </w:r>
      <w:r>
        <w:rPr>
          <w:i/>
          <w:sz w:val="24"/>
          <w:szCs w:val="24"/>
        </w:rPr>
        <w:t>Domus Lateranorum</w:t>
      </w:r>
      <w:r>
        <w:rPr>
          <w:sz w:val="24"/>
          <w:szCs w:val="24"/>
        </w:rPr>
        <w:t xml:space="preserve"> and the Sessorian Palace, and innumerable smaller </w:t>
      </w:r>
      <w:r w:rsidR="008B44B0">
        <w:rPr>
          <w:sz w:val="24"/>
          <w:szCs w:val="24"/>
        </w:rPr>
        <w:t>imperial</w:t>
      </w:r>
      <w:r>
        <w:rPr>
          <w:sz w:val="24"/>
          <w:szCs w:val="24"/>
        </w:rPr>
        <w:t xml:space="preserve"> villas, had</w:t>
      </w:r>
      <w:r w:rsidR="009C7AF1">
        <w:rPr>
          <w:sz w:val="24"/>
          <w:szCs w:val="24"/>
        </w:rPr>
        <w:t xml:space="preserve"> to have</w:t>
      </w:r>
      <w:r>
        <w:rPr>
          <w:sz w:val="24"/>
          <w:szCs w:val="24"/>
        </w:rPr>
        <w:t xml:space="preserve"> elements destroyed to make way for the Wall.</w:t>
      </w:r>
      <w:r>
        <w:rPr>
          <w:rStyle w:val="FootnoteReference"/>
          <w:sz w:val="24"/>
          <w:szCs w:val="24"/>
        </w:rPr>
        <w:footnoteReference w:id="308"/>
      </w:r>
      <w:r>
        <w:rPr>
          <w:sz w:val="24"/>
          <w:szCs w:val="24"/>
        </w:rPr>
        <w:t xml:space="preserve"> </w:t>
      </w:r>
      <w:r w:rsidR="00592B39">
        <w:rPr>
          <w:sz w:val="24"/>
          <w:szCs w:val="24"/>
        </w:rPr>
        <w:t>This served as</w:t>
      </w:r>
      <w:r>
        <w:rPr>
          <w:sz w:val="24"/>
          <w:szCs w:val="24"/>
        </w:rPr>
        <w:t xml:space="preserve"> topographical demonstration that the </w:t>
      </w:r>
      <w:r w:rsidR="008B44B0">
        <w:rPr>
          <w:sz w:val="24"/>
          <w:szCs w:val="24"/>
        </w:rPr>
        <w:t>emperor</w:t>
      </w:r>
      <w:r>
        <w:rPr>
          <w:sz w:val="24"/>
          <w:szCs w:val="24"/>
        </w:rPr>
        <w:t xml:space="preserve"> and his officials possessed the same traditional values and valued the greatest city in the Empire was worth a great deal of expense an</w:t>
      </w:r>
      <w:r w:rsidR="000E7ED6">
        <w:rPr>
          <w:sz w:val="24"/>
          <w:szCs w:val="24"/>
        </w:rPr>
        <w:t>d effort, even if the Wall did no</w:t>
      </w:r>
      <w:r>
        <w:rPr>
          <w:sz w:val="24"/>
          <w:szCs w:val="24"/>
        </w:rPr>
        <w:t>t serve its implicit military purpose well. Those urban administrators who failed to develop these relations ended poorly, either being dismissed in disgrace or murdered by their subjects. It was the ultimate conversion of the “soft” cultural power represented by the monuments into “hard” political authority of one’s personal prestige.</w:t>
      </w:r>
      <w:r>
        <w:rPr>
          <w:rStyle w:val="FootnoteReference"/>
          <w:sz w:val="24"/>
          <w:szCs w:val="24"/>
        </w:rPr>
        <w:footnoteReference w:id="309"/>
      </w:r>
      <w:r>
        <w:rPr>
          <w:sz w:val="24"/>
          <w:szCs w:val="24"/>
        </w:rPr>
        <w:t xml:space="preserve"> </w:t>
      </w:r>
    </w:p>
    <w:p w:rsidR="00ED38DB" w:rsidRDefault="00FB76CA" w:rsidP="001253F8">
      <w:pPr>
        <w:spacing w:line="480" w:lineRule="auto"/>
        <w:ind w:firstLine="720"/>
        <w:jc w:val="both"/>
        <w:rPr>
          <w:sz w:val="24"/>
          <w:szCs w:val="24"/>
        </w:rPr>
      </w:pPr>
      <w:r>
        <w:rPr>
          <w:sz w:val="24"/>
          <w:szCs w:val="24"/>
        </w:rPr>
        <w:t xml:space="preserve">Moreover, the magnificent, </w:t>
      </w:r>
      <w:r w:rsidR="000E7ED6">
        <w:rPr>
          <w:sz w:val="24"/>
          <w:szCs w:val="24"/>
        </w:rPr>
        <w:t>the awe-inspiring and</w:t>
      </w:r>
      <w:r w:rsidR="00592B39">
        <w:rPr>
          <w:sz w:val="24"/>
          <w:szCs w:val="24"/>
        </w:rPr>
        <w:t xml:space="preserve"> the</w:t>
      </w:r>
      <w:r w:rsidR="000E7ED6">
        <w:rPr>
          <w:sz w:val="24"/>
          <w:szCs w:val="24"/>
        </w:rPr>
        <w:t xml:space="preserve"> </w:t>
      </w:r>
      <w:r>
        <w:rPr>
          <w:sz w:val="24"/>
          <w:szCs w:val="24"/>
        </w:rPr>
        <w:t>elaborate</w:t>
      </w:r>
      <w:r w:rsidR="00F630A0">
        <w:rPr>
          <w:sz w:val="24"/>
          <w:szCs w:val="24"/>
        </w:rPr>
        <w:t xml:space="preserve"> forms</w:t>
      </w:r>
      <w:r>
        <w:rPr>
          <w:sz w:val="24"/>
          <w:szCs w:val="24"/>
        </w:rPr>
        <w:t xml:space="preserve"> of the message and the medium helped drive the administration</w:t>
      </w:r>
      <w:r w:rsidR="000E7ED6">
        <w:rPr>
          <w:sz w:val="24"/>
          <w:szCs w:val="24"/>
        </w:rPr>
        <w:t>’</w:t>
      </w:r>
      <w:r>
        <w:rPr>
          <w:sz w:val="24"/>
          <w:szCs w:val="24"/>
        </w:rPr>
        <w:t xml:space="preserve">s point home. Fear and force </w:t>
      </w:r>
      <w:r>
        <w:rPr>
          <w:sz w:val="24"/>
          <w:szCs w:val="24"/>
        </w:rPr>
        <w:lastRenderedPageBreak/>
        <w:t>were only as good as the method by whi</w:t>
      </w:r>
      <w:r w:rsidR="006C1423">
        <w:rPr>
          <w:sz w:val="24"/>
          <w:szCs w:val="24"/>
        </w:rPr>
        <w:t>ch they were communicated. The w</w:t>
      </w:r>
      <w:r>
        <w:rPr>
          <w:sz w:val="24"/>
          <w:szCs w:val="24"/>
        </w:rPr>
        <w:t xml:space="preserve">all was an unsubtle reminder of </w:t>
      </w:r>
      <w:r w:rsidR="0087599E">
        <w:rPr>
          <w:sz w:val="24"/>
          <w:szCs w:val="24"/>
        </w:rPr>
        <w:t>i</w:t>
      </w:r>
      <w:r w:rsidR="008B44B0">
        <w:rPr>
          <w:sz w:val="24"/>
          <w:szCs w:val="24"/>
        </w:rPr>
        <w:t>mperial</w:t>
      </w:r>
      <w:r>
        <w:rPr>
          <w:sz w:val="24"/>
          <w:szCs w:val="24"/>
        </w:rPr>
        <w:t xml:space="preserve"> power and authority. Aurelian had already faced one serious revolt in Rome which he had h</w:t>
      </w:r>
      <w:r w:rsidR="006C1423">
        <w:rPr>
          <w:sz w:val="24"/>
          <w:szCs w:val="24"/>
        </w:rPr>
        <w:t>ad to crush (the revolt of the m</w:t>
      </w:r>
      <w:r>
        <w:rPr>
          <w:sz w:val="24"/>
          <w:szCs w:val="24"/>
        </w:rPr>
        <w:t>int</w:t>
      </w:r>
      <w:r w:rsidR="006C1423">
        <w:rPr>
          <w:sz w:val="24"/>
          <w:szCs w:val="24"/>
        </w:rPr>
        <w:t xml:space="preserve"> </w:t>
      </w:r>
      <w:r>
        <w:rPr>
          <w:sz w:val="24"/>
          <w:szCs w:val="24"/>
        </w:rPr>
        <w:t>workers), and both Aurelius Victor and</w:t>
      </w:r>
      <w:r w:rsidRPr="00FE5683">
        <w:rPr>
          <w:sz w:val="24"/>
          <w:szCs w:val="24"/>
        </w:rPr>
        <w:t xml:space="preserve"> </w:t>
      </w:r>
      <w:r>
        <w:rPr>
          <w:sz w:val="24"/>
          <w:szCs w:val="24"/>
        </w:rPr>
        <w:t xml:space="preserve">the </w:t>
      </w:r>
      <w:r>
        <w:rPr>
          <w:i/>
          <w:sz w:val="24"/>
          <w:szCs w:val="24"/>
        </w:rPr>
        <w:t>Historia Augusta</w:t>
      </w:r>
      <w:r>
        <w:rPr>
          <w:sz w:val="24"/>
          <w:szCs w:val="24"/>
        </w:rPr>
        <w:t xml:space="preserve"> accused him of being particularly cruel to the Senate.</w:t>
      </w:r>
      <w:r>
        <w:rPr>
          <w:rStyle w:val="FootnoteReference"/>
          <w:sz w:val="24"/>
          <w:szCs w:val="24"/>
        </w:rPr>
        <w:footnoteReference w:id="310"/>
      </w:r>
      <w:r>
        <w:rPr>
          <w:sz w:val="24"/>
          <w:szCs w:val="24"/>
        </w:rPr>
        <w:t xml:space="preserve"> Furthermore Queen Zenobia’s conquest of Egypt and the consequent denial of grain meant the city was getting restless.</w:t>
      </w:r>
      <w:r>
        <w:rPr>
          <w:rStyle w:val="FootnoteReference"/>
          <w:sz w:val="24"/>
          <w:szCs w:val="24"/>
        </w:rPr>
        <w:footnoteReference w:id="311"/>
      </w:r>
      <w:r>
        <w:rPr>
          <w:sz w:val="24"/>
          <w:szCs w:val="24"/>
        </w:rPr>
        <w:t xml:space="preserve"> Construction would provide a distraction for the city in his absence. It also meant that even though Aurelian and the army were to be in the East</w:t>
      </w:r>
      <w:r w:rsidR="000E7ED6">
        <w:rPr>
          <w:sz w:val="24"/>
          <w:szCs w:val="24"/>
        </w:rPr>
        <w:t>,</w:t>
      </w:r>
      <w:r>
        <w:rPr>
          <w:sz w:val="24"/>
          <w:szCs w:val="24"/>
        </w:rPr>
        <w:t xml:space="preserve"> his influence could be show</w:t>
      </w:r>
      <w:r w:rsidR="000E7ED6">
        <w:rPr>
          <w:sz w:val="24"/>
          <w:szCs w:val="24"/>
        </w:rPr>
        <w:t>n</w:t>
      </w:r>
      <w:r>
        <w:rPr>
          <w:sz w:val="24"/>
          <w:szCs w:val="24"/>
        </w:rPr>
        <w:t xml:space="preserve"> to be able to reach the city and affect it significantly.</w:t>
      </w:r>
      <w:r>
        <w:rPr>
          <w:rStyle w:val="FootnoteReference"/>
          <w:sz w:val="24"/>
          <w:szCs w:val="24"/>
        </w:rPr>
        <w:footnoteReference w:id="312"/>
      </w:r>
      <w:r>
        <w:rPr>
          <w:sz w:val="24"/>
          <w:szCs w:val="24"/>
        </w:rPr>
        <w:t xml:space="preserve">  </w:t>
      </w:r>
    </w:p>
    <w:p w:rsidR="00FB76CA" w:rsidRPr="00FB76CA" w:rsidRDefault="00FB76CA" w:rsidP="00722391">
      <w:pPr>
        <w:spacing w:line="480" w:lineRule="auto"/>
        <w:ind w:firstLine="720"/>
        <w:jc w:val="both"/>
        <w:rPr>
          <w:rFonts w:eastAsiaTheme="minorHAnsi"/>
          <w:sz w:val="24"/>
          <w:szCs w:val="24"/>
        </w:rPr>
      </w:pPr>
      <w:r w:rsidRPr="0076389E">
        <w:rPr>
          <w:sz w:val="24"/>
          <w:szCs w:val="24"/>
        </w:rPr>
        <w:t xml:space="preserve">In creating the </w:t>
      </w:r>
      <w:r w:rsidRPr="0076389E">
        <w:rPr>
          <w:i/>
          <w:sz w:val="24"/>
          <w:szCs w:val="24"/>
        </w:rPr>
        <w:t>Regionary Catalogues</w:t>
      </w:r>
      <w:r w:rsidR="006C1423">
        <w:rPr>
          <w:sz w:val="24"/>
          <w:szCs w:val="24"/>
        </w:rPr>
        <w:t xml:space="preserve"> Aurelian, through his</w:t>
      </w:r>
      <w:r w:rsidRPr="0076389E">
        <w:rPr>
          <w:sz w:val="24"/>
          <w:szCs w:val="24"/>
        </w:rPr>
        <w:t xml:space="preserve"> Urban Prefects’</w:t>
      </w:r>
      <w:r w:rsidR="006C1423">
        <w:rPr>
          <w:sz w:val="24"/>
          <w:szCs w:val="24"/>
        </w:rPr>
        <w:t>, was</w:t>
      </w:r>
      <w:r w:rsidRPr="0076389E">
        <w:rPr>
          <w:sz w:val="24"/>
          <w:szCs w:val="24"/>
        </w:rPr>
        <w:t xml:space="preserve"> creating a</w:t>
      </w:r>
      <w:r w:rsidR="00046D28">
        <w:rPr>
          <w:sz w:val="24"/>
          <w:szCs w:val="24"/>
        </w:rPr>
        <w:t>n</w:t>
      </w:r>
      <w:r w:rsidRPr="0076389E">
        <w:rPr>
          <w:sz w:val="24"/>
          <w:szCs w:val="24"/>
        </w:rPr>
        <w:t xml:space="preserve"> </w:t>
      </w:r>
      <w:r w:rsidRPr="0076389E">
        <w:rPr>
          <w:i/>
          <w:sz w:val="24"/>
          <w:szCs w:val="24"/>
        </w:rPr>
        <w:t xml:space="preserve">aide-de-memoire </w:t>
      </w:r>
      <w:r w:rsidRPr="0076389E">
        <w:rPr>
          <w:sz w:val="24"/>
          <w:szCs w:val="24"/>
        </w:rPr>
        <w:t>as a reminder of those areas most affected by the reforms and those regions</w:t>
      </w:r>
      <w:r w:rsidR="00046D28">
        <w:rPr>
          <w:sz w:val="24"/>
          <w:szCs w:val="24"/>
        </w:rPr>
        <w:t xml:space="preserve"> and properties, such as temples and monuments</w:t>
      </w:r>
      <w:r w:rsidRPr="0076389E">
        <w:rPr>
          <w:sz w:val="24"/>
          <w:szCs w:val="24"/>
        </w:rPr>
        <w:t xml:space="preserve"> that </w:t>
      </w:r>
      <w:r w:rsidR="00046D28">
        <w:rPr>
          <w:sz w:val="24"/>
          <w:szCs w:val="24"/>
        </w:rPr>
        <w:t>could</w:t>
      </w:r>
      <w:r w:rsidRPr="0076389E">
        <w:rPr>
          <w:sz w:val="24"/>
          <w:szCs w:val="24"/>
        </w:rPr>
        <w:t xml:space="preserve"> be topographically affected by th</w:t>
      </w:r>
      <w:r w:rsidR="006C1423">
        <w:rPr>
          <w:sz w:val="24"/>
          <w:szCs w:val="24"/>
        </w:rPr>
        <w:t>e construction of the wall.  If the</w:t>
      </w:r>
      <w:r w:rsidRPr="0076389E">
        <w:rPr>
          <w:sz w:val="24"/>
          <w:szCs w:val="24"/>
        </w:rPr>
        <w:t xml:space="preserve"> </w:t>
      </w:r>
      <w:r w:rsidRPr="0076389E">
        <w:rPr>
          <w:i/>
          <w:sz w:val="24"/>
          <w:szCs w:val="24"/>
        </w:rPr>
        <w:t xml:space="preserve">Regionary Catalogues </w:t>
      </w:r>
      <w:r w:rsidRPr="0076389E">
        <w:rPr>
          <w:sz w:val="24"/>
          <w:szCs w:val="24"/>
        </w:rPr>
        <w:t xml:space="preserve">were produced at first to assist with the initial range of reforms under Flavius Antiochanus </w:t>
      </w:r>
      <w:r w:rsidR="006C1423">
        <w:rPr>
          <w:sz w:val="24"/>
          <w:szCs w:val="24"/>
        </w:rPr>
        <w:t xml:space="preserve">would be </w:t>
      </w:r>
      <w:r w:rsidRPr="0076389E">
        <w:rPr>
          <w:sz w:val="24"/>
          <w:szCs w:val="24"/>
        </w:rPr>
        <w:t xml:space="preserve">transmitted amongst his successors as a guide to continuing with them. New buildings could be added and statistics altered if the new Urban Prefect felt it appropriate. If there was a new </w:t>
      </w:r>
      <w:r w:rsidR="0087599E">
        <w:rPr>
          <w:sz w:val="24"/>
          <w:szCs w:val="24"/>
        </w:rPr>
        <w:t>e</w:t>
      </w:r>
      <w:r w:rsidR="008B44B0">
        <w:rPr>
          <w:sz w:val="24"/>
          <w:szCs w:val="24"/>
        </w:rPr>
        <w:t>mperor</w:t>
      </w:r>
      <w:r w:rsidRPr="0076389E">
        <w:rPr>
          <w:sz w:val="24"/>
          <w:szCs w:val="24"/>
        </w:rPr>
        <w:t>, then new monuments could be fitted into the traditional monumental framework.</w:t>
      </w:r>
    </w:p>
    <w:p w:rsidR="00E756D7" w:rsidRDefault="00FB76CA" w:rsidP="006C1423">
      <w:pPr>
        <w:widowControl w:val="0"/>
        <w:suppressLineNumbers/>
        <w:autoSpaceDE w:val="0"/>
        <w:autoSpaceDN w:val="0"/>
        <w:adjustRightInd w:val="0"/>
        <w:spacing w:after="0" w:line="480" w:lineRule="auto"/>
        <w:ind w:firstLine="720"/>
        <w:jc w:val="both"/>
        <w:rPr>
          <w:sz w:val="24"/>
          <w:szCs w:val="24"/>
        </w:rPr>
      </w:pPr>
      <w:r>
        <w:rPr>
          <w:bCs/>
          <w:sz w:val="24"/>
          <w:szCs w:val="24"/>
        </w:rPr>
        <w:t>This</w:t>
      </w:r>
      <w:r w:rsidR="00046D28">
        <w:rPr>
          <w:bCs/>
          <w:sz w:val="24"/>
          <w:szCs w:val="24"/>
        </w:rPr>
        <w:t xml:space="preserve"> is</w:t>
      </w:r>
      <w:r>
        <w:rPr>
          <w:bCs/>
          <w:sz w:val="24"/>
          <w:szCs w:val="24"/>
        </w:rPr>
        <w:t xml:space="preserve"> why the </w:t>
      </w:r>
      <w:r w:rsidR="00E756D7">
        <w:rPr>
          <w:bCs/>
          <w:i/>
          <w:sz w:val="24"/>
          <w:szCs w:val="24"/>
        </w:rPr>
        <w:t>Regionary Catalogues</w:t>
      </w:r>
      <w:r w:rsidR="00E756D7">
        <w:rPr>
          <w:bCs/>
          <w:sz w:val="24"/>
          <w:szCs w:val="24"/>
        </w:rPr>
        <w:t xml:space="preserve">, </w:t>
      </w:r>
      <w:r>
        <w:rPr>
          <w:bCs/>
          <w:sz w:val="24"/>
          <w:szCs w:val="24"/>
        </w:rPr>
        <w:t>like the Marble Plan, are not a straightforward record</w:t>
      </w:r>
      <w:r w:rsidR="00E756D7">
        <w:rPr>
          <w:bCs/>
          <w:sz w:val="24"/>
          <w:szCs w:val="24"/>
        </w:rPr>
        <w:t xml:space="preserve"> of the location of things</w:t>
      </w:r>
      <w:r w:rsidR="004104D6">
        <w:rPr>
          <w:bCs/>
          <w:sz w:val="24"/>
          <w:szCs w:val="24"/>
        </w:rPr>
        <w:t xml:space="preserve">, or a depiction of any given administrative </w:t>
      </w:r>
      <w:r>
        <w:rPr>
          <w:bCs/>
          <w:sz w:val="24"/>
          <w:szCs w:val="24"/>
        </w:rPr>
        <w:t>position’s</w:t>
      </w:r>
      <w:r w:rsidR="004104D6">
        <w:rPr>
          <w:bCs/>
          <w:sz w:val="24"/>
          <w:szCs w:val="24"/>
        </w:rPr>
        <w:t xml:space="preserve"> duties,</w:t>
      </w:r>
      <w:r w:rsidR="00E756D7">
        <w:rPr>
          <w:bCs/>
          <w:sz w:val="24"/>
          <w:szCs w:val="24"/>
        </w:rPr>
        <w:t xml:space="preserve"> and it is wrong to place too much emphasis on their ability to reconstruct the physical reality of Rome. Both were created in an administrative context of an Empire that had been </w:t>
      </w:r>
      <w:r w:rsidR="00E756D7">
        <w:rPr>
          <w:bCs/>
          <w:sz w:val="24"/>
          <w:szCs w:val="24"/>
        </w:rPr>
        <w:lastRenderedPageBreak/>
        <w:t xml:space="preserve">divided by civil war. Such visual imagery helped to promote the legitimacy and acceptance of not only the </w:t>
      </w:r>
      <w:r w:rsidR="0087599E">
        <w:rPr>
          <w:bCs/>
          <w:sz w:val="24"/>
          <w:szCs w:val="24"/>
        </w:rPr>
        <w:t>i</w:t>
      </w:r>
      <w:r w:rsidR="008B44B0">
        <w:rPr>
          <w:bCs/>
          <w:sz w:val="24"/>
          <w:szCs w:val="24"/>
        </w:rPr>
        <w:t>mperial</w:t>
      </w:r>
      <w:r w:rsidR="00E756D7">
        <w:rPr>
          <w:bCs/>
          <w:sz w:val="24"/>
          <w:szCs w:val="24"/>
        </w:rPr>
        <w:t xml:space="preserve"> regimes, but those urban reforms that would secure the </w:t>
      </w:r>
      <w:r w:rsidR="006C1423">
        <w:rPr>
          <w:bCs/>
          <w:sz w:val="24"/>
          <w:szCs w:val="24"/>
        </w:rPr>
        <w:t>e</w:t>
      </w:r>
      <w:r w:rsidR="008B44B0">
        <w:rPr>
          <w:bCs/>
          <w:sz w:val="24"/>
          <w:szCs w:val="24"/>
        </w:rPr>
        <w:t>mperor</w:t>
      </w:r>
      <w:r w:rsidR="006C1423">
        <w:rPr>
          <w:bCs/>
          <w:sz w:val="24"/>
          <w:szCs w:val="24"/>
        </w:rPr>
        <w:t xml:space="preserve"> and e</w:t>
      </w:r>
      <w:r w:rsidR="00E756D7">
        <w:rPr>
          <w:bCs/>
          <w:sz w:val="24"/>
          <w:szCs w:val="24"/>
        </w:rPr>
        <w:t xml:space="preserve">mpire. Augustus’ reforms had created a standardised language of visual imagery, uniformity, culture and prosperity that </w:t>
      </w:r>
      <w:r w:rsidR="008A797A">
        <w:rPr>
          <w:bCs/>
          <w:sz w:val="24"/>
          <w:szCs w:val="24"/>
        </w:rPr>
        <w:t>Septimius</w:t>
      </w:r>
      <w:r w:rsidR="00E756D7">
        <w:rPr>
          <w:bCs/>
          <w:sz w:val="24"/>
          <w:szCs w:val="24"/>
        </w:rPr>
        <w:t xml:space="preserve"> Severus and Aurelian could tap into.</w:t>
      </w:r>
      <w:r w:rsidR="00E756D7">
        <w:rPr>
          <w:rStyle w:val="FootnoteReference"/>
          <w:bCs/>
          <w:sz w:val="24"/>
          <w:szCs w:val="24"/>
        </w:rPr>
        <w:footnoteReference w:id="313"/>
      </w:r>
      <w:r w:rsidR="00E756D7">
        <w:rPr>
          <w:bCs/>
          <w:sz w:val="24"/>
          <w:szCs w:val="24"/>
        </w:rPr>
        <w:t xml:space="preserve"> </w:t>
      </w:r>
      <w:r w:rsidR="00E756D7">
        <w:rPr>
          <w:sz w:val="24"/>
          <w:szCs w:val="24"/>
        </w:rPr>
        <w:t>Augustus, the “First Man” in Rome, certainly had the means and motive to make true his boast, ‘that he had found it built of brick and left it in marble.’</w:t>
      </w:r>
      <w:r w:rsidR="00E756D7">
        <w:rPr>
          <w:rStyle w:val="FootnoteReference"/>
          <w:sz w:val="24"/>
          <w:szCs w:val="24"/>
        </w:rPr>
        <w:footnoteReference w:id="314"/>
      </w:r>
      <w:r w:rsidR="00E756D7">
        <w:rPr>
          <w:sz w:val="24"/>
          <w:szCs w:val="24"/>
        </w:rPr>
        <w:t xml:space="preserve"> But as the </w:t>
      </w:r>
      <w:r w:rsidR="00E756D7">
        <w:rPr>
          <w:i/>
          <w:sz w:val="24"/>
          <w:szCs w:val="24"/>
        </w:rPr>
        <w:t>Regionary Catalogues</w:t>
      </w:r>
      <w:r w:rsidR="00E756D7">
        <w:rPr>
          <w:sz w:val="24"/>
          <w:szCs w:val="24"/>
        </w:rPr>
        <w:t xml:space="preserve"> show, he had clearly set a high standard for the </w:t>
      </w:r>
      <w:r w:rsidR="0087599E">
        <w:rPr>
          <w:sz w:val="24"/>
          <w:szCs w:val="24"/>
        </w:rPr>
        <w:t>emperors</w:t>
      </w:r>
      <w:r w:rsidR="00E756D7">
        <w:rPr>
          <w:sz w:val="24"/>
          <w:szCs w:val="24"/>
        </w:rPr>
        <w:t xml:space="preserve"> that followed. </w:t>
      </w:r>
      <w:r w:rsidR="00592B39">
        <w:rPr>
          <w:sz w:val="24"/>
          <w:szCs w:val="24"/>
        </w:rPr>
        <w:t>E</w:t>
      </w:r>
      <w:r w:rsidR="0087599E">
        <w:rPr>
          <w:sz w:val="24"/>
          <w:szCs w:val="24"/>
        </w:rPr>
        <w:t>mperors</w:t>
      </w:r>
      <w:r w:rsidR="00592B39">
        <w:rPr>
          <w:sz w:val="24"/>
          <w:szCs w:val="24"/>
        </w:rPr>
        <w:t xml:space="preserve"> continued to pile</w:t>
      </w:r>
      <w:r w:rsidR="00E756D7">
        <w:rPr>
          <w:sz w:val="24"/>
          <w:szCs w:val="24"/>
        </w:rPr>
        <w:t xml:space="preserve"> monument upon monument in the city. Duncan-Jones estimated that during the Antonine Period, with a conservatively estimated budget of 1,462 million sesterces per annum, </w:t>
      </w:r>
      <w:r w:rsidR="0087599E">
        <w:rPr>
          <w:sz w:val="24"/>
          <w:szCs w:val="24"/>
        </w:rPr>
        <w:t>emperors</w:t>
      </w:r>
      <w:r w:rsidR="00E756D7">
        <w:rPr>
          <w:sz w:val="24"/>
          <w:szCs w:val="24"/>
        </w:rPr>
        <w:t xml:space="preserve"> spent more on buildings in Rome (around 2.75%) than NATO me</w:t>
      </w:r>
      <w:r w:rsidR="00046D28">
        <w:rPr>
          <w:sz w:val="24"/>
          <w:szCs w:val="24"/>
        </w:rPr>
        <w:t>mbers are required to spend on d</w:t>
      </w:r>
      <w:r w:rsidR="00E756D7">
        <w:rPr>
          <w:sz w:val="24"/>
          <w:szCs w:val="24"/>
        </w:rPr>
        <w:t>efence.</w:t>
      </w:r>
      <w:r w:rsidR="00E756D7">
        <w:rPr>
          <w:rStyle w:val="FootnoteReference"/>
          <w:sz w:val="24"/>
          <w:szCs w:val="24"/>
        </w:rPr>
        <w:footnoteReference w:id="315"/>
      </w:r>
      <w:r w:rsidR="00E756D7">
        <w:rPr>
          <w:sz w:val="24"/>
          <w:szCs w:val="24"/>
        </w:rPr>
        <w:t xml:space="preserve"> The culmination of this constant game of architectural one-upmanship was the vast bathing complexes of Diocletian and Caracalla (which, at 120,000 metres</w:t>
      </w:r>
      <w:r w:rsidR="00046D28">
        <w:rPr>
          <w:sz w:val="24"/>
          <w:szCs w:val="24"/>
          <w:vertAlign w:val="superscript"/>
        </w:rPr>
        <w:t>2</w:t>
      </w:r>
      <w:r w:rsidR="00046D28">
        <w:rPr>
          <w:sz w:val="24"/>
          <w:szCs w:val="24"/>
        </w:rPr>
        <w:t>, w</w:t>
      </w:r>
      <w:r w:rsidR="00E756D7">
        <w:rPr>
          <w:sz w:val="24"/>
          <w:szCs w:val="24"/>
        </w:rPr>
        <w:t>ere larger than some provincial cities) that sat surrounded by vast infrastructure and habitation that was generated naturally by a city of Rome’s size. It is almost a trope to say that by the fourth century the city of Rome was groaning under the weight of its monumental heritage.</w:t>
      </w:r>
      <w:r w:rsidR="00E756D7">
        <w:rPr>
          <w:rStyle w:val="FootnoteReference"/>
          <w:sz w:val="24"/>
          <w:szCs w:val="24"/>
        </w:rPr>
        <w:footnoteReference w:id="316"/>
      </w:r>
      <w:r w:rsidR="006C1423">
        <w:rPr>
          <w:sz w:val="24"/>
          <w:szCs w:val="24"/>
        </w:rPr>
        <w:t xml:space="preserve"> </w:t>
      </w:r>
      <w:r w:rsidR="00E756D7">
        <w:rPr>
          <w:sz w:val="24"/>
          <w:szCs w:val="24"/>
        </w:rPr>
        <w:t xml:space="preserve">As he increasingly seized the role as the “supreme” patron, the </w:t>
      </w:r>
      <w:r w:rsidR="0087599E">
        <w:rPr>
          <w:sz w:val="24"/>
          <w:szCs w:val="24"/>
        </w:rPr>
        <w:t>e</w:t>
      </w:r>
      <w:r w:rsidR="008B44B0">
        <w:rPr>
          <w:sz w:val="24"/>
          <w:szCs w:val="24"/>
        </w:rPr>
        <w:t>mperor</w:t>
      </w:r>
      <w:r w:rsidR="00E756D7">
        <w:rPr>
          <w:sz w:val="24"/>
          <w:szCs w:val="24"/>
        </w:rPr>
        <w:t xml:space="preserve"> had to ensure he displayed his </w:t>
      </w:r>
      <w:r w:rsidR="00E756D7">
        <w:rPr>
          <w:i/>
          <w:sz w:val="24"/>
          <w:szCs w:val="24"/>
        </w:rPr>
        <w:t>publica magnificentia</w:t>
      </w:r>
      <w:r w:rsidR="00E756D7">
        <w:rPr>
          <w:sz w:val="24"/>
          <w:szCs w:val="24"/>
        </w:rPr>
        <w:t xml:space="preserve"> appropriately in a fashion that the people understood.</w:t>
      </w:r>
      <w:r w:rsidR="00E756D7">
        <w:rPr>
          <w:rStyle w:val="FootnoteReference"/>
          <w:sz w:val="24"/>
          <w:szCs w:val="24"/>
        </w:rPr>
        <w:footnoteReference w:id="317"/>
      </w:r>
    </w:p>
    <w:p w:rsidR="008A797A" w:rsidRDefault="00E756D7" w:rsidP="00722391">
      <w:pPr>
        <w:tabs>
          <w:tab w:val="left" w:pos="0"/>
        </w:tabs>
        <w:spacing w:line="480" w:lineRule="auto"/>
        <w:jc w:val="both"/>
        <w:rPr>
          <w:sz w:val="24"/>
          <w:szCs w:val="24"/>
        </w:rPr>
      </w:pPr>
      <w:r>
        <w:rPr>
          <w:bCs/>
          <w:sz w:val="24"/>
          <w:szCs w:val="24"/>
        </w:rPr>
        <w:tab/>
        <w:t xml:space="preserve">Neither </w:t>
      </w:r>
      <w:r w:rsidR="008A797A">
        <w:rPr>
          <w:bCs/>
          <w:sz w:val="24"/>
          <w:szCs w:val="24"/>
        </w:rPr>
        <w:t>Septimius</w:t>
      </w:r>
      <w:r>
        <w:rPr>
          <w:bCs/>
          <w:sz w:val="24"/>
          <w:szCs w:val="24"/>
        </w:rPr>
        <w:t xml:space="preserve"> Severus nor Aurelian could afford to spend resources on projects that would have no appreciable effect on securing their power. Demonstrations of unity and </w:t>
      </w:r>
      <w:r w:rsidR="008B44B0">
        <w:rPr>
          <w:bCs/>
          <w:sz w:val="24"/>
          <w:szCs w:val="24"/>
        </w:rPr>
        <w:lastRenderedPageBreak/>
        <w:t>imperial</w:t>
      </w:r>
      <w:r>
        <w:rPr>
          <w:bCs/>
          <w:sz w:val="24"/>
          <w:szCs w:val="24"/>
        </w:rPr>
        <w:t xml:space="preserve"> control would be as much a part of the administrative reforms as changes to the privileges that Rome enjoyed and increases in its security. </w:t>
      </w:r>
      <w:r>
        <w:rPr>
          <w:sz w:val="24"/>
          <w:szCs w:val="24"/>
        </w:rPr>
        <w:t>Aurelian needed to both demonstrate his administration’s concern for the history of the city and also possess a list of what</w:t>
      </w:r>
      <w:r w:rsidR="00A46BA7">
        <w:rPr>
          <w:sz w:val="24"/>
          <w:szCs w:val="24"/>
        </w:rPr>
        <w:t xml:space="preserve"> </w:t>
      </w:r>
      <w:r w:rsidR="0087599E">
        <w:rPr>
          <w:sz w:val="24"/>
          <w:szCs w:val="24"/>
        </w:rPr>
        <w:t>i</w:t>
      </w:r>
      <w:r w:rsidR="008B44B0">
        <w:rPr>
          <w:sz w:val="24"/>
          <w:szCs w:val="24"/>
        </w:rPr>
        <w:t>mperial</w:t>
      </w:r>
      <w:r>
        <w:rPr>
          <w:sz w:val="24"/>
          <w:szCs w:val="24"/>
        </w:rPr>
        <w:t xml:space="preserve"> buildings </w:t>
      </w:r>
      <w:r w:rsidR="00A46BA7">
        <w:rPr>
          <w:sz w:val="24"/>
          <w:szCs w:val="24"/>
        </w:rPr>
        <w:t>would need</w:t>
      </w:r>
      <w:r>
        <w:rPr>
          <w:sz w:val="24"/>
          <w:szCs w:val="24"/>
        </w:rPr>
        <w:t xml:space="preserve"> administrative attention after the neglect of the third century crisis. Therefore the </w:t>
      </w:r>
      <w:r>
        <w:rPr>
          <w:i/>
          <w:sz w:val="24"/>
          <w:szCs w:val="24"/>
        </w:rPr>
        <w:t>Regionaries</w:t>
      </w:r>
      <w:r>
        <w:rPr>
          <w:sz w:val="24"/>
          <w:szCs w:val="24"/>
        </w:rPr>
        <w:t xml:space="preserve"> proto-form was likely to have been created around the time of extensive modifications to the topography and administration of the city with the construction of the Aurelian Walls. It therefore stands to reason that the homes and monuments of the Antonine </w:t>
      </w:r>
      <w:r w:rsidR="0087599E">
        <w:rPr>
          <w:sz w:val="24"/>
          <w:szCs w:val="24"/>
        </w:rPr>
        <w:t>emperors</w:t>
      </w:r>
      <w:r>
        <w:rPr>
          <w:sz w:val="24"/>
          <w:szCs w:val="24"/>
        </w:rPr>
        <w:t xml:space="preserve"> would</w:t>
      </w:r>
      <w:r w:rsidR="00A46BA7">
        <w:rPr>
          <w:sz w:val="24"/>
          <w:szCs w:val="24"/>
        </w:rPr>
        <w:t xml:space="preserve"> be</w:t>
      </w:r>
      <w:r>
        <w:rPr>
          <w:sz w:val="24"/>
          <w:szCs w:val="24"/>
        </w:rPr>
        <w:t xml:space="preserve"> amongst those given priority for protection, repair and restoration.</w:t>
      </w:r>
      <w:r>
        <w:rPr>
          <w:bCs/>
          <w:sz w:val="24"/>
          <w:szCs w:val="24"/>
          <w:lang w:eastAsia="zh-TW"/>
        </w:rPr>
        <w:t xml:space="preserve"> </w:t>
      </w:r>
      <w:r>
        <w:rPr>
          <w:sz w:val="24"/>
          <w:szCs w:val="24"/>
        </w:rPr>
        <w:t>The inclusion of these Antonine buildings would have been</w:t>
      </w:r>
      <w:r w:rsidR="00A46BA7">
        <w:rPr>
          <w:sz w:val="24"/>
          <w:szCs w:val="24"/>
        </w:rPr>
        <w:t xml:space="preserve"> a</w:t>
      </w:r>
      <w:r>
        <w:rPr>
          <w:sz w:val="24"/>
          <w:szCs w:val="24"/>
        </w:rPr>
        <w:t xml:space="preserve"> demonstration of the author’s desire for a connection to the golden age of the Antonines and an indication of the </w:t>
      </w:r>
      <w:r w:rsidR="006C1423">
        <w:rPr>
          <w:sz w:val="24"/>
          <w:szCs w:val="24"/>
        </w:rPr>
        <w:t>e</w:t>
      </w:r>
      <w:r w:rsidR="008B44B0">
        <w:rPr>
          <w:sz w:val="24"/>
          <w:szCs w:val="24"/>
        </w:rPr>
        <w:t>mperor’s</w:t>
      </w:r>
      <w:r w:rsidR="006C1423">
        <w:rPr>
          <w:sz w:val="24"/>
          <w:szCs w:val="24"/>
        </w:rPr>
        <w:t xml:space="preserve"> </w:t>
      </w:r>
      <w:r>
        <w:rPr>
          <w:sz w:val="24"/>
          <w:szCs w:val="24"/>
        </w:rPr>
        <w:t>intenti</w:t>
      </w:r>
      <w:r w:rsidR="00A46BA7">
        <w:rPr>
          <w:sz w:val="24"/>
          <w:szCs w:val="24"/>
        </w:rPr>
        <w:t>on to preserve and/or recreate</w:t>
      </w:r>
      <w:r>
        <w:rPr>
          <w:sz w:val="24"/>
          <w:szCs w:val="24"/>
        </w:rPr>
        <w:t xml:space="preserve"> the physical a</w:t>
      </w:r>
      <w:r w:rsidR="00A46BA7">
        <w:rPr>
          <w:sz w:val="24"/>
          <w:szCs w:val="24"/>
        </w:rPr>
        <w:t>nd historical topography of the</w:t>
      </w:r>
      <w:r>
        <w:rPr>
          <w:sz w:val="24"/>
          <w:szCs w:val="24"/>
        </w:rPr>
        <w:t xml:space="preserve"> city at that time. </w:t>
      </w:r>
      <w:r>
        <w:rPr>
          <w:rFonts w:cs="Arial"/>
          <w:sz w:val="24"/>
          <w:szCs w:val="24"/>
          <w:shd w:val="clear" w:color="auto" w:fill="FFFFFF"/>
        </w:rPr>
        <w:t xml:space="preserve">This leaves us with Aurelian as the most likely suspect for the initial creator of the </w:t>
      </w:r>
      <w:r>
        <w:rPr>
          <w:rFonts w:cs="Arial"/>
          <w:i/>
          <w:sz w:val="24"/>
          <w:szCs w:val="24"/>
          <w:shd w:val="clear" w:color="auto" w:fill="FFFFFF"/>
        </w:rPr>
        <w:t>Regionaries</w:t>
      </w:r>
      <w:r>
        <w:rPr>
          <w:rFonts w:cs="Arial"/>
          <w:sz w:val="24"/>
          <w:szCs w:val="24"/>
          <w:shd w:val="clear" w:color="auto" w:fill="FFFFFF"/>
        </w:rPr>
        <w:t xml:space="preserve">, as the </w:t>
      </w:r>
      <w:r w:rsidR="006C1423">
        <w:rPr>
          <w:rFonts w:cs="Arial"/>
          <w:sz w:val="24"/>
          <w:szCs w:val="24"/>
          <w:shd w:val="clear" w:color="auto" w:fill="FFFFFF"/>
        </w:rPr>
        <w:t>e</w:t>
      </w:r>
      <w:r w:rsidR="008B44B0">
        <w:rPr>
          <w:rFonts w:cs="Arial"/>
          <w:sz w:val="24"/>
          <w:szCs w:val="24"/>
          <w:shd w:val="clear" w:color="auto" w:fill="FFFFFF"/>
        </w:rPr>
        <w:t>mperor</w:t>
      </w:r>
      <w:r>
        <w:rPr>
          <w:rFonts w:cs="Arial"/>
          <w:sz w:val="24"/>
          <w:szCs w:val="24"/>
          <w:shd w:val="clear" w:color="auto" w:fill="FFFFFF"/>
        </w:rPr>
        <w:t xml:space="preserve"> who had conducted the widest ranging set of urban reforms and construction after the</w:t>
      </w:r>
      <w:r w:rsidR="00426B0D">
        <w:rPr>
          <w:rFonts w:cs="Arial"/>
          <w:sz w:val="24"/>
          <w:szCs w:val="24"/>
          <w:shd w:val="clear" w:color="auto" w:fill="FFFFFF"/>
        </w:rPr>
        <w:t xml:space="preserve"> crisis of the third century. We can see that</w:t>
      </w:r>
      <w:r w:rsidR="00A46BA7">
        <w:rPr>
          <w:rFonts w:cs="Arial"/>
          <w:sz w:val="24"/>
          <w:szCs w:val="24"/>
          <w:shd w:val="clear" w:color="auto" w:fill="FFFFFF"/>
        </w:rPr>
        <w:t xml:space="preserve"> Aurelian ha</w:t>
      </w:r>
      <w:r>
        <w:rPr>
          <w:rFonts w:cs="Arial"/>
          <w:sz w:val="24"/>
          <w:szCs w:val="24"/>
          <w:shd w:val="clear" w:color="auto" w:fill="FFFFFF"/>
        </w:rPr>
        <w:t xml:space="preserve">s a number </w:t>
      </w:r>
      <w:r w:rsidRPr="006C1423">
        <w:rPr>
          <w:rFonts w:cs="Arial"/>
          <w:sz w:val="24"/>
          <w:szCs w:val="24"/>
          <w:shd w:val="clear" w:color="auto" w:fill="FFFFFF"/>
        </w:rPr>
        <w:t xml:space="preserve">of similarities </w:t>
      </w:r>
      <w:r w:rsidR="00A46BA7" w:rsidRPr="006C1423">
        <w:rPr>
          <w:rFonts w:cs="Arial"/>
          <w:sz w:val="24"/>
          <w:szCs w:val="24"/>
          <w:shd w:val="clear" w:color="auto" w:fill="FFFFFF"/>
        </w:rPr>
        <w:t>to</w:t>
      </w:r>
      <w:r w:rsidRPr="006C1423">
        <w:rPr>
          <w:rFonts w:cs="Arial"/>
          <w:sz w:val="24"/>
          <w:szCs w:val="24"/>
          <w:shd w:val="clear" w:color="auto" w:fill="FFFFFF"/>
        </w:rPr>
        <w:t xml:space="preserve"> </w:t>
      </w:r>
      <w:r w:rsidR="008A797A" w:rsidRPr="006C1423">
        <w:rPr>
          <w:rFonts w:cs="Arial"/>
          <w:sz w:val="24"/>
          <w:szCs w:val="24"/>
          <w:shd w:val="clear" w:color="auto" w:fill="FFFFFF"/>
        </w:rPr>
        <w:t>Septimius</w:t>
      </w:r>
      <w:r w:rsidRPr="006C1423">
        <w:rPr>
          <w:rFonts w:cs="Arial"/>
          <w:sz w:val="24"/>
          <w:szCs w:val="24"/>
          <w:shd w:val="clear" w:color="auto" w:fill="FFFFFF"/>
        </w:rPr>
        <w:t xml:space="preserve"> </w:t>
      </w:r>
      <w:r w:rsidR="00426B0D" w:rsidRPr="006C1423">
        <w:rPr>
          <w:rFonts w:cs="Arial"/>
          <w:sz w:val="24"/>
          <w:szCs w:val="24"/>
          <w:shd w:val="clear" w:color="auto" w:fill="FFFFFF"/>
        </w:rPr>
        <w:t>Severus;</w:t>
      </w:r>
      <w:r w:rsidRPr="006C1423">
        <w:rPr>
          <w:rFonts w:cs="Arial"/>
          <w:sz w:val="24"/>
          <w:szCs w:val="24"/>
          <w:shd w:val="clear" w:color="auto" w:fill="FFFFFF"/>
        </w:rPr>
        <w:t xml:space="preserve"> another </w:t>
      </w:r>
      <w:r w:rsidR="006C1423">
        <w:rPr>
          <w:rFonts w:cs="Arial"/>
          <w:sz w:val="24"/>
          <w:szCs w:val="24"/>
          <w:shd w:val="clear" w:color="auto" w:fill="FFFFFF"/>
        </w:rPr>
        <w:t>e</w:t>
      </w:r>
      <w:r w:rsidR="008B44B0" w:rsidRPr="006C1423">
        <w:rPr>
          <w:rFonts w:cs="Arial"/>
          <w:sz w:val="24"/>
          <w:szCs w:val="24"/>
          <w:shd w:val="clear" w:color="auto" w:fill="FFFFFF"/>
        </w:rPr>
        <w:t>mperor</w:t>
      </w:r>
      <w:r w:rsidRPr="006C1423">
        <w:rPr>
          <w:rFonts w:cs="Arial"/>
          <w:sz w:val="24"/>
          <w:szCs w:val="24"/>
          <w:shd w:val="clear" w:color="auto" w:fill="FFFFFF"/>
        </w:rPr>
        <w:t xml:space="preserve"> who sought a connection with </w:t>
      </w:r>
      <w:r w:rsidR="00426B0D" w:rsidRPr="006C1423">
        <w:rPr>
          <w:rFonts w:cs="Arial"/>
          <w:sz w:val="24"/>
          <w:szCs w:val="24"/>
          <w:shd w:val="clear" w:color="auto" w:fill="FFFFFF"/>
        </w:rPr>
        <w:t>more</w:t>
      </w:r>
      <w:r w:rsidR="00426B0D">
        <w:rPr>
          <w:rFonts w:cs="Arial"/>
          <w:sz w:val="24"/>
          <w:szCs w:val="24"/>
          <w:shd w:val="clear" w:color="auto" w:fill="FFFFFF"/>
        </w:rPr>
        <w:t xml:space="preserve"> famous </w:t>
      </w:r>
      <w:r w:rsidR="0087599E">
        <w:rPr>
          <w:rFonts w:cs="Arial"/>
          <w:sz w:val="24"/>
          <w:szCs w:val="24"/>
          <w:shd w:val="clear" w:color="auto" w:fill="FFFFFF"/>
        </w:rPr>
        <w:t>emperors</w:t>
      </w:r>
      <w:r w:rsidR="00426B0D">
        <w:rPr>
          <w:rFonts w:cs="Arial"/>
          <w:sz w:val="24"/>
          <w:szCs w:val="24"/>
          <w:shd w:val="clear" w:color="auto" w:fill="FFFFFF"/>
        </w:rPr>
        <w:t xml:space="preserve"> </w:t>
      </w:r>
      <w:r w:rsidR="00F544D4">
        <w:rPr>
          <w:rFonts w:cs="Arial"/>
          <w:sz w:val="24"/>
          <w:szCs w:val="24"/>
          <w:shd w:val="clear" w:color="auto" w:fill="FFFFFF"/>
        </w:rPr>
        <w:t xml:space="preserve">to secure </w:t>
      </w:r>
      <w:r w:rsidR="00A46BA7">
        <w:rPr>
          <w:rFonts w:cs="Arial"/>
          <w:sz w:val="24"/>
          <w:szCs w:val="24"/>
          <w:shd w:val="clear" w:color="auto" w:fill="FFFFFF"/>
        </w:rPr>
        <w:t>his</w:t>
      </w:r>
      <w:r>
        <w:rPr>
          <w:rFonts w:cs="Arial"/>
          <w:sz w:val="24"/>
          <w:szCs w:val="24"/>
          <w:shd w:val="clear" w:color="auto" w:fill="FFFFFF"/>
        </w:rPr>
        <w:t xml:space="preserve"> authority and</w:t>
      </w:r>
      <w:r w:rsidR="00426B0D">
        <w:rPr>
          <w:rFonts w:cs="Arial"/>
          <w:sz w:val="24"/>
          <w:szCs w:val="24"/>
          <w:shd w:val="clear" w:color="auto" w:fill="FFFFFF"/>
        </w:rPr>
        <w:t xml:space="preserve"> who also needed</w:t>
      </w:r>
      <w:r>
        <w:rPr>
          <w:rFonts w:cs="Arial"/>
          <w:sz w:val="24"/>
          <w:szCs w:val="24"/>
          <w:shd w:val="clear" w:color="auto" w:fill="FFFFFF"/>
        </w:rPr>
        <w:t xml:space="preserve"> to demonstrate his concern and appreciation for the city by restoring its urban fabric.</w:t>
      </w:r>
      <w:r>
        <w:rPr>
          <w:sz w:val="24"/>
          <w:szCs w:val="24"/>
        </w:rPr>
        <w:t xml:space="preserve"> However as Aurelian lacked the traditional aristocratic education of </w:t>
      </w:r>
      <w:r w:rsidR="008A797A">
        <w:rPr>
          <w:sz w:val="24"/>
          <w:szCs w:val="24"/>
        </w:rPr>
        <w:t>Septimius</w:t>
      </w:r>
      <w:r>
        <w:rPr>
          <w:sz w:val="24"/>
          <w:szCs w:val="24"/>
        </w:rPr>
        <w:t xml:space="preserve"> Severus, he would have much less concern for the holdovers of a city’s past that would not directly affect his administration. This is why we see a concern in the </w:t>
      </w:r>
      <w:r>
        <w:rPr>
          <w:i/>
          <w:sz w:val="24"/>
          <w:szCs w:val="24"/>
        </w:rPr>
        <w:t>Regionaries</w:t>
      </w:r>
      <w:r>
        <w:rPr>
          <w:sz w:val="24"/>
          <w:szCs w:val="24"/>
        </w:rPr>
        <w:t xml:space="preserve"> for elements of the </w:t>
      </w:r>
      <w:r w:rsidR="006C1423">
        <w:rPr>
          <w:sz w:val="24"/>
          <w:szCs w:val="24"/>
        </w:rPr>
        <w:t>s</w:t>
      </w:r>
      <w:r w:rsidR="008B44B0">
        <w:rPr>
          <w:sz w:val="24"/>
          <w:szCs w:val="24"/>
        </w:rPr>
        <w:t>enatorial</w:t>
      </w:r>
      <w:r>
        <w:rPr>
          <w:sz w:val="24"/>
          <w:szCs w:val="24"/>
        </w:rPr>
        <w:t xml:space="preserve"> aristocracy and its history, but not the </w:t>
      </w:r>
      <w:r w:rsidR="00A46BA7">
        <w:rPr>
          <w:sz w:val="24"/>
          <w:szCs w:val="24"/>
        </w:rPr>
        <w:t xml:space="preserve">wider </w:t>
      </w:r>
      <w:r>
        <w:rPr>
          <w:sz w:val="24"/>
          <w:szCs w:val="24"/>
        </w:rPr>
        <w:t xml:space="preserve">Republican history and culture of the city.  </w:t>
      </w:r>
    </w:p>
    <w:p w:rsidR="00E715CF" w:rsidRDefault="008A797A" w:rsidP="00E715CF">
      <w:pPr>
        <w:spacing w:line="480" w:lineRule="auto"/>
        <w:ind w:firstLine="720"/>
        <w:jc w:val="both"/>
        <w:rPr>
          <w:sz w:val="24"/>
          <w:szCs w:val="24"/>
        </w:rPr>
      </w:pPr>
      <w:r w:rsidRPr="00E04E86">
        <w:rPr>
          <w:sz w:val="24"/>
          <w:szCs w:val="24"/>
        </w:rPr>
        <w:lastRenderedPageBreak/>
        <w:t>Aurelian may n</w:t>
      </w:r>
      <w:r w:rsidR="00A46BA7">
        <w:rPr>
          <w:sz w:val="24"/>
          <w:szCs w:val="24"/>
        </w:rPr>
        <w:t>ever have created an elaborate relief sculpture</w:t>
      </w:r>
      <w:r w:rsidRPr="00E04E86">
        <w:rPr>
          <w:sz w:val="24"/>
          <w:szCs w:val="24"/>
        </w:rPr>
        <w:t xml:space="preserve"> to outline and showcase his achievements but the </w:t>
      </w:r>
      <w:r w:rsidRPr="00E04E86">
        <w:rPr>
          <w:i/>
          <w:sz w:val="24"/>
          <w:szCs w:val="24"/>
        </w:rPr>
        <w:t>Regionaries</w:t>
      </w:r>
      <w:r w:rsidRPr="00E04E86">
        <w:rPr>
          <w:sz w:val="24"/>
          <w:szCs w:val="24"/>
        </w:rPr>
        <w:t xml:space="preserve"> provided context for his planned construction of the Wall and his urban reforms. Part and parcel of his urban reforms, just like </w:t>
      </w:r>
      <w:r w:rsidR="00F630A0">
        <w:rPr>
          <w:sz w:val="24"/>
          <w:szCs w:val="24"/>
        </w:rPr>
        <w:t>Septimius</w:t>
      </w:r>
      <w:r w:rsidRPr="00E04E86">
        <w:rPr>
          <w:sz w:val="24"/>
          <w:szCs w:val="24"/>
        </w:rPr>
        <w:t xml:space="preserve"> Severus, would have been to restore the monumental urban fabric of the city. The Marble Plan, and </w:t>
      </w:r>
      <w:r w:rsidR="00A46BA7">
        <w:rPr>
          <w:sz w:val="24"/>
          <w:szCs w:val="24"/>
        </w:rPr>
        <w:t xml:space="preserve">its successor, </w:t>
      </w:r>
      <w:r w:rsidRPr="00E04E86">
        <w:rPr>
          <w:sz w:val="24"/>
          <w:szCs w:val="24"/>
        </w:rPr>
        <w:t xml:space="preserve">the </w:t>
      </w:r>
      <w:r w:rsidRPr="00E04E86">
        <w:rPr>
          <w:i/>
          <w:sz w:val="24"/>
          <w:szCs w:val="24"/>
        </w:rPr>
        <w:t>Regionaries</w:t>
      </w:r>
      <w:r w:rsidR="00A46BA7">
        <w:rPr>
          <w:sz w:val="24"/>
          <w:szCs w:val="24"/>
        </w:rPr>
        <w:t xml:space="preserve">, were not only </w:t>
      </w:r>
      <w:r w:rsidRPr="00E04E86">
        <w:rPr>
          <w:sz w:val="24"/>
          <w:szCs w:val="24"/>
        </w:rPr>
        <w:t>attempt</w:t>
      </w:r>
      <w:r w:rsidR="00A46BA7">
        <w:rPr>
          <w:sz w:val="24"/>
          <w:szCs w:val="24"/>
        </w:rPr>
        <w:t>s</w:t>
      </w:r>
      <w:r w:rsidRPr="00E04E86">
        <w:rPr>
          <w:sz w:val="24"/>
          <w:szCs w:val="24"/>
        </w:rPr>
        <w:t xml:space="preserve"> to capture the brilliant physical fabric of the </w:t>
      </w:r>
      <w:r w:rsidR="00A46BA7">
        <w:rPr>
          <w:sz w:val="24"/>
          <w:szCs w:val="24"/>
        </w:rPr>
        <w:t xml:space="preserve">city in text and marble, they were also statements </w:t>
      </w:r>
      <w:r w:rsidRPr="00E04E86">
        <w:rPr>
          <w:sz w:val="24"/>
          <w:szCs w:val="24"/>
        </w:rPr>
        <w:t>of what needed to be restored for the monumental fabric of the city to feel whole again. Both were part of an organisation of the administrative and public space of the city, but whilst the Marble Plan was a monumental demonstration of Severan power and control,</w:t>
      </w:r>
      <w:r w:rsidR="006C1423">
        <w:rPr>
          <w:sz w:val="24"/>
          <w:szCs w:val="24"/>
        </w:rPr>
        <w:t xml:space="preserve"> the evidence for the </w:t>
      </w:r>
      <w:r w:rsidR="006C1423" w:rsidRPr="006C1423">
        <w:rPr>
          <w:i/>
          <w:sz w:val="24"/>
          <w:szCs w:val="24"/>
        </w:rPr>
        <w:t>Regionaries</w:t>
      </w:r>
      <w:r w:rsidR="006C1423">
        <w:rPr>
          <w:sz w:val="24"/>
          <w:szCs w:val="24"/>
        </w:rPr>
        <w:t xml:space="preserve"> </w:t>
      </w:r>
      <w:r w:rsidR="006C1423" w:rsidRPr="006C1423">
        <w:rPr>
          <w:sz w:val="24"/>
          <w:szCs w:val="24"/>
        </w:rPr>
        <w:t>is</w:t>
      </w:r>
      <w:r w:rsidR="006C1423">
        <w:rPr>
          <w:sz w:val="24"/>
          <w:szCs w:val="24"/>
        </w:rPr>
        <w:t xml:space="preserve"> inconclusive. However the evidence is pointing towards the conclusion that the </w:t>
      </w:r>
      <w:r w:rsidR="006C1423">
        <w:rPr>
          <w:i/>
          <w:sz w:val="24"/>
          <w:szCs w:val="24"/>
        </w:rPr>
        <w:t xml:space="preserve">Regionaries </w:t>
      </w:r>
      <w:r w:rsidRPr="00E04E86">
        <w:rPr>
          <w:sz w:val="24"/>
          <w:szCs w:val="24"/>
        </w:rPr>
        <w:t xml:space="preserve">were created to aid in the administrative reforms required as a result of the construction of Aurelian’s Wall. Drawing on the same information that underpinned the Marble Plan and being authored by the same office meant that the </w:t>
      </w:r>
      <w:r w:rsidRPr="00E04E86">
        <w:rPr>
          <w:i/>
          <w:sz w:val="24"/>
          <w:szCs w:val="24"/>
        </w:rPr>
        <w:t>Regionaries</w:t>
      </w:r>
      <w:r w:rsidRPr="00E04E86">
        <w:rPr>
          <w:sz w:val="24"/>
          <w:szCs w:val="24"/>
        </w:rPr>
        <w:t xml:space="preserve"> could be used to demonstrate the same connection to the greatness of Rome’s “Golden Age”. The main difference between the Marble Plan and the </w:t>
      </w:r>
      <w:r w:rsidRPr="00E04E86">
        <w:rPr>
          <w:i/>
          <w:sz w:val="24"/>
          <w:szCs w:val="24"/>
        </w:rPr>
        <w:t xml:space="preserve">Regionaries </w:t>
      </w:r>
      <w:r w:rsidRPr="00E04E86">
        <w:rPr>
          <w:sz w:val="24"/>
          <w:szCs w:val="24"/>
        </w:rPr>
        <w:t xml:space="preserve">is that they were intended for different audiences. The </w:t>
      </w:r>
      <w:r w:rsidRPr="00E04E86">
        <w:rPr>
          <w:i/>
          <w:sz w:val="24"/>
          <w:szCs w:val="24"/>
        </w:rPr>
        <w:t>Regionaries</w:t>
      </w:r>
      <w:r w:rsidRPr="00E04E86">
        <w:rPr>
          <w:sz w:val="24"/>
          <w:szCs w:val="24"/>
        </w:rPr>
        <w:t xml:space="preserve"> were intended for a much more selective audience than the Marble Plan, as they were initially intended for the Urban Prefect and his circle of friends and associates who would serve as the city administrators.</w:t>
      </w:r>
      <w:r>
        <w:rPr>
          <w:sz w:val="24"/>
          <w:szCs w:val="24"/>
        </w:rPr>
        <w:tab/>
      </w:r>
      <w:r w:rsidR="00E60A99">
        <w:rPr>
          <w:sz w:val="24"/>
          <w:szCs w:val="24"/>
        </w:rPr>
        <w:t xml:space="preserve"> </w:t>
      </w:r>
      <w:r w:rsidR="00E60A99" w:rsidRPr="0076389E">
        <w:rPr>
          <w:sz w:val="24"/>
          <w:szCs w:val="24"/>
        </w:rPr>
        <w:t>This guide would also function as a record of those areas affected by the reforms</w:t>
      </w:r>
      <w:r w:rsidR="00A46BA7">
        <w:rPr>
          <w:sz w:val="24"/>
          <w:szCs w:val="24"/>
        </w:rPr>
        <w:t>,</w:t>
      </w:r>
      <w:r w:rsidR="00E60A99" w:rsidRPr="0076389E">
        <w:rPr>
          <w:sz w:val="24"/>
          <w:szCs w:val="24"/>
        </w:rPr>
        <w:t xml:space="preserve"> such as the </w:t>
      </w:r>
      <w:r w:rsidR="00E60A99" w:rsidRPr="0076389E">
        <w:rPr>
          <w:i/>
          <w:sz w:val="24"/>
          <w:szCs w:val="24"/>
        </w:rPr>
        <w:t>horrea</w:t>
      </w:r>
      <w:r w:rsidR="00A46BA7">
        <w:rPr>
          <w:i/>
          <w:sz w:val="24"/>
          <w:szCs w:val="24"/>
        </w:rPr>
        <w:t>,</w:t>
      </w:r>
      <w:r w:rsidR="00E60A99" w:rsidRPr="0076389E">
        <w:rPr>
          <w:sz w:val="24"/>
          <w:szCs w:val="24"/>
        </w:rPr>
        <w:t xml:space="preserve"> or relevant to their undertaking</w:t>
      </w:r>
      <w:r w:rsidR="00A46BA7">
        <w:rPr>
          <w:sz w:val="24"/>
          <w:szCs w:val="24"/>
        </w:rPr>
        <w:t>,</w:t>
      </w:r>
      <w:r w:rsidR="00E60A99" w:rsidRPr="0076389E">
        <w:rPr>
          <w:sz w:val="24"/>
          <w:szCs w:val="24"/>
        </w:rPr>
        <w:t xml:space="preserve"> like the temples that served the administration.</w:t>
      </w:r>
      <w:r w:rsidR="00E60A99" w:rsidRPr="0076389E">
        <w:rPr>
          <w:rStyle w:val="FootnoteReference"/>
          <w:sz w:val="24"/>
          <w:szCs w:val="24"/>
        </w:rPr>
        <w:footnoteReference w:id="318"/>
      </w:r>
      <w:r w:rsidR="00E60A99" w:rsidRPr="0076389E">
        <w:rPr>
          <w:sz w:val="24"/>
          <w:szCs w:val="24"/>
        </w:rPr>
        <w:t xml:space="preserve"> Certain obvious administrative data would be left out as it </w:t>
      </w:r>
      <w:r w:rsidR="00A46BA7">
        <w:rPr>
          <w:sz w:val="24"/>
          <w:szCs w:val="24"/>
        </w:rPr>
        <w:t>was not</w:t>
      </w:r>
      <w:r w:rsidR="00E60A99" w:rsidRPr="0076389E">
        <w:rPr>
          <w:sz w:val="24"/>
          <w:szCs w:val="24"/>
        </w:rPr>
        <w:t xml:space="preserve"> relevant to the reforms conducted by the Prefect or came under the jurisdiction of a subordinate such as the Prefect of the </w:t>
      </w:r>
      <w:r w:rsidR="00E60A99" w:rsidRPr="0076389E">
        <w:rPr>
          <w:i/>
          <w:sz w:val="24"/>
          <w:szCs w:val="24"/>
        </w:rPr>
        <w:t>Annonae</w:t>
      </w:r>
      <w:r w:rsidR="00E60A99" w:rsidRPr="0076389E">
        <w:rPr>
          <w:sz w:val="24"/>
          <w:szCs w:val="24"/>
        </w:rPr>
        <w:t xml:space="preserve">, the Curator of the Water Supply or the Prefect of the </w:t>
      </w:r>
      <w:r w:rsidR="00E60A99" w:rsidRPr="0076389E">
        <w:rPr>
          <w:i/>
          <w:sz w:val="24"/>
          <w:szCs w:val="24"/>
        </w:rPr>
        <w:t>Vigiles</w:t>
      </w:r>
      <w:r w:rsidR="00E60A99" w:rsidRPr="0076389E">
        <w:rPr>
          <w:sz w:val="24"/>
          <w:szCs w:val="24"/>
        </w:rPr>
        <w:t xml:space="preserve">. Other details that were not </w:t>
      </w:r>
      <w:r w:rsidR="00E60A99" w:rsidRPr="0076389E">
        <w:rPr>
          <w:sz w:val="24"/>
          <w:szCs w:val="24"/>
        </w:rPr>
        <w:lastRenderedPageBreak/>
        <w:t xml:space="preserve">related to the reforms would be included because they were important traditions of the office of the Urban Prefect and to leave them out would be to dishonour the office. The Urban Prefect was the Head of the Senate, the guardian of the </w:t>
      </w:r>
      <w:r w:rsidR="00E60A99" w:rsidRPr="0076389E">
        <w:rPr>
          <w:i/>
          <w:sz w:val="24"/>
          <w:szCs w:val="24"/>
        </w:rPr>
        <w:t>mos maiorum</w:t>
      </w:r>
      <w:r w:rsidR="00E60A99" w:rsidRPr="0076389E">
        <w:rPr>
          <w:sz w:val="24"/>
          <w:szCs w:val="24"/>
        </w:rPr>
        <w:t xml:space="preserve">. It was an important part of his </w:t>
      </w:r>
      <w:r w:rsidR="00E60A99" w:rsidRPr="0076389E">
        <w:rPr>
          <w:i/>
          <w:sz w:val="24"/>
          <w:szCs w:val="24"/>
        </w:rPr>
        <w:t>auctoritas</w:t>
      </w:r>
      <w:r w:rsidR="00E60A99" w:rsidRPr="0076389E">
        <w:rPr>
          <w:sz w:val="24"/>
          <w:szCs w:val="24"/>
        </w:rPr>
        <w:t xml:space="preserve"> that he bore responsibility for so many buildings that needed to be preserved. </w:t>
      </w:r>
      <w:r w:rsidR="00E715CF">
        <w:rPr>
          <w:sz w:val="24"/>
          <w:szCs w:val="24"/>
        </w:rPr>
        <w:t xml:space="preserve">These spectacular acts of the administration were </w:t>
      </w:r>
      <w:r w:rsidR="00E715CF">
        <w:rPr>
          <w:i/>
          <w:sz w:val="24"/>
          <w:szCs w:val="24"/>
        </w:rPr>
        <w:t>momentary factual events</w:t>
      </w:r>
      <w:r w:rsidR="00E715CF">
        <w:rPr>
          <w:sz w:val="24"/>
          <w:szCs w:val="24"/>
        </w:rPr>
        <w:t xml:space="preserve">, limited by space and time. Political power is a </w:t>
      </w:r>
      <w:r w:rsidR="00E715CF">
        <w:rPr>
          <w:i/>
          <w:sz w:val="24"/>
          <w:szCs w:val="24"/>
        </w:rPr>
        <w:t>long term structural concept</w:t>
      </w:r>
      <w:r w:rsidR="00E715CF">
        <w:rPr>
          <w:sz w:val="24"/>
          <w:szCs w:val="24"/>
        </w:rPr>
        <w:t>, based upon political, social and religious ideologies and institutions.</w:t>
      </w:r>
      <w:r w:rsidR="00E715CF">
        <w:rPr>
          <w:rStyle w:val="FootnoteReference"/>
          <w:sz w:val="24"/>
          <w:szCs w:val="24"/>
        </w:rPr>
        <w:footnoteReference w:id="319"/>
      </w:r>
      <w:r w:rsidR="00E715CF">
        <w:rPr>
          <w:sz w:val="24"/>
          <w:szCs w:val="24"/>
        </w:rPr>
        <w:t xml:space="preserve">  For the Romans this meant that the </w:t>
      </w:r>
      <w:r w:rsidR="008B44B0">
        <w:rPr>
          <w:sz w:val="24"/>
          <w:szCs w:val="24"/>
        </w:rPr>
        <w:t>Emperor</w:t>
      </w:r>
      <w:r w:rsidR="00E715CF">
        <w:rPr>
          <w:sz w:val="24"/>
          <w:szCs w:val="24"/>
        </w:rPr>
        <w:t xml:space="preserve"> and his officials needed government to look important; if it did not look important then the administration would not be able to transform its deeds into </w:t>
      </w:r>
      <w:r w:rsidR="00E715CF">
        <w:rPr>
          <w:i/>
          <w:sz w:val="24"/>
          <w:szCs w:val="24"/>
        </w:rPr>
        <w:t>auctoritas</w:t>
      </w:r>
      <w:r w:rsidR="00E715CF">
        <w:rPr>
          <w:sz w:val="24"/>
          <w:szCs w:val="24"/>
        </w:rPr>
        <w:t xml:space="preserve">. Those monuments and buildings that were so important to the glory and lustre of the </w:t>
      </w:r>
      <w:r w:rsidR="006C1423">
        <w:rPr>
          <w:sz w:val="24"/>
          <w:szCs w:val="24"/>
        </w:rPr>
        <w:t>i</w:t>
      </w:r>
      <w:r w:rsidR="008B44B0">
        <w:rPr>
          <w:sz w:val="24"/>
          <w:szCs w:val="24"/>
        </w:rPr>
        <w:t>mperial</w:t>
      </w:r>
      <w:r w:rsidR="00E715CF">
        <w:rPr>
          <w:sz w:val="24"/>
          <w:szCs w:val="24"/>
        </w:rPr>
        <w:t xml:space="preserve"> governments would be monuments and buildings that would also be valued by the groups that the government would need in order to function.</w:t>
      </w:r>
      <w:r w:rsidR="00E715CF">
        <w:rPr>
          <w:rStyle w:val="FootnoteReference"/>
          <w:sz w:val="24"/>
          <w:szCs w:val="24"/>
        </w:rPr>
        <w:footnoteReference w:id="320"/>
      </w:r>
      <w:r w:rsidR="00E715CF" w:rsidRPr="00C41DC5">
        <w:rPr>
          <w:sz w:val="24"/>
          <w:szCs w:val="24"/>
        </w:rPr>
        <w:t xml:space="preserve"> </w:t>
      </w:r>
      <w:r w:rsidR="00E715CF">
        <w:rPr>
          <w:sz w:val="24"/>
          <w:szCs w:val="24"/>
        </w:rPr>
        <w:t xml:space="preserve">The third century saw </w:t>
      </w:r>
      <w:r w:rsidR="0087599E">
        <w:rPr>
          <w:sz w:val="24"/>
          <w:szCs w:val="24"/>
        </w:rPr>
        <w:t>emperors</w:t>
      </w:r>
      <w:r w:rsidR="00E715CF">
        <w:rPr>
          <w:sz w:val="24"/>
          <w:szCs w:val="24"/>
        </w:rPr>
        <w:t xml:space="preserve"> desperately questing for forms of legitimacy, to ensure that they were accepted as part of the traditional system and hierarchies of rule.</w:t>
      </w:r>
      <w:r w:rsidR="00E715CF" w:rsidRPr="00C41DC5">
        <w:rPr>
          <w:sz w:val="24"/>
          <w:szCs w:val="24"/>
        </w:rPr>
        <w:t xml:space="preserve"> </w:t>
      </w:r>
      <w:r w:rsidR="00E715CF">
        <w:rPr>
          <w:sz w:val="24"/>
          <w:szCs w:val="24"/>
        </w:rPr>
        <w:t>These documents were all about power and control, ensuring it was manifested appropriately to the public at a time of deep crisis and instability.</w:t>
      </w:r>
      <w:r w:rsidR="00E715CF" w:rsidRPr="009C2896">
        <w:rPr>
          <w:sz w:val="24"/>
          <w:szCs w:val="24"/>
        </w:rPr>
        <w:t xml:space="preserve"> </w:t>
      </w:r>
    </w:p>
    <w:p w:rsidR="008333D8" w:rsidRDefault="008333D8" w:rsidP="00FD5E24">
      <w:pPr>
        <w:spacing w:line="480" w:lineRule="auto"/>
        <w:jc w:val="center"/>
        <w:rPr>
          <w:sz w:val="24"/>
          <w:szCs w:val="24"/>
          <w:u w:val="single"/>
        </w:rPr>
        <w:sectPr w:rsidR="008333D8">
          <w:footerReference w:type="default" r:id="rId14"/>
          <w:pgSz w:w="11906" w:h="16838"/>
          <w:pgMar w:top="1440" w:right="1440" w:bottom="1440" w:left="1440" w:header="708" w:footer="708" w:gutter="0"/>
          <w:cols w:space="708"/>
          <w:docGrid w:linePitch="360"/>
        </w:sectPr>
      </w:pPr>
    </w:p>
    <w:p w:rsidR="00E756D7" w:rsidRPr="00342E82" w:rsidRDefault="00E07BAD" w:rsidP="00E07BAD">
      <w:pPr>
        <w:spacing w:line="480" w:lineRule="auto"/>
        <w:jc w:val="center"/>
        <w:rPr>
          <w:sz w:val="24"/>
          <w:szCs w:val="24"/>
          <w:u w:val="single"/>
        </w:rPr>
      </w:pPr>
      <w:r w:rsidRPr="00E07BAD">
        <w:rPr>
          <w:noProof/>
          <w:sz w:val="48"/>
          <w:szCs w:val="48"/>
          <w:lang w:eastAsia="en-GB"/>
        </w:rPr>
        <w:lastRenderedPageBreak/>
        <w:drawing>
          <wp:anchor distT="0" distB="0" distL="114300" distR="114300" simplePos="0" relativeHeight="251667456" behindDoc="1" locked="0" layoutInCell="1" allowOverlap="1" wp14:anchorId="64FE940C" wp14:editId="158280AE">
            <wp:simplePos x="0" y="0"/>
            <wp:positionH relativeFrom="column">
              <wp:posOffset>133350</wp:posOffset>
            </wp:positionH>
            <wp:positionV relativeFrom="paragraph">
              <wp:posOffset>2121535</wp:posOffset>
            </wp:positionV>
            <wp:extent cx="5549265" cy="6116955"/>
            <wp:effectExtent l="0" t="0" r="0" b="0"/>
            <wp:wrapTight wrapText="bothSides">
              <wp:wrapPolygon edited="0">
                <wp:start x="0" y="0"/>
                <wp:lineTo x="0" y="21526"/>
                <wp:lineTo x="21504" y="21526"/>
                <wp:lineTo x="21504" y="0"/>
                <wp:lineTo x="0" y="0"/>
              </wp:wrapPolygon>
            </wp:wrapTight>
            <wp:docPr id="9" name="Picture 9" descr="File:Part of Tabula Peutinger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Part of Tabula Peutingerian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265" cy="611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4D6" w:rsidRPr="00E07BAD">
        <w:rPr>
          <w:sz w:val="48"/>
          <w:szCs w:val="48"/>
          <w:u w:val="single"/>
        </w:rPr>
        <w:t>Chapter Three</w:t>
      </w:r>
      <w:r w:rsidR="00E756D7" w:rsidRPr="00E07BAD">
        <w:rPr>
          <w:sz w:val="48"/>
          <w:szCs w:val="48"/>
          <w:u w:val="single"/>
        </w:rPr>
        <w:t>: “Is Government not an art?</w:t>
      </w:r>
      <w:r w:rsidR="009C7AF1" w:rsidRPr="00E07BAD">
        <w:rPr>
          <w:sz w:val="48"/>
          <w:szCs w:val="48"/>
          <w:u w:val="single"/>
        </w:rPr>
        <w:t>”</w:t>
      </w:r>
      <w:r w:rsidR="00E756D7" w:rsidRPr="00E07BAD">
        <w:rPr>
          <w:sz w:val="48"/>
          <w:szCs w:val="48"/>
          <w:u w:val="single"/>
        </w:rPr>
        <w:t xml:space="preserve"> </w:t>
      </w:r>
      <w:r w:rsidR="00E756D7" w:rsidRPr="00342E82">
        <w:rPr>
          <w:sz w:val="48"/>
          <w:szCs w:val="48"/>
          <w:u w:val="single"/>
        </w:rPr>
        <w:t>Roman Cartographical and Topographical Representations of the Administration</w:t>
      </w:r>
      <w:r w:rsidR="00E756D7" w:rsidRPr="00342E82">
        <w:rPr>
          <w:sz w:val="24"/>
          <w:szCs w:val="24"/>
          <w:u w:val="single"/>
        </w:rPr>
        <w:t>:</w:t>
      </w:r>
      <w:r w:rsidR="002C5960" w:rsidRPr="00342E82">
        <w:rPr>
          <w:rStyle w:val="FootnoteReference"/>
          <w:sz w:val="24"/>
          <w:szCs w:val="24"/>
          <w:u w:val="single"/>
        </w:rPr>
        <w:footnoteReference w:id="321"/>
      </w:r>
    </w:p>
    <w:p w:rsidR="00E756D7" w:rsidRPr="00342E82" w:rsidRDefault="00E756D7" w:rsidP="00722391">
      <w:pPr>
        <w:spacing w:line="480" w:lineRule="auto"/>
        <w:jc w:val="both"/>
        <w:rPr>
          <w:sz w:val="24"/>
          <w:szCs w:val="24"/>
        </w:rPr>
      </w:pPr>
      <w:r w:rsidRPr="00342E82">
        <w:rPr>
          <w:sz w:val="24"/>
          <w:szCs w:val="24"/>
        </w:rPr>
        <w:lastRenderedPageBreak/>
        <w:t>“</w:t>
      </w:r>
      <w:proofErr w:type="gramStart"/>
      <w:r w:rsidRPr="00342E82">
        <w:rPr>
          <w:sz w:val="24"/>
          <w:szCs w:val="24"/>
        </w:rPr>
        <w:t>tu</w:t>
      </w:r>
      <w:proofErr w:type="gramEnd"/>
      <w:r w:rsidRPr="00342E82">
        <w:rPr>
          <w:sz w:val="24"/>
          <w:szCs w:val="24"/>
        </w:rPr>
        <w:t xml:space="preserve"> refere imperio populos, Romane, memento (hae tibi erunt artes) pacique imponere morem, parcere subiectis et debellare superbos”</w:t>
      </w:r>
      <w:r w:rsidRPr="00342E82">
        <w:rPr>
          <w:rStyle w:val="FootnoteReference"/>
          <w:sz w:val="24"/>
          <w:szCs w:val="24"/>
        </w:rPr>
        <w:footnoteReference w:id="322"/>
      </w:r>
    </w:p>
    <w:p w:rsidR="00E756D7" w:rsidRPr="00342E82" w:rsidRDefault="00E756D7" w:rsidP="00722391">
      <w:pPr>
        <w:spacing w:line="480" w:lineRule="auto"/>
        <w:jc w:val="both"/>
        <w:rPr>
          <w:sz w:val="24"/>
          <w:szCs w:val="24"/>
        </w:rPr>
      </w:pPr>
      <w:r w:rsidRPr="00342E82">
        <w:rPr>
          <w:sz w:val="24"/>
          <w:szCs w:val="24"/>
        </w:rPr>
        <w:t>'O’ Roman, to rule the nations with thy sway – these shall be thine arts – to crown Peace with Law, to spare the Humble and to tame in war the Proud!)</w:t>
      </w:r>
    </w:p>
    <w:p w:rsidR="00FD364D" w:rsidRPr="00342E82" w:rsidRDefault="00FD364D" w:rsidP="00722391">
      <w:pPr>
        <w:spacing w:line="480" w:lineRule="auto"/>
        <w:jc w:val="both"/>
        <w:rPr>
          <w:sz w:val="24"/>
          <w:szCs w:val="24"/>
        </w:rPr>
      </w:pPr>
    </w:p>
    <w:p w:rsidR="00330D3D" w:rsidRDefault="003F4B96" w:rsidP="00722391">
      <w:pPr>
        <w:spacing w:line="480" w:lineRule="auto"/>
        <w:jc w:val="both"/>
      </w:pPr>
      <w:r w:rsidRPr="00342E82">
        <w:rPr>
          <w:sz w:val="24"/>
          <w:szCs w:val="24"/>
        </w:rPr>
        <w:t xml:space="preserve">When considering the </w:t>
      </w:r>
      <w:r w:rsidRPr="00342E82">
        <w:rPr>
          <w:i/>
          <w:sz w:val="24"/>
          <w:szCs w:val="24"/>
        </w:rPr>
        <w:t>Regionary Catalogues</w:t>
      </w:r>
      <w:r w:rsidRPr="00342E82">
        <w:rPr>
          <w:sz w:val="24"/>
          <w:szCs w:val="24"/>
        </w:rPr>
        <w:t xml:space="preserve"> it is important to consider not only what the Roman government could do, but also what its greater strategic goals were.</w:t>
      </w:r>
      <w:r w:rsidRPr="00342E82">
        <w:rPr>
          <w:i/>
          <w:sz w:val="24"/>
          <w:szCs w:val="24"/>
        </w:rPr>
        <w:t xml:space="preserve"> </w:t>
      </w:r>
      <w:r w:rsidR="00330D3D" w:rsidRPr="00342E82">
        <w:rPr>
          <w:sz w:val="24"/>
          <w:szCs w:val="24"/>
        </w:rPr>
        <w:t>The</w:t>
      </w:r>
      <w:r w:rsidR="00E756D7" w:rsidRPr="00342E82">
        <w:rPr>
          <w:sz w:val="24"/>
          <w:szCs w:val="24"/>
        </w:rPr>
        <w:t xml:space="preserve"> aims</w:t>
      </w:r>
      <w:r w:rsidR="00330D3D" w:rsidRPr="00342E82">
        <w:rPr>
          <w:sz w:val="24"/>
          <w:szCs w:val="24"/>
        </w:rPr>
        <w:t xml:space="preserve"> of Roman government were small, </w:t>
      </w:r>
      <w:r w:rsidR="00E756D7" w:rsidRPr="00342E82">
        <w:rPr>
          <w:sz w:val="24"/>
          <w:szCs w:val="24"/>
        </w:rPr>
        <w:t>essentially limited to the gathering of taxes and the maintenance of</w:t>
      </w:r>
      <w:r w:rsidR="00E756D7">
        <w:rPr>
          <w:sz w:val="24"/>
          <w:szCs w:val="24"/>
        </w:rPr>
        <w:t xml:space="preserve"> public order. At its largest extent in the fourth century the </w:t>
      </w:r>
      <w:r w:rsidR="0087599E">
        <w:rPr>
          <w:sz w:val="24"/>
          <w:szCs w:val="24"/>
        </w:rPr>
        <w:t>i</w:t>
      </w:r>
      <w:r w:rsidR="008B44B0">
        <w:rPr>
          <w:sz w:val="24"/>
          <w:szCs w:val="24"/>
        </w:rPr>
        <w:t>mperial</w:t>
      </w:r>
      <w:r w:rsidR="00E756D7">
        <w:rPr>
          <w:sz w:val="24"/>
          <w:szCs w:val="24"/>
        </w:rPr>
        <w:t xml:space="preserve"> government possessed roughly 30,000 functionaries, equivalent to 1 functionary to every 2000 subjects. In contrast the United States</w:t>
      </w:r>
      <w:r w:rsidR="00EF3BBB">
        <w:rPr>
          <w:sz w:val="24"/>
          <w:szCs w:val="24"/>
        </w:rPr>
        <w:t xml:space="preserve"> Federal government</w:t>
      </w:r>
      <w:r w:rsidR="00E756D7">
        <w:rPr>
          <w:sz w:val="24"/>
          <w:szCs w:val="24"/>
        </w:rPr>
        <w:t xml:space="preserve"> employs 3 million, equivalen</w:t>
      </w:r>
      <w:r w:rsidR="00EF3BBB">
        <w:rPr>
          <w:sz w:val="24"/>
          <w:szCs w:val="24"/>
        </w:rPr>
        <w:t>t to 1 to every 80 inhabitants with</w:t>
      </w:r>
      <w:r w:rsidR="00E756D7">
        <w:rPr>
          <w:sz w:val="24"/>
          <w:szCs w:val="24"/>
        </w:rPr>
        <w:t xml:space="preserve"> another 4.5 million em</w:t>
      </w:r>
      <w:r w:rsidR="00330D3D">
        <w:rPr>
          <w:sz w:val="24"/>
          <w:szCs w:val="24"/>
        </w:rPr>
        <w:t>ployed in the State governments</w:t>
      </w:r>
      <w:r w:rsidR="00E756D7">
        <w:rPr>
          <w:sz w:val="24"/>
          <w:szCs w:val="24"/>
        </w:rPr>
        <w:t>.</w:t>
      </w:r>
      <w:r w:rsidR="00E756D7">
        <w:rPr>
          <w:rStyle w:val="FootnoteReference"/>
          <w:sz w:val="24"/>
          <w:szCs w:val="24"/>
        </w:rPr>
        <w:footnoteReference w:id="323"/>
      </w:r>
      <w:r w:rsidR="00E756D7">
        <w:rPr>
          <w:sz w:val="24"/>
          <w:szCs w:val="24"/>
        </w:rPr>
        <w:t xml:space="preserve"> With such a disproportion of government to the governed and with the lack of modern technologies, there could be no “science of government” as we would understand it.</w:t>
      </w:r>
      <w:r w:rsidR="00330D3D">
        <w:rPr>
          <w:sz w:val="24"/>
          <w:szCs w:val="24"/>
        </w:rPr>
        <w:t xml:space="preserve"> Claims towards scientific objectivity were more often than not</w:t>
      </w:r>
      <w:r w:rsidR="001D4539">
        <w:rPr>
          <w:sz w:val="24"/>
          <w:szCs w:val="24"/>
        </w:rPr>
        <w:t xml:space="preserve"> a</w:t>
      </w:r>
      <w:r w:rsidR="00330D3D">
        <w:rPr>
          <w:sz w:val="24"/>
          <w:szCs w:val="24"/>
        </w:rPr>
        <w:t xml:space="preserve"> rhetorical device to conceal the speaker’s intention behind a ve</w:t>
      </w:r>
      <w:r w:rsidR="001D4539">
        <w:rPr>
          <w:sz w:val="24"/>
          <w:szCs w:val="24"/>
        </w:rPr>
        <w:t>neer of scientific impartiality,</w:t>
      </w:r>
      <w:r w:rsidR="001D4539" w:rsidRPr="001D4539">
        <w:rPr>
          <w:sz w:val="24"/>
          <w:szCs w:val="24"/>
        </w:rPr>
        <w:t xml:space="preserve"> </w:t>
      </w:r>
      <w:r w:rsidR="001D4539">
        <w:rPr>
          <w:sz w:val="24"/>
          <w:szCs w:val="24"/>
        </w:rPr>
        <w:t>its application to real life was determined as much by the personal taste and biases of the writer/author as any hard rules.</w:t>
      </w:r>
      <w:r w:rsidR="001D4539">
        <w:rPr>
          <w:rStyle w:val="FootnoteReference"/>
          <w:sz w:val="24"/>
          <w:szCs w:val="24"/>
        </w:rPr>
        <w:footnoteReference w:id="324"/>
      </w:r>
    </w:p>
    <w:p w:rsidR="00E756D7" w:rsidRDefault="00E756D7" w:rsidP="00722391">
      <w:pPr>
        <w:spacing w:line="480" w:lineRule="auto"/>
        <w:ind w:firstLine="720"/>
        <w:jc w:val="both"/>
        <w:rPr>
          <w:sz w:val="24"/>
          <w:szCs w:val="24"/>
        </w:rPr>
      </w:pPr>
      <w:r>
        <w:rPr>
          <w:sz w:val="24"/>
          <w:szCs w:val="24"/>
        </w:rPr>
        <w:t xml:space="preserve">What government possessed was force (of strength and personality) and fear. Fear is an exceptionally economical way of ruling: a great deal of fear can be created with very little force, but </w:t>
      </w:r>
      <w:r w:rsidR="00342E82">
        <w:rPr>
          <w:sz w:val="24"/>
          <w:szCs w:val="24"/>
        </w:rPr>
        <w:t>its effects are limited to those who can perceive the actions that precipitate it</w:t>
      </w:r>
      <w:r>
        <w:rPr>
          <w:sz w:val="24"/>
          <w:szCs w:val="24"/>
        </w:rPr>
        <w:t xml:space="preserve">. </w:t>
      </w:r>
      <w:r>
        <w:rPr>
          <w:sz w:val="24"/>
          <w:szCs w:val="24"/>
        </w:rPr>
        <w:lastRenderedPageBreak/>
        <w:t xml:space="preserve">Force was also potent; traitors and rebels were rarely held in place by the “Tribunician sacrosanctity” or ideals of </w:t>
      </w:r>
      <w:r w:rsidR="008B44B0">
        <w:rPr>
          <w:sz w:val="24"/>
          <w:szCs w:val="24"/>
        </w:rPr>
        <w:t>imperial</w:t>
      </w:r>
      <w:r>
        <w:rPr>
          <w:sz w:val="24"/>
          <w:szCs w:val="24"/>
        </w:rPr>
        <w:t xml:space="preserve"> authority, but by the displays of glowering German</w:t>
      </w:r>
      <w:r w:rsidR="00330D3D">
        <w:rPr>
          <w:sz w:val="24"/>
          <w:szCs w:val="24"/>
        </w:rPr>
        <w:t>ic</w:t>
      </w:r>
      <w:r>
        <w:rPr>
          <w:sz w:val="24"/>
          <w:szCs w:val="24"/>
        </w:rPr>
        <w:t xml:space="preserve"> bodyguards and massed ranks of legionaries.</w:t>
      </w:r>
      <w:r>
        <w:rPr>
          <w:rStyle w:val="FootnoteReference"/>
          <w:sz w:val="24"/>
          <w:szCs w:val="24"/>
        </w:rPr>
        <w:footnoteReference w:id="325"/>
      </w:r>
      <w:r>
        <w:rPr>
          <w:sz w:val="24"/>
          <w:szCs w:val="24"/>
        </w:rPr>
        <w:t xml:space="preserve"> But even fear and force were limited by their ability to be communicated to the masses.</w:t>
      </w:r>
    </w:p>
    <w:p w:rsidR="00C63702" w:rsidRPr="007602C3" w:rsidRDefault="00E756D7" w:rsidP="00DB632E">
      <w:pPr>
        <w:spacing w:line="480" w:lineRule="auto"/>
        <w:ind w:firstLine="720"/>
        <w:jc w:val="both"/>
        <w:rPr>
          <w:sz w:val="24"/>
          <w:szCs w:val="24"/>
        </w:rPr>
      </w:pPr>
      <w:r>
        <w:rPr>
          <w:sz w:val="24"/>
          <w:szCs w:val="24"/>
        </w:rPr>
        <w:t xml:space="preserve">In </w:t>
      </w:r>
      <w:r w:rsidR="009C7AF1">
        <w:rPr>
          <w:sz w:val="24"/>
          <w:szCs w:val="24"/>
        </w:rPr>
        <w:t>Foucauldian</w:t>
      </w:r>
      <w:r>
        <w:rPr>
          <w:sz w:val="24"/>
          <w:szCs w:val="24"/>
        </w:rPr>
        <w:t xml:space="preserve"> terms this meant the ability of the government to condition the masses to accept its message.</w:t>
      </w:r>
      <w:r>
        <w:rPr>
          <w:rStyle w:val="FootnoteReference"/>
          <w:sz w:val="24"/>
          <w:szCs w:val="24"/>
        </w:rPr>
        <w:footnoteReference w:id="326"/>
      </w:r>
      <w:r>
        <w:rPr>
          <w:sz w:val="24"/>
          <w:szCs w:val="24"/>
        </w:rPr>
        <w:t xml:space="preserve"> Whilst these practices theorised by Foucault are dependent upon developments in the early modern period, in particular statistics and social sciences, the “technologies of memory and knowledge pro</w:t>
      </w:r>
      <w:r w:rsidR="00A3137A">
        <w:rPr>
          <w:sz w:val="24"/>
          <w:szCs w:val="24"/>
        </w:rPr>
        <w:t xml:space="preserve">duction” that underpin these practices </w:t>
      </w:r>
      <w:r w:rsidR="001D4539">
        <w:rPr>
          <w:sz w:val="24"/>
          <w:szCs w:val="24"/>
        </w:rPr>
        <w:t xml:space="preserve">were </w:t>
      </w:r>
      <w:r w:rsidR="00D2514C">
        <w:rPr>
          <w:sz w:val="24"/>
          <w:szCs w:val="24"/>
        </w:rPr>
        <w:t>already</w:t>
      </w:r>
      <w:r>
        <w:rPr>
          <w:sz w:val="24"/>
          <w:szCs w:val="24"/>
        </w:rPr>
        <w:t xml:space="preserve"> present in the classical and late antique periods.</w:t>
      </w:r>
      <w:r>
        <w:rPr>
          <w:rStyle w:val="FootnoteReference"/>
          <w:sz w:val="24"/>
          <w:szCs w:val="24"/>
        </w:rPr>
        <w:footnoteReference w:id="327"/>
      </w:r>
      <w:r>
        <w:rPr>
          <w:sz w:val="24"/>
          <w:szCs w:val="24"/>
        </w:rPr>
        <w:t xml:space="preserve"> In order for us to examine this, I would like to utilise what Clifford Ando called an, ‘infrastructural elaboration of the state.’ This is a method by which we can assess the practices and pragmatic actions of the Roman government through its material depiction of its own hierarchies.</w:t>
      </w:r>
      <w:r>
        <w:rPr>
          <w:rStyle w:val="FootnoteReference"/>
          <w:sz w:val="24"/>
          <w:szCs w:val="24"/>
        </w:rPr>
        <w:footnoteReference w:id="328"/>
      </w:r>
      <w:r>
        <w:rPr>
          <w:sz w:val="24"/>
          <w:szCs w:val="24"/>
        </w:rPr>
        <w:t xml:space="preserve"> From the text of the </w:t>
      </w:r>
      <w:r>
        <w:rPr>
          <w:i/>
          <w:sz w:val="24"/>
          <w:szCs w:val="24"/>
        </w:rPr>
        <w:t>Regionary Catalogues</w:t>
      </w:r>
      <w:r>
        <w:rPr>
          <w:sz w:val="24"/>
          <w:szCs w:val="24"/>
        </w:rPr>
        <w:t xml:space="preserve"> to the glorious architecture of Trajan’s Column and the Severan Marble Plan, Roman administrative power and the bureaucratic laws and standards that underpinned</w:t>
      </w:r>
      <w:r w:rsidR="00E9160B">
        <w:rPr>
          <w:sz w:val="24"/>
          <w:szCs w:val="24"/>
        </w:rPr>
        <w:t xml:space="preserve"> it</w:t>
      </w:r>
      <w:r>
        <w:rPr>
          <w:sz w:val="24"/>
          <w:szCs w:val="24"/>
        </w:rPr>
        <w:t xml:space="preserve"> had to be expressed in a manner that allowed its subjects to visualise it, understand it, and participate in it. In this sense government became an artistic endeavour </w:t>
      </w:r>
      <w:r w:rsidR="001D4539">
        <w:rPr>
          <w:sz w:val="24"/>
          <w:szCs w:val="24"/>
        </w:rPr>
        <w:t xml:space="preserve">in </w:t>
      </w:r>
      <w:r>
        <w:rPr>
          <w:sz w:val="24"/>
          <w:szCs w:val="24"/>
        </w:rPr>
        <w:t>itself.  The more glorious and spectacular it could be, the more effective it would be.</w:t>
      </w:r>
      <w:r w:rsidR="007602C3">
        <w:t xml:space="preserve"> </w:t>
      </w:r>
      <w:r w:rsidR="007602C3">
        <w:rPr>
          <w:sz w:val="24"/>
          <w:szCs w:val="24"/>
        </w:rPr>
        <w:t xml:space="preserve">All of this </w:t>
      </w:r>
      <w:r w:rsidR="007602C3" w:rsidRPr="0076389E">
        <w:rPr>
          <w:sz w:val="24"/>
          <w:szCs w:val="24"/>
        </w:rPr>
        <w:t>directly fed into the Urban Prefect’s pri</w:t>
      </w:r>
      <w:r w:rsidR="001D4539">
        <w:rPr>
          <w:sz w:val="24"/>
          <w:szCs w:val="24"/>
        </w:rPr>
        <w:t>mary duty, which was to ensure law and o</w:t>
      </w:r>
      <w:r w:rsidR="007602C3" w:rsidRPr="0076389E">
        <w:rPr>
          <w:sz w:val="24"/>
          <w:szCs w:val="24"/>
        </w:rPr>
        <w:t xml:space="preserve">rder within the city. Failure to do so in the absence of the </w:t>
      </w:r>
      <w:r w:rsidR="0087599E">
        <w:rPr>
          <w:sz w:val="24"/>
          <w:szCs w:val="24"/>
        </w:rPr>
        <w:t>e</w:t>
      </w:r>
      <w:r w:rsidR="008B44B0">
        <w:rPr>
          <w:sz w:val="24"/>
          <w:szCs w:val="24"/>
        </w:rPr>
        <w:t>mperor</w:t>
      </w:r>
      <w:r w:rsidR="007602C3" w:rsidRPr="0076389E">
        <w:rPr>
          <w:sz w:val="24"/>
          <w:szCs w:val="24"/>
        </w:rPr>
        <w:t xml:space="preserve"> would be fatal to any political career. Finally, as the </w:t>
      </w:r>
      <w:r w:rsidR="00342E82">
        <w:rPr>
          <w:sz w:val="24"/>
          <w:szCs w:val="24"/>
        </w:rPr>
        <w:t>i</w:t>
      </w:r>
      <w:r w:rsidR="008B44B0">
        <w:rPr>
          <w:sz w:val="24"/>
          <w:szCs w:val="24"/>
        </w:rPr>
        <w:t>mperial</w:t>
      </w:r>
      <w:r w:rsidR="007602C3" w:rsidRPr="0076389E">
        <w:rPr>
          <w:sz w:val="24"/>
          <w:szCs w:val="24"/>
        </w:rPr>
        <w:t xml:space="preserve"> representative to the Senate</w:t>
      </w:r>
      <w:r w:rsidR="001D4539">
        <w:rPr>
          <w:sz w:val="24"/>
          <w:szCs w:val="24"/>
        </w:rPr>
        <w:t>, the Urban Prefect had</w:t>
      </w:r>
      <w:r w:rsidR="007602C3" w:rsidRPr="0076389E">
        <w:rPr>
          <w:sz w:val="24"/>
          <w:szCs w:val="24"/>
        </w:rPr>
        <w:t xml:space="preserve"> a </w:t>
      </w:r>
      <w:r w:rsidR="007602C3" w:rsidRPr="0076389E">
        <w:rPr>
          <w:sz w:val="24"/>
          <w:szCs w:val="24"/>
        </w:rPr>
        <w:lastRenderedPageBreak/>
        <w:t>responsibility to maintain</w:t>
      </w:r>
      <w:r w:rsidR="001D4539">
        <w:rPr>
          <w:sz w:val="24"/>
          <w:szCs w:val="24"/>
        </w:rPr>
        <w:t xml:space="preserve"> not only</w:t>
      </w:r>
      <w:r w:rsidR="007602C3" w:rsidRPr="0076389E">
        <w:rPr>
          <w:sz w:val="24"/>
          <w:szCs w:val="24"/>
        </w:rPr>
        <w:t xml:space="preserve"> the cultural heritage and monuments of the city but also the buildings that were required for the religious aspects of the administration.</w:t>
      </w:r>
    </w:p>
    <w:p w:rsidR="00EC4F54" w:rsidRDefault="009366B8" w:rsidP="00722391">
      <w:pPr>
        <w:spacing w:line="480" w:lineRule="auto"/>
        <w:ind w:firstLine="720"/>
        <w:jc w:val="both"/>
        <w:rPr>
          <w:sz w:val="24"/>
          <w:szCs w:val="24"/>
        </w:rPr>
      </w:pPr>
      <w:r>
        <w:rPr>
          <w:sz w:val="24"/>
          <w:szCs w:val="24"/>
        </w:rPr>
        <w:t xml:space="preserve">For a start, </w:t>
      </w:r>
      <w:r w:rsidR="00E756D7">
        <w:rPr>
          <w:sz w:val="24"/>
          <w:szCs w:val="24"/>
        </w:rPr>
        <w:t>however</w:t>
      </w:r>
      <w:r>
        <w:rPr>
          <w:sz w:val="24"/>
          <w:szCs w:val="24"/>
        </w:rPr>
        <w:t>,</w:t>
      </w:r>
      <w:r w:rsidR="00E756D7">
        <w:rPr>
          <w:sz w:val="24"/>
          <w:szCs w:val="24"/>
        </w:rPr>
        <w:t xml:space="preserve"> we must address the methodological issues surrounding cartographical and topographical representations of the Roman administration. </w:t>
      </w:r>
      <w:r w:rsidR="006F23C4">
        <w:rPr>
          <w:sz w:val="24"/>
          <w:szCs w:val="24"/>
        </w:rPr>
        <w:t>H</w:t>
      </w:r>
      <w:r w:rsidR="00EC705D">
        <w:rPr>
          <w:sz w:val="24"/>
          <w:szCs w:val="24"/>
        </w:rPr>
        <w:t>ow</w:t>
      </w:r>
      <w:r w:rsidR="002C36C7">
        <w:rPr>
          <w:sz w:val="24"/>
          <w:szCs w:val="24"/>
        </w:rPr>
        <w:t xml:space="preserve"> are </w:t>
      </w:r>
      <w:r w:rsidR="00EC705D">
        <w:rPr>
          <w:sz w:val="24"/>
          <w:szCs w:val="24"/>
        </w:rPr>
        <w:t xml:space="preserve">we </w:t>
      </w:r>
      <w:r w:rsidR="002C36C7">
        <w:rPr>
          <w:sz w:val="24"/>
          <w:szCs w:val="24"/>
        </w:rPr>
        <w:t>able to reconcile the</w:t>
      </w:r>
      <w:r w:rsidR="00E756D7">
        <w:rPr>
          <w:sz w:val="24"/>
          <w:szCs w:val="24"/>
        </w:rPr>
        <w:t xml:space="preserve"> importance of glory, history, and tradition to </w:t>
      </w:r>
      <w:r w:rsidR="002C36C7">
        <w:rPr>
          <w:sz w:val="24"/>
          <w:szCs w:val="24"/>
        </w:rPr>
        <w:t xml:space="preserve">the construction of the </w:t>
      </w:r>
      <w:r w:rsidR="00E756D7">
        <w:rPr>
          <w:sz w:val="24"/>
          <w:szCs w:val="24"/>
        </w:rPr>
        <w:t>socio-political hierarchy</w:t>
      </w:r>
      <w:r w:rsidR="002C36C7">
        <w:rPr>
          <w:sz w:val="24"/>
          <w:szCs w:val="24"/>
        </w:rPr>
        <w:t xml:space="preserve"> a</w:t>
      </w:r>
      <w:r w:rsidR="00EF3BBB">
        <w:rPr>
          <w:sz w:val="24"/>
          <w:szCs w:val="24"/>
        </w:rPr>
        <w:t>nd administrative effectiveness?</w:t>
      </w:r>
      <w:r w:rsidR="002C36C7">
        <w:rPr>
          <w:sz w:val="24"/>
          <w:szCs w:val="24"/>
        </w:rPr>
        <w:t xml:space="preserve"> Here I will be looking to the methodologies</w:t>
      </w:r>
      <w:r w:rsidR="00E756D7">
        <w:rPr>
          <w:sz w:val="24"/>
          <w:szCs w:val="24"/>
        </w:rPr>
        <w:t xml:space="preserve"> of Lendon</w:t>
      </w:r>
      <w:r w:rsidR="002C36C7">
        <w:rPr>
          <w:sz w:val="24"/>
          <w:szCs w:val="24"/>
        </w:rPr>
        <w:t xml:space="preserve"> and Ando</w:t>
      </w:r>
      <w:r w:rsidR="00E756D7">
        <w:rPr>
          <w:sz w:val="24"/>
          <w:szCs w:val="24"/>
        </w:rPr>
        <w:t xml:space="preserve">, by which we examine </w:t>
      </w:r>
      <w:r w:rsidR="002C36C7">
        <w:rPr>
          <w:sz w:val="24"/>
          <w:szCs w:val="24"/>
        </w:rPr>
        <w:t xml:space="preserve">government’s </w:t>
      </w:r>
      <w:r w:rsidR="00E756D7">
        <w:rPr>
          <w:sz w:val="24"/>
          <w:szCs w:val="24"/>
        </w:rPr>
        <w:t>methods, mechanisms and aims.</w:t>
      </w:r>
      <w:r w:rsidR="00E756D7">
        <w:rPr>
          <w:rStyle w:val="FootnoteReference"/>
          <w:sz w:val="24"/>
          <w:szCs w:val="24"/>
        </w:rPr>
        <w:footnoteReference w:id="329"/>
      </w:r>
      <w:r w:rsidR="00E756D7">
        <w:rPr>
          <w:sz w:val="24"/>
          <w:szCs w:val="24"/>
        </w:rPr>
        <w:t xml:space="preserve"> This not only compensates for the difficulties of our sources</w:t>
      </w:r>
      <w:r>
        <w:rPr>
          <w:sz w:val="24"/>
          <w:szCs w:val="24"/>
        </w:rPr>
        <w:t>,</w:t>
      </w:r>
      <w:r w:rsidR="00E756D7">
        <w:rPr>
          <w:sz w:val="24"/>
          <w:szCs w:val="24"/>
        </w:rPr>
        <w:t xml:space="preserve"> but</w:t>
      </w:r>
      <w:r>
        <w:rPr>
          <w:sz w:val="24"/>
          <w:szCs w:val="24"/>
        </w:rPr>
        <w:t xml:space="preserve"> it</w:t>
      </w:r>
      <w:r w:rsidR="00E756D7">
        <w:rPr>
          <w:sz w:val="24"/>
          <w:szCs w:val="24"/>
        </w:rPr>
        <w:t xml:space="preserve"> makes the cartographical and topographical representations of the administr</w:t>
      </w:r>
      <w:r>
        <w:rPr>
          <w:sz w:val="24"/>
          <w:szCs w:val="24"/>
        </w:rPr>
        <w:t xml:space="preserve">ation even more useful. </w:t>
      </w:r>
      <w:r w:rsidR="00330D3D">
        <w:rPr>
          <w:sz w:val="24"/>
          <w:szCs w:val="24"/>
        </w:rPr>
        <w:t>My</w:t>
      </w:r>
      <w:r>
        <w:rPr>
          <w:sz w:val="24"/>
          <w:szCs w:val="24"/>
        </w:rPr>
        <w:t xml:space="preserve"> aim is to reveal </w:t>
      </w:r>
      <w:r w:rsidR="00E756D7">
        <w:rPr>
          <w:sz w:val="24"/>
          <w:szCs w:val="24"/>
        </w:rPr>
        <w:t xml:space="preserve">what the expectations were of government and deduce a pattern from </w:t>
      </w:r>
      <w:r w:rsidR="00EF6C99">
        <w:rPr>
          <w:sz w:val="24"/>
          <w:szCs w:val="24"/>
        </w:rPr>
        <w:t>that to determine its functions. Because of this,</w:t>
      </w:r>
      <w:r w:rsidR="00E756D7">
        <w:rPr>
          <w:sz w:val="24"/>
          <w:szCs w:val="24"/>
        </w:rPr>
        <w:t xml:space="preserve"> </w:t>
      </w:r>
      <w:r w:rsidR="00EF6C99">
        <w:rPr>
          <w:sz w:val="24"/>
          <w:szCs w:val="24"/>
        </w:rPr>
        <w:t>textual representations of government allow</w:t>
      </w:r>
      <w:r w:rsidR="00E756D7">
        <w:rPr>
          <w:sz w:val="24"/>
          <w:szCs w:val="24"/>
        </w:rPr>
        <w:t xml:space="preserve"> us a number of avenues to explore</w:t>
      </w:r>
      <w:r w:rsidR="00330D3D">
        <w:rPr>
          <w:sz w:val="24"/>
          <w:szCs w:val="24"/>
        </w:rPr>
        <w:t xml:space="preserve"> the patterns of</w:t>
      </w:r>
      <w:r w:rsidR="00EF6C99">
        <w:rPr>
          <w:sz w:val="24"/>
          <w:szCs w:val="24"/>
        </w:rPr>
        <w:t xml:space="preserve"> popular expectations of government</w:t>
      </w:r>
      <w:r w:rsidR="00E756D7">
        <w:rPr>
          <w:sz w:val="24"/>
          <w:szCs w:val="24"/>
        </w:rPr>
        <w:t>.</w:t>
      </w:r>
      <w:r w:rsidR="00E756D7">
        <w:rPr>
          <w:rStyle w:val="FootnoteReference"/>
          <w:sz w:val="24"/>
          <w:szCs w:val="24"/>
        </w:rPr>
        <w:footnoteReference w:id="330"/>
      </w:r>
      <w:r w:rsidR="00E756D7">
        <w:rPr>
          <w:sz w:val="24"/>
          <w:szCs w:val="24"/>
        </w:rPr>
        <w:t xml:space="preserve"> </w:t>
      </w:r>
      <w:r w:rsidR="00EC4F54">
        <w:rPr>
          <w:sz w:val="24"/>
          <w:szCs w:val="24"/>
        </w:rPr>
        <w:t xml:space="preserve">I will begin by discussing the “apparent” </w:t>
      </w:r>
      <w:r w:rsidR="00A51DFC">
        <w:rPr>
          <w:sz w:val="24"/>
          <w:szCs w:val="24"/>
        </w:rPr>
        <w:t>distinction I alluded to in the Introduction,</w:t>
      </w:r>
      <w:r w:rsidR="00EC4F54">
        <w:rPr>
          <w:sz w:val="24"/>
          <w:szCs w:val="24"/>
        </w:rPr>
        <w:t xml:space="preserve"> between Ando</w:t>
      </w:r>
      <w:r w:rsidR="00EF6C99">
        <w:rPr>
          <w:sz w:val="24"/>
          <w:szCs w:val="24"/>
        </w:rPr>
        <w:t>’s</w:t>
      </w:r>
      <w:r w:rsidR="00EC4F54">
        <w:rPr>
          <w:sz w:val="24"/>
          <w:szCs w:val="24"/>
        </w:rPr>
        <w:t xml:space="preserve"> and Lendon’s views and how they actually complement each other by discussing two sides of the same coin. Lendon is about those who govern, whereas Ando’s approach focuses on the governed. The practical realities of the administration change</w:t>
      </w:r>
      <w:r w:rsidR="00687881">
        <w:rPr>
          <w:sz w:val="24"/>
          <w:szCs w:val="24"/>
        </w:rPr>
        <w:t>d</w:t>
      </w:r>
      <w:r w:rsidR="00EC4F54">
        <w:rPr>
          <w:sz w:val="24"/>
          <w:szCs w:val="24"/>
        </w:rPr>
        <w:t xml:space="preserve"> greatly in the third century, but these broader princi</w:t>
      </w:r>
      <w:r w:rsidR="00687881">
        <w:rPr>
          <w:sz w:val="24"/>
          <w:szCs w:val="24"/>
        </w:rPr>
        <w:t>ples</w:t>
      </w:r>
      <w:r w:rsidR="00EC4F54">
        <w:rPr>
          <w:sz w:val="24"/>
          <w:szCs w:val="24"/>
        </w:rPr>
        <w:t xml:space="preserve"> remain</w:t>
      </w:r>
      <w:r w:rsidR="00687881">
        <w:rPr>
          <w:sz w:val="24"/>
          <w:szCs w:val="24"/>
        </w:rPr>
        <w:t>ed</w:t>
      </w:r>
      <w:r w:rsidR="00EC4F54">
        <w:rPr>
          <w:sz w:val="24"/>
          <w:szCs w:val="24"/>
        </w:rPr>
        <w:t xml:space="preserve"> th</w:t>
      </w:r>
      <w:r w:rsidR="001D4539">
        <w:rPr>
          <w:sz w:val="24"/>
          <w:szCs w:val="24"/>
        </w:rPr>
        <w:t xml:space="preserve">e same. This will allow </w:t>
      </w:r>
      <w:r w:rsidR="00EC4F54">
        <w:rPr>
          <w:sz w:val="24"/>
          <w:szCs w:val="24"/>
        </w:rPr>
        <w:t>us to examine how these principles were utilised to effect these administrative changes. I will then</w:t>
      </w:r>
      <w:r w:rsidR="00E756D7">
        <w:rPr>
          <w:sz w:val="24"/>
          <w:szCs w:val="24"/>
        </w:rPr>
        <w:t xml:space="preserve"> </w:t>
      </w:r>
      <w:r w:rsidR="00EC4F54">
        <w:rPr>
          <w:sz w:val="24"/>
          <w:szCs w:val="24"/>
        </w:rPr>
        <w:t>utilise</w:t>
      </w:r>
      <w:r w:rsidR="00E756D7">
        <w:rPr>
          <w:sz w:val="24"/>
          <w:szCs w:val="24"/>
        </w:rPr>
        <w:t xml:space="preserve"> my combination of Lendon</w:t>
      </w:r>
      <w:r w:rsidR="001D4539">
        <w:rPr>
          <w:sz w:val="24"/>
          <w:szCs w:val="24"/>
        </w:rPr>
        <w:t>’s</w:t>
      </w:r>
      <w:r w:rsidR="00E756D7">
        <w:rPr>
          <w:sz w:val="24"/>
          <w:szCs w:val="24"/>
        </w:rPr>
        <w:t xml:space="preserve"> and Ando’s methodological approaches to Roman government and administration in greater detail. In their interactions with the government, people behaved in a certain fashion which also governed their social </w:t>
      </w:r>
      <w:r w:rsidR="00E756D7">
        <w:rPr>
          <w:sz w:val="24"/>
          <w:szCs w:val="24"/>
        </w:rPr>
        <w:lastRenderedPageBreak/>
        <w:t xml:space="preserve">interaction with each other to a certain degree. This paradigm of behaviour was prompted and reinforced by exposure to administrative documents like the </w:t>
      </w:r>
      <w:r w:rsidR="00E756D7">
        <w:rPr>
          <w:i/>
          <w:sz w:val="24"/>
          <w:szCs w:val="24"/>
        </w:rPr>
        <w:t>Regionary Catalogues</w:t>
      </w:r>
      <w:r w:rsidR="00E756D7">
        <w:rPr>
          <w:sz w:val="24"/>
          <w:szCs w:val="24"/>
        </w:rPr>
        <w:t xml:space="preserve">. </w:t>
      </w:r>
    </w:p>
    <w:p w:rsidR="00573A6D" w:rsidRDefault="00E756D7" w:rsidP="00722391">
      <w:pPr>
        <w:spacing w:line="480" w:lineRule="auto"/>
        <w:ind w:firstLine="720"/>
        <w:jc w:val="both"/>
        <w:rPr>
          <w:sz w:val="24"/>
          <w:szCs w:val="24"/>
        </w:rPr>
      </w:pPr>
      <w:r>
        <w:rPr>
          <w:sz w:val="24"/>
          <w:szCs w:val="24"/>
        </w:rPr>
        <w:t>In order to explore this</w:t>
      </w:r>
      <w:r w:rsidR="00EC4F54">
        <w:rPr>
          <w:sz w:val="24"/>
          <w:szCs w:val="24"/>
        </w:rPr>
        <w:t xml:space="preserve"> new methodology</w:t>
      </w:r>
      <w:r w:rsidR="00342E82">
        <w:rPr>
          <w:sz w:val="24"/>
          <w:szCs w:val="24"/>
        </w:rPr>
        <w:t xml:space="preserve"> for analysing the </w:t>
      </w:r>
      <w:r w:rsidR="00342E82">
        <w:rPr>
          <w:i/>
          <w:sz w:val="24"/>
          <w:szCs w:val="24"/>
        </w:rPr>
        <w:t>Regionaries</w:t>
      </w:r>
      <w:r>
        <w:rPr>
          <w:sz w:val="24"/>
          <w:szCs w:val="24"/>
        </w:rPr>
        <w:t xml:space="preserve"> we need to see how the administration </w:t>
      </w:r>
      <w:r w:rsidR="00EC4F54">
        <w:rPr>
          <w:sz w:val="24"/>
          <w:szCs w:val="24"/>
        </w:rPr>
        <w:t>is depicted</w:t>
      </w:r>
      <w:r>
        <w:rPr>
          <w:sz w:val="24"/>
          <w:szCs w:val="24"/>
        </w:rPr>
        <w:t xml:space="preserve"> in other administrative documents.</w:t>
      </w:r>
      <w:r w:rsidR="0060674D" w:rsidRPr="0060674D">
        <w:rPr>
          <w:sz w:val="24"/>
          <w:szCs w:val="24"/>
        </w:rPr>
        <w:t xml:space="preserve"> </w:t>
      </w:r>
      <w:r w:rsidR="0060674D">
        <w:rPr>
          <w:sz w:val="24"/>
          <w:szCs w:val="24"/>
        </w:rPr>
        <w:t>When examining these documents it will be important to consider the audience of these documents, as this will have significant influence on the purpose</w:t>
      </w:r>
      <w:r w:rsidR="006F0FD6">
        <w:rPr>
          <w:sz w:val="24"/>
          <w:szCs w:val="24"/>
        </w:rPr>
        <w:t>s</w:t>
      </w:r>
      <w:r w:rsidR="0060674D">
        <w:rPr>
          <w:sz w:val="24"/>
          <w:szCs w:val="24"/>
        </w:rPr>
        <w:t xml:space="preserve"> of the document.</w:t>
      </w:r>
      <w:r>
        <w:rPr>
          <w:sz w:val="24"/>
          <w:szCs w:val="24"/>
        </w:rPr>
        <w:t xml:space="preserve"> For this it will be particularly useful to look at the </w:t>
      </w:r>
      <w:r>
        <w:rPr>
          <w:i/>
          <w:sz w:val="24"/>
          <w:szCs w:val="24"/>
        </w:rPr>
        <w:t>Notitia Dignitatum</w:t>
      </w:r>
      <w:r>
        <w:rPr>
          <w:sz w:val="24"/>
          <w:szCs w:val="24"/>
        </w:rPr>
        <w:t>, as the main</w:t>
      </w:r>
      <w:r w:rsidR="00F630A0">
        <w:rPr>
          <w:sz w:val="24"/>
          <w:szCs w:val="24"/>
        </w:rPr>
        <w:t xml:space="preserve"> (textual and pictor</w:t>
      </w:r>
      <w:r w:rsidR="001D4539">
        <w:rPr>
          <w:sz w:val="24"/>
          <w:szCs w:val="24"/>
        </w:rPr>
        <w:t>i</w:t>
      </w:r>
      <w:r w:rsidR="00F630A0">
        <w:rPr>
          <w:sz w:val="24"/>
          <w:szCs w:val="24"/>
        </w:rPr>
        <w:t>al)</w:t>
      </w:r>
      <w:r>
        <w:rPr>
          <w:sz w:val="24"/>
          <w:szCs w:val="24"/>
        </w:rPr>
        <w:t xml:space="preserve"> register of offices the </w:t>
      </w:r>
      <w:r>
        <w:rPr>
          <w:i/>
          <w:sz w:val="24"/>
          <w:szCs w:val="24"/>
        </w:rPr>
        <w:t xml:space="preserve">Laterculus Veronensis </w:t>
      </w:r>
      <w:r>
        <w:rPr>
          <w:sz w:val="24"/>
          <w:szCs w:val="24"/>
        </w:rPr>
        <w:t>for another textual depiction of the Empire.</w:t>
      </w:r>
      <w:r w:rsidR="003F65A8">
        <w:rPr>
          <w:sz w:val="24"/>
          <w:szCs w:val="24"/>
        </w:rPr>
        <w:t xml:space="preserve"> I will be using my synthesis of Ando and Lendon in order to explore the </w:t>
      </w:r>
      <w:r w:rsidR="003F65A8">
        <w:rPr>
          <w:i/>
          <w:sz w:val="24"/>
          <w:szCs w:val="24"/>
        </w:rPr>
        <w:t>Notitia Dignitatum</w:t>
      </w:r>
      <w:r w:rsidR="003F65A8">
        <w:rPr>
          <w:sz w:val="24"/>
          <w:szCs w:val="24"/>
        </w:rPr>
        <w:t xml:space="preserve"> and the </w:t>
      </w:r>
      <w:r w:rsidR="00342E82">
        <w:rPr>
          <w:i/>
          <w:sz w:val="24"/>
          <w:szCs w:val="24"/>
        </w:rPr>
        <w:t>Laterculus Veronensis’</w:t>
      </w:r>
      <w:r w:rsidR="003F65A8">
        <w:rPr>
          <w:i/>
          <w:sz w:val="24"/>
          <w:szCs w:val="24"/>
        </w:rPr>
        <w:t xml:space="preserve"> </w:t>
      </w:r>
      <w:r w:rsidR="003F65A8">
        <w:rPr>
          <w:sz w:val="24"/>
          <w:szCs w:val="24"/>
        </w:rPr>
        <w:t>depictions of the administration</w:t>
      </w:r>
      <w:r w:rsidR="00573A6D">
        <w:rPr>
          <w:sz w:val="24"/>
          <w:szCs w:val="24"/>
        </w:rPr>
        <w:t xml:space="preserve">. Administrative documents such as the </w:t>
      </w:r>
      <w:r w:rsidR="00573A6D">
        <w:rPr>
          <w:i/>
          <w:sz w:val="24"/>
          <w:szCs w:val="24"/>
        </w:rPr>
        <w:t>Laterculus Veronensis</w:t>
      </w:r>
      <w:r w:rsidR="001D4539">
        <w:rPr>
          <w:i/>
          <w:sz w:val="24"/>
          <w:szCs w:val="24"/>
        </w:rPr>
        <w:t>’</w:t>
      </w:r>
      <w:r w:rsidR="00342E82">
        <w:rPr>
          <w:sz w:val="24"/>
          <w:szCs w:val="24"/>
        </w:rPr>
        <w:t xml:space="preserve"> depiction of the e</w:t>
      </w:r>
      <w:r w:rsidR="00573A6D">
        <w:rPr>
          <w:sz w:val="24"/>
          <w:szCs w:val="24"/>
        </w:rPr>
        <w:t xml:space="preserve">mpire’s provinces, the </w:t>
      </w:r>
      <w:r w:rsidR="00573A6D">
        <w:rPr>
          <w:i/>
          <w:sz w:val="24"/>
          <w:szCs w:val="24"/>
        </w:rPr>
        <w:t>Regionaries</w:t>
      </w:r>
      <w:r w:rsidR="001D4539">
        <w:rPr>
          <w:i/>
          <w:sz w:val="24"/>
          <w:szCs w:val="24"/>
        </w:rPr>
        <w:t>’</w:t>
      </w:r>
      <w:r w:rsidR="00573A6D">
        <w:rPr>
          <w:i/>
          <w:sz w:val="24"/>
          <w:szCs w:val="24"/>
        </w:rPr>
        <w:t xml:space="preserve"> </w:t>
      </w:r>
      <w:r w:rsidR="00573A6D">
        <w:rPr>
          <w:sz w:val="24"/>
          <w:szCs w:val="24"/>
        </w:rPr>
        <w:t xml:space="preserve">depiction of Rome and the registry of offices in the </w:t>
      </w:r>
      <w:r w:rsidR="00573A6D">
        <w:rPr>
          <w:i/>
          <w:sz w:val="24"/>
          <w:szCs w:val="24"/>
        </w:rPr>
        <w:t>Notitia Dignitatum</w:t>
      </w:r>
      <w:r w:rsidR="00573A6D">
        <w:rPr>
          <w:sz w:val="24"/>
          <w:szCs w:val="24"/>
        </w:rPr>
        <w:t xml:space="preserve"> provided information that could be both used by the administration and depict the reach and strength of the administration to the public. They demonstrate the combination of charismatic, legal and traditional power that Roman rulers used to transform victory into lasting power. These documents demonstrated the interlocking issues of hierarchies, authority and precedence relate</w:t>
      </w:r>
      <w:r w:rsidR="001D4539">
        <w:rPr>
          <w:sz w:val="24"/>
          <w:szCs w:val="24"/>
        </w:rPr>
        <w:t>d</w:t>
      </w:r>
      <w:r w:rsidR="00573A6D">
        <w:rPr>
          <w:sz w:val="24"/>
          <w:szCs w:val="24"/>
        </w:rPr>
        <w:t xml:space="preserve"> to the need of the government to enforce some form of order of importance. This </w:t>
      </w:r>
      <w:r w:rsidR="00573A6D">
        <w:rPr>
          <w:rFonts w:eastAsia="TimesNewRomanPSMT" w:cs="TimesNewRomanPSMT"/>
          <w:sz w:val="24"/>
          <w:szCs w:val="24"/>
        </w:rPr>
        <w:t>ideology which underpins the Ro</w:t>
      </w:r>
      <w:r w:rsidR="001D4539">
        <w:rPr>
          <w:rFonts w:eastAsia="TimesNewRomanPSMT" w:cs="TimesNewRomanPSMT"/>
          <w:sz w:val="24"/>
          <w:szCs w:val="24"/>
        </w:rPr>
        <w:t>man administration is materialis</w:t>
      </w:r>
      <w:r w:rsidR="00573A6D">
        <w:rPr>
          <w:rFonts w:eastAsia="TimesNewRomanPSMT" w:cs="TimesNewRomanPSMT"/>
          <w:sz w:val="24"/>
          <w:szCs w:val="24"/>
        </w:rPr>
        <w:t xml:space="preserve">ed through the construction of those monuments and documents, which then become symbolic of the shared cultural beliefs and political values of the government and its people, </w:t>
      </w:r>
      <w:r w:rsidR="00573A6D">
        <w:rPr>
          <w:sz w:val="24"/>
          <w:szCs w:val="24"/>
        </w:rPr>
        <w:t>whilst simultaneously warning the public of the reach and extent of its power.</w:t>
      </w:r>
      <w:r w:rsidR="00573A6D">
        <w:rPr>
          <w:rStyle w:val="FootnoteReference"/>
          <w:sz w:val="24"/>
          <w:szCs w:val="24"/>
        </w:rPr>
        <w:footnoteReference w:id="331"/>
      </w:r>
    </w:p>
    <w:p w:rsidR="00E756D7" w:rsidRPr="0060674D" w:rsidRDefault="006C62EE" w:rsidP="00722391">
      <w:pPr>
        <w:spacing w:line="480" w:lineRule="auto"/>
        <w:ind w:firstLine="720"/>
        <w:jc w:val="both"/>
        <w:rPr>
          <w:sz w:val="24"/>
          <w:szCs w:val="24"/>
        </w:rPr>
      </w:pPr>
      <w:r>
        <w:rPr>
          <w:sz w:val="24"/>
          <w:szCs w:val="24"/>
        </w:rPr>
        <w:lastRenderedPageBreak/>
        <w:t xml:space="preserve">From this I will attempt to see if we can apply the conclusions learned from these documents to the </w:t>
      </w:r>
      <w:r>
        <w:rPr>
          <w:i/>
          <w:sz w:val="24"/>
          <w:szCs w:val="24"/>
        </w:rPr>
        <w:t>Regionary Catalogues</w:t>
      </w:r>
      <w:r>
        <w:rPr>
          <w:sz w:val="24"/>
          <w:szCs w:val="24"/>
        </w:rPr>
        <w:t xml:space="preserve">. </w:t>
      </w:r>
      <w:r w:rsidR="00E756D7">
        <w:rPr>
          <w:sz w:val="24"/>
          <w:szCs w:val="24"/>
        </w:rPr>
        <w:t xml:space="preserve">Building upon this I shall address how administrative buildings are rarely described as such and more often placed in cultural/monumentally significant buildings. </w:t>
      </w:r>
      <w:r w:rsidR="001D4539">
        <w:rPr>
          <w:sz w:val="24"/>
          <w:szCs w:val="24"/>
        </w:rPr>
        <w:t>Examining which</w:t>
      </w:r>
      <w:r>
        <w:rPr>
          <w:sz w:val="24"/>
          <w:szCs w:val="24"/>
        </w:rPr>
        <w:t xml:space="preserve"> buildings possess an administrative use and their cultural implications should show us the differing values of what is administratively useful and its relations to the boundaries of power and authority, the public and private, and divine and political support. </w:t>
      </w:r>
    </w:p>
    <w:p w:rsidR="00DB632E" w:rsidRDefault="00DB632E" w:rsidP="00DB632E">
      <w:pPr>
        <w:spacing w:line="480" w:lineRule="auto"/>
        <w:jc w:val="center"/>
        <w:rPr>
          <w:sz w:val="24"/>
          <w:szCs w:val="24"/>
        </w:rPr>
      </w:pPr>
    </w:p>
    <w:p w:rsidR="00E756D7" w:rsidRDefault="00036C93" w:rsidP="00722391">
      <w:pPr>
        <w:spacing w:line="480" w:lineRule="auto"/>
        <w:jc w:val="both"/>
        <w:rPr>
          <w:sz w:val="24"/>
          <w:szCs w:val="24"/>
          <w:u w:val="single"/>
        </w:rPr>
      </w:pPr>
      <w:r>
        <w:rPr>
          <w:sz w:val="24"/>
          <w:szCs w:val="24"/>
          <w:u w:val="single"/>
        </w:rPr>
        <w:t>“A History without distinctions” Ando, Lendon and the Theory of Late Antique Roman Government</w:t>
      </w:r>
      <w:r w:rsidR="00E756D7">
        <w:rPr>
          <w:sz w:val="24"/>
          <w:szCs w:val="24"/>
          <w:u w:val="single"/>
        </w:rPr>
        <w:t>:</w:t>
      </w:r>
    </w:p>
    <w:p w:rsidR="00EF3BBB" w:rsidRDefault="00EF3BBB" w:rsidP="00EF3BBB">
      <w:pPr>
        <w:spacing w:line="480" w:lineRule="auto"/>
        <w:jc w:val="center"/>
        <w:rPr>
          <w:sz w:val="24"/>
          <w:szCs w:val="24"/>
          <w:u w:val="single"/>
        </w:rPr>
      </w:pPr>
    </w:p>
    <w:p w:rsidR="003B5AE4" w:rsidRDefault="003B5AE4" w:rsidP="00A46203">
      <w:pPr>
        <w:spacing w:line="480" w:lineRule="auto"/>
        <w:jc w:val="both"/>
        <w:rPr>
          <w:rFonts w:cs="Times New Roman"/>
          <w:sz w:val="24"/>
          <w:szCs w:val="24"/>
        </w:rPr>
      </w:pPr>
      <w:r>
        <w:rPr>
          <w:sz w:val="24"/>
          <w:szCs w:val="24"/>
        </w:rPr>
        <w:t xml:space="preserve">An example of the potential applications of this new cultural approach to the Roman administration can be seen in the study of another popular Roman administrative text, </w:t>
      </w:r>
      <w:r>
        <w:rPr>
          <w:rFonts w:cs="Times New Roman"/>
          <w:sz w:val="24"/>
          <w:szCs w:val="24"/>
        </w:rPr>
        <w:t xml:space="preserve">Sextus Frontinus’ </w:t>
      </w:r>
      <w:r>
        <w:rPr>
          <w:rFonts w:cs="Times New Roman"/>
          <w:i/>
          <w:sz w:val="24"/>
          <w:szCs w:val="24"/>
        </w:rPr>
        <w:t>On Aqueducts</w:t>
      </w:r>
      <w:r>
        <w:rPr>
          <w:rFonts w:cs="Times New Roman"/>
          <w:sz w:val="24"/>
          <w:szCs w:val="24"/>
        </w:rPr>
        <w:t>.</w:t>
      </w:r>
      <w:r>
        <w:rPr>
          <w:rStyle w:val="FootnoteReference"/>
          <w:rFonts w:cs="Times New Roman"/>
          <w:sz w:val="24"/>
          <w:szCs w:val="24"/>
        </w:rPr>
        <w:footnoteReference w:id="332"/>
      </w:r>
      <w:r>
        <w:rPr>
          <w:rFonts w:cs="Times New Roman"/>
          <w:sz w:val="24"/>
          <w:szCs w:val="24"/>
        </w:rPr>
        <w:t xml:space="preserve"> </w:t>
      </w:r>
    </w:p>
    <w:p w:rsidR="003B5AE4" w:rsidRDefault="0087599E" w:rsidP="003B5AE4">
      <w:pPr>
        <w:spacing w:line="480" w:lineRule="auto"/>
        <w:ind w:firstLine="720"/>
        <w:jc w:val="both"/>
        <w:rPr>
          <w:sz w:val="24"/>
          <w:szCs w:val="24"/>
        </w:rPr>
      </w:pPr>
      <w:r>
        <w:rPr>
          <w:rFonts w:cs="Times New Roman"/>
          <w:sz w:val="24"/>
          <w:szCs w:val="24"/>
        </w:rPr>
        <w:t>Frontinus, a s</w:t>
      </w:r>
      <w:r w:rsidR="003B5AE4">
        <w:rPr>
          <w:rFonts w:cs="Times New Roman"/>
          <w:sz w:val="24"/>
          <w:szCs w:val="24"/>
        </w:rPr>
        <w:t>enator of the 1</w:t>
      </w:r>
      <w:r w:rsidR="003B5AE4">
        <w:rPr>
          <w:rFonts w:cs="Times New Roman"/>
          <w:sz w:val="24"/>
          <w:szCs w:val="24"/>
          <w:vertAlign w:val="superscript"/>
        </w:rPr>
        <w:t>st</w:t>
      </w:r>
      <w:r w:rsidR="003B5AE4">
        <w:rPr>
          <w:rFonts w:cs="Times New Roman"/>
          <w:sz w:val="24"/>
          <w:szCs w:val="24"/>
        </w:rPr>
        <w:t xml:space="preserve"> century AD who served a number of </w:t>
      </w:r>
      <w:r>
        <w:rPr>
          <w:rFonts w:cs="Times New Roman"/>
          <w:sz w:val="24"/>
          <w:szCs w:val="24"/>
        </w:rPr>
        <w:t>emperors</w:t>
      </w:r>
      <w:r w:rsidR="003B5AE4">
        <w:rPr>
          <w:rFonts w:cs="Times New Roman"/>
          <w:sz w:val="24"/>
          <w:szCs w:val="24"/>
        </w:rPr>
        <w:t>, wrote a number of books that are held as the standard for Roman technical man</w:t>
      </w:r>
      <w:r w:rsidR="001D4539">
        <w:rPr>
          <w:rFonts w:cs="Times New Roman"/>
          <w:sz w:val="24"/>
          <w:szCs w:val="24"/>
        </w:rPr>
        <w:t>uals. Hermansen has even argued</w:t>
      </w:r>
      <w:r w:rsidR="003B5AE4">
        <w:rPr>
          <w:rFonts w:cs="Times New Roman"/>
          <w:sz w:val="24"/>
          <w:szCs w:val="24"/>
        </w:rPr>
        <w:t xml:space="preserve"> that whilst the sparse information of the </w:t>
      </w:r>
      <w:r w:rsidR="003B5AE4">
        <w:rPr>
          <w:rFonts w:cs="Times New Roman"/>
          <w:i/>
          <w:sz w:val="24"/>
          <w:szCs w:val="24"/>
        </w:rPr>
        <w:t>Regionaries</w:t>
      </w:r>
      <w:r w:rsidR="003B5AE4">
        <w:rPr>
          <w:rFonts w:cs="Times New Roman"/>
          <w:sz w:val="24"/>
          <w:szCs w:val="24"/>
        </w:rPr>
        <w:t xml:space="preserve"> is not much use, F</w:t>
      </w:r>
      <w:r w:rsidR="001D4539">
        <w:rPr>
          <w:rFonts w:cs="Times New Roman"/>
          <w:sz w:val="24"/>
          <w:szCs w:val="24"/>
        </w:rPr>
        <w:t xml:space="preserve">rontinus’ handbooks contain </w:t>
      </w:r>
      <w:r w:rsidR="003B5AE4">
        <w:rPr>
          <w:rFonts w:cs="Times New Roman"/>
          <w:sz w:val="24"/>
          <w:szCs w:val="24"/>
        </w:rPr>
        <w:t>sufficient detail to be useful to an administrator of Rome.</w:t>
      </w:r>
      <w:r w:rsidR="003B5AE4">
        <w:rPr>
          <w:rStyle w:val="FootnoteReference"/>
          <w:rFonts w:cs="Times New Roman"/>
          <w:sz w:val="24"/>
          <w:szCs w:val="24"/>
        </w:rPr>
        <w:footnoteReference w:id="333"/>
      </w:r>
      <w:r w:rsidR="003B5AE4">
        <w:rPr>
          <w:rFonts w:cs="Times New Roman"/>
          <w:sz w:val="24"/>
          <w:szCs w:val="24"/>
        </w:rPr>
        <w:t xml:space="preserve">  Yet, two of his works directly concerned with administrative matters, </w:t>
      </w:r>
      <w:r w:rsidR="003B5AE4">
        <w:rPr>
          <w:rFonts w:cs="Times New Roman"/>
          <w:i/>
          <w:iCs/>
          <w:sz w:val="24"/>
          <w:szCs w:val="24"/>
        </w:rPr>
        <w:t>On</w:t>
      </w:r>
      <w:r w:rsidR="003B5AE4">
        <w:rPr>
          <w:rFonts w:cs="Times New Roman"/>
          <w:i/>
          <w:sz w:val="24"/>
          <w:szCs w:val="24"/>
        </w:rPr>
        <w:t xml:space="preserve"> Aqueducts</w:t>
      </w:r>
      <w:r w:rsidR="003B5AE4">
        <w:rPr>
          <w:rFonts w:cs="Times New Roman"/>
          <w:sz w:val="24"/>
          <w:szCs w:val="24"/>
        </w:rPr>
        <w:t xml:space="preserve"> and </w:t>
      </w:r>
      <w:r w:rsidR="003B5AE4">
        <w:rPr>
          <w:rFonts w:cs="Times New Roman"/>
          <w:i/>
          <w:sz w:val="24"/>
          <w:szCs w:val="24"/>
        </w:rPr>
        <w:t>The Art of Measuring</w:t>
      </w:r>
      <w:r w:rsidR="003B5AE4">
        <w:rPr>
          <w:rFonts w:cs="Times New Roman"/>
          <w:sz w:val="24"/>
          <w:szCs w:val="24"/>
        </w:rPr>
        <w:t xml:space="preserve"> serve little better than the </w:t>
      </w:r>
      <w:r w:rsidR="003B5AE4">
        <w:rPr>
          <w:rFonts w:cs="Times New Roman"/>
          <w:i/>
          <w:iCs/>
          <w:sz w:val="24"/>
          <w:szCs w:val="24"/>
        </w:rPr>
        <w:t>Regionaries</w:t>
      </w:r>
      <w:r w:rsidR="003B5AE4">
        <w:rPr>
          <w:rFonts w:cs="Times New Roman"/>
          <w:sz w:val="24"/>
          <w:szCs w:val="24"/>
        </w:rPr>
        <w:t xml:space="preserve"> as administrative documents, even </w:t>
      </w:r>
      <w:r w:rsidR="009C7AF1">
        <w:rPr>
          <w:rFonts w:cs="Times New Roman"/>
          <w:sz w:val="24"/>
          <w:szCs w:val="24"/>
        </w:rPr>
        <w:t>accounting</w:t>
      </w:r>
      <w:r w:rsidR="001D4539">
        <w:rPr>
          <w:rFonts w:cs="Times New Roman"/>
          <w:sz w:val="24"/>
          <w:szCs w:val="24"/>
        </w:rPr>
        <w:t xml:space="preserve"> for</w:t>
      </w:r>
      <w:r w:rsidR="00342E82">
        <w:rPr>
          <w:rFonts w:cs="Times New Roman"/>
          <w:sz w:val="24"/>
          <w:szCs w:val="24"/>
        </w:rPr>
        <w:t xml:space="preserve"> their</w:t>
      </w:r>
      <w:r w:rsidR="001D4539">
        <w:rPr>
          <w:rFonts w:cs="Times New Roman"/>
          <w:sz w:val="24"/>
          <w:szCs w:val="24"/>
        </w:rPr>
        <w:t xml:space="preserve"> author’s own rhetorical admission of modesty</w:t>
      </w:r>
      <w:r w:rsidR="003B5AE4">
        <w:rPr>
          <w:rFonts w:cs="Times New Roman"/>
          <w:sz w:val="24"/>
          <w:szCs w:val="24"/>
        </w:rPr>
        <w:t xml:space="preserve">, ‘Observing, therefore, </w:t>
      </w:r>
      <w:r w:rsidR="003B5AE4">
        <w:rPr>
          <w:rFonts w:cs="Times New Roman"/>
          <w:sz w:val="24"/>
          <w:szCs w:val="24"/>
        </w:rPr>
        <w:lastRenderedPageBreak/>
        <w:t>the practice which I have followed in many offices, I have gathered in this sketch… such facts, hitherto scattered, as I have been able to get together.’</w:t>
      </w:r>
      <w:r w:rsidR="003B5AE4">
        <w:rPr>
          <w:rStyle w:val="FootnoteReference"/>
          <w:rFonts w:cs="Times New Roman"/>
          <w:sz w:val="24"/>
          <w:szCs w:val="24"/>
        </w:rPr>
        <w:footnoteReference w:id="334"/>
      </w:r>
      <w:r w:rsidR="003B5AE4">
        <w:rPr>
          <w:rFonts w:cs="Times New Roman"/>
          <w:sz w:val="24"/>
          <w:szCs w:val="24"/>
        </w:rPr>
        <w:t xml:space="preserve"> Frontinus is neither an expert in land-surveyance or water-management, but he does recognise that</w:t>
      </w:r>
      <w:r w:rsidR="001D4539">
        <w:rPr>
          <w:rFonts w:cs="Times New Roman"/>
          <w:sz w:val="24"/>
          <w:szCs w:val="24"/>
        </w:rPr>
        <w:t xml:space="preserve"> knowledge</w:t>
      </w:r>
      <w:r w:rsidR="003B5AE4">
        <w:rPr>
          <w:rFonts w:cs="Times New Roman"/>
          <w:sz w:val="24"/>
          <w:szCs w:val="24"/>
        </w:rPr>
        <w:t xml:space="preserve"> inherently contributes to one’s power and prestige. This becomes obvious when Frontinus describes his role as </w:t>
      </w:r>
      <w:r w:rsidR="003B5AE4">
        <w:rPr>
          <w:rFonts w:cs="Times New Roman"/>
          <w:i/>
          <w:sz w:val="24"/>
          <w:szCs w:val="24"/>
        </w:rPr>
        <w:t>Curator Aquarum</w:t>
      </w:r>
      <w:r w:rsidR="003B5AE4">
        <w:rPr>
          <w:rFonts w:cs="Times New Roman"/>
          <w:sz w:val="24"/>
          <w:szCs w:val="24"/>
        </w:rPr>
        <w:t xml:space="preserve"> (Curator of the Water Supply):</w:t>
      </w:r>
    </w:p>
    <w:p w:rsidR="003B5AE4" w:rsidRDefault="003B5AE4" w:rsidP="003B5AE4">
      <w:pPr>
        <w:spacing w:line="480" w:lineRule="auto"/>
        <w:ind w:left="1440"/>
        <w:jc w:val="both"/>
        <w:rPr>
          <w:sz w:val="24"/>
          <w:szCs w:val="24"/>
        </w:rPr>
      </w:pPr>
      <w:r>
        <w:rPr>
          <w:sz w:val="24"/>
          <w:szCs w:val="24"/>
        </w:rPr>
        <w:t>For I believe that there is no surer foundation for any business than this, and that it would be otherwise impossible to determine what ought to be done, what ought to be avoided; likewise that there is nothing so disgraceful for a decent man as to conduct an office delegated to him, according to the instructions of assistants. Yet precisely this is inevitable whenever a person inexperienced in the matter in hand has to have recourse to the practical knowledge of subordinates. For though the latter play a necessary role in the way of rendering assistance, yet they are, as it were, but the hands and tools of the directing head.</w:t>
      </w:r>
      <w:r>
        <w:rPr>
          <w:rStyle w:val="FootnoteReference"/>
          <w:rFonts w:eastAsia="Arial Unicode MS" w:cs="Arial Unicode MS"/>
          <w:sz w:val="24"/>
          <w:szCs w:val="24"/>
          <w:shd w:val="clear" w:color="auto" w:fill="FFFFFF"/>
        </w:rPr>
        <w:footnoteReference w:id="335"/>
      </w:r>
    </w:p>
    <w:p w:rsidR="003B5AE4" w:rsidRDefault="003B5AE4" w:rsidP="003B5AE4">
      <w:pPr>
        <w:spacing w:line="480" w:lineRule="auto"/>
        <w:jc w:val="both"/>
        <w:rPr>
          <w:sz w:val="24"/>
          <w:szCs w:val="24"/>
        </w:rPr>
      </w:pPr>
      <w:r>
        <w:rPr>
          <w:sz w:val="24"/>
          <w:szCs w:val="24"/>
        </w:rPr>
        <w:t xml:space="preserve">Such a passage illuminates succinctly the Roman attitude towards professionalism in the administration. </w:t>
      </w:r>
      <w:r w:rsidR="00342E82">
        <w:rPr>
          <w:sz w:val="24"/>
          <w:szCs w:val="24"/>
        </w:rPr>
        <w:t>It</w:t>
      </w:r>
      <w:r>
        <w:rPr>
          <w:sz w:val="24"/>
          <w:szCs w:val="24"/>
        </w:rPr>
        <w:t xml:space="preserve"> was “disgraceful”</w:t>
      </w:r>
      <w:r w:rsidR="00342E82">
        <w:rPr>
          <w:sz w:val="24"/>
          <w:szCs w:val="24"/>
        </w:rPr>
        <w:t xml:space="preserve"> for an aristocrat to proceed in his duties according to the instructions of experts. What was acceptable was to utilise the advice of assistants</w:t>
      </w:r>
      <w:r>
        <w:rPr>
          <w:sz w:val="24"/>
          <w:szCs w:val="24"/>
        </w:rPr>
        <w:t xml:space="preserve">. Leadership should not be </w:t>
      </w:r>
      <w:r w:rsidR="00F630A0">
        <w:rPr>
          <w:sz w:val="24"/>
          <w:szCs w:val="24"/>
        </w:rPr>
        <w:t>entrusted to “mere” experts</w:t>
      </w:r>
      <w:r>
        <w:rPr>
          <w:sz w:val="24"/>
          <w:szCs w:val="24"/>
        </w:rPr>
        <w:t xml:space="preserve">, but to those who have been inculcated with the moral, ethical and intellectual values that would allow the “head” to direct the “hands” most effectively. </w:t>
      </w:r>
    </w:p>
    <w:p w:rsidR="003B5AE4" w:rsidRDefault="003B5AE4" w:rsidP="003B5AE4">
      <w:pPr>
        <w:spacing w:line="480" w:lineRule="auto"/>
        <w:ind w:firstLine="720"/>
        <w:jc w:val="both"/>
        <w:rPr>
          <w:sz w:val="24"/>
          <w:szCs w:val="24"/>
        </w:rPr>
      </w:pPr>
      <w:r>
        <w:rPr>
          <w:sz w:val="24"/>
          <w:szCs w:val="24"/>
        </w:rPr>
        <w:t>In contrast to the perceived wisdom</w:t>
      </w:r>
      <w:r w:rsidR="001D4539">
        <w:rPr>
          <w:sz w:val="24"/>
          <w:szCs w:val="24"/>
        </w:rPr>
        <w:t>, that the Roman Empire became</w:t>
      </w:r>
      <w:r>
        <w:rPr>
          <w:sz w:val="24"/>
          <w:szCs w:val="24"/>
        </w:rPr>
        <w:t xml:space="preserve"> increasingly bureaucratic and generat</w:t>
      </w:r>
      <w:r w:rsidR="001D4539">
        <w:rPr>
          <w:sz w:val="24"/>
          <w:szCs w:val="24"/>
        </w:rPr>
        <w:t>ed</w:t>
      </w:r>
      <w:r>
        <w:rPr>
          <w:sz w:val="24"/>
          <w:szCs w:val="24"/>
        </w:rPr>
        <w:t xml:space="preserve"> evermore paperwork, we have very poor rates of survival for </w:t>
      </w:r>
      <w:r>
        <w:rPr>
          <w:sz w:val="24"/>
          <w:szCs w:val="24"/>
        </w:rPr>
        <w:lastRenderedPageBreak/>
        <w:t xml:space="preserve">administrative acts. We know almost nothing about </w:t>
      </w:r>
      <w:r w:rsidR="008B44B0">
        <w:rPr>
          <w:sz w:val="24"/>
          <w:szCs w:val="24"/>
        </w:rPr>
        <w:t>imperial</w:t>
      </w:r>
      <w:r>
        <w:rPr>
          <w:sz w:val="24"/>
          <w:szCs w:val="24"/>
        </w:rPr>
        <w:t xml:space="preserve"> record-keeping and administrative best-practice. Limited evidence from Egyptian papyri and the Vindolanda tablets give us a small glimpse of some of this, but what ‘administrative’ documents we do </w:t>
      </w:r>
      <w:r w:rsidR="001D4539">
        <w:rPr>
          <w:sz w:val="24"/>
          <w:szCs w:val="24"/>
        </w:rPr>
        <w:t>have clearly</w:t>
      </w:r>
      <w:r>
        <w:rPr>
          <w:sz w:val="24"/>
          <w:szCs w:val="24"/>
        </w:rPr>
        <w:t xml:space="preserve"> been updated infrequently and often carelessly.</w:t>
      </w:r>
      <w:r>
        <w:rPr>
          <w:rStyle w:val="FootnoteReference"/>
          <w:sz w:val="24"/>
          <w:szCs w:val="24"/>
        </w:rPr>
        <w:footnoteReference w:id="336"/>
      </w:r>
      <w:r>
        <w:rPr>
          <w:sz w:val="24"/>
          <w:szCs w:val="24"/>
        </w:rPr>
        <w:t xml:space="preserve"> This has often led to the charge that these documents could never have </w:t>
      </w:r>
      <w:r w:rsidR="001D4539">
        <w:rPr>
          <w:sz w:val="24"/>
          <w:szCs w:val="24"/>
        </w:rPr>
        <w:t xml:space="preserve">possessed an administrative use, since </w:t>
      </w:r>
      <w:r>
        <w:rPr>
          <w:sz w:val="24"/>
          <w:szCs w:val="24"/>
        </w:rPr>
        <w:t xml:space="preserve">if they were useful then surely they would have been updated more carefully. This has been a particular accusation against the </w:t>
      </w:r>
      <w:r>
        <w:rPr>
          <w:i/>
          <w:sz w:val="24"/>
          <w:szCs w:val="24"/>
        </w:rPr>
        <w:t xml:space="preserve">Notitia Dignitatum </w:t>
      </w:r>
      <w:r>
        <w:rPr>
          <w:sz w:val="24"/>
          <w:szCs w:val="24"/>
        </w:rPr>
        <w:t xml:space="preserve">and the </w:t>
      </w:r>
      <w:r>
        <w:rPr>
          <w:i/>
          <w:sz w:val="24"/>
          <w:szCs w:val="24"/>
        </w:rPr>
        <w:t>Regionary Catalogues</w:t>
      </w:r>
      <w:r w:rsidR="001D4539">
        <w:rPr>
          <w:i/>
          <w:sz w:val="24"/>
          <w:szCs w:val="24"/>
        </w:rPr>
        <w:t>,</w:t>
      </w:r>
      <w:r>
        <w:rPr>
          <w:sz w:val="24"/>
          <w:szCs w:val="24"/>
        </w:rPr>
        <w:t xml:space="preserve"> that neither can be representative of the administration or else they would</w:t>
      </w:r>
      <w:r w:rsidR="00F630A0">
        <w:rPr>
          <w:sz w:val="24"/>
          <w:szCs w:val="24"/>
        </w:rPr>
        <w:t xml:space="preserve"> have</w:t>
      </w:r>
      <w:r>
        <w:rPr>
          <w:sz w:val="24"/>
          <w:szCs w:val="24"/>
        </w:rPr>
        <w:t xml:space="preserve"> be</w:t>
      </w:r>
      <w:r w:rsidR="00F630A0">
        <w:rPr>
          <w:sz w:val="24"/>
          <w:szCs w:val="24"/>
        </w:rPr>
        <w:t>en updated regularly and</w:t>
      </w:r>
      <w:r>
        <w:rPr>
          <w:sz w:val="24"/>
          <w:szCs w:val="24"/>
        </w:rPr>
        <w:t xml:space="preserve"> clearly.</w:t>
      </w:r>
      <w:r>
        <w:rPr>
          <w:rStyle w:val="FootnoteReference"/>
          <w:sz w:val="24"/>
          <w:szCs w:val="24"/>
        </w:rPr>
        <w:footnoteReference w:id="337"/>
      </w:r>
      <w:r>
        <w:rPr>
          <w:sz w:val="24"/>
          <w:szCs w:val="24"/>
        </w:rPr>
        <w:t xml:space="preserve"> But bureaucracies are generally inefficient, suffering from an understandable though irritating unwillingness to deal with inefficiencies.</w:t>
      </w:r>
      <w:r>
        <w:rPr>
          <w:rStyle w:val="FootnoteReference"/>
          <w:sz w:val="24"/>
          <w:szCs w:val="24"/>
        </w:rPr>
        <w:footnoteReference w:id="338"/>
      </w:r>
      <w:r>
        <w:rPr>
          <w:sz w:val="24"/>
          <w:szCs w:val="24"/>
        </w:rPr>
        <w:t xml:space="preserve"> After all, most bureaucratic tasks are created in such a way as to be able to be performed by the lowest common denominator, freeing the more talented and efficient staff for greater roles. These documents would not have been created for a single, particular use as the time and effort this would entail would simply not be worth the effort. It would </w:t>
      </w:r>
      <w:r w:rsidR="00342E82">
        <w:rPr>
          <w:sz w:val="24"/>
          <w:szCs w:val="24"/>
        </w:rPr>
        <w:t xml:space="preserve">have </w:t>
      </w:r>
      <w:r>
        <w:rPr>
          <w:sz w:val="24"/>
          <w:szCs w:val="24"/>
        </w:rPr>
        <w:t>been both time-consuming and incredibly tedious for an official of enough importance to have access to the necessary information and the authority to effect</w:t>
      </w:r>
      <w:r w:rsidR="00F630A0">
        <w:rPr>
          <w:sz w:val="24"/>
          <w:szCs w:val="24"/>
        </w:rPr>
        <w:t xml:space="preserve"> any sufficient</w:t>
      </w:r>
      <w:r>
        <w:rPr>
          <w:sz w:val="24"/>
          <w:szCs w:val="24"/>
        </w:rPr>
        <w:t xml:space="preserve"> change to go through documents such as the </w:t>
      </w:r>
      <w:r>
        <w:rPr>
          <w:i/>
          <w:sz w:val="24"/>
          <w:szCs w:val="24"/>
        </w:rPr>
        <w:t>Notitia Dignitatum</w:t>
      </w:r>
      <w:r>
        <w:rPr>
          <w:sz w:val="24"/>
          <w:szCs w:val="24"/>
        </w:rPr>
        <w:t xml:space="preserve"> or the </w:t>
      </w:r>
      <w:r>
        <w:rPr>
          <w:i/>
          <w:sz w:val="24"/>
          <w:szCs w:val="24"/>
        </w:rPr>
        <w:t>Laterculus Veronensis</w:t>
      </w:r>
      <w:r>
        <w:rPr>
          <w:sz w:val="24"/>
          <w:szCs w:val="24"/>
        </w:rPr>
        <w:t xml:space="preserve"> and check the veracity of their entries. Nicholas Reed put it best when he stated, ‘It may not be too paradoxical to suggest that the errors within it are themselves evidence of its [said administrative document</w:t>
      </w:r>
      <w:r w:rsidR="001D4539">
        <w:rPr>
          <w:sz w:val="24"/>
          <w:szCs w:val="24"/>
        </w:rPr>
        <w:t>’</w:t>
      </w:r>
      <w:r>
        <w:rPr>
          <w:sz w:val="24"/>
          <w:szCs w:val="24"/>
        </w:rPr>
        <w:t>s] official nature.’</w:t>
      </w:r>
      <w:r>
        <w:rPr>
          <w:rStyle w:val="FootnoteReference"/>
          <w:sz w:val="24"/>
          <w:szCs w:val="24"/>
        </w:rPr>
        <w:footnoteReference w:id="339"/>
      </w:r>
      <w:r>
        <w:rPr>
          <w:sz w:val="24"/>
          <w:szCs w:val="24"/>
        </w:rPr>
        <w:t xml:space="preserve"> </w:t>
      </w:r>
    </w:p>
    <w:p w:rsidR="00E96E98" w:rsidRPr="00E96E98" w:rsidRDefault="00E96E98" w:rsidP="00E96E98">
      <w:pPr>
        <w:spacing w:line="480" w:lineRule="auto"/>
        <w:ind w:firstLine="720"/>
        <w:jc w:val="both"/>
        <w:rPr>
          <w:color w:val="000000"/>
          <w:sz w:val="24"/>
          <w:szCs w:val="24"/>
        </w:rPr>
      </w:pPr>
      <w:r>
        <w:rPr>
          <w:sz w:val="24"/>
          <w:szCs w:val="24"/>
        </w:rPr>
        <w:lastRenderedPageBreak/>
        <w:t>Clifford Ando argued</w:t>
      </w:r>
      <w:r w:rsidR="006F23C4">
        <w:rPr>
          <w:sz w:val="24"/>
          <w:szCs w:val="24"/>
        </w:rPr>
        <w:t xml:space="preserve"> that Foucault demonstrated,</w:t>
      </w:r>
      <w:r>
        <w:rPr>
          <w:sz w:val="24"/>
          <w:szCs w:val="24"/>
        </w:rPr>
        <w:t xml:space="preserve"> ‘</w:t>
      </w:r>
      <w:r w:rsidR="006F23C4">
        <w:rPr>
          <w:sz w:val="24"/>
          <w:szCs w:val="24"/>
        </w:rPr>
        <w:t xml:space="preserve">[that] </w:t>
      </w:r>
      <w:r>
        <w:rPr>
          <w:sz w:val="24"/>
          <w:szCs w:val="24"/>
        </w:rPr>
        <w:t>the operation of government is assessed with regard to its power to condition the self-understanding and self-fashioning of persons, in the</w:t>
      </w:r>
      <w:r w:rsidR="00F630A0">
        <w:rPr>
          <w:sz w:val="24"/>
          <w:szCs w:val="24"/>
        </w:rPr>
        <w:t>ir personalities</w:t>
      </w:r>
      <w:r>
        <w:rPr>
          <w:sz w:val="24"/>
          <w:szCs w:val="24"/>
        </w:rPr>
        <w:t xml:space="preserve"> and in their social and economic relations.’</w:t>
      </w:r>
      <w:r>
        <w:rPr>
          <w:rStyle w:val="FootnoteReference"/>
          <w:sz w:val="24"/>
          <w:szCs w:val="24"/>
        </w:rPr>
        <w:footnoteReference w:id="340"/>
      </w:r>
      <w:r>
        <w:rPr>
          <w:sz w:val="24"/>
          <w:szCs w:val="24"/>
        </w:rPr>
        <w:t xml:space="preserve"> From this Ando took the view that Roman government had become so naturalised that all who interacted with it, did so within its paradigm.</w:t>
      </w:r>
      <w:r>
        <w:rPr>
          <w:rStyle w:val="FootnoteReference"/>
          <w:sz w:val="24"/>
          <w:szCs w:val="24"/>
        </w:rPr>
        <w:footnoteReference w:id="341"/>
      </w:r>
      <w:r>
        <w:rPr>
          <w:sz w:val="24"/>
          <w:szCs w:val="24"/>
        </w:rPr>
        <w:t xml:space="preserve"> Ando’s approach therefore necessitates that the Roman state be a monolithic entity of clearly defined and impersonal offices, hierarchies, and protocols, </w:t>
      </w:r>
      <w:r w:rsidR="00F630A0">
        <w:rPr>
          <w:sz w:val="24"/>
          <w:szCs w:val="24"/>
        </w:rPr>
        <w:t>an organism that shared</w:t>
      </w:r>
      <w:r>
        <w:rPr>
          <w:sz w:val="24"/>
          <w:szCs w:val="24"/>
        </w:rPr>
        <w:t xml:space="preserve"> more in common with modern states of the twentieth century than its successors in the tenth. Ando has focused on the mechanisms and processes by which the empire transformed a collection of provinces, ‘into a </w:t>
      </w:r>
      <w:r>
        <w:rPr>
          <w:i/>
          <w:sz w:val="24"/>
          <w:szCs w:val="24"/>
        </w:rPr>
        <w:t>patria</w:t>
      </w:r>
      <w:r>
        <w:rPr>
          <w:sz w:val="24"/>
          <w:szCs w:val="24"/>
        </w:rPr>
        <w:t>, a focus for the patriotic loyalties of its subjects’.</w:t>
      </w:r>
      <w:r>
        <w:rPr>
          <w:rStyle w:val="FootnoteReference"/>
          <w:sz w:val="24"/>
          <w:szCs w:val="24"/>
        </w:rPr>
        <w:footnoteReference w:id="342"/>
      </w:r>
      <w:r>
        <w:rPr>
          <w:sz w:val="24"/>
          <w:szCs w:val="24"/>
        </w:rPr>
        <w:t xml:space="preserve">  Roman power was expressed through a series of legal standards and functions that those under the Empire’s control could recognise as Roman and engage with. In contrast</w:t>
      </w:r>
      <w:r w:rsidR="001D4539">
        <w:rPr>
          <w:sz w:val="24"/>
          <w:szCs w:val="24"/>
        </w:rPr>
        <w:t>,</w:t>
      </w:r>
      <w:r>
        <w:rPr>
          <w:sz w:val="24"/>
          <w:szCs w:val="24"/>
        </w:rPr>
        <w:t xml:space="preserve"> Lendon believes that the Roman form of government was a distinctive and essentiall</w:t>
      </w:r>
      <w:r w:rsidR="00342E82">
        <w:rPr>
          <w:sz w:val="24"/>
          <w:szCs w:val="24"/>
        </w:rPr>
        <w:t xml:space="preserve">y pre-modern and personal one. He argued that </w:t>
      </w:r>
      <w:r>
        <w:rPr>
          <w:sz w:val="24"/>
          <w:szCs w:val="24"/>
        </w:rPr>
        <w:t>‘</w:t>
      </w:r>
      <w:r>
        <w:rPr>
          <w:color w:val="000000"/>
          <w:sz w:val="24"/>
          <w:szCs w:val="24"/>
        </w:rPr>
        <w:t>the representatives of the Roman government, at several levels, were perceived as moral agents, and not as professional puppets jerked about by their official duties, pursuing policies emanating from their job descriptions’.</w:t>
      </w:r>
      <w:r>
        <w:rPr>
          <w:rStyle w:val="FootnoteReference"/>
          <w:color w:val="000000"/>
          <w:sz w:val="24"/>
          <w:szCs w:val="24"/>
        </w:rPr>
        <w:footnoteReference w:id="343"/>
      </w:r>
      <w:r>
        <w:rPr>
          <w:color w:val="000000"/>
          <w:sz w:val="24"/>
          <w:szCs w:val="24"/>
        </w:rPr>
        <w:t xml:space="preserve">  Lendon had developed the ideas of Fergus Millar, who depicted an </w:t>
      </w:r>
      <w:r w:rsidR="0087599E">
        <w:rPr>
          <w:color w:val="000000"/>
          <w:sz w:val="24"/>
          <w:szCs w:val="24"/>
        </w:rPr>
        <w:t>e</w:t>
      </w:r>
      <w:r w:rsidR="008B44B0">
        <w:rPr>
          <w:color w:val="000000"/>
          <w:sz w:val="24"/>
          <w:szCs w:val="24"/>
        </w:rPr>
        <w:t>mperor</w:t>
      </w:r>
      <w:r>
        <w:rPr>
          <w:color w:val="000000"/>
          <w:sz w:val="24"/>
          <w:szCs w:val="24"/>
        </w:rPr>
        <w:t xml:space="preserve"> who reacted to desires of his subjects in the form of </w:t>
      </w:r>
      <w:r w:rsidR="00342E82">
        <w:rPr>
          <w:color w:val="000000"/>
          <w:sz w:val="24"/>
          <w:szCs w:val="24"/>
        </w:rPr>
        <w:t>i</w:t>
      </w:r>
      <w:r w:rsidR="008B44B0">
        <w:rPr>
          <w:color w:val="000000"/>
          <w:sz w:val="24"/>
          <w:szCs w:val="24"/>
        </w:rPr>
        <w:t>mperial</w:t>
      </w:r>
      <w:r>
        <w:rPr>
          <w:color w:val="000000"/>
          <w:sz w:val="24"/>
          <w:szCs w:val="24"/>
        </w:rPr>
        <w:t xml:space="preserve"> largesse, and Richard Saller, who argued for an administration determined more by social concerns than rational administrative </w:t>
      </w:r>
      <w:r>
        <w:rPr>
          <w:color w:val="000000"/>
          <w:sz w:val="24"/>
          <w:szCs w:val="24"/>
        </w:rPr>
        <w:lastRenderedPageBreak/>
        <w:t>considerations.</w:t>
      </w:r>
      <w:r>
        <w:rPr>
          <w:rStyle w:val="FootnoteReference"/>
          <w:color w:val="000000"/>
          <w:sz w:val="24"/>
          <w:szCs w:val="24"/>
        </w:rPr>
        <w:footnoteReference w:id="344"/>
      </w:r>
      <w:r>
        <w:rPr>
          <w:color w:val="000000"/>
          <w:sz w:val="24"/>
          <w:szCs w:val="24"/>
        </w:rPr>
        <w:t xml:space="preserve"> Lendon developed this by exploring how the Empire “mechanically” got people to</w:t>
      </w:r>
      <w:r w:rsidR="001D4539">
        <w:rPr>
          <w:color w:val="000000"/>
          <w:sz w:val="24"/>
          <w:szCs w:val="24"/>
        </w:rPr>
        <w:t xml:space="preserve"> do</w:t>
      </w:r>
      <w:r>
        <w:rPr>
          <w:color w:val="000000"/>
          <w:sz w:val="24"/>
          <w:szCs w:val="24"/>
        </w:rPr>
        <w:t xml:space="preserve"> what it wanted. </w:t>
      </w:r>
    </w:p>
    <w:p w:rsidR="003B5AE4" w:rsidRDefault="003B5AE4" w:rsidP="003B5AE4">
      <w:pPr>
        <w:spacing w:line="480" w:lineRule="auto"/>
        <w:ind w:firstLine="720"/>
        <w:jc w:val="both"/>
        <w:rPr>
          <w:rFonts w:cs="Times New Roman"/>
          <w:sz w:val="24"/>
          <w:szCs w:val="24"/>
        </w:rPr>
      </w:pPr>
      <w:r>
        <w:rPr>
          <w:rFonts w:cs="Times New Roman"/>
          <w:sz w:val="24"/>
          <w:szCs w:val="24"/>
        </w:rPr>
        <w:t>Lendon’s approach is, hence, more useful to this study</w:t>
      </w:r>
      <w:r w:rsidR="001D4539">
        <w:rPr>
          <w:rFonts w:cs="Times New Roman"/>
          <w:sz w:val="24"/>
          <w:szCs w:val="24"/>
        </w:rPr>
        <w:t>,</w:t>
      </w:r>
      <w:r>
        <w:rPr>
          <w:rFonts w:cs="Times New Roman"/>
          <w:sz w:val="24"/>
          <w:szCs w:val="24"/>
        </w:rPr>
        <w:t xml:space="preserve"> as Ando’s approach overestimates the reach and ability of the Empire in the third century, particularly in light of the numerous crises that impeded the regular work of the </w:t>
      </w:r>
      <w:r w:rsidR="008B44B0">
        <w:rPr>
          <w:rFonts w:cs="Times New Roman"/>
          <w:sz w:val="24"/>
          <w:szCs w:val="24"/>
        </w:rPr>
        <w:t>imperial</w:t>
      </w:r>
      <w:r>
        <w:rPr>
          <w:rFonts w:cs="Times New Roman"/>
          <w:sz w:val="24"/>
          <w:szCs w:val="24"/>
        </w:rPr>
        <w:t xml:space="preserve"> government. By applying Foucault’s theories to a pre-modern context, Ando is falling prey to the same anachronisms as many of the historians who judge the </w:t>
      </w:r>
      <w:r>
        <w:rPr>
          <w:rFonts w:cs="Times New Roman"/>
          <w:i/>
          <w:sz w:val="24"/>
          <w:szCs w:val="24"/>
        </w:rPr>
        <w:t>Regionaries</w:t>
      </w:r>
      <w:r>
        <w:rPr>
          <w:rFonts w:cs="Times New Roman"/>
          <w:sz w:val="24"/>
          <w:szCs w:val="24"/>
        </w:rPr>
        <w:t xml:space="preserve"> by modern administrative standards.</w:t>
      </w:r>
      <w:r>
        <w:rPr>
          <w:rStyle w:val="FootnoteReference"/>
          <w:rFonts w:cs="Times New Roman"/>
          <w:sz w:val="24"/>
          <w:szCs w:val="24"/>
        </w:rPr>
        <w:footnoteReference w:id="345"/>
      </w:r>
      <w:r>
        <w:rPr>
          <w:rFonts w:cs="Times New Roman"/>
          <w:sz w:val="24"/>
          <w:szCs w:val="24"/>
        </w:rPr>
        <w:t xml:space="preserve"> In contrast</w:t>
      </w:r>
      <w:r w:rsidR="001D4539">
        <w:rPr>
          <w:rFonts w:cs="Times New Roman"/>
          <w:sz w:val="24"/>
          <w:szCs w:val="24"/>
        </w:rPr>
        <w:t>,</w:t>
      </w:r>
      <w:r>
        <w:rPr>
          <w:rFonts w:cs="Times New Roman"/>
          <w:sz w:val="24"/>
          <w:szCs w:val="24"/>
        </w:rPr>
        <w:t xml:space="preserve"> Lendon’s view of a personal approach to government recognises the technological and cultural limitations of the period.</w:t>
      </w:r>
      <w:r>
        <w:rPr>
          <w:rStyle w:val="FootnoteReference"/>
          <w:rFonts w:cs="Times New Roman"/>
          <w:sz w:val="24"/>
          <w:szCs w:val="24"/>
        </w:rPr>
        <w:footnoteReference w:id="346"/>
      </w:r>
      <w:r>
        <w:rPr>
          <w:rFonts w:cs="Times New Roman"/>
          <w:sz w:val="24"/>
          <w:szCs w:val="24"/>
        </w:rPr>
        <w:t xml:space="preserve"> Whereas Ando feels that Rome depended upon a rational-legal system for its administration, Lendon’s approach acknowledges the importance of prestige, culture and tradition to the Roman administration. </w:t>
      </w:r>
      <w:r>
        <w:rPr>
          <w:sz w:val="24"/>
          <w:szCs w:val="24"/>
        </w:rPr>
        <w:t>It is important to remember that the Urban Prefe</w:t>
      </w:r>
      <w:r w:rsidR="001D4539">
        <w:rPr>
          <w:sz w:val="24"/>
          <w:szCs w:val="24"/>
        </w:rPr>
        <w:t>ct and his staff were no</w:t>
      </w:r>
      <w:r>
        <w:rPr>
          <w:sz w:val="24"/>
          <w:szCs w:val="24"/>
        </w:rPr>
        <w:t>t simply bureaucratic functionaries, but also the civic magistrates of the City of Rome. Theirs were posts of cultural and often religious significance, with a pedigree that went back to the days of the Republic</w:t>
      </w:r>
      <w:r>
        <w:rPr>
          <w:rFonts w:cs="Times New Roman"/>
          <w:sz w:val="24"/>
          <w:szCs w:val="24"/>
        </w:rPr>
        <w:t>. This makes Lendon’s approach more applicable to a study of the Urban Prefect’s administration, as it was</w:t>
      </w:r>
      <w:r w:rsidR="001D4539">
        <w:rPr>
          <w:rFonts w:cs="Times New Roman"/>
          <w:sz w:val="24"/>
          <w:szCs w:val="24"/>
        </w:rPr>
        <w:t xml:space="preserve"> a</w:t>
      </w:r>
      <w:r>
        <w:rPr>
          <w:rFonts w:cs="Times New Roman"/>
          <w:sz w:val="24"/>
          <w:szCs w:val="24"/>
        </w:rPr>
        <w:t xml:space="preserve"> post that was dependent upon the prestige of the office-holder, and the administrative use of panegyrical documents. Ando’s approach does have some merit as it recognises that, whilst the political, economi</w:t>
      </w:r>
      <w:r w:rsidR="00342E82">
        <w:rPr>
          <w:rFonts w:cs="Times New Roman"/>
          <w:sz w:val="24"/>
          <w:szCs w:val="24"/>
        </w:rPr>
        <w:t>c and social conditions of the e</w:t>
      </w:r>
      <w:r>
        <w:rPr>
          <w:rFonts w:cs="Times New Roman"/>
          <w:sz w:val="24"/>
          <w:szCs w:val="24"/>
        </w:rPr>
        <w:t>mpire may change, the culture and traditions of the Empire did not and therefore we can reasonably rely on evidence from another period.</w:t>
      </w:r>
      <w:r>
        <w:rPr>
          <w:rStyle w:val="FootnoteReference"/>
          <w:rFonts w:cs="Times New Roman"/>
          <w:sz w:val="24"/>
          <w:szCs w:val="24"/>
        </w:rPr>
        <w:footnoteReference w:id="347"/>
      </w:r>
      <w:r>
        <w:rPr>
          <w:rFonts w:cs="Times New Roman"/>
          <w:sz w:val="24"/>
          <w:szCs w:val="24"/>
        </w:rPr>
        <w:t xml:space="preserve"> Lendon’s approach continues to be more nuanced, as </w:t>
      </w:r>
      <w:r w:rsidR="001D4539">
        <w:rPr>
          <w:rFonts w:cs="Times New Roman"/>
          <w:sz w:val="24"/>
          <w:szCs w:val="24"/>
        </w:rPr>
        <w:t>he</w:t>
      </w:r>
      <w:r>
        <w:rPr>
          <w:rFonts w:cs="Times New Roman"/>
          <w:sz w:val="24"/>
          <w:szCs w:val="24"/>
        </w:rPr>
        <w:t xml:space="preserve"> takes int</w:t>
      </w:r>
      <w:r w:rsidR="00342E82">
        <w:rPr>
          <w:rFonts w:cs="Times New Roman"/>
          <w:sz w:val="24"/>
          <w:szCs w:val="24"/>
        </w:rPr>
        <w:t>o account the changes that the e</w:t>
      </w:r>
      <w:r>
        <w:rPr>
          <w:rFonts w:cs="Times New Roman"/>
          <w:sz w:val="24"/>
          <w:szCs w:val="24"/>
        </w:rPr>
        <w:t xml:space="preserve">mpire faced and contrasts </w:t>
      </w:r>
      <w:r>
        <w:rPr>
          <w:rFonts w:cs="Times New Roman"/>
          <w:sz w:val="24"/>
          <w:szCs w:val="24"/>
        </w:rPr>
        <w:lastRenderedPageBreak/>
        <w:t>them with the fact that the city of Rome and its culture experienced much less change than the rest of the Empire.</w:t>
      </w:r>
      <w:r>
        <w:rPr>
          <w:rStyle w:val="FootnoteReference"/>
          <w:rFonts w:cs="Times New Roman"/>
          <w:sz w:val="24"/>
          <w:szCs w:val="24"/>
        </w:rPr>
        <w:footnoteReference w:id="348"/>
      </w:r>
      <w:r>
        <w:rPr>
          <w:rFonts w:cs="Times New Roman"/>
          <w:sz w:val="24"/>
          <w:szCs w:val="24"/>
        </w:rPr>
        <w:t xml:space="preserve">  </w:t>
      </w:r>
    </w:p>
    <w:p w:rsidR="003B5AE4" w:rsidRPr="003B5AE4" w:rsidRDefault="003B5AE4" w:rsidP="003B5AE4">
      <w:pPr>
        <w:spacing w:line="480" w:lineRule="auto"/>
        <w:ind w:firstLine="720"/>
        <w:jc w:val="both"/>
        <w:rPr>
          <w:rFonts w:cs="Times New Roman"/>
          <w:sz w:val="24"/>
          <w:szCs w:val="24"/>
        </w:rPr>
      </w:pPr>
      <w:r>
        <w:rPr>
          <w:rFonts w:cs="Times New Roman"/>
          <w:sz w:val="24"/>
          <w:szCs w:val="24"/>
        </w:rPr>
        <w:t xml:space="preserve">In contrast to Ando, Lendon recognises that a list such as the </w:t>
      </w:r>
      <w:r>
        <w:rPr>
          <w:rFonts w:cs="Times New Roman"/>
          <w:i/>
          <w:sz w:val="24"/>
          <w:szCs w:val="24"/>
        </w:rPr>
        <w:t>Regionary Catalogues</w:t>
      </w:r>
      <w:r>
        <w:rPr>
          <w:rFonts w:cs="Times New Roman"/>
          <w:sz w:val="24"/>
          <w:szCs w:val="24"/>
        </w:rPr>
        <w:t xml:space="preserve"> was as much a literary device as it was a technical document. This literary character meant that lists were exceptionally versatile and easily adapted for other purposes. In Lendon’s Rome it was easy for these lists to be repurposed into “pure” panegyrics, as their technical information and statistics became prestigious through the knowledge they displayed and by virtue of their history of use. Such lists could be as useful a demonstration of prestige as one’s personal wealth and status. It is perhaps even more so as such lists relied upon a common set of standards and knowledge that were universal, whereas a person’s wealth and status could vary wildly across the empire.</w:t>
      </w:r>
      <w:r>
        <w:rPr>
          <w:rStyle w:val="FootnoteReference"/>
          <w:rFonts w:cs="Times New Roman"/>
          <w:sz w:val="24"/>
          <w:szCs w:val="24"/>
        </w:rPr>
        <w:footnoteReference w:id="349"/>
      </w:r>
      <w:r>
        <w:rPr>
          <w:rFonts w:cs="Times New Roman"/>
          <w:sz w:val="24"/>
          <w:szCs w:val="24"/>
        </w:rPr>
        <w:t xml:space="preserve"> In the case of Frontinus, he [Frontinus]</w:t>
      </w:r>
      <w:r>
        <w:rPr>
          <w:sz w:val="24"/>
          <w:szCs w:val="24"/>
        </w:rPr>
        <w:t xml:space="preserve"> intended his works to be an administrative guide to those amateur administrators who would </w:t>
      </w:r>
      <w:r w:rsidR="00A72BB9">
        <w:rPr>
          <w:sz w:val="24"/>
          <w:szCs w:val="24"/>
        </w:rPr>
        <w:t>benefit from</w:t>
      </w:r>
      <w:r>
        <w:rPr>
          <w:sz w:val="24"/>
          <w:szCs w:val="24"/>
        </w:rPr>
        <w:t xml:space="preserve"> a summary reminder of the duties. Truly technical documents would be unbecoming for the aristocrats who served as senior </w:t>
      </w:r>
      <w:r w:rsidR="008B44B0">
        <w:rPr>
          <w:sz w:val="24"/>
          <w:szCs w:val="24"/>
        </w:rPr>
        <w:t>imperial</w:t>
      </w:r>
      <w:r>
        <w:rPr>
          <w:sz w:val="24"/>
          <w:szCs w:val="24"/>
        </w:rPr>
        <w:t xml:space="preserve"> administrators. Any such knowledge would have had to have been couched in a manner that Frontinus’ audience would understan</w:t>
      </w:r>
      <w:r w:rsidR="001D4539">
        <w:rPr>
          <w:sz w:val="24"/>
          <w:szCs w:val="24"/>
        </w:rPr>
        <w:t>d. The importance of Frontinus’</w:t>
      </w:r>
      <w:r>
        <w:rPr>
          <w:sz w:val="24"/>
          <w:szCs w:val="24"/>
        </w:rPr>
        <w:t xml:space="preserve"> administrative knowledge is displayed in a manner that demonstrates the prestige and importance of the post of the </w:t>
      </w:r>
      <w:r>
        <w:rPr>
          <w:i/>
          <w:sz w:val="24"/>
          <w:szCs w:val="24"/>
        </w:rPr>
        <w:t>Curator Aquarum</w:t>
      </w:r>
      <w:r>
        <w:rPr>
          <w:sz w:val="24"/>
          <w:szCs w:val="24"/>
        </w:rPr>
        <w:t>.</w:t>
      </w:r>
      <w:r>
        <w:rPr>
          <w:rStyle w:val="FootnoteReference"/>
          <w:sz w:val="24"/>
          <w:szCs w:val="24"/>
        </w:rPr>
        <w:footnoteReference w:id="350"/>
      </w:r>
      <w:r>
        <w:rPr>
          <w:sz w:val="24"/>
          <w:szCs w:val="24"/>
        </w:rPr>
        <w:t xml:space="preserve"> Other potential administrators would be able to trust Frontinus’ work and apply its knowledge to their own </w:t>
      </w:r>
      <w:r w:rsidR="001D4539">
        <w:rPr>
          <w:sz w:val="24"/>
          <w:szCs w:val="24"/>
        </w:rPr>
        <w:t>duties because they know it would</w:t>
      </w:r>
      <w:r>
        <w:rPr>
          <w:sz w:val="24"/>
          <w:szCs w:val="24"/>
        </w:rPr>
        <w:t xml:space="preserve"> contribute to their prestige and influence.</w:t>
      </w:r>
      <w:r>
        <w:rPr>
          <w:rFonts w:cs="Times New Roman"/>
          <w:sz w:val="24"/>
          <w:szCs w:val="24"/>
        </w:rPr>
        <w:t xml:space="preserve"> </w:t>
      </w:r>
    </w:p>
    <w:p w:rsidR="00E756D7" w:rsidRDefault="001D4539" w:rsidP="00722391">
      <w:pPr>
        <w:spacing w:line="480" w:lineRule="auto"/>
        <w:ind w:firstLine="720"/>
        <w:jc w:val="both"/>
        <w:rPr>
          <w:sz w:val="24"/>
          <w:szCs w:val="24"/>
        </w:rPr>
      </w:pPr>
      <w:r>
        <w:rPr>
          <w:color w:val="000000"/>
          <w:sz w:val="24"/>
          <w:szCs w:val="24"/>
        </w:rPr>
        <w:lastRenderedPageBreak/>
        <w:t>T</w:t>
      </w:r>
      <w:r w:rsidR="00E756D7">
        <w:rPr>
          <w:color w:val="000000"/>
          <w:sz w:val="24"/>
          <w:szCs w:val="24"/>
        </w:rPr>
        <w:t xml:space="preserve">here is an apparent difference in view, </w:t>
      </w:r>
      <w:r w:rsidR="00CC637F">
        <w:rPr>
          <w:color w:val="000000"/>
          <w:sz w:val="24"/>
          <w:szCs w:val="24"/>
        </w:rPr>
        <w:t>in that</w:t>
      </w:r>
      <w:r w:rsidR="00E756D7">
        <w:rPr>
          <w:color w:val="000000"/>
          <w:sz w:val="24"/>
          <w:szCs w:val="24"/>
        </w:rPr>
        <w:t xml:space="preserve"> Lendon app</w:t>
      </w:r>
      <w:r w:rsidR="00342E82">
        <w:rPr>
          <w:color w:val="000000"/>
          <w:sz w:val="24"/>
          <w:szCs w:val="24"/>
        </w:rPr>
        <w:t>roaches the e</w:t>
      </w:r>
      <w:r w:rsidR="00E756D7">
        <w:rPr>
          <w:color w:val="000000"/>
          <w:sz w:val="24"/>
          <w:szCs w:val="24"/>
        </w:rPr>
        <w:t xml:space="preserve">mpire </w:t>
      </w:r>
      <w:r w:rsidR="00CC637F">
        <w:rPr>
          <w:color w:val="000000"/>
          <w:sz w:val="24"/>
          <w:szCs w:val="24"/>
        </w:rPr>
        <w:t>using Weber’s pre-modern/modern approach</w:t>
      </w:r>
      <w:r w:rsidR="00E756D7">
        <w:rPr>
          <w:color w:val="000000"/>
          <w:sz w:val="24"/>
          <w:szCs w:val="24"/>
        </w:rPr>
        <w:t xml:space="preserve"> whilst Ando pursues a Foucauldian one. However</w:t>
      </w:r>
      <w:r>
        <w:rPr>
          <w:color w:val="000000"/>
          <w:sz w:val="24"/>
          <w:szCs w:val="24"/>
        </w:rPr>
        <w:t>, Ando</w:t>
      </w:r>
      <w:r w:rsidR="00E756D7">
        <w:rPr>
          <w:color w:val="000000"/>
          <w:sz w:val="24"/>
          <w:szCs w:val="24"/>
        </w:rPr>
        <w:t xml:space="preserve"> recognises in his own work the influence Fergus Millar’s perspectives had on his own conceptions of government. Harry Sidebottom even goes so far as to describe </w:t>
      </w:r>
      <w:r w:rsidR="008B44B0">
        <w:rPr>
          <w:i/>
          <w:color w:val="000000"/>
          <w:sz w:val="24"/>
          <w:szCs w:val="24"/>
        </w:rPr>
        <w:t>Imperial</w:t>
      </w:r>
      <w:r w:rsidR="00E756D7">
        <w:rPr>
          <w:i/>
          <w:color w:val="000000"/>
          <w:sz w:val="24"/>
          <w:szCs w:val="24"/>
        </w:rPr>
        <w:t xml:space="preserve"> Ideology and Provincial Loyalty in the Roman Empire</w:t>
      </w:r>
      <w:r w:rsidR="00687881">
        <w:rPr>
          <w:color w:val="000000"/>
          <w:sz w:val="24"/>
          <w:szCs w:val="24"/>
        </w:rPr>
        <w:t xml:space="preserve"> as having an intellectual pedigree, ‘</w:t>
      </w:r>
      <w:r w:rsidR="00E756D7">
        <w:rPr>
          <w:color w:val="000000"/>
          <w:sz w:val="24"/>
          <w:szCs w:val="24"/>
        </w:rPr>
        <w:t>in bloodstock terms Fergus Millar out of Pierre Bourdieu’.</w:t>
      </w:r>
      <w:r w:rsidR="00E756D7">
        <w:rPr>
          <w:rStyle w:val="FootnoteReference"/>
          <w:color w:val="000000"/>
          <w:sz w:val="24"/>
          <w:szCs w:val="24"/>
        </w:rPr>
        <w:footnoteReference w:id="351"/>
      </w:r>
      <w:r w:rsidR="00E756D7">
        <w:rPr>
          <w:color w:val="000000"/>
          <w:sz w:val="24"/>
          <w:szCs w:val="24"/>
        </w:rPr>
        <w:t xml:space="preserve"> Ando opens that work by describing Roman provincial domination as dependent on many people sharing a common yet complex set of beliefs that allowed a particular Roman notion of social order, Lendon describes these as mutual reverence for honour and tradition.</w:t>
      </w:r>
      <w:r w:rsidR="00E756D7">
        <w:rPr>
          <w:rStyle w:val="FootnoteReference"/>
          <w:color w:val="000000"/>
          <w:sz w:val="24"/>
          <w:szCs w:val="24"/>
        </w:rPr>
        <w:footnoteReference w:id="352"/>
      </w:r>
      <w:r w:rsidR="00E756D7">
        <w:rPr>
          <w:color w:val="000000"/>
          <w:sz w:val="24"/>
          <w:szCs w:val="24"/>
        </w:rPr>
        <w:t xml:space="preserve"> Both Lendon and Ando recognise that, </w:t>
      </w:r>
      <w:r w:rsidR="00E756D7">
        <w:rPr>
          <w:color w:val="000000"/>
          <w:sz w:val="24"/>
          <w:szCs w:val="24"/>
          <w:shd w:val="clear" w:color="auto" w:fill="FFFFFF"/>
        </w:rPr>
        <w:t xml:space="preserve">'the charismatic power of the </w:t>
      </w:r>
      <w:r w:rsidR="008B44B0">
        <w:rPr>
          <w:color w:val="000000"/>
          <w:sz w:val="24"/>
          <w:szCs w:val="24"/>
          <w:shd w:val="clear" w:color="auto" w:fill="FFFFFF"/>
        </w:rPr>
        <w:t>imperial</w:t>
      </w:r>
      <w:r w:rsidR="00E756D7">
        <w:rPr>
          <w:color w:val="000000"/>
          <w:sz w:val="24"/>
          <w:szCs w:val="24"/>
          <w:shd w:val="clear" w:color="auto" w:fill="FFFFFF"/>
        </w:rPr>
        <w:t xml:space="preserve"> office guaranteed the orderly functioning of the Roman bureaucracy' while at the same time 'the continued functioning of that bureaucracy strengthened people's faith in the </w:t>
      </w:r>
      <w:r w:rsidR="008B44B0">
        <w:rPr>
          <w:color w:val="000000"/>
          <w:sz w:val="24"/>
          <w:szCs w:val="24"/>
          <w:shd w:val="clear" w:color="auto" w:fill="FFFFFF"/>
        </w:rPr>
        <w:t>imperial</w:t>
      </w:r>
      <w:r w:rsidR="00E756D7">
        <w:rPr>
          <w:color w:val="000000"/>
          <w:sz w:val="24"/>
          <w:szCs w:val="24"/>
          <w:shd w:val="clear" w:color="auto" w:fill="FFFFFF"/>
        </w:rPr>
        <w:t xml:space="preserve"> office</w:t>
      </w:r>
      <w:r w:rsidR="00E756D7">
        <w:rPr>
          <w:color w:val="000000"/>
          <w:sz w:val="24"/>
          <w:szCs w:val="24"/>
        </w:rPr>
        <w:t>’.</w:t>
      </w:r>
      <w:r w:rsidR="00E756D7">
        <w:rPr>
          <w:rStyle w:val="FootnoteReference"/>
          <w:color w:val="000000"/>
          <w:sz w:val="24"/>
          <w:szCs w:val="24"/>
        </w:rPr>
        <w:footnoteReference w:id="353"/>
      </w:r>
      <w:r w:rsidR="00E756D7">
        <w:rPr>
          <w:color w:val="000000"/>
          <w:sz w:val="24"/>
          <w:szCs w:val="24"/>
        </w:rPr>
        <w:t xml:space="preserve"> From this perspective there is actually little true difference between Ando and Lendon’s approaches. Both agree that the Empire </w:t>
      </w:r>
      <w:r w:rsidR="00F630A0">
        <w:rPr>
          <w:color w:val="000000"/>
          <w:sz w:val="24"/>
          <w:szCs w:val="24"/>
        </w:rPr>
        <w:t>had</w:t>
      </w:r>
      <w:r w:rsidR="00E756D7">
        <w:rPr>
          <w:color w:val="000000"/>
          <w:sz w:val="24"/>
          <w:szCs w:val="24"/>
        </w:rPr>
        <w:t xml:space="preserve"> a mutual social-political culture based upon the</w:t>
      </w:r>
      <w:r w:rsidR="00F630A0">
        <w:rPr>
          <w:color w:val="000000"/>
          <w:sz w:val="24"/>
          <w:szCs w:val="24"/>
        </w:rPr>
        <w:t xml:space="preserve"> administrative</w:t>
      </w:r>
      <w:r w:rsidR="00E756D7">
        <w:rPr>
          <w:color w:val="000000"/>
          <w:sz w:val="24"/>
          <w:szCs w:val="24"/>
        </w:rPr>
        <w:t xml:space="preserve"> importance of tradition and culture to the Roman administration. Lendon focused on those who governed, whereas Ando’s approach was how the governed were influenced by government.</w:t>
      </w:r>
      <w:r w:rsidR="00E756D7">
        <w:rPr>
          <w:sz w:val="24"/>
          <w:szCs w:val="24"/>
        </w:rPr>
        <w:t xml:space="preserve"> </w:t>
      </w:r>
    </w:p>
    <w:p w:rsidR="003B5AE4" w:rsidRDefault="00E756D7" w:rsidP="003B5AE4">
      <w:pPr>
        <w:spacing w:line="480" w:lineRule="auto"/>
        <w:ind w:firstLine="720"/>
        <w:jc w:val="both"/>
        <w:rPr>
          <w:sz w:val="24"/>
          <w:szCs w:val="24"/>
        </w:rPr>
      </w:pPr>
      <w:r>
        <w:rPr>
          <w:sz w:val="24"/>
          <w:szCs w:val="24"/>
        </w:rPr>
        <w:t>This combined paradigm of Roman administrative practice can be be</w:t>
      </w:r>
      <w:r w:rsidR="001166A9">
        <w:rPr>
          <w:sz w:val="24"/>
          <w:szCs w:val="24"/>
        </w:rPr>
        <w:t>st encapsulated in two phrases that</w:t>
      </w:r>
      <w:r>
        <w:rPr>
          <w:sz w:val="24"/>
          <w:szCs w:val="24"/>
        </w:rPr>
        <w:t xml:space="preserve"> encapsulated </w:t>
      </w:r>
      <w:r w:rsidR="001166A9">
        <w:rPr>
          <w:sz w:val="24"/>
          <w:szCs w:val="24"/>
        </w:rPr>
        <w:t>the Roman attitude towards how administrators</w:t>
      </w:r>
      <w:r>
        <w:rPr>
          <w:sz w:val="24"/>
          <w:szCs w:val="24"/>
        </w:rPr>
        <w:t xml:space="preserve"> should behave in public life.</w:t>
      </w:r>
      <w:r w:rsidR="001166A9">
        <w:rPr>
          <w:sz w:val="24"/>
          <w:szCs w:val="24"/>
        </w:rPr>
        <w:t xml:space="preserve"> This is the dichotomy </w:t>
      </w:r>
      <w:r w:rsidR="00F630A0">
        <w:rPr>
          <w:sz w:val="24"/>
          <w:szCs w:val="24"/>
        </w:rPr>
        <w:t>of</w:t>
      </w:r>
      <w:r w:rsidR="001166A9">
        <w:rPr>
          <w:sz w:val="24"/>
          <w:szCs w:val="24"/>
        </w:rPr>
        <w:t xml:space="preserve"> </w:t>
      </w:r>
      <w:r w:rsidR="001D4539">
        <w:rPr>
          <w:sz w:val="24"/>
          <w:szCs w:val="24"/>
        </w:rPr>
        <w:t>avoiding</w:t>
      </w:r>
      <w:r w:rsidR="001166A9">
        <w:rPr>
          <w:sz w:val="24"/>
          <w:szCs w:val="24"/>
        </w:rPr>
        <w:t xml:space="preserve"> </w:t>
      </w:r>
      <w:r>
        <w:rPr>
          <w:i/>
          <w:sz w:val="24"/>
          <w:szCs w:val="24"/>
        </w:rPr>
        <w:t>Novae res</w:t>
      </w:r>
      <w:r>
        <w:rPr>
          <w:sz w:val="24"/>
          <w:szCs w:val="24"/>
        </w:rPr>
        <w:t>, or “new thing</w:t>
      </w:r>
      <w:r w:rsidR="001D4539">
        <w:rPr>
          <w:sz w:val="24"/>
          <w:szCs w:val="24"/>
        </w:rPr>
        <w:t>s</w:t>
      </w:r>
      <w:r>
        <w:rPr>
          <w:sz w:val="24"/>
          <w:szCs w:val="24"/>
        </w:rPr>
        <w:t xml:space="preserve">”, </w:t>
      </w:r>
      <w:r w:rsidR="001166A9">
        <w:rPr>
          <w:sz w:val="24"/>
          <w:szCs w:val="24"/>
        </w:rPr>
        <w:t>and instead ensuring</w:t>
      </w:r>
      <w:r>
        <w:rPr>
          <w:sz w:val="24"/>
          <w:szCs w:val="24"/>
        </w:rPr>
        <w:t xml:space="preserve"> that every individual </w:t>
      </w:r>
      <w:r w:rsidR="001166A9">
        <w:rPr>
          <w:sz w:val="24"/>
          <w:szCs w:val="24"/>
        </w:rPr>
        <w:t>conducted themselves</w:t>
      </w:r>
      <w:r>
        <w:rPr>
          <w:sz w:val="24"/>
          <w:szCs w:val="24"/>
        </w:rPr>
        <w:t xml:space="preserve"> according to the </w:t>
      </w:r>
      <w:r>
        <w:rPr>
          <w:i/>
          <w:sz w:val="24"/>
          <w:szCs w:val="24"/>
        </w:rPr>
        <w:t xml:space="preserve">Mos </w:t>
      </w:r>
      <w:r>
        <w:rPr>
          <w:i/>
          <w:sz w:val="24"/>
          <w:szCs w:val="24"/>
        </w:rPr>
        <w:lastRenderedPageBreak/>
        <w:t>Maiorum,</w:t>
      </w:r>
      <w:r>
        <w:rPr>
          <w:sz w:val="24"/>
          <w:szCs w:val="24"/>
        </w:rPr>
        <w:t xml:space="preserve"> “The traditions of our ancestors”.</w:t>
      </w:r>
      <w:r>
        <w:rPr>
          <w:rStyle w:val="FootnoteReference"/>
          <w:sz w:val="24"/>
          <w:szCs w:val="24"/>
        </w:rPr>
        <w:footnoteReference w:id="354"/>
      </w:r>
      <w:r>
        <w:rPr>
          <w:sz w:val="24"/>
          <w:szCs w:val="24"/>
        </w:rPr>
        <w:t xml:space="preserve"> According to the 92 BC Edict of the Censors recorded by Suetonius, ‘All that is new is done contrary to the usage and the customs of our ancestors, seems not to be right.’</w:t>
      </w:r>
      <w:r>
        <w:rPr>
          <w:rStyle w:val="FootnoteReference"/>
          <w:sz w:val="24"/>
          <w:szCs w:val="24"/>
        </w:rPr>
        <w:footnoteReference w:id="355"/>
      </w:r>
      <w:r>
        <w:rPr>
          <w:sz w:val="24"/>
          <w:szCs w:val="24"/>
        </w:rPr>
        <w:t xml:space="preserve"> Augustus made sure to couch his rise to supreme power in traditional Republican terms, and the sheer length of his reign meant that many of his “adaptions” became readily accepted as part of the </w:t>
      </w:r>
      <w:r>
        <w:rPr>
          <w:i/>
          <w:sz w:val="24"/>
          <w:szCs w:val="24"/>
        </w:rPr>
        <w:t>Mos Maiorum</w:t>
      </w:r>
      <w:r>
        <w:rPr>
          <w:sz w:val="24"/>
          <w:szCs w:val="24"/>
        </w:rPr>
        <w:t>.</w:t>
      </w:r>
      <w:r>
        <w:rPr>
          <w:rStyle w:val="FootnoteReference"/>
          <w:sz w:val="24"/>
          <w:szCs w:val="24"/>
        </w:rPr>
        <w:footnoteReference w:id="356"/>
      </w:r>
      <w:r w:rsidR="00AE5A32" w:rsidRPr="00AE5A32">
        <w:rPr>
          <w:sz w:val="24"/>
          <w:szCs w:val="24"/>
        </w:rPr>
        <w:t xml:space="preserve"> </w:t>
      </w:r>
      <w:r>
        <w:rPr>
          <w:sz w:val="24"/>
          <w:szCs w:val="24"/>
        </w:rPr>
        <w:t>Both Ando and Lendon have hit the nail</w:t>
      </w:r>
      <w:r w:rsidR="001D4539">
        <w:rPr>
          <w:sz w:val="24"/>
          <w:szCs w:val="24"/>
        </w:rPr>
        <w:t xml:space="preserve"> on the head when they address</w:t>
      </w:r>
      <w:r w:rsidR="00342E82">
        <w:rPr>
          <w:sz w:val="24"/>
          <w:szCs w:val="24"/>
        </w:rPr>
        <w:t xml:space="preserve"> the issue of how the e</w:t>
      </w:r>
      <w:r>
        <w:rPr>
          <w:sz w:val="24"/>
          <w:szCs w:val="24"/>
        </w:rPr>
        <w:t>mpire was able to extend its reach in such a pre-modern st</w:t>
      </w:r>
      <w:r w:rsidR="00342E82">
        <w:rPr>
          <w:sz w:val="24"/>
          <w:szCs w:val="24"/>
        </w:rPr>
        <w:t>ate. Ando argues that the e</w:t>
      </w:r>
      <w:r w:rsidR="001D4539">
        <w:rPr>
          <w:sz w:val="24"/>
          <w:szCs w:val="24"/>
        </w:rPr>
        <w:t>mpire</w:t>
      </w:r>
      <w:r>
        <w:rPr>
          <w:sz w:val="24"/>
          <w:szCs w:val="24"/>
        </w:rPr>
        <w:t xml:space="preserve"> survived because it was viewed by its citizens as being a rational-l</w:t>
      </w:r>
      <w:r w:rsidR="00E9160B">
        <w:rPr>
          <w:sz w:val="24"/>
          <w:szCs w:val="24"/>
        </w:rPr>
        <w:t xml:space="preserve">egal entity that therefore was </w:t>
      </w:r>
      <w:r>
        <w:rPr>
          <w:sz w:val="24"/>
          <w:szCs w:val="24"/>
        </w:rPr>
        <w:t>universally beneficial.</w:t>
      </w:r>
      <w:r>
        <w:rPr>
          <w:rStyle w:val="FootnoteReference"/>
          <w:sz w:val="24"/>
          <w:szCs w:val="24"/>
        </w:rPr>
        <w:footnoteReference w:id="357"/>
      </w:r>
      <w:r>
        <w:rPr>
          <w:sz w:val="24"/>
          <w:szCs w:val="24"/>
        </w:rPr>
        <w:t xml:space="preserve"> The administration’s role, for Ando, was to shape the people’s expectations </w:t>
      </w:r>
      <w:r w:rsidR="001D4539">
        <w:rPr>
          <w:sz w:val="24"/>
          <w:szCs w:val="24"/>
        </w:rPr>
        <w:t>about its nature by inserting</w:t>
      </w:r>
      <w:r>
        <w:rPr>
          <w:sz w:val="24"/>
          <w:szCs w:val="24"/>
        </w:rPr>
        <w:t xml:space="preserve"> itself into everyday aspects of its citizen’s life. It achieved </w:t>
      </w:r>
      <w:r w:rsidR="001D4539">
        <w:rPr>
          <w:sz w:val="24"/>
          <w:szCs w:val="24"/>
        </w:rPr>
        <w:t xml:space="preserve">this </w:t>
      </w:r>
      <w:r>
        <w:rPr>
          <w:sz w:val="24"/>
          <w:szCs w:val="24"/>
        </w:rPr>
        <w:t>by ensuring that its business was conducted through de-personalised institutions such as the law courts, birth and death registries, tax collections and the census. Ando claims that these were de-personalised because they were expected to operate in the same way regardless of who managed them and where they managed them.</w:t>
      </w:r>
      <w:r>
        <w:rPr>
          <w:rStyle w:val="FootnoteReference"/>
          <w:sz w:val="24"/>
          <w:szCs w:val="24"/>
        </w:rPr>
        <w:footnoteReference w:id="358"/>
      </w:r>
      <w:r>
        <w:rPr>
          <w:sz w:val="24"/>
          <w:szCs w:val="24"/>
        </w:rPr>
        <w:t xml:space="preserve"> The second great aspect of the government’s work involved the physical maintenance of the material forms of governments. This all proceeded to function because the mutual reverence for traditional, legalistic government meant that the Romans were able to achieve a wide consensus over broad geographical and cultural areas. Lendon came to a similar conclusion, but through a very different approach. Lendon argues that the authority of the law and bureaucratic power was an effective method of control, but that a perennial ignorance of legal technicalities means that it would be ignored not only by its subjects but also by many </w:t>
      </w:r>
      <w:r>
        <w:rPr>
          <w:sz w:val="24"/>
          <w:szCs w:val="24"/>
        </w:rPr>
        <w:lastRenderedPageBreak/>
        <w:t>of the officials.</w:t>
      </w:r>
      <w:r>
        <w:rPr>
          <w:rStyle w:val="FootnoteReference"/>
          <w:sz w:val="24"/>
          <w:szCs w:val="24"/>
        </w:rPr>
        <w:footnoteReference w:id="359"/>
      </w:r>
      <w:r>
        <w:rPr>
          <w:sz w:val="24"/>
          <w:szCs w:val="24"/>
        </w:rPr>
        <w:t xml:space="preserve"> There had to be a mutually understood method that could be readily applied to the whole Empire, one that was attractive to both the ruler and the ruled. The authority of any given administrator rested upon his honour and glory. His personal authority determined the prestige of his government post as much as the post itself burnished his. </w:t>
      </w:r>
    </w:p>
    <w:p w:rsidR="00E756D7" w:rsidRPr="0095241A" w:rsidRDefault="00825938" w:rsidP="003B5AE4">
      <w:pPr>
        <w:spacing w:line="480" w:lineRule="auto"/>
        <w:ind w:firstLine="720"/>
        <w:jc w:val="both"/>
        <w:rPr>
          <w:sz w:val="24"/>
          <w:szCs w:val="24"/>
        </w:rPr>
      </w:pPr>
      <w:r>
        <w:rPr>
          <w:sz w:val="24"/>
          <w:szCs w:val="24"/>
        </w:rPr>
        <w:t>Ultimately</w:t>
      </w:r>
      <w:r w:rsidR="00E756D7">
        <w:rPr>
          <w:sz w:val="24"/>
          <w:szCs w:val="24"/>
        </w:rPr>
        <w:t xml:space="preserve"> Ando and Lendon have arrived at same </w:t>
      </w:r>
      <w:r w:rsidR="00E756D7" w:rsidRPr="0095241A">
        <w:rPr>
          <w:sz w:val="24"/>
          <w:szCs w:val="24"/>
        </w:rPr>
        <w:t>conclusion from different perspectives.</w:t>
      </w:r>
      <w:r w:rsidR="00042CD2" w:rsidRPr="0095241A">
        <w:rPr>
          <w:sz w:val="24"/>
          <w:szCs w:val="24"/>
        </w:rPr>
        <w:t xml:space="preserve"> It is clear from their conclusions that central to the Roman administration was its cultural traditions</w:t>
      </w:r>
      <w:r w:rsidR="003B5AE4" w:rsidRPr="0095241A">
        <w:rPr>
          <w:sz w:val="24"/>
          <w:szCs w:val="24"/>
        </w:rPr>
        <w:t>. Both argued that the Roman reverence for tradition, precedent and custom in Roman government meant that we could use a variety of evidence from across the history of the Empire to explore the Roman administration.</w:t>
      </w:r>
      <w:r w:rsidR="003B5AE4" w:rsidRPr="0095241A">
        <w:rPr>
          <w:rStyle w:val="FootnoteReference"/>
          <w:sz w:val="24"/>
          <w:szCs w:val="24"/>
        </w:rPr>
        <w:footnoteReference w:id="360"/>
      </w:r>
      <w:r w:rsidR="00042CD2" w:rsidRPr="0095241A">
        <w:rPr>
          <w:sz w:val="24"/>
          <w:szCs w:val="24"/>
        </w:rPr>
        <w:t xml:space="preserve"> Therefore the Romans had a multitude of administrative uses for cartographical and topographical depictions of their glorious history.</w:t>
      </w:r>
      <w:r w:rsidR="00E756D7" w:rsidRPr="0095241A">
        <w:rPr>
          <w:sz w:val="24"/>
          <w:szCs w:val="24"/>
        </w:rPr>
        <w:t xml:space="preserve"> Everyone behaves around government in a certain fashion. This pattern of behaviour was prompted </w:t>
      </w:r>
      <w:r w:rsidRPr="0095241A">
        <w:rPr>
          <w:sz w:val="24"/>
          <w:szCs w:val="24"/>
        </w:rPr>
        <w:t xml:space="preserve">(and reinforced) </w:t>
      </w:r>
      <w:r w:rsidR="00E756D7" w:rsidRPr="0095241A">
        <w:rPr>
          <w:sz w:val="24"/>
          <w:szCs w:val="24"/>
        </w:rPr>
        <w:t>by these administrative documents.</w:t>
      </w:r>
      <w:r w:rsidR="00042CD2" w:rsidRPr="0095241A">
        <w:rPr>
          <w:sz w:val="24"/>
          <w:szCs w:val="24"/>
        </w:rPr>
        <w:t xml:space="preserve"> </w:t>
      </w:r>
      <w:r w:rsidR="00E756D7" w:rsidRPr="0095241A">
        <w:rPr>
          <w:sz w:val="24"/>
          <w:szCs w:val="24"/>
        </w:rPr>
        <w:t xml:space="preserve">Tradition, as </w:t>
      </w:r>
      <w:r w:rsidR="004F21D0" w:rsidRPr="0095241A">
        <w:rPr>
          <w:sz w:val="24"/>
          <w:szCs w:val="24"/>
        </w:rPr>
        <w:t xml:space="preserve">these </w:t>
      </w:r>
      <w:r w:rsidR="00E756D7" w:rsidRPr="0095241A">
        <w:rPr>
          <w:sz w:val="24"/>
          <w:szCs w:val="24"/>
        </w:rPr>
        <w:t>document</w:t>
      </w:r>
      <w:r w:rsidR="004F21D0" w:rsidRPr="0095241A">
        <w:rPr>
          <w:sz w:val="24"/>
          <w:szCs w:val="24"/>
        </w:rPr>
        <w:t>s represented and manipulated</w:t>
      </w:r>
      <w:r w:rsidRPr="0095241A">
        <w:rPr>
          <w:sz w:val="24"/>
          <w:szCs w:val="24"/>
        </w:rPr>
        <w:t xml:space="preserve"> it</w:t>
      </w:r>
      <w:r w:rsidR="00E756D7" w:rsidRPr="0095241A">
        <w:rPr>
          <w:sz w:val="24"/>
          <w:szCs w:val="24"/>
        </w:rPr>
        <w:t>, conditioned people to expect certain things of the administration and to behave in a certain matter</w:t>
      </w:r>
      <w:r w:rsidR="004F21D0" w:rsidRPr="0095241A">
        <w:rPr>
          <w:sz w:val="24"/>
          <w:szCs w:val="24"/>
        </w:rPr>
        <w:t xml:space="preserve"> with regards to it</w:t>
      </w:r>
      <w:r w:rsidR="00E756D7" w:rsidRPr="0095241A">
        <w:rPr>
          <w:sz w:val="24"/>
          <w:szCs w:val="24"/>
        </w:rPr>
        <w:t>. This paradigm meant that in order to be able to govern effectively</w:t>
      </w:r>
      <w:r w:rsidR="00687881" w:rsidRPr="0095241A">
        <w:rPr>
          <w:sz w:val="24"/>
          <w:szCs w:val="24"/>
        </w:rPr>
        <w:t>,</w:t>
      </w:r>
      <w:r w:rsidR="00E756D7" w:rsidRPr="0095241A">
        <w:rPr>
          <w:sz w:val="24"/>
          <w:szCs w:val="24"/>
        </w:rPr>
        <w:t xml:space="preserve"> one </w:t>
      </w:r>
      <w:r w:rsidR="00687881" w:rsidRPr="0095241A">
        <w:rPr>
          <w:sz w:val="24"/>
          <w:szCs w:val="24"/>
        </w:rPr>
        <w:t>had to demonstrate</w:t>
      </w:r>
      <w:r w:rsidR="00E756D7" w:rsidRPr="0095241A">
        <w:rPr>
          <w:sz w:val="24"/>
          <w:szCs w:val="24"/>
        </w:rPr>
        <w:t xml:space="preserve"> </w:t>
      </w:r>
      <w:r w:rsidR="00687881" w:rsidRPr="0095241A">
        <w:rPr>
          <w:sz w:val="24"/>
          <w:szCs w:val="24"/>
        </w:rPr>
        <w:t>participation</w:t>
      </w:r>
      <w:r w:rsidR="00E756D7" w:rsidRPr="0095241A">
        <w:rPr>
          <w:sz w:val="24"/>
          <w:szCs w:val="24"/>
        </w:rPr>
        <w:t xml:space="preserve"> in th</w:t>
      </w:r>
      <w:r w:rsidRPr="0095241A">
        <w:rPr>
          <w:sz w:val="24"/>
          <w:szCs w:val="24"/>
        </w:rPr>
        <w:t xml:space="preserve">e socio-political </w:t>
      </w:r>
      <w:r w:rsidR="00687881" w:rsidRPr="0095241A">
        <w:rPr>
          <w:sz w:val="24"/>
          <w:szCs w:val="24"/>
        </w:rPr>
        <w:t>hierarchy and ensure</w:t>
      </w:r>
      <w:r w:rsidRPr="0095241A">
        <w:rPr>
          <w:sz w:val="24"/>
          <w:szCs w:val="24"/>
        </w:rPr>
        <w:t xml:space="preserve"> that</w:t>
      </w:r>
      <w:r w:rsidR="00E756D7" w:rsidRPr="0095241A">
        <w:rPr>
          <w:sz w:val="24"/>
          <w:szCs w:val="24"/>
        </w:rPr>
        <w:t xml:space="preserve"> </w:t>
      </w:r>
      <w:r w:rsidRPr="0095241A">
        <w:rPr>
          <w:sz w:val="24"/>
          <w:szCs w:val="24"/>
        </w:rPr>
        <w:t>one’s</w:t>
      </w:r>
      <w:r w:rsidR="00E756D7" w:rsidRPr="0095241A">
        <w:rPr>
          <w:sz w:val="24"/>
          <w:szCs w:val="24"/>
        </w:rPr>
        <w:t xml:space="preserve"> authority was </w:t>
      </w:r>
      <w:r w:rsidR="007623A4" w:rsidRPr="0095241A">
        <w:rPr>
          <w:sz w:val="24"/>
          <w:szCs w:val="24"/>
        </w:rPr>
        <w:t xml:space="preserve">grounded in </w:t>
      </w:r>
      <w:r w:rsidR="00E756D7" w:rsidRPr="0095241A">
        <w:rPr>
          <w:sz w:val="24"/>
          <w:szCs w:val="24"/>
        </w:rPr>
        <w:t xml:space="preserve">traditional values that valued history and continuity. </w:t>
      </w:r>
      <w:r w:rsidR="001D4539">
        <w:rPr>
          <w:sz w:val="24"/>
          <w:szCs w:val="24"/>
        </w:rPr>
        <w:t>This demonstrated that an a</w:t>
      </w:r>
      <w:r w:rsidR="007623A4" w:rsidRPr="0095241A">
        <w:rPr>
          <w:sz w:val="24"/>
          <w:szCs w:val="24"/>
        </w:rPr>
        <w:t xml:space="preserve">dministrator’s authority </w:t>
      </w:r>
      <w:r w:rsidR="00E756D7" w:rsidRPr="0095241A">
        <w:rPr>
          <w:sz w:val="24"/>
          <w:szCs w:val="24"/>
        </w:rPr>
        <w:t>respect</w:t>
      </w:r>
      <w:r w:rsidR="007623A4" w:rsidRPr="0095241A">
        <w:rPr>
          <w:sz w:val="24"/>
          <w:szCs w:val="24"/>
        </w:rPr>
        <w:t xml:space="preserve">ed </w:t>
      </w:r>
      <w:r w:rsidR="00E756D7" w:rsidRPr="0095241A">
        <w:rPr>
          <w:sz w:val="24"/>
          <w:szCs w:val="24"/>
        </w:rPr>
        <w:t>the traditions of the ancestors</w:t>
      </w:r>
      <w:r w:rsidR="008D31F9">
        <w:rPr>
          <w:sz w:val="24"/>
          <w:szCs w:val="24"/>
        </w:rPr>
        <w:t xml:space="preserve"> and sh</w:t>
      </w:r>
      <w:r w:rsidR="007623A4" w:rsidRPr="0095241A">
        <w:rPr>
          <w:sz w:val="24"/>
          <w:szCs w:val="24"/>
        </w:rPr>
        <w:t>ould be considered legitimate</w:t>
      </w:r>
      <w:r w:rsidR="008D31F9">
        <w:rPr>
          <w:sz w:val="24"/>
          <w:szCs w:val="24"/>
        </w:rPr>
        <w:t>. T</w:t>
      </w:r>
      <w:r w:rsidR="007623A4" w:rsidRPr="0095241A">
        <w:rPr>
          <w:sz w:val="24"/>
          <w:szCs w:val="24"/>
        </w:rPr>
        <w:t>herefore it was right that it was obeyed</w:t>
      </w:r>
      <w:r w:rsidR="00E756D7" w:rsidRPr="0095241A">
        <w:rPr>
          <w:sz w:val="24"/>
          <w:szCs w:val="24"/>
        </w:rPr>
        <w:t>.</w:t>
      </w:r>
      <w:r w:rsidR="00E756D7" w:rsidRPr="0095241A">
        <w:rPr>
          <w:rStyle w:val="FootnoteReference"/>
          <w:sz w:val="24"/>
          <w:szCs w:val="24"/>
        </w:rPr>
        <w:footnoteReference w:id="361"/>
      </w:r>
      <w:r w:rsidR="00E756D7" w:rsidRPr="0095241A">
        <w:rPr>
          <w:sz w:val="24"/>
          <w:szCs w:val="24"/>
        </w:rPr>
        <w:t xml:space="preserve"> </w:t>
      </w:r>
    </w:p>
    <w:p w:rsidR="00E9160B" w:rsidRDefault="00E9160B" w:rsidP="00722391">
      <w:pPr>
        <w:spacing w:line="480" w:lineRule="auto"/>
        <w:jc w:val="both"/>
        <w:rPr>
          <w:sz w:val="24"/>
          <w:szCs w:val="24"/>
        </w:rPr>
      </w:pPr>
    </w:p>
    <w:p w:rsidR="00342E82" w:rsidRPr="0095241A" w:rsidRDefault="00342E82" w:rsidP="00722391">
      <w:pPr>
        <w:spacing w:line="480" w:lineRule="auto"/>
        <w:jc w:val="both"/>
        <w:rPr>
          <w:sz w:val="24"/>
          <w:szCs w:val="24"/>
          <w:u w:val="single"/>
        </w:rPr>
      </w:pPr>
    </w:p>
    <w:p w:rsidR="00E756D7" w:rsidRDefault="00036C93" w:rsidP="00722391">
      <w:pPr>
        <w:spacing w:line="480" w:lineRule="auto"/>
        <w:jc w:val="both"/>
        <w:rPr>
          <w:sz w:val="24"/>
          <w:szCs w:val="24"/>
          <w:u w:val="single"/>
        </w:rPr>
      </w:pPr>
      <w:r w:rsidRPr="0095241A">
        <w:rPr>
          <w:sz w:val="24"/>
          <w:szCs w:val="24"/>
          <w:u w:val="single"/>
        </w:rPr>
        <w:t xml:space="preserve">“An Elegant and Complicated </w:t>
      </w:r>
      <w:r w:rsidR="00DB632E" w:rsidRPr="0095241A">
        <w:rPr>
          <w:sz w:val="24"/>
          <w:szCs w:val="24"/>
          <w:u w:val="single"/>
        </w:rPr>
        <w:t>Simplicity</w:t>
      </w:r>
      <w:r w:rsidRPr="0095241A">
        <w:rPr>
          <w:sz w:val="24"/>
          <w:szCs w:val="24"/>
          <w:u w:val="single"/>
        </w:rPr>
        <w:t xml:space="preserve">”: The </w:t>
      </w:r>
      <w:r w:rsidRPr="0095241A">
        <w:rPr>
          <w:i/>
          <w:sz w:val="24"/>
          <w:szCs w:val="24"/>
          <w:u w:val="single"/>
        </w:rPr>
        <w:t xml:space="preserve">Notitia Dignitatum </w:t>
      </w:r>
      <w:r w:rsidRPr="0095241A">
        <w:rPr>
          <w:sz w:val="24"/>
          <w:szCs w:val="24"/>
          <w:u w:val="single"/>
        </w:rPr>
        <w:t xml:space="preserve">and the </w:t>
      </w:r>
      <w:r w:rsidRPr="0095241A">
        <w:rPr>
          <w:i/>
          <w:sz w:val="24"/>
          <w:szCs w:val="24"/>
          <w:u w:val="single"/>
        </w:rPr>
        <w:t>Laterculus Veronensis</w:t>
      </w:r>
      <w:r w:rsidR="00E756D7" w:rsidRPr="0095241A">
        <w:rPr>
          <w:sz w:val="24"/>
          <w:szCs w:val="24"/>
          <w:u w:val="single"/>
        </w:rPr>
        <w:t>:</w:t>
      </w:r>
    </w:p>
    <w:p w:rsidR="008072F2" w:rsidRDefault="008072F2" w:rsidP="008072F2">
      <w:pPr>
        <w:spacing w:line="480" w:lineRule="auto"/>
        <w:jc w:val="both"/>
        <w:rPr>
          <w:sz w:val="24"/>
          <w:szCs w:val="24"/>
        </w:rPr>
      </w:pPr>
    </w:p>
    <w:p w:rsidR="000616F3" w:rsidRPr="00EA0AE5" w:rsidRDefault="001D4539" w:rsidP="008072F2">
      <w:pPr>
        <w:spacing w:line="480" w:lineRule="auto"/>
        <w:jc w:val="both"/>
        <w:rPr>
          <w:sz w:val="24"/>
          <w:szCs w:val="24"/>
        </w:rPr>
      </w:pPr>
      <w:r>
        <w:rPr>
          <w:sz w:val="24"/>
          <w:szCs w:val="24"/>
        </w:rPr>
        <w:t>Whereas we may need comple</w:t>
      </w:r>
      <w:r w:rsidR="000616F3" w:rsidRPr="0095241A">
        <w:rPr>
          <w:sz w:val="24"/>
          <w:szCs w:val="24"/>
        </w:rPr>
        <w:t>mentary sources in order to determine w</w:t>
      </w:r>
      <w:r w:rsidR="008D31F9">
        <w:rPr>
          <w:sz w:val="24"/>
          <w:szCs w:val="24"/>
        </w:rPr>
        <w:t>hat these hierarchies were</w:t>
      </w:r>
      <w:r w:rsidR="000616F3" w:rsidRPr="0095241A">
        <w:rPr>
          <w:sz w:val="24"/>
          <w:szCs w:val="24"/>
        </w:rPr>
        <w:t>, the Romans would need no such corroboration. Such a declaration of hierarchy would (in theory) solve jurisdictional crises quite easily.</w:t>
      </w:r>
      <w:r w:rsidR="000616F3">
        <w:rPr>
          <w:sz w:val="24"/>
          <w:szCs w:val="24"/>
        </w:rPr>
        <w:t xml:space="preserve"> Cartograph</w:t>
      </w:r>
      <w:r w:rsidR="008D31F9">
        <w:rPr>
          <w:sz w:val="24"/>
          <w:szCs w:val="24"/>
        </w:rPr>
        <w:t>ic and topographical texts</w:t>
      </w:r>
      <w:r w:rsidR="000616F3">
        <w:rPr>
          <w:sz w:val="24"/>
          <w:szCs w:val="24"/>
        </w:rPr>
        <w:t xml:space="preserve"> seem likely to be ideologically driven document</w:t>
      </w:r>
      <w:r>
        <w:rPr>
          <w:sz w:val="24"/>
          <w:szCs w:val="24"/>
        </w:rPr>
        <w:t>s</w:t>
      </w:r>
      <w:r w:rsidR="000616F3">
        <w:rPr>
          <w:sz w:val="24"/>
          <w:szCs w:val="24"/>
        </w:rPr>
        <w:t xml:space="preserve"> designed to stress unity and order, and indeed many of them could/would serve this purpose. But by depicting the hierarchies and </w:t>
      </w:r>
      <w:r w:rsidR="00342E82">
        <w:rPr>
          <w:sz w:val="24"/>
          <w:szCs w:val="24"/>
        </w:rPr>
        <w:t>authorities of the e</w:t>
      </w:r>
      <w:r>
        <w:rPr>
          <w:sz w:val="24"/>
          <w:szCs w:val="24"/>
        </w:rPr>
        <w:t xml:space="preserve">mpire, </w:t>
      </w:r>
      <w:r w:rsidR="00342E82">
        <w:rPr>
          <w:sz w:val="24"/>
          <w:szCs w:val="24"/>
        </w:rPr>
        <w:t>i</w:t>
      </w:r>
      <w:r w:rsidR="008B44B0">
        <w:rPr>
          <w:sz w:val="24"/>
          <w:szCs w:val="24"/>
        </w:rPr>
        <w:t>mperial</w:t>
      </w:r>
      <w:r w:rsidR="000616F3">
        <w:rPr>
          <w:sz w:val="24"/>
          <w:szCs w:val="24"/>
        </w:rPr>
        <w:t xml:space="preserve"> government shaped people’s view of what the nature of the administration was and in turn their expectations about what it could do for them.</w:t>
      </w:r>
      <w:r w:rsidR="000616F3">
        <w:rPr>
          <w:rStyle w:val="FootnoteReference"/>
          <w:sz w:val="24"/>
          <w:szCs w:val="24"/>
        </w:rPr>
        <w:footnoteReference w:id="362"/>
      </w:r>
      <w:r w:rsidR="00342E82">
        <w:rPr>
          <w:sz w:val="24"/>
          <w:szCs w:val="24"/>
        </w:rPr>
        <w:t xml:space="preserve"> We have previously mentioned the </w:t>
      </w:r>
      <w:r w:rsidR="00342E82">
        <w:rPr>
          <w:i/>
          <w:sz w:val="24"/>
          <w:szCs w:val="24"/>
        </w:rPr>
        <w:t>Notitia Dignitatum,</w:t>
      </w:r>
      <w:r w:rsidR="00342E82">
        <w:rPr>
          <w:sz w:val="24"/>
          <w:szCs w:val="24"/>
        </w:rPr>
        <w:t xml:space="preserve"> the great inventory of the later Roman </w:t>
      </w:r>
      <w:proofErr w:type="gramStart"/>
      <w:r w:rsidR="00342E82">
        <w:rPr>
          <w:sz w:val="24"/>
          <w:szCs w:val="24"/>
        </w:rPr>
        <w:t>empire’s</w:t>
      </w:r>
      <w:proofErr w:type="gramEnd"/>
      <w:r w:rsidR="00342E82">
        <w:rPr>
          <w:sz w:val="24"/>
          <w:szCs w:val="24"/>
        </w:rPr>
        <w:t xml:space="preserve"> civil and military offices. Believed to have been created in the late fourth/early fifth-century, it depicts the empire, in literary and </w:t>
      </w:r>
      <w:r w:rsidR="009C7AF1">
        <w:rPr>
          <w:sz w:val="24"/>
          <w:szCs w:val="24"/>
        </w:rPr>
        <w:t>pectoral</w:t>
      </w:r>
      <w:r w:rsidR="00342E82">
        <w:rPr>
          <w:sz w:val="24"/>
          <w:szCs w:val="24"/>
        </w:rPr>
        <w:t xml:space="preserve"> form, at the height of its power in a manner similar to the</w:t>
      </w:r>
      <w:r w:rsidR="00FF64DD">
        <w:rPr>
          <w:sz w:val="24"/>
          <w:szCs w:val="24"/>
        </w:rPr>
        <w:t xml:space="preserve"> organisation</w:t>
      </w:r>
      <w:r w:rsidR="004A53CF">
        <w:rPr>
          <w:sz w:val="24"/>
          <w:szCs w:val="24"/>
        </w:rPr>
        <w:t xml:space="preserve"> of the</w:t>
      </w:r>
      <w:r w:rsidR="00342E82">
        <w:rPr>
          <w:sz w:val="24"/>
          <w:szCs w:val="24"/>
        </w:rPr>
        <w:t xml:space="preserve"> Rome of the </w:t>
      </w:r>
      <w:r w:rsidR="00342E82">
        <w:rPr>
          <w:i/>
          <w:sz w:val="24"/>
          <w:szCs w:val="24"/>
        </w:rPr>
        <w:t>Regionary Catalogues</w:t>
      </w:r>
      <w:r w:rsidR="00342E82">
        <w:rPr>
          <w:sz w:val="24"/>
          <w:szCs w:val="24"/>
        </w:rPr>
        <w:t>. The</w:t>
      </w:r>
      <w:r w:rsidR="002F59EB">
        <w:rPr>
          <w:i/>
          <w:sz w:val="24"/>
          <w:szCs w:val="24"/>
        </w:rPr>
        <w:t xml:space="preserve"> Laterculus Veronensis</w:t>
      </w:r>
      <w:r w:rsidR="002F59EB">
        <w:rPr>
          <w:sz w:val="24"/>
          <w:szCs w:val="24"/>
        </w:rPr>
        <w:t xml:space="preserve"> is a list of the one-hundred provinces organised according Diocletian’s 12 new regional groupings known as </w:t>
      </w:r>
      <w:r w:rsidR="002F59EB" w:rsidRPr="002F59EB">
        <w:rPr>
          <w:sz w:val="24"/>
          <w:szCs w:val="24"/>
        </w:rPr>
        <w:t>dioceses</w:t>
      </w:r>
      <w:r w:rsidR="00342E82">
        <w:rPr>
          <w:sz w:val="24"/>
          <w:szCs w:val="24"/>
        </w:rPr>
        <w:t>.</w:t>
      </w:r>
      <w:r w:rsidR="000616F3">
        <w:rPr>
          <w:sz w:val="24"/>
          <w:szCs w:val="24"/>
        </w:rPr>
        <w:t xml:space="preserve"> </w:t>
      </w:r>
      <w:r w:rsidR="00B05459">
        <w:rPr>
          <w:sz w:val="24"/>
          <w:szCs w:val="24"/>
        </w:rPr>
        <w:t xml:space="preserve"> W</w:t>
      </w:r>
      <w:r w:rsidR="00342E82">
        <w:rPr>
          <w:sz w:val="24"/>
          <w:szCs w:val="24"/>
        </w:rPr>
        <w:t xml:space="preserve">hilst it might not be an entirely accurate, like the </w:t>
      </w:r>
      <w:r w:rsidR="00342E82">
        <w:rPr>
          <w:i/>
          <w:sz w:val="24"/>
          <w:szCs w:val="24"/>
        </w:rPr>
        <w:t>Notitita Dignitatum</w:t>
      </w:r>
      <w:r w:rsidR="00342E82">
        <w:rPr>
          <w:sz w:val="24"/>
          <w:szCs w:val="24"/>
        </w:rPr>
        <w:t xml:space="preserve"> or the </w:t>
      </w:r>
      <w:r w:rsidR="00342E82">
        <w:rPr>
          <w:i/>
          <w:sz w:val="24"/>
          <w:szCs w:val="24"/>
        </w:rPr>
        <w:t>Regionaries</w:t>
      </w:r>
      <w:r w:rsidR="00342E82">
        <w:rPr>
          <w:sz w:val="24"/>
          <w:szCs w:val="24"/>
        </w:rPr>
        <w:t xml:space="preserve">, it clearly demonstrates the empire’s military </w:t>
      </w:r>
      <w:r w:rsidR="00C501BA">
        <w:rPr>
          <w:sz w:val="24"/>
          <w:szCs w:val="24"/>
        </w:rPr>
        <w:t>and administrative organisation and priorities</w:t>
      </w:r>
      <w:r w:rsidR="00342E82">
        <w:rPr>
          <w:sz w:val="24"/>
          <w:szCs w:val="24"/>
        </w:rPr>
        <w:t>.</w:t>
      </w:r>
      <w:r w:rsidR="00342E82">
        <w:rPr>
          <w:rStyle w:val="FootnoteReference"/>
          <w:sz w:val="24"/>
          <w:szCs w:val="24"/>
        </w:rPr>
        <w:footnoteReference w:id="363"/>
      </w:r>
      <w:r w:rsidR="00EA0AE5">
        <w:rPr>
          <w:sz w:val="24"/>
          <w:szCs w:val="24"/>
        </w:rPr>
        <w:t xml:space="preserve"> The </w:t>
      </w:r>
      <w:r w:rsidR="00EA0AE5">
        <w:rPr>
          <w:i/>
          <w:sz w:val="24"/>
          <w:szCs w:val="24"/>
        </w:rPr>
        <w:t>Laterculus Veronensis</w:t>
      </w:r>
      <w:r w:rsidR="00EA0AE5">
        <w:rPr>
          <w:sz w:val="24"/>
          <w:szCs w:val="24"/>
        </w:rPr>
        <w:t xml:space="preserve"> served as a demonstration of the Empire’s new unity after a period of civil strife and administrative reform at the third century, by using the traditional provincial </w:t>
      </w:r>
      <w:r w:rsidR="00EA0AE5">
        <w:rPr>
          <w:sz w:val="24"/>
          <w:szCs w:val="24"/>
        </w:rPr>
        <w:lastRenderedPageBreak/>
        <w:t>organisation to depict Diocletian’s new empire.</w:t>
      </w:r>
      <w:r w:rsidR="00EA0AE5">
        <w:rPr>
          <w:rStyle w:val="FootnoteReference"/>
          <w:sz w:val="24"/>
          <w:szCs w:val="24"/>
        </w:rPr>
        <w:footnoteReference w:id="364"/>
      </w:r>
      <w:r w:rsidR="00EA0AE5">
        <w:rPr>
          <w:sz w:val="24"/>
          <w:szCs w:val="24"/>
        </w:rPr>
        <w:t xml:space="preserve"> Textually, it is extremely similar to both the </w:t>
      </w:r>
      <w:r w:rsidR="00EA0AE5">
        <w:rPr>
          <w:i/>
          <w:sz w:val="24"/>
          <w:szCs w:val="24"/>
        </w:rPr>
        <w:t>Notitia Dignitatum</w:t>
      </w:r>
      <w:r w:rsidR="00EA0AE5">
        <w:rPr>
          <w:sz w:val="24"/>
          <w:szCs w:val="24"/>
        </w:rPr>
        <w:t xml:space="preserve"> and the </w:t>
      </w:r>
      <w:r w:rsidR="00EA0AE5">
        <w:rPr>
          <w:i/>
          <w:sz w:val="24"/>
          <w:szCs w:val="24"/>
        </w:rPr>
        <w:t>Regionary Catalogues</w:t>
      </w:r>
      <w:r w:rsidR="00FF64DD">
        <w:rPr>
          <w:sz w:val="24"/>
          <w:szCs w:val="24"/>
        </w:rPr>
        <w:t xml:space="preserve"> in its hierarchical composition of the provinces</w:t>
      </w:r>
      <w:r w:rsidR="00EA0AE5">
        <w:rPr>
          <w:i/>
          <w:sz w:val="24"/>
          <w:szCs w:val="24"/>
        </w:rPr>
        <w:t>.</w:t>
      </w:r>
      <w:r w:rsidR="00EA0AE5">
        <w:rPr>
          <w:sz w:val="24"/>
          <w:szCs w:val="24"/>
        </w:rPr>
        <w:t xml:space="preserve"> </w:t>
      </w:r>
      <w:r w:rsidR="00E756D7">
        <w:rPr>
          <w:sz w:val="24"/>
          <w:szCs w:val="24"/>
        </w:rPr>
        <w:t xml:space="preserve">Sources such as the </w:t>
      </w:r>
      <w:r w:rsidR="00E756D7">
        <w:rPr>
          <w:i/>
          <w:sz w:val="24"/>
          <w:szCs w:val="24"/>
        </w:rPr>
        <w:t>Notitia Dignitatum</w:t>
      </w:r>
      <w:r w:rsidR="00E756D7">
        <w:rPr>
          <w:sz w:val="24"/>
          <w:szCs w:val="24"/>
        </w:rPr>
        <w:t xml:space="preserve">, the </w:t>
      </w:r>
      <w:r w:rsidR="00E756D7">
        <w:rPr>
          <w:i/>
          <w:sz w:val="24"/>
          <w:szCs w:val="24"/>
        </w:rPr>
        <w:t>Regionary Catalogues</w:t>
      </w:r>
      <w:r w:rsidR="00E756D7">
        <w:rPr>
          <w:sz w:val="24"/>
          <w:szCs w:val="24"/>
        </w:rPr>
        <w:t xml:space="preserve"> and the </w:t>
      </w:r>
      <w:r w:rsidR="00C501BA">
        <w:rPr>
          <w:i/>
          <w:sz w:val="24"/>
          <w:szCs w:val="24"/>
        </w:rPr>
        <w:t>Laterculus Veronensis</w:t>
      </w:r>
      <w:r w:rsidR="000C666C">
        <w:rPr>
          <w:sz w:val="24"/>
          <w:szCs w:val="24"/>
        </w:rPr>
        <w:t xml:space="preserve"> are ideal for our</w:t>
      </w:r>
      <w:r w:rsidR="00E756D7">
        <w:rPr>
          <w:sz w:val="24"/>
          <w:szCs w:val="24"/>
        </w:rPr>
        <w:t xml:space="preserve"> analysis as they demonstrate how </w:t>
      </w:r>
      <w:r w:rsidR="00036C93">
        <w:rPr>
          <w:sz w:val="24"/>
          <w:szCs w:val="24"/>
        </w:rPr>
        <w:t xml:space="preserve">the literate public </w:t>
      </w:r>
      <w:r w:rsidR="00E756D7">
        <w:rPr>
          <w:sz w:val="24"/>
          <w:szCs w:val="24"/>
        </w:rPr>
        <w:t>conceived the administration</w:t>
      </w:r>
      <w:r w:rsidR="008F698A">
        <w:rPr>
          <w:sz w:val="24"/>
          <w:szCs w:val="24"/>
        </w:rPr>
        <w:t>’</w:t>
      </w:r>
      <w:r w:rsidR="00E756D7">
        <w:rPr>
          <w:sz w:val="24"/>
          <w:szCs w:val="24"/>
        </w:rPr>
        <w:t xml:space="preserve">s relationship to the </w:t>
      </w:r>
      <w:r w:rsidR="00036C93">
        <w:rPr>
          <w:sz w:val="24"/>
          <w:szCs w:val="24"/>
        </w:rPr>
        <w:t>“</w:t>
      </w:r>
      <w:r w:rsidR="00E756D7">
        <w:rPr>
          <w:sz w:val="24"/>
          <w:szCs w:val="24"/>
        </w:rPr>
        <w:t>people</w:t>
      </w:r>
      <w:r w:rsidR="00036C93">
        <w:rPr>
          <w:sz w:val="24"/>
          <w:szCs w:val="24"/>
        </w:rPr>
        <w:t>”</w:t>
      </w:r>
      <w:r w:rsidR="00E756D7">
        <w:rPr>
          <w:sz w:val="24"/>
          <w:szCs w:val="24"/>
        </w:rPr>
        <w:t xml:space="preserve"> and to its own internal workings. </w:t>
      </w:r>
      <w:r w:rsidR="008F698A">
        <w:rPr>
          <w:sz w:val="24"/>
          <w:szCs w:val="24"/>
        </w:rPr>
        <w:t>They</w:t>
      </w:r>
      <w:r w:rsidR="00342E82">
        <w:rPr>
          <w:sz w:val="24"/>
          <w:szCs w:val="24"/>
        </w:rPr>
        <w:t xml:space="preserve"> also depicted the e</w:t>
      </w:r>
      <w:r w:rsidR="000C666C">
        <w:rPr>
          <w:sz w:val="24"/>
          <w:szCs w:val="24"/>
        </w:rPr>
        <w:t>mpire in its traditional entirety,</w:t>
      </w:r>
      <w:r w:rsidR="00E756D7">
        <w:rPr>
          <w:i/>
          <w:sz w:val="24"/>
          <w:szCs w:val="24"/>
        </w:rPr>
        <w:t xml:space="preserve"> </w:t>
      </w:r>
      <w:r w:rsidR="000C666C" w:rsidRPr="000C666C">
        <w:rPr>
          <w:sz w:val="24"/>
          <w:szCs w:val="24"/>
        </w:rPr>
        <w:t>demonstrating</w:t>
      </w:r>
      <w:r w:rsidR="00E756D7">
        <w:rPr>
          <w:sz w:val="24"/>
          <w:szCs w:val="24"/>
        </w:rPr>
        <w:t xml:space="preserve"> unit</w:t>
      </w:r>
      <w:r w:rsidR="00342E82">
        <w:rPr>
          <w:sz w:val="24"/>
          <w:szCs w:val="24"/>
        </w:rPr>
        <w:t>y and power at a time when the e</w:t>
      </w:r>
      <w:r w:rsidR="00E756D7">
        <w:rPr>
          <w:sz w:val="24"/>
          <w:szCs w:val="24"/>
        </w:rPr>
        <w:t xml:space="preserve">mpire was </w:t>
      </w:r>
      <w:r w:rsidR="000C666C">
        <w:rPr>
          <w:sz w:val="24"/>
          <w:szCs w:val="24"/>
        </w:rPr>
        <w:t>already fracturing into its disparate elements</w:t>
      </w:r>
      <w:r w:rsidR="00E756D7">
        <w:rPr>
          <w:sz w:val="24"/>
          <w:szCs w:val="24"/>
        </w:rPr>
        <w:t>.</w:t>
      </w:r>
      <w:r w:rsidR="00E756D7">
        <w:rPr>
          <w:rStyle w:val="FootnoteReference"/>
          <w:sz w:val="24"/>
          <w:szCs w:val="24"/>
        </w:rPr>
        <w:footnoteReference w:id="365"/>
      </w:r>
      <w:r w:rsidR="00E756D7">
        <w:rPr>
          <w:sz w:val="24"/>
          <w:szCs w:val="24"/>
        </w:rPr>
        <w:t xml:space="preserve"> </w:t>
      </w:r>
    </w:p>
    <w:p w:rsidR="002411B6" w:rsidRDefault="008D31F9" w:rsidP="006B175F">
      <w:pPr>
        <w:spacing w:line="480" w:lineRule="auto"/>
        <w:ind w:firstLine="720"/>
        <w:jc w:val="both"/>
        <w:rPr>
          <w:sz w:val="24"/>
          <w:szCs w:val="24"/>
        </w:rPr>
      </w:pPr>
      <w:r>
        <w:rPr>
          <w:sz w:val="24"/>
          <w:szCs w:val="24"/>
        </w:rPr>
        <w:t>These ca</w:t>
      </w:r>
      <w:r w:rsidR="006B175F">
        <w:rPr>
          <w:sz w:val="24"/>
          <w:szCs w:val="24"/>
        </w:rPr>
        <w:t>rtographical depictions of the e</w:t>
      </w:r>
      <w:r>
        <w:rPr>
          <w:sz w:val="24"/>
          <w:szCs w:val="24"/>
        </w:rPr>
        <w:t>mpire helped to depict the hierarchies upon</w:t>
      </w:r>
      <w:r w:rsidR="006B175F">
        <w:rPr>
          <w:sz w:val="24"/>
          <w:szCs w:val="24"/>
        </w:rPr>
        <w:t xml:space="preserve"> which the e</w:t>
      </w:r>
      <w:r>
        <w:rPr>
          <w:sz w:val="24"/>
          <w:szCs w:val="24"/>
        </w:rPr>
        <w:t>mpire depended for its operation.</w:t>
      </w:r>
      <w:r w:rsidRPr="000616F3">
        <w:rPr>
          <w:sz w:val="24"/>
          <w:szCs w:val="24"/>
        </w:rPr>
        <w:t xml:space="preserve"> </w:t>
      </w:r>
      <w:r w:rsidR="00A7393C">
        <w:rPr>
          <w:sz w:val="24"/>
          <w:szCs w:val="24"/>
        </w:rPr>
        <w:t>W</w:t>
      </w:r>
      <w:r w:rsidR="00E756D7">
        <w:rPr>
          <w:sz w:val="24"/>
          <w:szCs w:val="24"/>
        </w:rPr>
        <w:t xml:space="preserve">ithin the </w:t>
      </w:r>
      <w:r w:rsidR="00E756D7">
        <w:rPr>
          <w:i/>
          <w:sz w:val="24"/>
          <w:szCs w:val="24"/>
        </w:rPr>
        <w:t xml:space="preserve">Notitia Dignitatum </w:t>
      </w:r>
      <w:r w:rsidR="00A7393C">
        <w:rPr>
          <w:sz w:val="24"/>
          <w:szCs w:val="24"/>
        </w:rPr>
        <w:t>w</w:t>
      </w:r>
      <w:r w:rsidR="00E756D7">
        <w:rPr>
          <w:sz w:val="24"/>
          <w:szCs w:val="24"/>
        </w:rPr>
        <w:t>e</w:t>
      </w:r>
      <w:r w:rsidR="00A7393C">
        <w:rPr>
          <w:sz w:val="24"/>
          <w:szCs w:val="24"/>
        </w:rPr>
        <w:t xml:space="preserve"> see</w:t>
      </w:r>
      <w:r w:rsidR="00E756D7">
        <w:rPr>
          <w:sz w:val="24"/>
          <w:szCs w:val="24"/>
        </w:rPr>
        <w:t xml:space="preserve"> the</w:t>
      </w:r>
      <w:r w:rsidR="006B175F">
        <w:rPr>
          <w:sz w:val="24"/>
          <w:szCs w:val="24"/>
        </w:rPr>
        <w:t xml:space="preserve"> great offices of the e</w:t>
      </w:r>
      <w:r w:rsidR="00A7393C">
        <w:rPr>
          <w:sz w:val="24"/>
          <w:szCs w:val="24"/>
        </w:rPr>
        <w:t>mpire</w:t>
      </w:r>
      <w:r w:rsidR="00E756D7">
        <w:rPr>
          <w:sz w:val="24"/>
          <w:szCs w:val="24"/>
        </w:rPr>
        <w:t xml:space="preserve"> placed in a </w:t>
      </w:r>
      <w:r w:rsidR="00A7393C">
        <w:rPr>
          <w:sz w:val="24"/>
          <w:szCs w:val="24"/>
        </w:rPr>
        <w:t xml:space="preserve">clear </w:t>
      </w:r>
      <w:r w:rsidR="00E756D7">
        <w:rPr>
          <w:sz w:val="24"/>
          <w:szCs w:val="24"/>
        </w:rPr>
        <w:t>hierarchy</w:t>
      </w:r>
      <w:r w:rsidR="00A7393C">
        <w:rPr>
          <w:sz w:val="24"/>
          <w:szCs w:val="24"/>
        </w:rPr>
        <w:t xml:space="preserve"> and</w:t>
      </w:r>
      <w:r w:rsidR="00E756D7">
        <w:rPr>
          <w:sz w:val="24"/>
          <w:szCs w:val="24"/>
        </w:rPr>
        <w:t xml:space="preserve"> accompanied by pictorial depictions of their areas of competence.</w:t>
      </w:r>
      <w:r w:rsidR="00E756D7">
        <w:rPr>
          <w:rStyle w:val="FootnoteReference"/>
          <w:sz w:val="24"/>
          <w:szCs w:val="24"/>
        </w:rPr>
        <w:footnoteReference w:id="366"/>
      </w:r>
      <w:r w:rsidR="00E756D7">
        <w:rPr>
          <w:sz w:val="24"/>
          <w:szCs w:val="24"/>
        </w:rPr>
        <w:t xml:space="preserve"> This possess</w:t>
      </w:r>
      <w:r w:rsidR="008F698A">
        <w:rPr>
          <w:sz w:val="24"/>
          <w:szCs w:val="24"/>
        </w:rPr>
        <w:t>es</w:t>
      </w:r>
      <w:r w:rsidR="00E756D7">
        <w:rPr>
          <w:sz w:val="24"/>
          <w:szCs w:val="24"/>
        </w:rPr>
        <w:t xml:space="preserve"> a dual function of not only depicting any given office</w:t>
      </w:r>
      <w:r w:rsidR="008F698A">
        <w:rPr>
          <w:sz w:val="24"/>
          <w:szCs w:val="24"/>
        </w:rPr>
        <w:t>’s</w:t>
      </w:r>
      <w:r w:rsidR="00E756D7">
        <w:rPr>
          <w:sz w:val="24"/>
          <w:szCs w:val="24"/>
        </w:rPr>
        <w:t xml:space="preserve"> area of authority but also placing it within</w:t>
      </w:r>
      <w:r w:rsidR="008F698A">
        <w:rPr>
          <w:sz w:val="24"/>
          <w:szCs w:val="24"/>
        </w:rPr>
        <w:t xml:space="preserve"> the</w:t>
      </w:r>
      <w:r w:rsidR="00E756D7">
        <w:rPr>
          <w:sz w:val="24"/>
          <w:szCs w:val="24"/>
        </w:rPr>
        <w:t xml:space="preserve"> context of other offices. The prestige and glory of an office d</w:t>
      </w:r>
      <w:r w:rsidR="008F698A">
        <w:rPr>
          <w:sz w:val="24"/>
          <w:szCs w:val="24"/>
        </w:rPr>
        <w:t>id not function within a vacuum;</w:t>
      </w:r>
      <w:r w:rsidR="00E756D7">
        <w:rPr>
          <w:sz w:val="24"/>
          <w:szCs w:val="24"/>
        </w:rPr>
        <w:t xml:space="preserve"> it increased in relation to how important its superiors and inferiors were. Here the context of the </w:t>
      </w:r>
      <w:r w:rsidR="00E756D7">
        <w:rPr>
          <w:i/>
          <w:sz w:val="24"/>
          <w:szCs w:val="24"/>
        </w:rPr>
        <w:t>cursus honorum</w:t>
      </w:r>
      <w:r w:rsidR="00E756D7">
        <w:rPr>
          <w:sz w:val="24"/>
          <w:szCs w:val="24"/>
        </w:rPr>
        <w:t xml:space="preserve"> becomes important. As the </w:t>
      </w:r>
      <w:r w:rsidR="0087599E">
        <w:rPr>
          <w:sz w:val="24"/>
          <w:szCs w:val="24"/>
        </w:rPr>
        <w:t>emperors</w:t>
      </w:r>
      <w:r w:rsidR="00A7393C">
        <w:rPr>
          <w:sz w:val="24"/>
          <w:szCs w:val="24"/>
        </w:rPr>
        <w:t xml:space="preserve"> atte</w:t>
      </w:r>
      <w:r w:rsidR="006B175F">
        <w:rPr>
          <w:sz w:val="24"/>
          <w:szCs w:val="24"/>
        </w:rPr>
        <w:t>mpted to address the crises of e</w:t>
      </w:r>
      <w:r w:rsidR="00A7393C">
        <w:rPr>
          <w:sz w:val="24"/>
          <w:szCs w:val="24"/>
        </w:rPr>
        <w:t>mpire in the third, fourth, and fifth centuries</w:t>
      </w:r>
      <w:r w:rsidR="00E756D7">
        <w:rPr>
          <w:sz w:val="24"/>
          <w:szCs w:val="24"/>
        </w:rPr>
        <w:t xml:space="preserve"> with their administrative reforms, it was essential to ensure that these offices would be appealing to tho</w:t>
      </w:r>
      <w:r w:rsidR="000E2BCF">
        <w:rPr>
          <w:sz w:val="24"/>
          <w:szCs w:val="24"/>
        </w:rPr>
        <w:t>se subjects who</w:t>
      </w:r>
      <w:r w:rsidR="00E756D7">
        <w:rPr>
          <w:sz w:val="24"/>
          <w:szCs w:val="24"/>
        </w:rPr>
        <w:t xml:space="preserve"> would have to undertake them. As it would be difficult to make these offices appealing solely through increases in their aut</w:t>
      </w:r>
      <w:r w:rsidR="008F698A">
        <w:rPr>
          <w:sz w:val="24"/>
          <w:szCs w:val="24"/>
        </w:rPr>
        <w:t>hority or financial incentives (though there certainly were financial incentives) which</w:t>
      </w:r>
      <w:r w:rsidR="00E756D7">
        <w:rPr>
          <w:sz w:val="24"/>
          <w:szCs w:val="24"/>
        </w:rPr>
        <w:t xml:space="preserve"> would defeat the whole</w:t>
      </w:r>
      <w:r w:rsidR="008F698A">
        <w:rPr>
          <w:sz w:val="24"/>
          <w:szCs w:val="24"/>
        </w:rPr>
        <w:t xml:space="preserve"> point of the reforms,</w:t>
      </w:r>
      <w:r w:rsidR="00E756D7">
        <w:rPr>
          <w:sz w:val="24"/>
          <w:szCs w:val="24"/>
        </w:rPr>
        <w:t xml:space="preserve"> then, ‘Best, if possible, to </w:t>
      </w:r>
      <w:r w:rsidR="00E756D7">
        <w:rPr>
          <w:sz w:val="24"/>
          <w:szCs w:val="24"/>
        </w:rPr>
        <w:lastRenderedPageBreak/>
        <w:t>drag up from the past some glittering old title’.</w:t>
      </w:r>
      <w:r w:rsidR="00E756D7">
        <w:rPr>
          <w:rStyle w:val="FootnoteReference"/>
          <w:sz w:val="24"/>
          <w:szCs w:val="24"/>
        </w:rPr>
        <w:footnoteReference w:id="367"/>
      </w:r>
      <w:r w:rsidR="00E756D7">
        <w:rPr>
          <w:sz w:val="24"/>
          <w:szCs w:val="24"/>
        </w:rPr>
        <w:t xml:space="preserve"> Whilst the titles in the </w:t>
      </w:r>
      <w:r w:rsidR="00E756D7">
        <w:rPr>
          <w:i/>
          <w:sz w:val="24"/>
          <w:szCs w:val="24"/>
        </w:rPr>
        <w:t>Notitia Dignitatum</w:t>
      </w:r>
      <w:r w:rsidR="000E2BCF">
        <w:rPr>
          <w:sz w:val="24"/>
          <w:szCs w:val="24"/>
        </w:rPr>
        <w:t xml:space="preserve"> may have been relatively new</w:t>
      </w:r>
      <w:r w:rsidR="00E756D7">
        <w:rPr>
          <w:sz w:val="24"/>
          <w:szCs w:val="24"/>
        </w:rPr>
        <w:t>, they were linked to</w:t>
      </w:r>
      <w:r w:rsidR="000E2BCF">
        <w:rPr>
          <w:sz w:val="24"/>
          <w:szCs w:val="24"/>
        </w:rPr>
        <w:t xml:space="preserve"> the</w:t>
      </w:r>
      <w:r w:rsidR="00E756D7">
        <w:rPr>
          <w:sz w:val="24"/>
          <w:szCs w:val="24"/>
        </w:rPr>
        <w:t xml:space="preserve"> older, nobler titles of the </w:t>
      </w:r>
      <w:r w:rsidR="00E756D7">
        <w:rPr>
          <w:i/>
          <w:sz w:val="24"/>
          <w:szCs w:val="24"/>
        </w:rPr>
        <w:t>cursus honorum</w:t>
      </w:r>
      <w:r w:rsidR="00E756D7">
        <w:rPr>
          <w:sz w:val="24"/>
          <w:szCs w:val="24"/>
        </w:rPr>
        <w:t xml:space="preserve">. The offices of the </w:t>
      </w:r>
      <w:r w:rsidR="00E756D7">
        <w:rPr>
          <w:i/>
          <w:sz w:val="24"/>
          <w:szCs w:val="24"/>
        </w:rPr>
        <w:t>Comes sacrarum largitionum</w:t>
      </w:r>
      <w:r w:rsidR="008072F2">
        <w:rPr>
          <w:sz w:val="24"/>
          <w:szCs w:val="24"/>
        </w:rPr>
        <w:t xml:space="preserve"> (Count</w:t>
      </w:r>
      <w:r w:rsidR="00E756D7">
        <w:rPr>
          <w:sz w:val="24"/>
          <w:szCs w:val="24"/>
        </w:rPr>
        <w:t xml:space="preserve"> of the </w:t>
      </w:r>
      <w:r w:rsidR="00182EFE">
        <w:rPr>
          <w:sz w:val="24"/>
          <w:szCs w:val="24"/>
        </w:rPr>
        <w:t>Sacred</w:t>
      </w:r>
      <w:r w:rsidR="00E756D7">
        <w:rPr>
          <w:sz w:val="24"/>
          <w:szCs w:val="24"/>
        </w:rPr>
        <w:t xml:space="preserve"> Largesse) and the </w:t>
      </w:r>
      <w:r w:rsidR="00E756D7">
        <w:rPr>
          <w:i/>
          <w:sz w:val="24"/>
          <w:szCs w:val="24"/>
        </w:rPr>
        <w:t>Primicerius notariorum</w:t>
      </w:r>
      <w:r w:rsidR="00E756D7">
        <w:rPr>
          <w:sz w:val="24"/>
          <w:szCs w:val="24"/>
        </w:rPr>
        <w:t xml:space="preserve"> (The Chief of the Office of the Notaries) were described as possessing rank greater than or equal to the proconsuls. The post of </w:t>
      </w:r>
      <w:r w:rsidR="00E756D7">
        <w:rPr>
          <w:i/>
          <w:sz w:val="24"/>
          <w:szCs w:val="24"/>
        </w:rPr>
        <w:t xml:space="preserve">Quaestor </w:t>
      </w:r>
      <w:r w:rsidR="00E756D7">
        <w:rPr>
          <w:sz w:val="24"/>
          <w:szCs w:val="24"/>
        </w:rPr>
        <w:t>ranked</w:t>
      </w:r>
      <w:r w:rsidR="00052514">
        <w:rPr>
          <w:sz w:val="24"/>
          <w:szCs w:val="24"/>
        </w:rPr>
        <w:t xml:space="preserve"> just</w:t>
      </w:r>
      <w:r w:rsidR="00E756D7">
        <w:rPr>
          <w:sz w:val="24"/>
          <w:szCs w:val="24"/>
        </w:rPr>
        <w:t xml:space="preserve"> above the </w:t>
      </w:r>
      <w:r w:rsidR="00E756D7">
        <w:rPr>
          <w:i/>
          <w:sz w:val="24"/>
          <w:szCs w:val="24"/>
        </w:rPr>
        <w:t>Comes sacrarum</w:t>
      </w:r>
      <w:r w:rsidR="00E756D7">
        <w:rPr>
          <w:sz w:val="24"/>
          <w:szCs w:val="24"/>
        </w:rPr>
        <w:t xml:space="preserve">, due to its association with the traditional </w:t>
      </w:r>
      <w:r w:rsidR="0087599E">
        <w:rPr>
          <w:sz w:val="24"/>
          <w:szCs w:val="24"/>
        </w:rPr>
        <w:t>s</w:t>
      </w:r>
      <w:r w:rsidR="008B44B0">
        <w:rPr>
          <w:sz w:val="24"/>
          <w:szCs w:val="24"/>
        </w:rPr>
        <w:t>enatorial</w:t>
      </w:r>
      <w:r w:rsidR="00E756D7">
        <w:rPr>
          <w:sz w:val="24"/>
          <w:szCs w:val="24"/>
        </w:rPr>
        <w:t xml:space="preserve"> post on the </w:t>
      </w:r>
      <w:r w:rsidR="00E756D7">
        <w:rPr>
          <w:i/>
          <w:sz w:val="24"/>
          <w:szCs w:val="24"/>
        </w:rPr>
        <w:t>cursus honorum</w:t>
      </w:r>
      <w:r w:rsidR="00E756D7">
        <w:rPr>
          <w:sz w:val="24"/>
          <w:szCs w:val="24"/>
        </w:rPr>
        <w:t>.</w:t>
      </w:r>
      <w:r w:rsidR="00E756D7">
        <w:rPr>
          <w:rStyle w:val="FootnoteReference"/>
          <w:sz w:val="24"/>
          <w:szCs w:val="24"/>
        </w:rPr>
        <w:footnoteReference w:id="368"/>
      </w:r>
      <w:r w:rsidR="00E756D7">
        <w:rPr>
          <w:sz w:val="24"/>
          <w:szCs w:val="24"/>
        </w:rPr>
        <w:t xml:space="preserve"> To further demon</w:t>
      </w:r>
      <w:r w:rsidR="006B175F">
        <w:rPr>
          <w:sz w:val="24"/>
          <w:szCs w:val="24"/>
        </w:rPr>
        <w:t>strate their importance to the e</w:t>
      </w:r>
      <w:r w:rsidR="00E756D7">
        <w:rPr>
          <w:sz w:val="24"/>
          <w:szCs w:val="24"/>
        </w:rPr>
        <w:t>mpire’s administration, the Urban Prefects of Rome and Constantinople are ranked below the Praetorian Prefects, and several members of their staff were given consular rank.</w:t>
      </w:r>
      <w:r w:rsidR="00E756D7">
        <w:rPr>
          <w:rStyle w:val="FootnoteReference"/>
          <w:sz w:val="24"/>
          <w:szCs w:val="24"/>
        </w:rPr>
        <w:footnoteReference w:id="369"/>
      </w:r>
      <w:r w:rsidR="00A7393C">
        <w:rPr>
          <w:sz w:val="24"/>
          <w:szCs w:val="24"/>
        </w:rPr>
        <w:t xml:space="preserve"> </w:t>
      </w:r>
      <w:r w:rsidR="00197A3C">
        <w:rPr>
          <w:sz w:val="24"/>
          <w:szCs w:val="24"/>
        </w:rPr>
        <w:t xml:space="preserve">When we reach those positions not in the </w:t>
      </w:r>
      <w:r w:rsidR="006B175F">
        <w:rPr>
          <w:sz w:val="24"/>
          <w:szCs w:val="24"/>
        </w:rPr>
        <w:t>i</w:t>
      </w:r>
      <w:r w:rsidR="008B44B0">
        <w:rPr>
          <w:sz w:val="24"/>
          <w:szCs w:val="24"/>
        </w:rPr>
        <w:t>mperial</w:t>
      </w:r>
      <w:r w:rsidR="00197A3C">
        <w:rPr>
          <w:sz w:val="24"/>
          <w:szCs w:val="24"/>
        </w:rPr>
        <w:t xml:space="preserve"> Court, the most senior are the old </w:t>
      </w:r>
      <w:r w:rsidR="0087599E">
        <w:rPr>
          <w:sz w:val="24"/>
          <w:szCs w:val="24"/>
        </w:rPr>
        <w:t>s</w:t>
      </w:r>
      <w:r w:rsidR="008B44B0">
        <w:rPr>
          <w:sz w:val="24"/>
          <w:szCs w:val="24"/>
        </w:rPr>
        <w:t>enatorial</w:t>
      </w:r>
      <w:r w:rsidR="00197A3C">
        <w:rPr>
          <w:sz w:val="24"/>
          <w:szCs w:val="24"/>
        </w:rPr>
        <w:t xml:space="preserve"> governorships of Asia, Achaia and Africa</w:t>
      </w:r>
      <w:r w:rsidR="00A7393C">
        <w:rPr>
          <w:sz w:val="24"/>
          <w:szCs w:val="24"/>
        </w:rPr>
        <w:t>.</w:t>
      </w:r>
      <w:r w:rsidR="00E756D7">
        <w:rPr>
          <w:sz w:val="24"/>
          <w:szCs w:val="24"/>
        </w:rPr>
        <w:t xml:space="preserve"> This </w:t>
      </w:r>
      <w:r w:rsidR="00A7393C">
        <w:rPr>
          <w:sz w:val="24"/>
          <w:szCs w:val="24"/>
        </w:rPr>
        <w:t>meant that the most senior political positions were also the oldest</w:t>
      </w:r>
      <w:r w:rsidR="009A0582">
        <w:rPr>
          <w:sz w:val="24"/>
          <w:szCs w:val="24"/>
        </w:rPr>
        <w:t xml:space="preserve"> and stressed the continuation of the social systems of rank and precedence that</w:t>
      </w:r>
      <w:r w:rsidR="00FF5C5E">
        <w:rPr>
          <w:sz w:val="24"/>
          <w:szCs w:val="24"/>
        </w:rPr>
        <w:t xml:space="preserve"> had</w:t>
      </w:r>
      <w:r w:rsidR="009A0582">
        <w:rPr>
          <w:sz w:val="24"/>
          <w:szCs w:val="24"/>
        </w:rPr>
        <w:t xml:space="preserve"> determined the aristocracy </w:t>
      </w:r>
      <w:r w:rsidR="00FF5C5E">
        <w:rPr>
          <w:sz w:val="24"/>
          <w:szCs w:val="24"/>
        </w:rPr>
        <w:t>and</w:t>
      </w:r>
      <w:r w:rsidR="009A0582">
        <w:rPr>
          <w:sz w:val="24"/>
          <w:szCs w:val="24"/>
        </w:rPr>
        <w:t xml:space="preserve"> political authority </w:t>
      </w:r>
      <w:r w:rsidR="00FF5C5E">
        <w:rPr>
          <w:sz w:val="24"/>
          <w:szCs w:val="24"/>
        </w:rPr>
        <w:t>in the past</w:t>
      </w:r>
      <w:r w:rsidR="009A0582">
        <w:rPr>
          <w:sz w:val="24"/>
          <w:szCs w:val="24"/>
        </w:rPr>
        <w:t>.</w:t>
      </w:r>
      <w:r w:rsidR="00FF5C5E">
        <w:rPr>
          <w:sz w:val="24"/>
          <w:szCs w:val="24"/>
        </w:rPr>
        <w:t xml:space="preserve"> </w:t>
      </w:r>
    </w:p>
    <w:p w:rsidR="00E756D7" w:rsidRDefault="002411B6" w:rsidP="00722391">
      <w:pPr>
        <w:spacing w:line="480" w:lineRule="auto"/>
        <w:ind w:firstLine="720"/>
        <w:jc w:val="both"/>
        <w:rPr>
          <w:sz w:val="24"/>
          <w:szCs w:val="24"/>
        </w:rPr>
      </w:pPr>
      <w:r>
        <w:rPr>
          <w:sz w:val="24"/>
          <w:szCs w:val="24"/>
        </w:rPr>
        <w:t xml:space="preserve">This harmony is reinforced </w:t>
      </w:r>
      <w:r w:rsidR="00FF5C5E">
        <w:rPr>
          <w:sz w:val="24"/>
          <w:szCs w:val="24"/>
        </w:rPr>
        <w:t>as the hierarchies of the greater offices were replicated in the hierarchies that determined the importance of the smaller offices</w:t>
      </w:r>
      <w:r w:rsidR="00820B3F">
        <w:rPr>
          <w:sz w:val="24"/>
          <w:szCs w:val="24"/>
        </w:rPr>
        <w:t>.</w:t>
      </w:r>
      <w:r w:rsidR="009A0582">
        <w:rPr>
          <w:sz w:val="24"/>
          <w:szCs w:val="24"/>
        </w:rPr>
        <w:t xml:space="preserve"> </w:t>
      </w:r>
      <w:r>
        <w:rPr>
          <w:sz w:val="24"/>
          <w:szCs w:val="24"/>
        </w:rPr>
        <w:t>The staff an</w:t>
      </w:r>
      <w:r w:rsidR="008F698A">
        <w:rPr>
          <w:sz w:val="24"/>
          <w:szCs w:val="24"/>
        </w:rPr>
        <w:t xml:space="preserve">d jurisdictions of each post are </w:t>
      </w:r>
      <w:r>
        <w:rPr>
          <w:sz w:val="24"/>
          <w:szCs w:val="24"/>
        </w:rPr>
        <w:t xml:space="preserve">further sub-divided and arranged according to importance. This is best exemplified by the staff of the Urban Prefect, which is topped by the Prefects of the </w:t>
      </w:r>
      <w:r w:rsidRPr="008D31F9">
        <w:rPr>
          <w:i/>
          <w:sz w:val="24"/>
          <w:szCs w:val="24"/>
        </w:rPr>
        <w:t>Annon</w:t>
      </w:r>
      <w:r w:rsidR="00036C93" w:rsidRPr="008D31F9">
        <w:rPr>
          <w:i/>
          <w:sz w:val="24"/>
          <w:szCs w:val="24"/>
        </w:rPr>
        <w:t>ae</w:t>
      </w:r>
      <w:r w:rsidR="00036C93">
        <w:rPr>
          <w:sz w:val="24"/>
          <w:szCs w:val="24"/>
        </w:rPr>
        <w:t xml:space="preserve"> and the </w:t>
      </w:r>
      <w:r w:rsidR="008D31F9" w:rsidRPr="008D31F9">
        <w:rPr>
          <w:i/>
          <w:sz w:val="24"/>
          <w:szCs w:val="24"/>
        </w:rPr>
        <w:t>Vigiles</w:t>
      </w:r>
      <w:r w:rsidR="00036C93">
        <w:rPr>
          <w:sz w:val="24"/>
          <w:szCs w:val="24"/>
        </w:rPr>
        <w:t>, positions which</w:t>
      </w:r>
      <w:r>
        <w:rPr>
          <w:sz w:val="24"/>
          <w:szCs w:val="24"/>
        </w:rPr>
        <w:t xml:space="preserve"> were of near-social equality to the Urban Prefect thanks to their near-contemporaneous creation with the Urban Prefecture under Augustus.</w:t>
      </w:r>
      <w:r>
        <w:rPr>
          <w:rStyle w:val="FootnoteReference"/>
          <w:sz w:val="24"/>
          <w:szCs w:val="24"/>
        </w:rPr>
        <w:footnoteReference w:id="370"/>
      </w:r>
      <w:r>
        <w:rPr>
          <w:sz w:val="24"/>
          <w:szCs w:val="24"/>
        </w:rPr>
        <w:t xml:space="preserve"> At the bottom was the </w:t>
      </w:r>
      <w:r>
        <w:rPr>
          <w:i/>
          <w:sz w:val="24"/>
          <w:szCs w:val="24"/>
        </w:rPr>
        <w:t>Tribunus rerum nitentium</w:t>
      </w:r>
      <w:r>
        <w:rPr>
          <w:sz w:val="24"/>
          <w:szCs w:val="24"/>
        </w:rPr>
        <w:t xml:space="preserve"> (</w:t>
      </w:r>
      <w:r w:rsidR="00C26365">
        <w:rPr>
          <w:sz w:val="24"/>
          <w:szCs w:val="24"/>
        </w:rPr>
        <w:t>literally the Tribune of Shiny T</w:t>
      </w:r>
      <w:r>
        <w:rPr>
          <w:sz w:val="24"/>
          <w:szCs w:val="24"/>
        </w:rPr>
        <w:t xml:space="preserve">hings), a post of plebeian origins and one traditionally occupied by those seeking to gain </w:t>
      </w:r>
      <w:r>
        <w:rPr>
          <w:sz w:val="24"/>
          <w:szCs w:val="24"/>
        </w:rPr>
        <w:lastRenderedPageBreak/>
        <w:t>admission to the Senate, but still a position to be honoured due to its ancient origins.</w:t>
      </w:r>
      <w:r>
        <w:rPr>
          <w:rStyle w:val="FootnoteReference"/>
          <w:sz w:val="24"/>
          <w:szCs w:val="24"/>
        </w:rPr>
        <w:footnoteReference w:id="371"/>
      </w:r>
      <w:r>
        <w:rPr>
          <w:sz w:val="24"/>
          <w:szCs w:val="24"/>
        </w:rPr>
        <w:t xml:space="preserve"> Below all of these posts was the personal </w:t>
      </w:r>
      <w:proofErr w:type="gramStart"/>
      <w:r>
        <w:rPr>
          <w:sz w:val="24"/>
          <w:szCs w:val="24"/>
        </w:rPr>
        <w:t>staff</w:t>
      </w:r>
      <w:proofErr w:type="gramEnd"/>
      <w:r>
        <w:rPr>
          <w:sz w:val="24"/>
          <w:szCs w:val="24"/>
        </w:rPr>
        <w:t xml:space="preserve"> of the Urban Prefect, again placed in a hierarchy starting with the </w:t>
      </w:r>
      <w:r>
        <w:rPr>
          <w:i/>
          <w:sz w:val="24"/>
          <w:szCs w:val="24"/>
        </w:rPr>
        <w:t>Princeps Officiorum</w:t>
      </w:r>
      <w:r>
        <w:rPr>
          <w:sz w:val="24"/>
          <w:szCs w:val="24"/>
        </w:rPr>
        <w:t xml:space="preserve"> (the Chief of Staff) and the </w:t>
      </w:r>
      <w:r>
        <w:rPr>
          <w:i/>
          <w:sz w:val="24"/>
          <w:szCs w:val="24"/>
        </w:rPr>
        <w:t>Cornicularius</w:t>
      </w:r>
      <w:r>
        <w:rPr>
          <w:sz w:val="24"/>
          <w:szCs w:val="24"/>
        </w:rPr>
        <w:t xml:space="preserve"> (Chief</w:t>
      </w:r>
      <w:r w:rsidR="008F698A">
        <w:rPr>
          <w:sz w:val="24"/>
          <w:szCs w:val="24"/>
        </w:rPr>
        <w:t xml:space="preserve"> of Clerks), posts that had</w:t>
      </w:r>
      <w:r>
        <w:rPr>
          <w:sz w:val="24"/>
          <w:szCs w:val="24"/>
        </w:rPr>
        <w:t xml:space="preserve"> ancestry as military posts, and finishing with generic scribes and notaries.</w:t>
      </w:r>
      <w:r>
        <w:rPr>
          <w:rStyle w:val="FootnoteReference"/>
          <w:sz w:val="24"/>
          <w:szCs w:val="24"/>
        </w:rPr>
        <w:footnoteReference w:id="372"/>
      </w:r>
    </w:p>
    <w:p w:rsidR="00385C59" w:rsidRDefault="00820B3F" w:rsidP="00722391">
      <w:pPr>
        <w:spacing w:line="480" w:lineRule="auto"/>
        <w:ind w:firstLine="720"/>
        <w:jc w:val="both"/>
        <w:rPr>
          <w:sz w:val="24"/>
          <w:szCs w:val="24"/>
        </w:rPr>
      </w:pPr>
      <w:r>
        <w:rPr>
          <w:sz w:val="24"/>
          <w:szCs w:val="24"/>
        </w:rPr>
        <w:t xml:space="preserve">Whereas the </w:t>
      </w:r>
      <w:r>
        <w:rPr>
          <w:i/>
          <w:sz w:val="24"/>
          <w:szCs w:val="24"/>
        </w:rPr>
        <w:t>Notitia Dignitatum</w:t>
      </w:r>
      <w:r>
        <w:rPr>
          <w:sz w:val="24"/>
          <w:szCs w:val="24"/>
        </w:rPr>
        <w:t xml:space="preserve"> depicted the provinces of the Empire in the con</w:t>
      </w:r>
      <w:r w:rsidR="008F698A">
        <w:rPr>
          <w:sz w:val="24"/>
          <w:szCs w:val="24"/>
        </w:rPr>
        <w:t>tex</w:t>
      </w:r>
      <w:r w:rsidR="00574B79">
        <w:rPr>
          <w:sz w:val="24"/>
          <w:szCs w:val="24"/>
        </w:rPr>
        <w:t>t of the e</w:t>
      </w:r>
      <w:r>
        <w:rPr>
          <w:sz w:val="24"/>
          <w:szCs w:val="24"/>
        </w:rPr>
        <w:t>mpire’s administrative posts, t</w:t>
      </w:r>
      <w:r w:rsidR="00E756D7">
        <w:rPr>
          <w:sz w:val="24"/>
          <w:szCs w:val="24"/>
        </w:rPr>
        <w:t xml:space="preserve">he </w:t>
      </w:r>
      <w:r w:rsidR="00E756D7">
        <w:rPr>
          <w:i/>
          <w:sz w:val="24"/>
          <w:szCs w:val="24"/>
        </w:rPr>
        <w:t xml:space="preserve">Laterculus Veronensis </w:t>
      </w:r>
      <w:r w:rsidR="00E756D7">
        <w:rPr>
          <w:sz w:val="24"/>
          <w:szCs w:val="24"/>
        </w:rPr>
        <w:t xml:space="preserve">(or the Verona List) </w:t>
      </w:r>
      <w:r>
        <w:rPr>
          <w:sz w:val="24"/>
          <w:szCs w:val="24"/>
        </w:rPr>
        <w:t xml:space="preserve">focuses </w:t>
      </w:r>
      <w:r w:rsidR="00574B79">
        <w:rPr>
          <w:sz w:val="24"/>
          <w:szCs w:val="24"/>
        </w:rPr>
        <w:t>solely on the provinces of the e</w:t>
      </w:r>
      <w:r>
        <w:rPr>
          <w:sz w:val="24"/>
          <w:szCs w:val="24"/>
        </w:rPr>
        <w:t>mpire. In particular it outlines the new provincial organisation o</w:t>
      </w:r>
      <w:r w:rsidR="00574B79">
        <w:rPr>
          <w:sz w:val="24"/>
          <w:szCs w:val="24"/>
        </w:rPr>
        <w:t>f the e</w:t>
      </w:r>
      <w:r>
        <w:rPr>
          <w:sz w:val="24"/>
          <w:szCs w:val="24"/>
        </w:rPr>
        <w:t>mpire after Diocletian</w:t>
      </w:r>
      <w:r w:rsidR="008F698A">
        <w:rPr>
          <w:sz w:val="24"/>
          <w:szCs w:val="24"/>
        </w:rPr>
        <w:t>’s</w:t>
      </w:r>
      <w:r>
        <w:rPr>
          <w:sz w:val="24"/>
          <w:szCs w:val="24"/>
        </w:rPr>
        <w:t xml:space="preserve"> creation of the </w:t>
      </w:r>
      <w:r>
        <w:rPr>
          <w:i/>
          <w:sz w:val="24"/>
          <w:szCs w:val="24"/>
        </w:rPr>
        <w:t>Dioceses</w:t>
      </w:r>
      <w:r w:rsidR="00E756D7">
        <w:rPr>
          <w:sz w:val="24"/>
          <w:szCs w:val="24"/>
        </w:rPr>
        <w:t xml:space="preserve">. The </w:t>
      </w:r>
      <w:r w:rsidR="000E2BCF">
        <w:rPr>
          <w:i/>
          <w:sz w:val="24"/>
          <w:szCs w:val="24"/>
        </w:rPr>
        <w:t>Vicarii</w:t>
      </w:r>
      <w:r w:rsidR="00E756D7">
        <w:rPr>
          <w:sz w:val="24"/>
          <w:szCs w:val="24"/>
        </w:rPr>
        <w:t xml:space="preserve"> appointed to rule these new super-province</w:t>
      </w:r>
      <w:r w:rsidR="00C26365">
        <w:rPr>
          <w:sz w:val="24"/>
          <w:szCs w:val="24"/>
        </w:rPr>
        <w:t>s reported directly to the Praetorian</w:t>
      </w:r>
      <w:r w:rsidR="00E756D7">
        <w:rPr>
          <w:sz w:val="24"/>
          <w:szCs w:val="24"/>
        </w:rPr>
        <w:t xml:space="preserve"> Prefect and were appointed directly from the Equestrian class in contrast to the more traditional </w:t>
      </w:r>
      <w:r w:rsidR="008B44B0">
        <w:rPr>
          <w:sz w:val="24"/>
          <w:szCs w:val="24"/>
        </w:rPr>
        <w:t>senatorial</w:t>
      </w:r>
      <w:r w:rsidR="00E756D7">
        <w:rPr>
          <w:sz w:val="24"/>
          <w:szCs w:val="24"/>
        </w:rPr>
        <w:t xml:space="preserve"> appointments. No one diocese has precedence over the others</w:t>
      </w:r>
      <w:r w:rsidR="00A956F4">
        <w:rPr>
          <w:sz w:val="24"/>
          <w:szCs w:val="24"/>
        </w:rPr>
        <w:t>.</w:t>
      </w:r>
      <w:r w:rsidR="00A956F4" w:rsidRPr="00A956F4">
        <w:rPr>
          <w:sz w:val="24"/>
          <w:szCs w:val="24"/>
        </w:rPr>
        <w:t xml:space="preserve"> </w:t>
      </w:r>
      <w:r w:rsidR="00A956F4">
        <w:rPr>
          <w:sz w:val="24"/>
          <w:szCs w:val="24"/>
        </w:rPr>
        <w:t>Rome is notable by its absence from the list. It was exempted from this administrative</w:t>
      </w:r>
      <w:r w:rsidR="00A23542">
        <w:rPr>
          <w:sz w:val="24"/>
          <w:szCs w:val="24"/>
        </w:rPr>
        <w:t xml:space="preserve"> hierarchy, as the Urban Prefect reported</w:t>
      </w:r>
      <w:r w:rsidR="00574B79">
        <w:rPr>
          <w:sz w:val="24"/>
          <w:szCs w:val="24"/>
        </w:rPr>
        <w:t xml:space="preserve"> directly to the e</w:t>
      </w:r>
      <w:r w:rsidR="008B44B0">
        <w:rPr>
          <w:sz w:val="24"/>
          <w:szCs w:val="24"/>
        </w:rPr>
        <w:t>mperor</w:t>
      </w:r>
      <w:r w:rsidR="00A956F4">
        <w:rPr>
          <w:sz w:val="24"/>
          <w:szCs w:val="24"/>
        </w:rPr>
        <w:t xml:space="preserve"> rather than the Praetorian Prefects.</w:t>
      </w:r>
      <w:r w:rsidR="00A956F4">
        <w:rPr>
          <w:rStyle w:val="FootnoteReference"/>
          <w:sz w:val="24"/>
          <w:szCs w:val="24"/>
        </w:rPr>
        <w:footnoteReference w:id="373"/>
      </w:r>
      <w:r w:rsidR="00A956F4">
        <w:rPr>
          <w:sz w:val="24"/>
          <w:szCs w:val="24"/>
        </w:rPr>
        <w:t xml:space="preserve"> It may have ceased to b</w:t>
      </w:r>
      <w:r w:rsidR="00574B79">
        <w:rPr>
          <w:sz w:val="24"/>
          <w:szCs w:val="24"/>
        </w:rPr>
        <w:t>e the practical capital of the e</w:t>
      </w:r>
      <w:r w:rsidR="00A956F4">
        <w:rPr>
          <w:sz w:val="24"/>
          <w:szCs w:val="24"/>
        </w:rPr>
        <w:t>mpire</w:t>
      </w:r>
      <w:r w:rsidR="008F698A">
        <w:rPr>
          <w:sz w:val="24"/>
          <w:szCs w:val="24"/>
        </w:rPr>
        <w:t>,</w:t>
      </w:r>
      <w:r w:rsidR="00A956F4">
        <w:rPr>
          <w:sz w:val="24"/>
          <w:szCs w:val="24"/>
        </w:rPr>
        <w:t xml:space="preserve"> but</w:t>
      </w:r>
      <w:r w:rsidR="008F698A">
        <w:rPr>
          <w:sz w:val="24"/>
          <w:szCs w:val="24"/>
        </w:rPr>
        <w:t xml:space="preserve"> to “province” Rome</w:t>
      </w:r>
      <w:r w:rsidR="00A956F4">
        <w:rPr>
          <w:sz w:val="24"/>
          <w:szCs w:val="24"/>
        </w:rPr>
        <w:t xml:space="preserve"> would b</w:t>
      </w:r>
      <w:r w:rsidR="00574B79">
        <w:rPr>
          <w:sz w:val="24"/>
          <w:szCs w:val="24"/>
        </w:rPr>
        <w:t>e an intolerable insult to the e</w:t>
      </w:r>
      <w:r w:rsidR="00A956F4">
        <w:rPr>
          <w:sz w:val="24"/>
          <w:szCs w:val="24"/>
        </w:rPr>
        <w:t>mpire’s social order</w:t>
      </w:r>
      <w:r w:rsidR="00E756D7">
        <w:rPr>
          <w:sz w:val="24"/>
          <w:szCs w:val="24"/>
        </w:rPr>
        <w:t xml:space="preserve">. </w:t>
      </w:r>
    </w:p>
    <w:p w:rsidR="00E756D7" w:rsidRDefault="00A956F4" w:rsidP="00722391">
      <w:pPr>
        <w:spacing w:line="480" w:lineRule="auto"/>
        <w:ind w:firstLine="720"/>
        <w:jc w:val="both"/>
        <w:rPr>
          <w:sz w:val="24"/>
          <w:szCs w:val="24"/>
        </w:rPr>
      </w:pPr>
      <w:r>
        <w:rPr>
          <w:sz w:val="24"/>
          <w:szCs w:val="24"/>
        </w:rPr>
        <w:t>T</w:t>
      </w:r>
      <w:r w:rsidR="00836C2D">
        <w:rPr>
          <w:sz w:val="24"/>
          <w:szCs w:val="24"/>
        </w:rPr>
        <w:t>here is</w:t>
      </w:r>
      <w:r w:rsidR="00385C59">
        <w:rPr>
          <w:sz w:val="24"/>
          <w:szCs w:val="24"/>
        </w:rPr>
        <w:t xml:space="preserve"> also</w:t>
      </w:r>
      <w:r w:rsidR="00836C2D">
        <w:rPr>
          <w:sz w:val="24"/>
          <w:szCs w:val="24"/>
        </w:rPr>
        <w:t xml:space="preserve"> a geographical distinction</w:t>
      </w:r>
      <w:r>
        <w:rPr>
          <w:sz w:val="24"/>
          <w:szCs w:val="24"/>
        </w:rPr>
        <w:t xml:space="preserve"> between East and West</w:t>
      </w:r>
      <w:r w:rsidR="00836C2D">
        <w:rPr>
          <w:sz w:val="24"/>
          <w:szCs w:val="24"/>
        </w:rPr>
        <w:t>. Whereas the Eastern Dioceses have their provinces arranged geographically, the Western Dioceses have their provinces</w:t>
      </w:r>
      <w:r w:rsidR="008F698A">
        <w:rPr>
          <w:sz w:val="24"/>
          <w:szCs w:val="24"/>
        </w:rPr>
        <w:t xml:space="preserve"> </w:t>
      </w:r>
      <w:r w:rsidR="00E756D7">
        <w:rPr>
          <w:sz w:val="24"/>
          <w:szCs w:val="24"/>
        </w:rPr>
        <w:t xml:space="preserve">listed in </w:t>
      </w:r>
      <w:r w:rsidR="00836C2D">
        <w:rPr>
          <w:sz w:val="24"/>
          <w:szCs w:val="24"/>
        </w:rPr>
        <w:t>the</w:t>
      </w:r>
      <w:r>
        <w:rPr>
          <w:sz w:val="24"/>
          <w:szCs w:val="24"/>
        </w:rPr>
        <w:t xml:space="preserve"> </w:t>
      </w:r>
      <w:r w:rsidR="00E756D7">
        <w:rPr>
          <w:sz w:val="24"/>
          <w:szCs w:val="24"/>
        </w:rPr>
        <w:t xml:space="preserve">traditional hierarchy of consular provinces outranking provinces governed by a </w:t>
      </w:r>
      <w:r w:rsidR="00E756D7">
        <w:rPr>
          <w:i/>
          <w:sz w:val="24"/>
          <w:szCs w:val="24"/>
        </w:rPr>
        <w:t>Praesides</w:t>
      </w:r>
      <w:r w:rsidR="00E756D7">
        <w:rPr>
          <w:sz w:val="24"/>
          <w:szCs w:val="24"/>
        </w:rPr>
        <w:t xml:space="preserve"> and the Proconsular provinces outranking all.</w:t>
      </w:r>
      <w:r w:rsidR="00E756D7">
        <w:rPr>
          <w:rStyle w:val="FootnoteReference"/>
          <w:sz w:val="24"/>
          <w:szCs w:val="24"/>
        </w:rPr>
        <w:footnoteReference w:id="374"/>
      </w:r>
      <w:r w:rsidR="00E756D7">
        <w:rPr>
          <w:sz w:val="24"/>
          <w:szCs w:val="24"/>
        </w:rPr>
        <w:t xml:space="preserve"> The Diocese of</w:t>
      </w:r>
      <w:r w:rsidR="008F698A">
        <w:rPr>
          <w:sz w:val="24"/>
          <w:szCs w:val="24"/>
        </w:rPr>
        <w:t xml:space="preserve"> </w:t>
      </w:r>
      <w:r w:rsidR="008F698A">
        <w:rPr>
          <w:sz w:val="24"/>
          <w:szCs w:val="24"/>
        </w:rPr>
        <w:lastRenderedPageBreak/>
        <w:t xml:space="preserve">Africa is broken down into </w:t>
      </w:r>
      <w:r w:rsidR="00E756D7">
        <w:rPr>
          <w:i/>
          <w:sz w:val="24"/>
          <w:szCs w:val="24"/>
        </w:rPr>
        <w:t>Africa Proconsularis/Zeugitana</w:t>
      </w:r>
      <w:r w:rsidR="00E756D7">
        <w:rPr>
          <w:sz w:val="24"/>
          <w:szCs w:val="24"/>
        </w:rPr>
        <w:t xml:space="preserve">, the last remaining </w:t>
      </w:r>
      <w:r w:rsidR="0087599E">
        <w:rPr>
          <w:sz w:val="24"/>
          <w:szCs w:val="24"/>
        </w:rPr>
        <w:t>s</w:t>
      </w:r>
      <w:r w:rsidR="008B44B0">
        <w:rPr>
          <w:sz w:val="24"/>
          <w:szCs w:val="24"/>
        </w:rPr>
        <w:t>enatorial</w:t>
      </w:r>
      <w:r w:rsidR="00E756D7">
        <w:rPr>
          <w:sz w:val="24"/>
          <w:szCs w:val="24"/>
        </w:rPr>
        <w:t xml:space="preserve"> province governed by a Proconsul and the most senior appointment</w:t>
      </w:r>
      <w:r w:rsidR="008F698A">
        <w:rPr>
          <w:sz w:val="24"/>
          <w:szCs w:val="24"/>
        </w:rPr>
        <w:t xml:space="preserve">, </w:t>
      </w:r>
      <w:r w:rsidR="00E756D7">
        <w:rPr>
          <w:sz w:val="24"/>
          <w:szCs w:val="24"/>
        </w:rPr>
        <w:t xml:space="preserve">followed by </w:t>
      </w:r>
      <w:r w:rsidR="00E756D7">
        <w:rPr>
          <w:i/>
          <w:sz w:val="24"/>
          <w:szCs w:val="24"/>
        </w:rPr>
        <w:t xml:space="preserve">Africa Byzacena </w:t>
      </w:r>
      <w:r w:rsidR="00E756D7">
        <w:rPr>
          <w:sz w:val="24"/>
          <w:szCs w:val="24"/>
        </w:rPr>
        <w:t xml:space="preserve">and </w:t>
      </w:r>
      <w:r w:rsidR="00E756D7">
        <w:rPr>
          <w:i/>
          <w:sz w:val="24"/>
          <w:szCs w:val="24"/>
        </w:rPr>
        <w:t>Tripolitania</w:t>
      </w:r>
      <w:r w:rsidR="00E756D7">
        <w:rPr>
          <w:sz w:val="24"/>
          <w:szCs w:val="24"/>
        </w:rPr>
        <w:t xml:space="preserve"> which were both then governed by men of </w:t>
      </w:r>
      <w:r w:rsidR="00E756D7">
        <w:rPr>
          <w:i/>
          <w:sz w:val="24"/>
          <w:szCs w:val="24"/>
        </w:rPr>
        <w:t>Consularis</w:t>
      </w:r>
      <w:r w:rsidR="00E756D7">
        <w:rPr>
          <w:sz w:val="24"/>
          <w:szCs w:val="24"/>
        </w:rPr>
        <w:t xml:space="preserve"> rank.</w:t>
      </w:r>
      <w:r w:rsidR="00E756D7">
        <w:rPr>
          <w:rStyle w:val="FootnoteReference"/>
          <w:sz w:val="24"/>
          <w:szCs w:val="24"/>
        </w:rPr>
        <w:footnoteReference w:id="375"/>
      </w:r>
      <w:r w:rsidR="00E756D7">
        <w:rPr>
          <w:sz w:val="24"/>
          <w:szCs w:val="24"/>
        </w:rPr>
        <w:t xml:space="preserve"> </w:t>
      </w:r>
      <w:r>
        <w:rPr>
          <w:sz w:val="24"/>
          <w:szCs w:val="24"/>
        </w:rPr>
        <w:t>In other Dioceses, the order of the provinces seems somewhat more arbitrary, but we can see a further order. The Dioceses of Pannonia, Viennensis and Africa all start with a p</w:t>
      </w:r>
      <w:r w:rsidR="008D31F9">
        <w:rPr>
          <w:sz w:val="24"/>
          <w:szCs w:val="24"/>
        </w:rPr>
        <w:t>rovince possessing a name</w:t>
      </w:r>
      <w:r w:rsidR="008F698A">
        <w:rPr>
          <w:sz w:val="24"/>
          <w:szCs w:val="24"/>
        </w:rPr>
        <w:t xml:space="preserve"> the same as the Diocese</w:t>
      </w:r>
      <w:r>
        <w:rPr>
          <w:sz w:val="24"/>
          <w:szCs w:val="24"/>
        </w:rPr>
        <w:t>.</w:t>
      </w:r>
      <w:r>
        <w:rPr>
          <w:rStyle w:val="FootnoteReference"/>
          <w:sz w:val="24"/>
          <w:szCs w:val="24"/>
        </w:rPr>
        <w:footnoteReference w:id="376"/>
      </w:r>
      <w:r w:rsidR="00176E47">
        <w:rPr>
          <w:sz w:val="24"/>
          <w:szCs w:val="24"/>
        </w:rPr>
        <w:t xml:space="preserve"> Marginal and outlying provinces such as Maurentania Tingitana</w:t>
      </w:r>
      <w:r w:rsidR="00437533">
        <w:rPr>
          <w:sz w:val="24"/>
          <w:szCs w:val="24"/>
        </w:rPr>
        <w:t>, Mauretania Sitifensis</w:t>
      </w:r>
      <w:r w:rsidR="00176E47">
        <w:rPr>
          <w:sz w:val="24"/>
          <w:szCs w:val="24"/>
        </w:rPr>
        <w:t xml:space="preserve">, Alpes Graiae </w:t>
      </w:r>
      <w:proofErr w:type="gramStart"/>
      <w:r w:rsidR="00176E47">
        <w:rPr>
          <w:sz w:val="24"/>
          <w:szCs w:val="24"/>
        </w:rPr>
        <w:t>et</w:t>
      </w:r>
      <w:proofErr w:type="gramEnd"/>
      <w:r w:rsidR="00176E47">
        <w:rPr>
          <w:sz w:val="24"/>
          <w:szCs w:val="24"/>
        </w:rPr>
        <w:t xml:space="preserve"> Poeninae, Alpes Maritimae and Raetia</w:t>
      </w:r>
      <w:r w:rsidR="00437533">
        <w:rPr>
          <w:sz w:val="24"/>
          <w:szCs w:val="24"/>
        </w:rPr>
        <w:t>,</w:t>
      </w:r>
      <w:r w:rsidR="00176E47">
        <w:rPr>
          <w:sz w:val="24"/>
          <w:szCs w:val="24"/>
        </w:rPr>
        <w:t xml:space="preserve"> are last in the lists for their respective Dioceses</w:t>
      </w:r>
      <w:r w:rsidR="00B745E7">
        <w:rPr>
          <w:sz w:val="24"/>
          <w:szCs w:val="24"/>
        </w:rPr>
        <w:t>. This indi</w:t>
      </w:r>
      <w:r w:rsidR="00C26365">
        <w:rPr>
          <w:sz w:val="24"/>
          <w:szCs w:val="24"/>
        </w:rPr>
        <w:t>cates a form</w:t>
      </w:r>
      <w:r w:rsidR="00B745E7">
        <w:rPr>
          <w:sz w:val="24"/>
          <w:szCs w:val="24"/>
        </w:rPr>
        <w:t xml:space="preserve"> of social/geographical hierarchy</w:t>
      </w:r>
      <w:r w:rsidR="00C26365">
        <w:rPr>
          <w:sz w:val="24"/>
          <w:szCs w:val="24"/>
        </w:rPr>
        <w:t>.</w:t>
      </w:r>
      <w:r w:rsidR="00B745E7">
        <w:rPr>
          <w:sz w:val="24"/>
          <w:szCs w:val="24"/>
        </w:rPr>
        <w:t xml:space="preserve"> </w:t>
      </w:r>
      <w:r w:rsidR="00C26365">
        <w:rPr>
          <w:sz w:val="24"/>
          <w:szCs w:val="24"/>
        </w:rPr>
        <w:t xml:space="preserve">Those </w:t>
      </w:r>
      <w:r w:rsidR="00B745E7">
        <w:rPr>
          <w:sz w:val="24"/>
          <w:szCs w:val="24"/>
        </w:rPr>
        <w:t xml:space="preserve">provinces that are closest </w:t>
      </w:r>
      <w:r w:rsidR="008F698A">
        <w:rPr>
          <w:sz w:val="24"/>
          <w:szCs w:val="24"/>
        </w:rPr>
        <w:t>to</w:t>
      </w:r>
      <w:r w:rsidR="00B745E7">
        <w:rPr>
          <w:sz w:val="24"/>
          <w:szCs w:val="24"/>
        </w:rPr>
        <w:t xml:space="preserve"> the Diocesan capital are more important than those further away</w:t>
      </w:r>
      <w:r>
        <w:rPr>
          <w:sz w:val="24"/>
          <w:szCs w:val="24"/>
        </w:rPr>
        <w:t>.</w:t>
      </w:r>
      <w:r w:rsidR="00B745E7">
        <w:rPr>
          <w:sz w:val="24"/>
          <w:szCs w:val="24"/>
        </w:rPr>
        <w:t xml:space="preserve"> </w:t>
      </w:r>
      <w:r w:rsidR="006B4124">
        <w:rPr>
          <w:sz w:val="24"/>
          <w:szCs w:val="24"/>
        </w:rPr>
        <w:t xml:space="preserve">Furthermore those </w:t>
      </w:r>
      <w:r w:rsidR="00574B79">
        <w:rPr>
          <w:sz w:val="24"/>
          <w:szCs w:val="24"/>
        </w:rPr>
        <w:t>p</w:t>
      </w:r>
      <w:r w:rsidR="00B745E7">
        <w:rPr>
          <w:sz w:val="24"/>
          <w:szCs w:val="24"/>
        </w:rPr>
        <w:t>rovinces that are not contiguous with each other such as Narbonensis Prima and Secunda, or Britannia Prima and Britannia Secunda are still listed together.</w:t>
      </w:r>
      <w:r w:rsidR="00176E47">
        <w:rPr>
          <w:rStyle w:val="FootnoteReference"/>
          <w:sz w:val="24"/>
          <w:szCs w:val="24"/>
        </w:rPr>
        <w:footnoteReference w:id="377"/>
      </w:r>
      <w:r w:rsidR="00B745E7">
        <w:rPr>
          <w:sz w:val="24"/>
          <w:szCs w:val="24"/>
        </w:rPr>
        <w:t xml:space="preserve"> This all indicates a concern to maintain the traditionally geographical o</w:t>
      </w:r>
      <w:r w:rsidR="00574B79">
        <w:rPr>
          <w:sz w:val="24"/>
          <w:szCs w:val="24"/>
        </w:rPr>
        <w:t>rdering of the Empire. Even as p</w:t>
      </w:r>
      <w:r w:rsidR="00B745E7">
        <w:rPr>
          <w:sz w:val="24"/>
          <w:szCs w:val="24"/>
        </w:rPr>
        <w:t xml:space="preserve">rovinces such as Gallia Narbonensis, Africa Proconsularis and </w:t>
      </w:r>
      <w:r w:rsidR="006B4124">
        <w:rPr>
          <w:sz w:val="24"/>
          <w:szCs w:val="24"/>
        </w:rPr>
        <w:t>Tarrconensis are sub-divided into new provincial borders, being textually positioned next to each other ensures that the traditional provincial organisation is maintained to some degree.</w:t>
      </w:r>
      <w:r w:rsidR="006B4124">
        <w:rPr>
          <w:rStyle w:val="FootnoteReference"/>
          <w:sz w:val="24"/>
          <w:szCs w:val="24"/>
        </w:rPr>
        <w:footnoteReference w:id="378"/>
      </w:r>
      <w:r w:rsidR="00FE49B1">
        <w:rPr>
          <w:sz w:val="24"/>
          <w:szCs w:val="24"/>
        </w:rPr>
        <w:t xml:space="preserve"> </w:t>
      </w:r>
      <w:r w:rsidR="00E756D7">
        <w:rPr>
          <w:sz w:val="24"/>
          <w:szCs w:val="24"/>
        </w:rPr>
        <w:t xml:space="preserve">Even after such a substantial administrative reorganisation, the </w:t>
      </w:r>
      <w:r w:rsidR="00E756D7">
        <w:rPr>
          <w:i/>
          <w:sz w:val="24"/>
          <w:szCs w:val="24"/>
        </w:rPr>
        <w:t>Laterculus Veronensis</w:t>
      </w:r>
      <w:r w:rsidR="00E756D7">
        <w:rPr>
          <w:sz w:val="24"/>
          <w:szCs w:val="24"/>
        </w:rPr>
        <w:t xml:space="preserve"> still couches itself in a traditional framework to demonstrate that the </w:t>
      </w:r>
      <w:r w:rsidR="0087599E">
        <w:rPr>
          <w:sz w:val="24"/>
          <w:szCs w:val="24"/>
        </w:rPr>
        <w:t>emperors</w:t>
      </w:r>
      <w:r w:rsidR="00E756D7">
        <w:rPr>
          <w:sz w:val="24"/>
          <w:szCs w:val="24"/>
        </w:rPr>
        <w:t xml:space="preserve"> are continuing a traditional administration even as they conduct </w:t>
      </w:r>
      <w:r w:rsidR="006B4124">
        <w:rPr>
          <w:sz w:val="24"/>
          <w:szCs w:val="24"/>
        </w:rPr>
        <w:t>a fundamental reform of the provincial system</w:t>
      </w:r>
      <w:r w:rsidR="00836C2D">
        <w:rPr>
          <w:sz w:val="24"/>
          <w:szCs w:val="24"/>
        </w:rPr>
        <w:t xml:space="preserve">. </w:t>
      </w:r>
    </w:p>
    <w:p w:rsidR="00D21BEF" w:rsidRDefault="00A32B7F" w:rsidP="00722391">
      <w:pPr>
        <w:spacing w:line="480" w:lineRule="auto"/>
        <w:ind w:firstLine="720"/>
        <w:jc w:val="both"/>
        <w:rPr>
          <w:sz w:val="24"/>
          <w:szCs w:val="24"/>
          <w:lang w:eastAsia="zh-TW"/>
        </w:rPr>
      </w:pPr>
      <w:r>
        <w:rPr>
          <w:sz w:val="24"/>
          <w:szCs w:val="24"/>
        </w:rPr>
        <w:t xml:space="preserve">As we can see from the </w:t>
      </w:r>
      <w:r>
        <w:rPr>
          <w:i/>
          <w:sz w:val="24"/>
          <w:szCs w:val="24"/>
        </w:rPr>
        <w:t xml:space="preserve">Notitia Dignitatum </w:t>
      </w:r>
      <w:r>
        <w:rPr>
          <w:sz w:val="24"/>
          <w:szCs w:val="24"/>
        </w:rPr>
        <w:t xml:space="preserve">and the </w:t>
      </w:r>
      <w:r>
        <w:rPr>
          <w:i/>
          <w:sz w:val="24"/>
          <w:szCs w:val="24"/>
        </w:rPr>
        <w:t>Laterculus Veronenesis</w:t>
      </w:r>
      <w:r w:rsidR="008F698A">
        <w:rPr>
          <w:i/>
          <w:sz w:val="24"/>
          <w:szCs w:val="24"/>
        </w:rPr>
        <w:t>,</w:t>
      </w:r>
      <w:r>
        <w:rPr>
          <w:sz w:val="24"/>
          <w:szCs w:val="24"/>
        </w:rPr>
        <w:t xml:space="preserve"> </w:t>
      </w:r>
      <w:r w:rsidR="00E756D7">
        <w:rPr>
          <w:sz w:val="24"/>
          <w:szCs w:val="24"/>
        </w:rPr>
        <w:t xml:space="preserve">Roman social and political order arose from a powerfully developed sense of boundaries and their </w:t>
      </w:r>
      <w:r w:rsidR="00E756D7">
        <w:rPr>
          <w:sz w:val="24"/>
          <w:szCs w:val="24"/>
        </w:rPr>
        <w:lastRenderedPageBreak/>
        <w:t>importance.</w:t>
      </w:r>
      <w:r w:rsidR="00E756D7">
        <w:rPr>
          <w:rStyle w:val="FootnoteReference"/>
          <w:sz w:val="24"/>
          <w:szCs w:val="24"/>
        </w:rPr>
        <w:footnoteReference w:id="379"/>
      </w:r>
      <w:r>
        <w:rPr>
          <w:sz w:val="24"/>
          <w:szCs w:val="24"/>
        </w:rPr>
        <w:t xml:space="preserve"> These boundaries could be political, geographical or even ethnic, but</w:t>
      </w:r>
      <w:r w:rsidR="008F698A">
        <w:rPr>
          <w:sz w:val="24"/>
          <w:szCs w:val="24"/>
        </w:rPr>
        <w:t>,</w:t>
      </w:r>
      <w:r>
        <w:rPr>
          <w:sz w:val="24"/>
          <w:szCs w:val="24"/>
        </w:rPr>
        <w:t xml:space="preserve"> whatever the boundary</w:t>
      </w:r>
      <w:r w:rsidR="008F698A">
        <w:rPr>
          <w:sz w:val="24"/>
          <w:szCs w:val="24"/>
        </w:rPr>
        <w:t>,</w:t>
      </w:r>
      <w:r>
        <w:rPr>
          <w:sz w:val="24"/>
          <w:szCs w:val="24"/>
        </w:rPr>
        <w:t xml:space="preserve"> so long as it was defined within traditional terms and context it could be adhered to.</w:t>
      </w:r>
      <w:r w:rsidR="00E756D7">
        <w:rPr>
          <w:sz w:val="24"/>
          <w:szCs w:val="24"/>
        </w:rPr>
        <w:t xml:space="preserve"> In contrast to the poor survival of infor</w:t>
      </w:r>
      <w:r w:rsidR="008F698A">
        <w:rPr>
          <w:sz w:val="24"/>
          <w:szCs w:val="24"/>
        </w:rPr>
        <w:t>mation of administrative acts stands</w:t>
      </w:r>
      <w:r w:rsidR="00E756D7">
        <w:rPr>
          <w:sz w:val="24"/>
          <w:szCs w:val="24"/>
        </w:rPr>
        <w:t xml:space="preserve"> the relatively vast survival of information about administrators in epigraphy, statues and literature.</w:t>
      </w:r>
      <w:r w:rsidR="00E756D7">
        <w:rPr>
          <w:rStyle w:val="FootnoteReference"/>
          <w:sz w:val="24"/>
          <w:szCs w:val="24"/>
        </w:rPr>
        <w:footnoteReference w:id="380"/>
      </w:r>
      <w:r w:rsidR="00E756D7">
        <w:rPr>
          <w:sz w:val="24"/>
          <w:szCs w:val="24"/>
        </w:rPr>
        <w:t xml:space="preserve"> </w:t>
      </w:r>
      <w:r w:rsidR="00D21BEF">
        <w:rPr>
          <w:sz w:val="24"/>
          <w:szCs w:val="24"/>
        </w:rPr>
        <w:t>The redrawing and reorganisation of the provinces</w:t>
      </w:r>
      <w:r>
        <w:rPr>
          <w:sz w:val="24"/>
          <w:szCs w:val="24"/>
        </w:rPr>
        <w:t xml:space="preserve"> </w:t>
      </w:r>
      <w:r w:rsidR="00D21BEF">
        <w:rPr>
          <w:sz w:val="24"/>
          <w:szCs w:val="24"/>
        </w:rPr>
        <w:t xml:space="preserve">and hierarchy of offices </w:t>
      </w:r>
      <w:r w:rsidR="00E756D7">
        <w:rPr>
          <w:sz w:val="24"/>
          <w:szCs w:val="24"/>
        </w:rPr>
        <w:t xml:space="preserve">have been couched in the language and imagery of the </w:t>
      </w:r>
      <w:r w:rsidR="00E756D7">
        <w:rPr>
          <w:i/>
          <w:sz w:val="24"/>
          <w:szCs w:val="24"/>
        </w:rPr>
        <w:t>cursus honorum</w:t>
      </w:r>
      <w:r w:rsidR="00E756D7">
        <w:rPr>
          <w:sz w:val="24"/>
          <w:szCs w:val="24"/>
        </w:rPr>
        <w:t>, the traditional hierarchy of republican administrative offices</w:t>
      </w:r>
      <w:r w:rsidR="00D21BEF">
        <w:rPr>
          <w:sz w:val="24"/>
          <w:szCs w:val="24"/>
        </w:rPr>
        <w:t>,</w:t>
      </w:r>
      <w:r w:rsidR="008F698A">
        <w:rPr>
          <w:sz w:val="24"/>
          <w:szCs w:val="24"/>
        </w:rPr>
        <w:t xml:space="preserve"> in</w:t>
      </w:r>
      <w:r>
        <w:rPr>
          <w:sz w:val="24"/>
          <w:szCs w:val="24"/>
        </w:rPr>
        <w:t xml:space="preserve"> which provincial governorships played an important role</w:t>
      </w:r>
      <w:r w:rsidR="008F698A">
        <w:rPr>
          <w:sz w:val="24"/>
          <w:szCs w:val="24"/>
        </w:rPr>
        <w:t xml:space="preserve">. Whilst </w:t>
      </w:r>
      <w:r w:rsidR="00E756D7">
        <w:rPr>
          <w:sz w:val="24"/>
          <w:szCs w:val="24"/>
        </w:rPr>
        <w:t>many of these offices had disappeared by the third century</w:t>
      </w:r>
      <w:r>
        <w:rPr>
          <w:sz w:val="24"/>
          <w:szCs w:val="24"/>
        </w:rPr>
        <w:t xml:space="preserve"> (such as </w:t>
      </w:r>
      <w:r w:rsidR="00D21BEF">
        <w:rPr>
          <w:sz w:val="24"/>
          <w:szCs w:val="24"/>
        </w:rPr>
        <w:t xml:space="preserve">most of the </w:t>
      </w:r>
      <w:r w:rsidR="00574B79">
        <w:rPr>
          <w:sz w:val="24"/>
          <w:szCs w:val="24"/>
        </w:rPr>
        <w:t>s</w:t>
      </w:r>
      <w:r w:rsidR="008B44B0">
        <w:rPr>
          <w:sz w:val="24"/>
          <w:szCs w:val="24"/>
        </w:rPr>
        <w:t>enatorial</w:t>
      </w:r>
      <w:r w:rsidR="00D21BEF">
        <w:rPr>
          <w:sz w:val="24"/>
          <w:szCs w:val="24"/>
        </w:rPr>
        <w:t xml:space="preserve"> governorships)</w:t>
      </w:r>
      <w:r w:rsidR="00E756D7">
        <w:rPr>
          <w:sz w:val="24"/>
          <w:szCs w:val="24"/>
        </w:rPr>
        <w:t xml:space="preserve"> or lost much of their administrative functions (such as the Censorship and </w:t>
      </w:r>
      <w:r w:rsidR="00E756D7">
        <w:rPr>
          <w:i/>
          <w:sz w:val="24"/>
          <w:szCs w:val="24"/>
        </w:rPr>
        <w:t>Aediles</w:t>
      </w:r>
      <w:r w:rsidR="00E756D7">
        <w:rPr>
          <w:sz w:val="24"/>
          <w:szCs w:val="24"/>
        </w:rPr>
        <w:t xml:space="preserve">), the </w:t>
      </w:r>
      <w:r w:rsidR="00E756D7">
        <w:rPr>
          <w:i/>
          <w:sz w:val="24"/>
          <w:szCs w:val="24"/>
        </w:rPr>
        <w:t xml:space="preserve">cursus honorum </w:t>
      </w:r>
      <w:r w:rsidR="00E756D7">
        <w:rPr>
          <w:sz w:val="24"/>
          <w:szCs w:val="24"/>
        </w:rPr>
        <w:t>still provided a conceptual framework within which to conceive of a hierarchy of offices</w:t>
      </w:r>
      <w:r w:rsidR="00D21BEF">
        <w:rPr>
          <w:sz w:val="24"/>
          <w:szCs w:val="24"/>
        </w:rPr>
        <w:t>. This framework</w:t>
      </w:r>
      <w:r w:rsidR="00E756D7">
        <w:rPr>
          <w:sz w:val="24"/>
          <w:szCs w:val="24"/>
        </w:rPr>
        <w:t xml:space="preserve"> carries over into the depictions of the </w:t>
      </w:r>
      <w:r w:rsidR="008B44B0">
        <w:rPr>
          <w:sz w:val="24"/>
          <w:szCs w:val="24"/>
        </w:rPr>
        <w:t>imperial</w:t>
      </w:r>
      <w:r w:rsidR="00E756D7">
        <w:rPr>
          <w:sz w:val="24"/>
          <w:szCs w:val="24"/>
        </w:rPr>
        <w:t xml:space="preserve"> hierarchies that appear in the </w:t>
      </w:r>
      <w:r w:rsidR="00E756D7">
        <w:rPr>
          <w:i/>
          <w:sz w:val="24"/>
          <w:szCs w:val="24"/>
        </w:rPr>
        <w:t>Notitia Dignitatum</w:t>
      </w:r>
      <w:r w:rsidR="00E756D7">
        <w:rPr>
          <w:sz w:val="24"/>
          <w:szCs w:val="24"/>
        </w:rPr>
        <w:t xml:space="preserve"> and the </w:t>
      </w:r>
      <w:r w:rsidR="00E756D7">
        <w:rPr>
          <w:i/>
          <w:sz w:val="24"/>
          <w:szCs w:val="24"/>
        </w:rPr>
        <w:t>Laterculus Veronensis</w:t>
      </w:r>
      <w:r w:rsidR="00E756D7">
        <w:rPr>
          <w:sz w:val="24"/>
          <w:szCs w:val="24"/>
        </w:rPr>
        <w:t>.</w:t>
      </w:r>
      <w:r w:rsidR="00E756D7">
        <w:rPr>
          <w:sz w:val="24"/>
          <w:szCs w:val="24"/>
          <w:lang w:eastAsia="zh-TW"/>
        </w:rPr>
        <w:t xml:space="preserve"> </w:t>
      </w:r>
    </w:p>
    <w:p w:rsidR="00E756D7" w:rsidRDefault="008B01B2" w:rsidP="00722391">
      <w:pPr>
        <w:spacing w:line="480" w:lineRule="auto"/>
        <w:ind w:firstLine="720"/>
        <w:jc w:val="both"/>
        <w:rPr>
          <w:sz w:val="24"/>
          <w:szCs w:val="24"/>
          <w:lang w:eastAsia="zh-TW"/>
        </w:rPr>
      </w:pPr>
      <w:r>
        <w:rPr>
          <w:sz w:val="24"/>
          <w:szCs w:val="24"/>
          <w:lang w:eastAsia="zh-TW"/>
        </w:rPr>
        <w:t>Those most invested in these hierarchies are the same</w:t>
      </w:r>
      <w:r w:rsidR="00E756D7">
        <w:rPr>
          <w:sz w:val="24"/>
          <w:szCs w:val="24"/>
          <w:lang w:eastAsia="zh-TW"/>
        </w:rPr>
        <w:t xml:space="preserve"> figures </w:t>
      </w:r>
      <w:r>
        <w:rPr>
          <w:sz w:val="24"/>
          <w:szCs w:val="24"/>
          <w:lang w:eastAsia="zh-TW"/>
        </w:rPr>
        <w:t>who would have</w:t>
      </w:r>
      <w:r w:rsidR="00E756D7">
        <w:rPr>
          <w:sz w:val="24"/>
          <w:szCs w:val="24"/>
          <w:lang w:eastAsia="zh-TW"/>
        </w:rPr>
        <w:t xml:space="preserve"> direct access to these documents</w:t>
      </w:r>
      <w:r w:rsidR="00BB66EA">
        <w:rPr>
          <w:sz w:val="24"/>
          <w:szCs w:val="24"/>
          <w:lang w:eastAsia="zh-TW"/>
        </w:rPr>
        <w:t>,</w:t>
      </w:r>
      <w:r w:rsidR="00E756D7">
        <w:rPr>
          <w:sz w:val="24"/>
          <w:szCs w:val="24"/>
          <w:lang w:eastAsia="zh-TW"/>
        </w:rPr>
        <w:t xml:space="preserve"> </w:t>
      </w:r>
      <w:r>
        <w:rPr>
          <w:sz w:val="24"/>
          <w:szCs w:val="24"/>
          <w:lang w:eastAsia="zh-TW"/>
        </w:rPr>
        <w:t>and would therefore</w:t>
      </w:r>
      <w:r w:rsidR="00E756D7">
        <w:rPr>
          <w:sz w:val="24"/>
          <w:szCs w:val="24"/>
          <w:lang w:eastAsia="zh-TW"/>
        </w:rPr>
        <w:t xml:space="preserve"> be those responsi</w:t>
      </w:r>
      <w:r w:rsidR="00574B79">
        <w:rPr>
          <w:sz w:val="24"/>
          <w:szCs w:val="24"/>
          <w:lang w:eastAsia="zh-TW"/>
        </w:rPr>
        <w:t>ble for both administering the e</w:t>
      </w:r>
      <w:r w:rsidR="00E756D7">
        <w:rPr>
          <w:sz w:val="24"/>
          <w:szCs w:val="24"/>
          <w:lang w:eastAsia="zh-TW"/>
        </w:rPr>
        <w:t>mpire and representing the central government and hierarchies to the provincials.</w:t>
      </w:r>
      <w:r w:rsidR="00E756D7">
        <w:rPr>
          <w:sz w:val="24"/>
          <w:szCs w:val="24"/>
        </w:rPr>
        <w:t xml:space="preserve"> </w:t>
      </w:r>
      <w:r w:rsidR="008D31F9">
        <w:rPr>
          <w:sz w:val="24"/>
          <w:szCs w:val="24"/>
        </w:rPr>
        <w:t>Demonstrating</w:t>
      </w:r>
      <w:r w:rsidR="008142FC">
        <w:rPr>
          <w:sz w:val="24"/>
          <w:szCs w:val="24"/>
        </w:rPr>
        <w:t xml:space="preserve"> the appropriate level of knowledge was essential to the correct participation in the hierarchies of society. Power, honour and wealth were</w:t>
      </w:r>
      <w:r w:rsidR="00E756D7">
        <w:rPr>
          <w:sz w:val="24"/>
          <w:szCs w:val="24"/>
        </w:rPr>
        <w:t xml:space="preserve"> a</w:t>
      </w:r>
      <w:r w:rsidR="008142FC">
        <w:rPr>
          <w:sz w:val="24"/>
          <w:szCs w:val="24"/>
        </w:rPr>
        <w:t>ll part of t</w:t>
      </w:r>
      <w:r w:rsidR="008D31F9">
        <w:rPr>
          <w:sz w:val="24"/>
          <w:szCs w:val="24"/>
        </w:rPr>
        <w:t xml:space="preserve">he </w:t>
      </w:r>
      <w:r w:rsidR="00E756D7">
        <w:rPr>
          <w:sz w:val="24"/>
          <w:szCs w:val="24"/>
        </w:rPr>
        <w:t>demonstration of your knowledge of “proper” culture</w:t>
      </w:r>
      <w:r w:rsidR="008142FC">
        <w:rPr>
          <w:sz w:val="24"/>
          <w:szCs w:val="24"/>
        </w:rPr>
        <w:t xml:space="preserve"> and behaviour, depending on your social status</w:t>
      </w:r>
      <w:r w:rsidR="00E756D7">
        <w:rPr>
          <w:sz w:val="24"/>
          <w:szCs w:val="24"/>
        </w:rPr>
        <w:t xml:space="preserve">. In our Ando/Lendon model of the Roman administration, </w:t>
      </w:r>
      <w:r w:rsidR="00E756D7">
        <w:rPr>
          <w:sz w:val="24"/>
          <w:szCs w:val="24"/>
          <w:lang w:eastAsia="zh-TW"/>
        </w:rPr>
        <w:t xml:space="preserve">local administrators displayed their knowledge and respect for these hierarchies and traditions by altering their </w:t>
      </w:r>
      <w:r w:rsidR="00E756D7">
        <w:rPr>
          <w:sz w:val="24"/>
          <w:szCs w:val="24"/>
          <w:lang w:eastAsia="zh-TW"/>
        </w:rPr>
        <w:lastRenderedPageBreak/>
        <w:t xml:space="preserve">local institutions to imitate the greater </w:t>
      </w:r>
      <w:r w:rsidR="008D31F9">
        <w:rPr>
          <w:sz w:val="24"/>
          <w:szCs w:val="24"/>
          <w:lang w:eastAsia="zh-TW"/>
        </w:rPr>
        <w:t>inst</w:t>
      </w:r>
      <w:r w:rsidR="009C7AF1">
        <w:rPr>
          <w:sz w:val="24"/>
          <w:szCs w:val="24"/>
          <w:lang w:eastAsia="zh-TW"/>
        </w:rPr>
        <w:t>it</w:t>
      </w:r>
      <w:r w:rsidR="008D31F9">
        <w:rPr>
          <w:sz w:val="24"/>
          <w:szCs w:val="24"/>
          <w:lang w:eastAsia="zh-TW"/>
        </w:rPr>
        <w:t>utions and customs</w:t>
      </w:r>
      <w:r w:rsidR="00E756D7">
        <w:rPr>
          <w:sz w:val="24"/>
          <w:szCs w:val="24"/>
          <w:lang w:eastAsia="zh-TW"/>
        </w:rPr>
        <w:t xml:space="preserve"> of the Roman </w:t>
      </w:r>
      <w:r w:rsidR="00574B79">
        <w:rPr>
          <w:sz w:val="24"/>
          <w:szCs w:val="24"/>
          <w:lang w:eastAsia="zh-TW"/>
        </w:rPr>
        <w:t>s</w:t>
      </w:r>
      <w:r w:rsidR="008B44B0">
        <w:rPr>
          <w:sz w:val="24"/>
          <w:szCs w:val="24"/>
          <w:lang w:eastAsia="zh-TW"/>
        </w:rPr>
        <w:t>enatorial</w:t>
      </w:r>
      <w:r w:rsidR="00E756D7">
        <w:rPr>
          <w:sz w:val="24"/>
          <w:szCs w:val="24"/>
          <w:lang w:eastAsia="zh-TW"/>
        </w:rPr>
        <w:t xml:space="preserve"> aristocracy and its </w:t>
      </w:r>
      <w:r w:rsidR="00E756D7">
        <w:rPr>
          <w:i/>
          <w:sz w:val="24"/>
          <w:szCs w:val="24"/>
          <w:lang w:eastAsia="zh-TW"/>
        </w:rPr>
        <w:t>cursus honorum</w:t>
      </w:r>
      <w:r w:rsidR="008142FC">
        <w:rPr>
          <w:sz w:val="24"/>
          <w:szCs w:val="24"/>
          <w:lang w:eastAsia="zh-TW"/>
        </w:rPr>
        <w:t>, and using</w:t>
      </w:r>
      <w:r w:rsidR="008F698A">
        <w:rPr>
          <w:sz w:val="24"/>
          <w:szCs w:val="24"/>
          <w:lang w:eastAsia="zh-TW"/>
        </w:rPr>
        <w:t xml:space="preserve"> similar</w:t>
      </w:r>
      <w:r w:rsidR="00E756D7">
        <w:rPr>
          <w:sz w:val="24"/>
          <w:szCs w:val="24"/>
          <w:lang w:eastAsia="zh-TW"/>
        </w:rPr>
        <w:t xml:space="preserve"> methods</w:t>
      </w:r>
      <w:r w:rsidR="008142FC">
        <w:rPr>
          <w:sz w:val="24"/>
          <w:szCs w:val="24"/>
          <w:lang w:eastAsia="zh-TW"/>
        </w:rPr>
        <w:t xml:space="preserve"> and hierarchies</w:t>
      </w:r>
      <w:r w:rsidR="00E756D7">
        <w:rPr>
          <w:sz w:val="24"/>
          <w:szCs w:val="24"/>
          <w:lang w:eastAsia="zh-TW"/>
        </w:rPr>
        <w:t xml:space="preserve"> of honouring</w:t>
      </w:r>
      <w:r w:rsidR="008142FC">
        <w:rPr>
          <w:sz w:val="24"/>
          <w:szCs w:val="24"/>
          <w:lang w:eastAsia="zh-TW"/>
        </w:rPr>
        <w:t xml:space="preserve"> and governing</w:t>
      </w:r>
      <w:r w:rsidR="008F698A">
        <w:rPr>
          <w:sz w:val="24"/>
          <w:szCs w:val="24"/>
          <w:lang w:eastAsia="zh-TW"/>
        </w:rPr>
        <w:t xml:space="preserve"> to their social betters</w:t>
      </w:r>
      <w:r w:rsidR="00E756D7">
        <w:rPr>
          <w:sz w:val="24"/>
          <w:szCs w:val="24"/>
          <w:lang w:eastAsia="zh-TW"/>
        </w:rPr>
        <w:t>.</w:t>
      </w:r>
      <w:r w:rsidR="00E756D7">
        <w:rPr>
          <w:rStyle w:val="FootnoteReference"/>
          <w:sz w:val="24"/>
          <w:szCs w:val="24"/>
          <w:lang w:eastAsia="zh-TW"/>
        </w:rPr>
        <w:footnoteReference w:id="381"/>
      </w:r>
      <w:r w:rsidR="00E756D7">
        <w:rPr>
          <w:sz w:val="24"/>
          <w:szCs w:val="24"/>
          <w:lang w:eastAsia="zh-TW"/>
        </w:rPr>
        <w:t xml:space="preserve"> Documents such as the </w:t>
      </w:r>
      <w:r w:rsidR="00E756D7">
        <w:rPr>
          <w:i/>
          <w:sz w:val="24"/>
          <w:szCs w:val="24"/>
          <w:lang w:eastAsia="zh-TW"/>
        </w:rPr>
        <w:t xml:space="preserve">Notitia Dignitatum </w:t>
      </w:r>
      <w:r w:rsidR="00E756D7">
        <w:rPr>
          <w:sz w:val="24"/>
          <w:szCs w:val="24"/>
          <w:lang w:eastAsia="zh-TW"/>
        </w:rPr>
        <w:t>would always have an exceptionally limit</w:t>
      </w:r>
      <w:r w:rsidR="008F698A">
        <w:rPr>
          <w:sz w:val="24"/>
          <w:szCs w:val="24"/>
          <w:lang w:eastAsia="zh-TW"/>
        </w:rPr>
        <w:t>ed audience by modern standards, b</w:t>
      </w:r>
      <w:r w:rsidR="00E756D7">
        <w:rPr>
          <w:sz w:val="24"/>
          <w:szCs w:val="24"/>
          <w:lang w:eastAsia="zh-TW"/>
        </w:rPr>
        <w:t>ut there were t</w:t>
      </w:r>
      <w:r w:rsidR="00933A44">
        <w:rPr>
          <w:sz w:val="24"/>
          <w:szCs w:val="24"/>
          <w:lang w:eastAsia="zh-TW"/>
        </w:rPr>
        <w:t>he mechanisms;</w:t>
      </w:r>
      <w:r w:rsidR="008F698A">
        <w:rPr>
          <w:sz w:val="24"/>
          <w:szCs w:val="24"/>
          <w:lang w:eastAsia="zh-TW"/>
        </w:rPr>
        <w:t xml:space="preserve"> in the forms of laws, edicts, and m</w:t>
      </w:r>
      <w:r w:rsidR="00E756D7">
        <w:rPr>
          <w:sz w:val="24"/>
          <w:szCs w:val="24"/>
          <w:lang w:eastAsia="zh-TW"/>
        </w:rPr>
        <w:t xml:space="preserve">onuments, that would impress these things upon the governed. What was important was to condition the behaviour and practices of those who would </w:t>
      </w:r>
      <w:r w:rsidR="008142FC">
        <w:rPr>
          <w:sz w:val="24"/>
          <w:szCs w:val="24"/>
          <w:lang w:eastAsia="zh-TW"/>
        </w:rPr>
        <w:t>govern into a manner that the governed</w:t>
      </w:r>
      <w:r w:rsidR="00E756D7">
        <w:rPr>
          <w:sz w:val="24"/>
          <w:szCs w:val="24"/>
          <w:lang w:eastAsia="zh-TW"/>
        </w:rPr>
        <w:t xml:space="preserve"> would recognise and accept.</w:t>
      </w:r>
    </w:p>
    <w:p w:rsidR="00E756D7" w:rsidRDefault="00E756D7" w:rsidP="00722391">
      <w:pPr>
        <w:spacing w:line="480" w:lineRule="auto"/>
        <w:ind w:firstLine="720"/>
        <w:jc w:val="both"/>
        <w:rPr>
          <w:sz w:val="24"/>
          <w:szCs w:val="24"/>
        </w:rPr>
      </w:pPr>
      <w:r>
        <w:rPr>
          <w:sz w:val="24"/>
          <w:szCs w:val="24"/>
        </w:rPr>
        <w:t xml:space="preserve">This is why cartographical and topographical documents would </w:t>
      </w:r>
      <w:r w:rsidR="008D31F9">
        <w:rPr>
          <w:sz w:val="24"/>
          <w:szCs w:val="24"/>
        </w:rPr>
        <w:t xml:space="preserve">possess such importance </w:t>
      </w:r>
      <w:r>
        <w:rPr>
          <w:sz w:val="24"/>
          <w:szCs w:val="24"/>
        </w:rPr>
        <w:t xml:space="preserve">to the Roman administration. The </w:t>
      </w:r>
      <w:r w:rsidR="0087599E">
        <w:rPr>
          <w:sz w:val="24"/>
          <w:szCs w:val="24"/>
        </w:rPr>
        <w:t>i</w:t>
      </w:r>
      <w:r w:rsidR="008B44B0">
        <w:rPr>
          <w:sz w:val="24"/>
          <w:szCs w:val="24"/>
        </w:rPr>
        <w:t>mperial</w:t>
      </w:r>
      <w:r>
        <w:rPr>
          <w:sz w:val="24"/>
          <w:szCs w:val="24"/>
        </w:rPr>
        <w:t xml:space="preserve"> governments of the second and third century </w:t>
      </w:r>
      <w:r w:rsidR="008D31F9">
        <w:rPr>
          <w:sz w:val="24"/>
          <w:szCs w:val="24"/>
        </w:rPr>
        <w:t>continued to depend</w:t>
      </w:r>
      <w:r>
        <w:rPr>
          <w:sz w:val="24"/>
          <w:szCs w:val="24"/>
        </w:rPr>
        <w:t xml:space="preserve"> </w:t>
      </w:r>
      <w:r w:rsidR="008F698A">
        <w:rPr>
          <w:sz w:val="24"/>
          <w:szCs w:val="24"/>
        </w:rPr>
        <w:t>upon their</w:t>
      </w:r>
      <w:r>
        <w:rPr>
          <w:sz w:val="24"/>
          <w:szCs w:val="24"/>
        </w:rPr>
        <w:t xml:space="preserve"> ar</w:t>
      </w:r>
      <w:r w:rsidR="008F698A">
        <w:rPr>
          <w:sz w:val="24"/>
          <w:szCs w:val="24"/>
        </w:rPr>
        <w:t>istocratic elites to provide</w:t>
      </w:r>
      <w:r>
        <w:rPr>
          <w:sz w:val="24"/>
          <w:szCs w:val="24"/>
        </w:rPr>
        <w:t xml:space="preserve"> administrators. </w:t>
      </w:r>
      <w:r w:rsidR="008F698A">
        <w:rPr>
          <w:sz w:val="24"/>
          <w:szCs w:val="24"/>
        </w:rPr>
        <w:t>Symbolism and abbreviations</w:t>
      </w:r>
      <w:r w:rsidR="000E2BCF">
        <w:rPr>
          <w:sz w:val="24"/>
          <w:szCs w:val="24"/>
        </w:rPr>
        <w:t xml:space="preserve"> were</w:t>
      </w:r>
      <w:r>
        <w:rPr>
          <w:sz w:val="24"/>
          <w:szCs w:val="24"/>
        </w:rPr>
        <w:t xml:space="preserve"> perfectly valid methods of depicting work of the administration in documents, as a truly aristocratic administrator would never need specific administrative training (or admit to needing it) as they would recognise what the hierarchies of administrative significance were without additional explanation.</w:t>
      </w:r>
      <w:r>
        <w:rPr>
          <w:rStyle w:val="FootnoteReference"/>
          <w:sz w:val="24"/>
          <w:szCs w:val="24"/>
        </w:rPr>
        <w:footnoteReference w:id="382"/>
      </w:r>
      <w:r w:rsidR="008D31F9">
        <w:rPr>
          <w:sz w:val="24"/>
          <w:szCs w:val="24"/>
        </w:rPr>
        <w:t xml:space="preserve"> These documents w</w:t>
      </w:r>
      <w:r>
        <w:rPr>
          <w:sz w:val="24"/>
          <w:szCs w:val="24"/>
        </w:rPr>
        <w:t xml:space="preserve">ould continue to be </w:t>
      </w:r>
      <w:r w:rsidR="008D31F9">
        <w:rPr>
          <w:sz w:val="24"/>
          <w:szCs w:val="24"/>
        </w:rPr>
        <w:t>used</w:t>
      </w:r>
      <w:r>
        <w:rPr>
          <w:sz w:val="24"/>
          <w:szCs w:val="24"/>
        </w:rPr>
        <w:t>, as the equestrian a</w:t>
      </w:r>
      <w:r w:rsidR="000E2BCF">
        <w:rPr>
          <w:sz w:val="24"/>
          <w:szCs w:val="24"/>
        </w:rPr>
        <w:t>nd military officials who</w:t>
      </w:r>
      <w:r>
        <w:rPr>
          <w:sz w:val="24"/>
          <w:szCs w:val="24"/>
        </w:rPr>
        <w:t xml:space="preserve"> lacked the traditional aristocratic prejudice against specialist expertise</w:t>
      </w:r>
      <w:r w:rsidR="00C26365">
        <w:rPr>
          <w:sz w:val="24"/>
          <w:szCs w:val="24"/>
        </w:rPr>
        <w:t xml:space="preserve"> and</w:t>
      </w:r>
      <w:r>
        <w:rPr>
          <w:sz w:val="24"/>
          <w:szCs w:val="24"/>
        </w:rPr>
        <w:t xml:space="preserve"> increasingly repl</w:t>
      </w:r>
      <w:r w:rsidR="008F698A">
        <w:rPr>
          <w:sz w:val="24"/>
          <w:szCs w:val="24"/>
        </w:rPr>
        <w:t xml:space="preserve">aced the </w:t>
      </w:r>
      <w:r w:rsidR="00574B79">
        <w:rPr>
          <w:sz w:val="24"/>
          <w:szCs w:val="24"/>
        </w:rPr>
        <w:t>s</w:t>
      </w:r>
      <w:r w:rsidR="008B44B0">
        <w:rPr>
          <w:sz w:val="24"/>
          <w:szCs w:val="24"/>
        </w:rPr>
        <w:t>enatorial</w:t>
      </w:r>
      <w:r w:rsidR="008F698A">
        <w:rPr>
          <w:sz w:val="24"/>
          <w:szCs w:val="24"/>
        </w:rPr>
        <w:t xml:space="preserve"> aristocrats</w:t>
      </w:r>
      <w:r>
        <w:rPr>
          <w:sz w:val="24"/>
          <w:szCs w:val="24"/>
        </w:rPr>
        <w:t xml:space="preserve"> would never admit to not understanding the language and culture of the social position they aspired to.</w:t>
      </w:r>
      <w:r>
        <w:rPr>
          <w:rStyle w:val="FootnoteReference"/>
          <w:sz w:val="24"/>
          <w:szCs w:val="24"/>
        </w:rPr>
        <w:footnoteReference w:id="383"/>
      </w:r>
      <w:r>
        <w:rPr>
          <w:sz w:val="24"/>
          <w:szCs w:val="24"/>
        </w:rPr>
        <w:t xml:space="preserve"> Once created they would need little updating</w:t>
      </w:r>
      <w:r w:rsidR="008F698A">
        <w:rPr>
          <w:sz w:val="24"/>
          <w:szCs w:val="24"/>
        </w:rPr>
        <w:t>;</w:t>
      </w:r>
      <w:r>
        <w:rPr>
          <w:sz w:val="24"/>
          <w:szCs w:val="24"/>
        </w:rPr>
        <w:t xml:space="preserve"> all that would be required is that the reader/administrator be versed in the</w:t>
      </w:r>
      <w:r w:rsidR="00C26365">
        <w:rPr>
          <w:sz w:val="24"/>
          <w:szCs w:val="24"/>
        </w:rPr>
        <w:t xml:space="preserve"> common cultural language that h</w:t>
      </w:r>
      <w:r>
        <w:rPr>
          <w:sz w:val="24"/>
          <w:szCs w:val="24"/>
        </w:rPr>
        <w:t xml:space="preserve">e would have needed anyway in order to succeed in his job. This shared community within which history, tradition and glory were valued also goes some way to explaining these documents’ “interesting” tradition of updates. The erratic updates, </w:t>
      </w:r>
      <w:r>
        <w:rPr>
          <w:sz w:val="24"/>
          <w:szCs w:val="24"/>
        </w:rPr>
        <w:lastRenderedPageBreak/>
        <w:t>anachronism, contradictions and survival amongst other documents that have no administrative value can be explained by their being kept by amateur historians who occasionally attempted to update them.</w:t>
      </w:r>
      <w:r>
        <w:rPr>
          <w:rStyle w:val="FootnoteReference"/>
          <w:sz w:val="24"/>
          <w:szCs w:val="24"/>
        </w:rPr>
        <w:footnoteReference w:id="384"/>
      </w:r>
      <w:r>
        <w:rPr>
          <w:sz w:val="24"/>
          <w:szCs w:val="24"/>
        </w:rPr>
        <w:t xml:space="preserve"> We have already seen such an occurrence with the </w:t>
      </w:r>
      <w:r>
        <w:rPr>
          <w:i/>
          <w:sz w:val="24"/>
          <w:szCs w:val="24"/>
        </w:rPr>
        <w:t>Regionary Catalogues</w:t>
      </w:r>
      <w:r w:rsidR="008F698A">
        <w:rPr>
          <w:i/>
          <w:sz w:val="24"/>
          <w:szCs w:val="24"/>
        </w:rPr>
        <w:t>’</w:t>
      </w:r>
      <w:r>
        <w:rPr>
          <w:sz w:val="24"/>
          <w:szCs w:val="24"/>
        </w:rPr>
        <w:t xml:space="preserve"> inclusion in the </w:t>
      </w:r>
      <w:r>
        <w:rPr>
          <w:i/>
          <w:sz w:val="24"/>
          <w:szCs w:val="24"/>
        </w:rPr>
        <w:t>Codex-Calendar of 354</w:t>
      </w:r>
      <w:r>
        <w:rPr>
          <w:sz w:val="24"/>
          <w:szCs w:val="24"/>
        </w:rPr>
        <w:t>.</w:t>
      </w:r>
      <w:r>
        <w:rPr>
          <w:rStyle w:val="FootnoteReference"/>
          <w:sz w:val="24"/>
          <w:szCs w:val="24"/>
        </w:rPr>
        <w:footnoteReference w:id="385"/>
      </w:r>
    </w:p>
    <w:p w:rsidR="00DB632E" w:rsidRDefault="00DB632E" w:rsidP="00722391">
      <w:pPr>
        <w:spacing w:line="480" w:lineRule="auto"/>
        <w:jc w:val="both"/>
        <w:rPr>
          <w:sz w:val="24"/>
          <w:szCs w:val="24"/>
          <w:u w:val="single"/>
        </w:rPr>
      </w:pPr>
    </w:p>
    <w:p w:rsidR="00E756D7" w:rsidRDefault="00C26365" w:rsidP="00722391">
      <w:pPr>
        <w:spacing w:line="480" w:lineRule="auto"/>
        <w:jc w:val="both"/>
        <w:rPr>
          <w:sz w:val="24"/>
          <w:szCs w:val="24"/>
          <w:u w:val="single"/>
        </w:rPr>
      </w:pPr>
      <w:r>
        <w:rPr>
          <w:sz w:val="24"/>
          <w:szCs w:val="24"/>
          <w:u w:val="single"/>
        </w:rPr>
        <w:t xml:space="preserve">“Who has got the biggest Obelisk?” </w:t>
      </w:r>
      <w:r w:rsidR="005064C8">
        <w:rPr>
          <w:sz w:val="24"/>
          <w:szCs w:val="24"/>
          <w:u w:val="single"/>
        </w:rPr>
        <w:t xml:space="preserve">Prestige, Perceptions </w:t>
      </w:r>
      <w:r>
        <w:rPr>
          <w:sz w:val="24"/>
          <w:szCs w:val="24"/>
          <w:u w:val="single"/>
        </w:rPr>
        <w:t xml:space="preserve">and the </w:t>
      </w:r>
      <w:r>
        <w:rPr>
          <w:i/>
          <w:sz w:val="24"/>
          <w:szCs w:val="24"/>
          <w:u w:val="single"/>
        </w:rPr>
        <w:t>Regionary Catalogues</w:t>
      </w:r>
      <w:r w:rsidR="00E756D7">
        <w:rPr>
          <w:sz w:val="24"/>
          <w:szCs w:val="24"/>
          <w:u w:val="single"/>
        </w:rPr>
        <w:t>:</w:t>
      </w:r>
    </w:p>
    <w:p w:rsidR="005064C8" w:rsidRDefault="005064C8" w:rsidP="0046134A">
      <w:pPr>
        <w:spacing w:line="480" w:lineRule="auto"/>
        <w:jc w:val="both"/>
        <w:rPr>
          <w:sz w:val="24"/>
          <w:szCs w:val="24"/>
        </w:rPr>
      </w:pPr>
    </w:p>
    <w:p w:rsidR="0046134A" w:rsidRPr="00717F15" w:rsidRDefault="0046134A" w:rsidP="0046134A">
      <w:pPr>
        <w:spacing w:line="480" w:lineRule="auto"/>
        <w:jc w:val="both"/>
        <w:rPr>
          <w:sz w:val="24"/>
          <w:szCs w:val="24"/>
          <w:u w:val="single"/>
        </w:rPr>
      </w:pPr>
      <w:r>
        <w:rPr>
          <w:sz w:val="24"/>
          <w:szCs w:val="24"/>
        </w:rPr>
        <w:t xml:space="preserve">As we have seen, the </w:t>
      </w:r>
      <w:r>
        <w:rPr>
          <w:i/>
          <w:sz w:val="24"/>
          <w:szCs w:val="24"/>
        </w:rPr>
        <w:t xml:space="preserve">Notitia Dignitatum </w:t>
      </w:r>
      <w:r>
        <w:rPr>
          <w:sz w:val="24"/>
          <w:szCs w:val="24"/>
        </w:rPr>
        <w:t xml:space="preserve">and the </w:t>
      </w:r>
      <w:r>
        <w:rPr>
          <w:i/>
          <w:sz w:val="24"/>
          <w:szCs w:val="24"/>
        </w:rPr>
        <w:t xml:space="preserve">Laterculus Veronensis </w:t>
      </w:r>
      <w:r>
        <w:rPr>
          <w:sz w:val="24"/>
          <w:szCs w:val="24"/>
        </w:rPr>
        <w:t xml:space="preserve">reflect the hierarchies around which the Romans built their society and administration. One’s position in the hierarchy affected one’s honour and in turn conditioned one to behave in a certain way, to value certain things and disregard others. We can see then that the </w:t>
      </w:r>
      <w:r>
        <w:rPr>
          <w:i/>
          <w:sz w:val="24"/>
          <w:szCs w:val="24"/>
        </w:rPr>
        <w:t>Regionaries</w:t>
      </w:r>
      <w:r>
        <w:rPr>
          <w:sz w:val="24"/>
          <w:szCs w:val="24"/>
        </w:rPr>
        <w:t xml:space="preserve">, from the Ando/Lendon perspective, like the </w:t>
      </w:r>
      <w:r>
        <w:rPr>
          <w:i/>
          <w:sz w:val="24"/>
          <w:szCs w:val="24"/>
        </w:rPr>
        <w:t>Notitia Dignitatum</w:t>
      </w:r>
      <w:r>
        <w:rPr>
          <w:sz w:val="24"/>
          <w:szCs w:val="24"/>
        </w:rPr>
        <w:t xml:space="preserve"> and the </w:t>
      </w:r>
      <w:r>
        <w:rPr>
          <w:i/>
          <w:sz w:val="24"/>
          <w:szCs w:val="24"/>
        </w:rPr>
        <w:t>Laterculus Veronensis,</w:t>
      </w:r>
      <w:r>
        <w:rPr>
          <w:sz w:val="24"/>
          <w:szCs w:val="24"/>
        </w:rPr>
        <w:t xml:space="preserve"> were not a document intended for widespread consumption or use. It was intended for a particularly section of the social-political hierarchy, specifically those aristocrats whose traditional duty was to see to the upkeep of the Eternal City. The </w:t>
      </w:r>
      <w:r>
        <w:rPr>
          <w:i/>
          <w:sz w:val="24"/>
          <w:szCs w:val="24"/>
        </w:rPr>
        <w:t>Regionaries</w:t>
      </w:r>
      <w:r>
        <w:rPr>
          <w:sz w:val="24"/>
          <w:szCs w:val="24"/>
        </w:rPr>
        <w:t xml:space="preserve"> served as a document that would impress and condition those aristocrats to behave, and maintain the city, in a manner befitting its history and so in turn demonstrate their aristocratic credentials with their depiction of the complexity and grandeur of their task.</w:t>
      </w:r>
    </w:p>
    <w:p w:rsidR="0046134A" w:rsidRDefault="0046134A" w:rsidP="0046134A">
      <w:pPr>
        <w:spacing w:line="480" w:lineRule="auto"/>
        <w:ind w:firstLine="720"/>
        <w:jc w:val="both"/>
        <w:rPr>
          <w:sz w:val="24"/>
          <w:szCs w:val="24"/>
        </w:rPr>
      </w:pPr>
      <w:r>
        <w:rPr>
          <w:sz w:val="24"/>
          <w:szCs w:val="24"/>
        </w:rPr>
        <w:lastRenderedPageBreak/>
        <w:t>As has been discussed previously, the duties that the Roman administrators possessed were often only obliquely related to the buildings and premises that they used. The buildings generated a form of honour and glory that possessed three essential elements and therefore contributed to the administrator’s ability to pursue his duties.</w:t>
      </w:r>
      <w:r>
        <w:rPr>
          <w:rStyle w:val="FootnoteReference"/>
          <w:sz w:val="24"/>
          <w:szCs w:val="24"/>
        </w:rPr>
        <w:footnoteReference w:id="386"/>
      </w:r>
      <w:r>
        <w:rPr>
          <w:sz w:val="24"/>
          <w:szCs w:val="24"/>
        </w:rPr>
        <w:t xml:space="preserve"> </w:t>
      </w:r>
      <w:r>
        <w:rPr>
          <w:sz w:val="24"/>
          <w:szCs w:val="24"/>
          <w:lang w:eastAsia="zh-TW"/>
        </w:rPr>
        <w:t>The very “lay of the land” affected those monuments and evoked a system of cultural hierarchies that the Roman recognised and emulated</w:t>
      </w:r>
      <w:r>
        <w:rPr>
          <w:sz w:val="24"/>
          <w:szCs w:val="24"/>
        </w:rPr>
        <w:t>.</w:t>
      </w:r>
      <w:r>
        <w:rPr>
          <w:rStyle w:val="FootnoteReference"/>
          <w:sz w:val="24"/>
          <w:szCs w:val="24"/>
        </w:rPr>
        <w:footnoteReference w:id="387"/>
      </w:r>
      <w:r>
        <w:rPr>
          <w:sz w:val="24"/>
          <w:szCs w:val="24"/>
        </w:rPr>
        <w:t xml:space="preserve"> Firstly, attaching oneself to these buildings meant that the more important and significant the building, and the closer its association to glorious figures of the past, meant greater reflected glory for the administrators. Containing them all within a singular document demonstrated honourable service with a noble pedigree. Buildings such as the </w:t>
      </w:r>
      <w:r>
        <w:rPr>
          <w:i/>
          <w:sz w:val="24"/>
          <w:szCs w:val="24"/>
        </w:rPr>
        <w:t>Curia Iulia</w:t>
      </w:r>
      <w:r>
        <w:rPr>
          <w:sz w:val="24"/>
          <w:szCs w:val="24"/>
        </w:rPr>
        <w:t xml:space="preserve"> and the </w:t>
      </w:r>
      <w:r>
        <w:rPr>
          <w:i/>
          <w:sz w:val="24"/>
          <w:szCs w:val="24"/>
        </w:rPr>
        <w:t>Templum Concordia</w:t>
      </w:r>
      <w:r>
        <w:rPr>
          <w:sz w:val="24"/>
          <w:szCs w:val="24"/>
        </w:rPr>
        <w:t xml:space="preserve"> were particularly impressive due to their connections with Augustus’ programme of urban renewal.</w:t>
      </w:r>
      <w:r>
        <w:rPr>
          <w:rStyle w:val="FootnoteReference"/>
          <w:sz w:val="24"/>
          <w:szCs w:val="24"/>
        </w:rPr>
        <w:footnoteReference w:id="388"/>
      </w:r>
      <w:r>
        <w:rPr>
          <w:sz w:val="24"/>
          <w:szCs w:val="24"/>
        </w:rPr>
        <w:t xml:space="preserve"> Buildings such as Hadrian’s renovation of the Pantheon and the great imperial </w:t>
      </w:r>
      <w:r>
        <w:rPr>
          <w:i/>
          <w:sz w:val="24"/>
          <w:szCs w:val="24"/>
        </w:rPr>
        <w:t>fora</w:t>
      </w:r>
      <w:r>
        <w:rPr>
          <w:sz w:val="24"/>
          <w:szCs w:val="24"/>
        </w:rPr>
        <w:t xml:space="preserve"> were a conscious aping of a desired antiquarian style associated the city’s heroic Augustan past.</w:t>
      </w:r>
      <w:r>
        <w:rPr>
          <w:rStyle w:val="FootnoteReference"/>
          <w:sz w:val="24"/>
          <w:szCs w:val="24"/>
        </w:rPr>
        <w:footnoteReference w:id="389"/>
      </w:r>
      <w:r>
        <w:rPr>
          <w:sz w:val="24"/>
          <w:szCs w:val="24"/>
          <w:lang w:eastAsia="zh-TW"/>
        </w:rPr>
        <w:t xml:space="preserve"> </w:t>
      </w:r>
      <w:r>
        <w:rPr>
          <w:sz w:val="24"/>
          <w:szCs w:val="24"/>
        </w:rPr>
        <w:t>Secondly, there was the overall schema of the building without reference to the particular details.</w:t>
      </w:r>
      <w:r>
        <w:rPr>
          <w:rStyle w:val="FootnoteReference"/>
          <w:sz w:val="24"/>
          <w:szCs w:val="24"/>
        </w:rPr>
        <w:footnoteReference w:id="390"/>
      </w:r>
      <w:r>
        <w:rPr>
          <w:sz w:val="24"/>
          <w:szCs w:val="24"/>
        </w:rPr>
        <w:t xml:space="preserve"> The </w:t>
      </w:r>
      <w:r>
        <w:rPr>
          <w:i/>
          <w:sz w:val="24"/>
          <w:szCs w:val="24"/>
        </w:rPr>
        <w:t>Regionaries</w:t>
      </w:r>
      <w:r>
        <w:rPr>
          <w:sz w:val="24"/>
          <w:szCs w:val="24"/>
        </w:rPr>
        <w:t xml:space="preserve"> contained no particular details about buildings (except for the seat numbers of Venues and sizes of Columns), but the name of the buildings which would have been seen to be enough. Similarly the Marble Plan only gives outlines for the buildings it depicts. Thirdly, monumental architecture’s formal appearance was considered significant because of the building’s capacity not just to suggest architectural beauty, or provide an administrative function, but to convey wider social or political meanings. The </w:t>
      </w:r>
      <w:r>
        <w:rPr>
          <w:i/>
          <w:sz w:val="24"/>
          <w:szCs w:val="24"/>
        </w:rPr>
        <w:t>Templum Pacis</w:t>
      </w:r>
      <w:r>
        <w:rPr>
          <w:sz w:val="24"/>
          <w:szCs w:val="24"/>
        </w:rPr>
        <w:t xml:space="preserve"> </w:t>
      </w:r>
      <w:r w:rsidR="00523ECB">
        <w:rPr>
          <w:sz w:val="24"/>
          <w:szCs w:val="24"/>
        </w:rPr>
        <w:t>displayed Vespasian’s impr</w:t>
      </w:r>
      <w:r w:rsidR="007D570B">
        <w:rPr>
          <w:sz w:val="24"/>
          <w:szCs w:val="24"/>
        </w:rPr>
        <w:t>essive spoils, as well as servi</w:t>
      </w:r>
      <w:r w:rsidR="00523ECB">
        <w:rPr>
          <w:sz w:val="24"/>
          <w:szCs w:val="24"/>
        </w:rPr>
        <w:t>ng as an office/archive of the Urban Prefect</w:t>
      </w:r>
      <w:r>
        <w:rPr>
          <w:sz w:val="24"/>
          <w:szCs w:val="24"/>
        </w:rPr>
        <w:t xml:space="preserve">, </w:t>
      </w:r>
      <w:r>
        <w:rPr>
          <w:sz w:val="24"/>
          <w:szCs w:val="24"/>
        </w:rPr>
        <w:lastRenderedPageBreak/>
        <w:t>before becoming home to the awe-inspiring Severan Marble Plan which conveyed the monumental vastness of the city and the implicit potency of an office that oversaw it.</w:t>
      </w:r>
      <w:r>
        <w:rPr>
          <w:rStyle w:val="FootnoteReference"/>
          <w:sz w:val="24"/>
          <w:szCs w:val="24"/>
        </w:rPr>
        <w:footnoteReference w:id="391"/>
      </w:r>
      <w:r>
        <w:rPr>
          <w:sz w:val="24"/>
          <w:szCs w:val="24"/>
        </w:rPr>
        <w:t xml:space="preserve"> The Marble Plan and the </w:t>
      </w:r>
      <w:r>
        <w:rPr>
          <w:i/>
          <w:sz w:val="24"/>
          <w:szCs w:val="24"/>
        </w:rPr>
        <w:t>Septizodium</w:t>
      </w:r>
      <w:r>
        <w:rPr>
          <w:sz w:val="24"/>
          <w:szCs w:val="24"/>
        </w:rPr>
        <w:t xml:space="preserve"> contained extensive cartographical and topographical images and served as political billboards for the Severan regime, establishing their own imperial identity and associating the new dynasty with the social stability of those </w:t>
      </w:r>
      <w:r w:rsidR="0087599E">
        <w:rPr>
          <w:sz w:val="24"/>
          <w:szCs w:val="24"/>
        </w:rPr>
        <w:t>emperors</w:t>
      </w:r>
      <w:r>
        <w:rPr>
          <w:sz w:val="24"/>
          <w:szCs w:val="24"/>
        </w:rPr>
        <w:t xml:space="preserve"> that had come before it.</w:t>
      </w:r>
      <w:r>
        <w:rPr>
          <w:rStyle w:val="FootnoteReference"/>
          <w:sz w:val="24"/>
          <w:szCs w:val="24"/>
        </w:rPr>
        <w:footnoteReference w:id="392"/>
      </w:r>
      <w:r>
        <w:rPr>
          <w:sz w:val="24"/>
          <w:szCs w:val="24"/>
        </w:rPr>
        <w:t xml:space="preserve"> The </w:t>
      </w:r>
      <w:r>
        <w:rPr>
          <w:i/>
          <w:sz w:val="24"/>
          <w:szCs w:val="24"/>
        </w:rPr>
        <w:t>Regionaries</w:t>
      </w:r>
      <w:r>
        <w:rPr>
          <w:sz w:val="24"/>
          <w:szCs w:val="24"/>
        </w:rPr>
        <w:t xml:space="preserve"> </w:t>
      </w:r>
      <w:r>
        <w:rPr>
          <w:i/>
          <w:sz w:val="24"/>
          <w:szCs w:val="24"/>
        </w:rPr>
        <w:t>Catalogues</w:t>
      </w:r>
      <w:r>
        <w:rPr>
          <w:sz w:val="24"/>
          <w:szCs w:val="24"/>
        </w:rPr>
        <w:t xml:space="preserve"> were not intended for such widespread consumption. Instead they were providing a billboard for the duties of the Urban Prefect, what he should be concerned with as imperial power re-asserted itself.</w:t>
      </w:r>
    </w:p>
    <w:p w:rsidR="0046134A" w:rsidRPr="00191F2F" w:rsidRDefault="0046134A" w:rsidP="0046134A">
      <w:pPr>
        <w:tabs>
          <w:tab w:val="left" w:pos="0"/>
        </w:tabs>
        <w:spacing w:line="480" w:lineRule="auto"/>
        <w:jc w:val="both"/>
        <w:rPr>
          <w:sz w:val="24"/>
          <w:szCs w:val="24"/>
        </w:rPr>
      </w:pPr>
      <w:r>
        <w:rPr>
          <w:sz w:val="24"/>
          <w:szCs w:val="24"/>
        </w:rPr>
        <w:tab/>
        <w:t xml:space="preserve">Buildings like the </w:t>
      </w:r>
      <w:r>
        <w:rPr>
          <w:i/>
          <w:sz w:val="24"/>
          <w:szCs w:val="24"/>
        </w:rPr>
        <w:t xml:space="preserve">Templum </w:t>
      </w:r>
      <w:r w:rsidRPr="0095241A">
        <w:rPr>
          <w:i/>
          <w:sz w:val="24"/>
          <w:szCs w:val="24"/>
        </w:rPr>
        <w:t>Pacis</w:t>
      </w:r>
      <w:r>
        <w:rPr>
          <w:sz w:val="24"/>
          <w:szCs w:val="24"/>
        </w:rPr>
        <w:t xml:space="preserve"> or the </w:t>
      </w:r>
      <w:r>
        <w:rPr>
          <w:i/>
          <w:sz w:val="24"/>
          <w:szCs w:val="24"/>
        </w:rPr>
        <w:t>Septizodium</w:t>
      </w:r>
      <w:r>
        <w:rPr>
          <w:sz w:val="24"/>
          <w:szCs w:val="24"/>
        </w:rPr>
        <w:t xml:space="preserve"> </w:t>
      </w:r>
      <w:r w:rsidRPr="0095241A">
        <w:rPr>
          <w:sz w:val="24"/>
          <w:szCs w:val="24"/>
        </w:rPr>
        <w:t>demonstrate</w:t>
      </w:r>
      <w:r>
        <w:rPr>
          <w:sz w:val="24"/>
          <w:szCs w:val="24"/>
        </w:rPr>
        <w:t>d the cultural values that the empire required of its administrators in order to function.</w:t>
      </w:r>
      <w:r>
        <w:rPr>
          <w:rStyle w:val="FootnoteReference"/>
          <w:sz w:val="24"/>
          <w:szCs w:val="24"/>
        </w:rPr>
        <w:footnoteReference w:id="393"/>
      </w:r>
      <w:r>
        <w:rPr>
          <w:sz w:val="24"/>
          <w:szCs w:val="24"/>
        </w:rPr>
        <w:t xml:space="preserve"> However, conversely,</w:t>
      </w:r>
      <w:r w:rsidR="00B96FE5">
        <w:rPr>
          <w:sz w:val="24"/>
          <w:szCs w:val="24"/>
        </w:rPr>
        <w:t xml:space="preserve"> this meant that the e</w:t>
      </w:r>
      <w:r>
        <w:rPr>
          <w:sz w:val="24"/>
          <w:szCs w:val="24"/>
        </w:rPr>
        <w:t xml:space="preserve">mpire had to ensure that it appeared to share those same values. </w:t>
      </w:r>
      <w:r w:rsidR="00A612CB">
        <w:rPr>
          <w:sz w:val="24"/>
          <w:szCs w:val="24"/>
        </w:rPr>
        <w:t>Emperors</w:t>
      </w:r>
      <w:r>
        <w:rPr>
          <w:sz w:val="24"/>
          <w:szCs w:val="24"/>
        </w:rPr>
        <w:t xml:space="preserve"> and their officials had to appear as the chosen magistrates of the Republic, rather than as a tyrant and his personal servants. There are no imperial palaces depicted with the </w:t>
      </w:r>
      <w:r>
        <w:rPr>
          <w:i/>
          <w:sz w:val="24"/>
          <w:szCs w:val="24"/>
        </w:rPr>
        <w:t>Regionaries</w:t>
      </w:r>
      <w:r>
        <w:rPr>
          <w:sz w:val="24"/>
          <w:szCs w:val="24"/>
        </w:rPr>
        <w:t xml:space="preserve">, instead there is the </w:t>
      </w:r>
      <w:r>
        <w:rPr>
          <w:i/>
          <w:sz w:val="24"/>
          <w:szCs w:val="24"/>
        </w:rPr>
        <w:t xml:space="preserve">domum Augustinianam </w:t>
      </w:r>
      <w:proofErr w:type="gramStart"/>
      <w:r>
        <w:rPr>
          <w:i/>
          <w:sz w:val="24"/>
          <w:szCs w:val="24"/>
        </w:rPr>
        <w:t>et</w:t>
      </w:r>
      <w:proofErr w:type="gramEnd"/>
      <w:r>
        <w:rPr>
          <w:i/>
          <w:sz w:val="24"/>
          <w:szCs w:val="24"/>
        </w:rPr>
        <w:t xml:space="preserve"> Tiberianam</w:t>
      </w:r>
      <w:r>
        <w:rPr>
          <w:sz w:val="24"/>
          <w:szCs w:val="24"/>
        </w:rPr>
        <w:t xml:space="preserve"> and the </w:t>
      </w:r>
      <w:r>
        <w:rPr>
          <w:i/>
          <w:sz w:val="24"/>
          <w:szCs w:val="24"/>
        </w:rPr>
        <w:t>domum Philippi</w:t>
      </w:r>
      <w:r>
        <w:rPr>
          <w:sz w:val="24"/>
          <w:szCs w:val="24"/>
        </w:rPr>
        <w:t>.</w:t>
      </w:r>
      <w:r>
        <w:rPr>
          <w:rStyle w:val="FootnoteReference"/>
          <w:sz w:val="24"/>
          <w:szCs w:val="24"/>
        </w:rPr>
        <w:footnoteReference w:id="394"/>
      </w:r>
      <w:r>
        <w:rPr>
          <w:sz w:val="24"/>
          <w:szCs w:val="24"/>
        </w:rPr>
        <w:t xml:space="preserve"> </w:t>
      </w:r>
      <w:r w:rsidR="00B05459">
        <w:rPr>
          <w:sz w:val="24"/>
          <w:szCs w:val="24"/>
        </w:rPr>
        <w:t>These appear to be no different</w:t>
      </w:r>
      <w:r>
        <w:rPr>
          <w:sz w:val="24"/>
          <w:szCs w:val="24"/>
        </w:rPr>
        <w:t xml:space="preserve"> to the senatorial </w:t>
      </w:r>
      <w:r>
        <w:rPr>
          <w:i/>
          <w:sz w:val="24"/>
          <w:szCs w:val="24"/>
        </w:rPr>
        <w:t>domum Brutti Praesentis</w:t>
      </w:r>
      <w:r>
        <w:rPr>
          <w:sz w:val="24"/>
          <w:szCs w:val="24"/>
        </w:rPr>
        <w:t xml:space="preserve">¸ the </w:t>
      </w:r>
      <w:r>
        <w:rPr>
          <w:i/>
          <w:sz w:val="24"/>
          <w:szCs w:val="24"/>
        </w:rPr>
        <w:t>domum Cilonis</w:t>
      </w:r>
      <w:r>
        <w:rPr>
          <w:sz w:val="24"/>
          <w:szCs w:val="24"/>
        </w:rPr>
        <w:t xml:space="preserve"> or the </w:t>
      </w:r>
      <w:r>
        <w:rPr>
          <w:i/>
          <w:sz w:val="24"/>
          <w:szCs w:val="24"/>
        </w:rPr>
        <w:t>domum Cornificiae</w:t>
      </w:r>
      <w:r>
        <w:rPr>
          <w:sz w:val="24"/>
          <w:szCs w:val="24"/>
        </w:rPr>
        <w:t>.</w:t>
      </w:r>
      <w:r>
        <w:rPr>
          <w:rStyle w:val="FootnoteReference"/>
          <w:sz w:val="24"/>
          <w:szCs w:val="24"/>
        </w:rPr>
        <w:footnoteReference w:id="395"/>
      </w:r>
      <w:r>
        <w:rPr>
          <w:sz w:val="24"/>
          <w:szCs w:val="24"/>
        </w:rPr>
        <w:t xml:space="preserve"> Equestrian Statues like the </w:t>
      </w:r>
      <w:r>
        <w:rPr>
          <w:i/>
          <w:sz w:val="24"/>
          <w:szCs w:val="24"/>
        </w:rPr>
        <w:t>equum Constantini</w:t>
      </w:r>
      <w:r>
        <w:rPr>
          <w:sz w:val="24"/>
          <w:szCs w:val="24"/>
        </w:rPr>
        <w:t xml:space="preserve"> and Victory Arches such as the </w:t>
      </w:r>
      <w:r>
        <w:rPr>
          <w:i/>
          <w:sz w:val="24"/>
          <w:szCs w:val="24"/>
        </w:rPr>
        <w:t xml:space="preserve">arcūs divi Veri Parthici </w:t>
      </w:r>
      <w:proofErr w:type="gramStart"/>
      <w:r>
        <w:rPr>
          <w:i/>
          <w:sz w:val="24"/>
          <w:szCs w:val="24"/>
        </w:rPr>
        <w:t>et</w:t>
      </w:r>
      <w:proofErr w:type="gramEnd"/>
      <w:r>
        <w:rPr>
          <w:i/>
          <w:sz w:val="24"/>
          <w:szCs w:val="24"/>
        </w:rPr>
        <w:t xml:space="preserve"> Traiani et Drusi et Novum</w:t>
      </w:r>
      <w:r>
        <w:rPr>
          <w:sz w:val="24"/>
          <w:szCs w:val="24"/>
        </w:rPr>
        <w:t xml:space="preserve"> were glorifying monuments of the </w:t>
      </w:r>
      <w:r w:rsidR="0087599E">
        <w:rPr>
          <w:sz w:val="24"/>
          <w:szCs w:val="24"/>
        </w:rPr>
        <w:t>emperors</w:t>
      </w:r>
      <w:r>
        <w:rPr>
          <w:sz w:val="24"/>
          <w:szCs w:val="24"/>
        </w:rPr>
        <w:t xml:space="preserve"> but they were part of a Republican </w:t>
      </w:r>
      <w:r>
        <w:rPr>
          <w:sz w:val="24"/>
          <w:szCs w:val="24"/>
        </w:rPr>
        <w:lastRenderedPageBreak/>
        <w:t>tradition of victory monuments.</w:t>
      </w:r>
      <w:r>
        <w:rPr>
          <w:rStyle w:val="FootnoteReference"/>
          <w:sz w:val="24"/>
          <w:szCs w:val="24"/>
        </w:rPr>
        <w:footnoteReference w:id="396"/>
      </w:r>
      <w:r>
        <w:rPr>
          <w:sz w:val="24"/>
          <w:szCs w:val="24"/>
        </w:rPr>
        <w:t xml:space="preserve"> </w:t>
      </w:r>
      <w:r w:rsidR="00191F2F">
        <w:rPr>
          <w:sz w:val="24"/>
          <w:szCs w:val="24"/>
        </w:rPr>
        <w:t>Like the Imperial bathing complexes, amphitheatres and circus, they</w:t>
      </w:r>
      <w:r>
        <w:rPr>
          <w:sz w:val="24"/>
          <w:szCs w:val="24"/>
        </w:rPr>
        <w:t xml:space="preserve"> were immeasurably more elaborate in detail and scale than their republican foreb</w:t>
      </w:r>
      <w:r w:rsidR="00191F2F">
        <w:rPr>
          <w:sz w:val="24"/>
          <w:szCs w:val="24"/>
        </w:rPr>
        <w:t xml:space="preserve">ears but </w:t>
      </w:r>
      <w:r>
        <w:rPr>
          <w:sz w:val="24"/>
          <w:szCs w:val="24"/>
        </w:rPr>
        <w:t>they could not be said to be</w:t>
      </w:r>
      <w:r w:rsidR="00191F2F">
        <w:rPr>
          <w:sz w:val="24"/>
          <w:szCs w:val="24"/>
        </w:rPr>
        <w:t xml:space="preserve"> strictly “Res Novae”. </w:t>
      </w:r>
      <w:r>
        <w:rPr>
          <w:sz w:val="24"/>
          <w:szCs w:val="24"/>
        </w:rPr>
        <w:t xml:space="preserve">The only truly imperial monuments depicted in the </w:t>
      </w:r>
      <w:r>
        <w:rPr>
          <w:i/>
          <w:sz w:val="24"/>
          <w:szCs w:val="24"/>
        </w:rPr>
        <w:t>Regionaries</w:t>
      </w:r>
      <w:r>
        <w:rPr>
          <w:sz w:val="24"/>
          <w:szCs w:val="24"/>
        </w:rPr>
        <w:t xml:space="preserve"> are temples dedicated to </w:t>
      </w:r>
      <w:r w:rsidR="0087599E">
        <w:rPr>
          <w:sz w:val="24"/>
          <w:szCs w:val="24"/>
        </w:rPr>
        <w:t>emperors</w:t>
      </w:r>
      <w:r>
        <w:rPr>
          <w:sz w:val="24"/>
          <w:szCs w:val="24"/>
        </w:rPr>
        <w:t xml:space="preserve">. Temples dedicated to the deified </w:t>
      </w:r>
      <w:r w:rsidR="0087599E">
        <w:rPr>
          <w:sz w:val="24"/>
          <w:szCs w:val="24"/>
        </w:rPr>
        <w:t>emperors</w:t>
      </w:r>
      <w:r>
        <w:rPr>
          <w:sz w:val="24"/>
          <w:szCs w:val="24"/>
        </w:rPr>
        <w:t xml:space="preserve">, such as the </w:t>
      </w:r>
      <w:r>
        <w:rPr>
          <w:i/>
          <w:sz w:val="24"/>
          <w:szCs w:val="24"/>
        </w:rPr>
        <w:t>Hadrianeum</w:t>
      </w:r>
      <w:r>
        <w:rPr>
          <w:sz w:val="24"/>
          <w:szCs w:val="24"/>
        </w:rPr>
        <w:t xml:space="preserve">, the </w:t>
      </w:r>
      <w:r>
        <w:rPr>
          <w:i/>
          <w:sz w:val="24"/>
          <w:szCs w:val="24"/>
        </w:rPr>
        <w:t xml:space="preserve">templum divi Antonini </w:t>
      </w:r>
      <w:r w:rsidRPr="008944DF">
        <w:rPr>
          <w:sz w:val="24"/>
          <w:szCs w:val="24"/>
        </w:rPr>
        <w:t>and</w:t>
      </w:r>
      <w:r>
        <w:rPr>
          <w:i/>
          <w:sz w:val="24"/>
          <w:szCs w:val="24"/>
        </w:rPr>
        <w:t xml:space="preserve"> </w:t>
      </w:r>
      <w:r w:rsidRPr="008944DF">
        <w:rPr>
          <w:sz w:val="24"/>
          <w:szCs w:val="24"/>
        </w:rPr>
        <w:t>the</w:t>
      </w:r>
      <w:r>
        <w:rPr>
          <w:i/>
          <w:sz w:val="24"/>
          <w:szCs w:val="24"/>
        </w:rPr>
        <w:t xml:space="preserve"> templorum Claudium </w:t>
      </w:r>
      <w:proofErr w:type="gramStart"/>
      <w:r>
        <w:rPr>
          <w:i/>
          <w:sz w:val="24"/>
          <w:szCs w:val="24"/>
        </w:rPr>
        <w:t>et</w:t>
      </w:r>
      <w:proofErr w:type="gramEnd"/>
      <w:r>
        <w:rPr>
          <w:i/>
          <w:sz w:val="24"/>
          <w:szCs w:val="24"/>
        </w:rPr>
        <w:t xml:space="preserve"> Traini et Faustinae et Vespasiani et Titi</w:t>
      </w:r>
      <w:r>
        <w:rPr>
          <w:sz w:val="24"/>
          <w:szCs w:val="24"/>
        </w:rPr>
        <w:t xml:space="preserve">, are honours reserved for the </w:t>
      </w:r>
      <w:r w:rsidR="0087599E">
        <w:rPr>
          <w:sz w:val="24"/>
          <w:szCs w:val="24"/>
        </w:rPr>
        <w:t>i</w:t>
      </w:r>
      <w:r>
        <w:rPr>
          <w:sz w:val="24"/>
          <w:szCs w:val="24"/>
        </w:rPr>
        <w:t>mperial family.</w:t>
      </w:r>
      <w:r>
        <w:rPr>
          <w:rStyle w:val="FootnoteReference"/>
          <w:sz w:val="24"/>
          <w:szCs w:val="24"/>
        </w:rPr>
        <w:footnoteReference w:id="397"/>
      </w:r>
      <w:r>
        <w:rPr>
          <w:sz w:val="24"/>
          <w:szCs w:val="24"/>
        </w:rPr>
        <w:t xml:space="preserve"> And even these honours are an acceptable part of Roman tradition begun by Augustus. As they began to accrue more and more trappings of the absolute monarchs they became towards the end of the third century, it became even more important for </w:t>
      </w:r>
      <w:r w:rsidR="0087599E">
        <w:rPr>
          <w:sz w:val="24"/>
          <w:szCs w:val="24"/>
        </w:rPr>
        <w:t>emperors</w:t>
      </w:r>
      <w:r>
        <w:rPr>
          <w:sz w:val="24"/>
          <w:szCs w:val="24"/>
        </w:rPr>
        <w:t xml:space="preserve"> to continue to demonstrate an adherence to the old traditions.</w:t>
      </w:r>
      <w:r>
        <w:rPr>
          <w:rStyle w:val="FootnoteReference"/>
          <w:sz w:val="24"/>
          <w:szCs w:val="24"/>
        </w:rPr>
        <w:footnoteReference w:id="398"/>
      </w:r>
      <w:r>
        <w:rPr>
          <w:sz w:val="24"/>
          <w:szCs w:val="24"/>
        </w:rPr>
        <w:t xml:space="preserve"> </w:t>
      </w:r>
      <w:r w:rsidR="00191F2F">
        <w:rPr>
          <w:sz w:val="24"/>
          <w:szCs w:val="24"/>
        </w:rPr>
        <w:t xml:space="preserve">Tellingly the only other monument that could be considered truly “Res Novae” in Rome would be the Aurelian Wall. The literary sources for the Wall’s construction are </w:t>
      </w:r>
      <w:r w:rsidR="00A24B94">
        <w:rPr>
          <w:sz w:val="24"/>
          <w:szCs w:val="24"/>
        </w:rPr>
        <w:t xml:space="preserve">significantly </w:t>
      </w:r>
      <w:r w:rsidR="00191F2F">
        <w:rPr>
          <w:sz w:val="24"/>
          <w:szCs w:val="24"/>
        </w:rPr>
        <w:t>sparse despite the colossal nature of the work, which suggests a certain degree of willful ignorance to deal with the trauma that the</w:t>
      </w:r>
      <w:r w:rsidR="00191F2F">
        <w:rPr>
          <w:b/>
          <w:sz w:val="24"/>
          <w:szCs w:val="24"/>
        </w:rPr>
        <w:t xml:space="preserve"> </w:t>
      </w:r>
      <w:r w:rsidR="00191F2F">
        <w:rPr>
          <w:i/>
          <w:sz w:val="24"/>
          <w:szCs w:val="24"/>
        </w:rPr>
        <w:t>caput mundi</w:t>
      </w:r>
      <w:r w:rsidR="00191F2F">
        <w:rPr>
          <w:sz w:val="24"/>
          <w:szCs w:val="24"/>
        </w:rPr>
        <w:t xml:space="preserve"> now needed defences.</w:t>
      </w:r>
      <w:r w:rsidR="00191F2F">
        <w:rPr>
          <w:rStyle w:val="FootnoteReference"/>
          <w:sz w:val="24"/>
          <w:szCs w:val="24"/>
        </w:rPr>
        <w:footnoteReference w:id="399"/>
      </w:r>
    </w:p>
    <w:p w:rsidR="00B96FE5" w:rsidRDefault="0046134A" w:rsidP="00B96FE5">
      <w:pPr>
        <w:tabs>
          <w:tab w:val="left" w:pos="0"/>
        </w:tabs>
        <w:spacing w:line="480" w:lineRule="auto"/>
        <w:jc w:val="both"/>
        <w:rPr>
          <w:sz w:val="24"/>
          <w:szCs w:val="24"/>
        </w:rPr>
      </w:pPr>
      <w:r>
        <w:rPr>
          <w:sz w:val="24"/>
          <w:szCs w:val="24"/>
        </w:rPr>
        <w:tab/>
        <w:t>And f</w:t>
      </w:r>
      <w:r w:rsidRPr="0076389E">
        <w:rPr>
          <w:sz w:val="24"/>
          <w:szCs w:val="24"/>
        </w:rPr>
        <w:t xml:space="preserve">or a city with an administration so laden with history and tradition, the construction of Aurelian’s Wall and the accompanying administrative changes meant redefining the city to a </w:t>
      </w:r>
      <w:r>
        <w:rPr>
          <w:sz w:val="24"/>
          <w:szCs w:val="24"/>
        </w:rPr>
        <w:t xml:space="preserve">substantial </w:t>
      </w:r>
      <w:r w:rsidRPr="0076389E">
        <w:rPr>
          <w:sz w:val="24"/>
          <w:szCs w:val="24"/>
        </w:rPr>
        <w:t>extent.</w:t>
      </w:r>
      <w:r w:rsidRPr="007D3266">
        <w:rPr>
          <w:sz w:val="24"/>
          <w:szCs w:val="24"/>
        </w:rPr>
        <w:t xml:space="preserve"> </w:t>
      </w:r>
      <w:r>
        <w:rPr>
          <w:sz w:val="24"/>
          <w:szCs w:val="24"/>
        </w:rPr>
        <w:t>The Wall c</w:t>
      </w:r>
      <w:r w:rsidRPr="0076389E">
        <w:rPr>
          <w:sz w:val="24"/>
          <w:szCs w:val="24"/>
        </w:rPr>
        <w:t>ould become the point at which many of the “old” traditions of Rome</w:t>
      </w:r>
      <w:r>
        <w:rPr>
          <w:sz w:val="24"/>
          <w:szCs w:val="24"/>
        </w:rPr>
        <w:t xml:space="preserve"> could pretend that they still continued to hold sway, in contrast to the rest of the Empire which was governed by the new traditions of </w:t>
      </w:r>
      <w:r w:rsidR="0087599E">
        <w:rPr>
          <w:sz w:val="24"/>
          <w:szCs w:val="24"/>
        </w:rPr>
        <w:t>i</w:t>
      </w:r>
      <w:r>
        <w:rPr>
          <w:sz w:val="24"/>
          <w:szCs w:val="24"/>
        </w:rPr>
        <w:t>mperial government</w:t>
      </w:r>
      <w:r w:rsidRPr="0076389E">
        <w:rPr>
          <w:sz w:val="24"/>
          <w:szCs w:val="24"/>
        </w:rPr>
        <w:t>.</w:t>
      </w:r>
      <w:r w:rsidRPr="0076389E">
        <w:rPr>
          <w:rStyle w:val="FootnoteReference"/>
          <w:sz w:val="24"/>
          <w:szCs w:val="24"/>
        </w:rPr>
        <w:footnoteReference w:id="400"/>
      </w:r>
      <w:r w:rsidRPr="0076389E">
        <w:rPr>
          <w:bCs/>
          <w:sz w:val="24"/>
          <w:szCs w:val="24"/>
        </w:rPr>
        <w:t xml:space="preserve"> </w:t>
      </w:r>
      <w:r w:rsidRPr="0076389E">
        <w:rPr>
          <w:sz w:val="24"/>
          <w:szCs w:val="24"/>
        </w:rPr>
        <w:t xml:space="preserve"> </w:t>
      </w:r>
      <w:r w:rsidRPr="0076389E">
        <w:rPr>
          <w:bCs/>
          <w:sz w:val="24"/>
          <w:szCs w:val="24"/>
        </w:rPr>
        <w:t xml:space="preserve">Newer reforms that may have been unpopular but necessary such as the construction of the Aurelian Wall or tax reforms would </w:t>
      </w:r>
      <w:r>
        <w:rPr>
          <w:bCs/>
          <w:sz w:val="24"/>
          <w:szCs w:val="24"/>
        </w:rPr>
        <w:t xml:space="preserve">still </w:t>
      </w:r>
      <w:r w:rsidRPr="0076389E">
        <w:rPr>
          <w:bCs/>
          <w:sz w:val="24"/>
          <w:szCs w:val="24"/>
        </w:rPr>
        <w:t>have to be made palatable</w:t>
      </w:r>
      <w:r>
        <w:rPr>
          <w:bCs/>
          <w:sz w:val="24"/>
          <w:szCs w:val="24"/>
        </w:rPr>
        <w:t xml:space="preserve">. </w:t>
      </w:r>
      <w:r w:rsidR="00A612CB">
        <w:rPr>
          <w:sz w:val="24"/>
          <w:szCs w:val="24"/>
        </w:rPr>
        <w:lastRenderedPageBreak/>
        <w:t>Emperors</w:t>
      </w:r>
      <w:r>
        <w:rPr>
          <w:sz w:val="24"/>
          <w:szCs w:val="24"/>
        </w:rPr>
        <w:t xml:space="preserve"> such as Aurelian had to maintain the pretence of being the same as the senators when in fact they were already above them.</w:t>
      </w:r>
      <w:r w:rsidRPr="007D3266">
        <w:rPr>
          <w:sz w:val="24"/>
          <w:szCs w:val="24"/>
        </w:rPr>
        <w:t xml:space="preserve"> </w:t>
      </w:r>
      <w:r w:rsidR="00B96FE5">
        <w:rPr>
          <w:sz w:val="24"/>
          <w:szCs w:val="24"/>
        </w:rPr>
        <w:t xml:space="preserve">As the </w:t>
      </w:r>
      <w:r w:rsidR="0087599E">
        <w:rPr>
          <w:sz w:val="24"/>
          <w:szCs w:val="24"/>
        </w:rPr>
        <w:t>emperors</w:t>
      </w:r>
      <w:r w:rsidR="00B96FE5">
        <w:rPr>
          <w:sz w:val="24"/>
          <w:szCs w:val="24"/>
        </w:rPr>
        <w:t xml:space="preserve"> began increasingly to resemble Pharaohs over Magistrates, it was important to reassure the empire’s cultural capital of its importance and value. After all as the </w:t>
      </w:r>
      <w:r w:rsidR="0087599E">
        <w:rPr>
          <w:sz w:val="24"/>
          <w:szCs w:val="24"/>
        </w:rPr>
        <w:t>emperors</w:t>
      </w:r>
      <w:r w:rsidR="00B96FE5">
        <w:rPr>
          <w:sz w:val="24"/>
          <w:szCs w:val="24"/>
        </w:rPr>
        <w:t xml:space="preserve"> spent increasing time across the empire, they had to delegate control of Rome and other major administrative tasks as they could no longer directly bend their supreme </w:t>
      </w:r>
      <w:r w:rsidR="00B96FE5">
        <w:rPr>
          <w:i/>
          <w:sz w:val="24"/>
          <w:szCs w:val="24"/>
        </w:rPr>
        <w:t>auctoritas</w:t>
      </w:r>
      <w:r w:rsidR="00B96FE5">
        <w:rPr>
          <w:sz w:val="24"/>
          <w:szCs w:val="24"/>
        </w:rPr>
        <w:t xml:space="preserve"> and personal glory towards managing the capital.</w:t>
      </w:r>
      <w:r w:rsidR="00B96FE5">
        <w:rPr>
          <w:rStyle w:val="FootnoteReference"/>
          <w:sz w:val="24"/>
          <w:szCs w:val="24"/>
        </w:rPr>
        <w:footnoteReference w:id="401"/>
      </w:r>
      <w:r w:rsidR="00B96FE5">
        <w:rPr>
          <w:sz w:val="24"/>
          <w:szCs w:val="24"/>
        </w:rPr>
        <w:t xml:space="preserve">  </w:t>
      </w:r>
    </w:p>
    <w:p w:rsidR="0046134A" w:rsidRDefault="00B96FE5" w:rsidP="00B96FE5">
      <w:pPr>
        <w:tabs>
          <w:tab w:val="left" w:pos="0"/>
        </w:tabs>
        <w:spacing w:line="480" w:lineRule="auto"/>
        <w:jc w:val="both"/>
        <w:rPr>
          <w:sz w:val="24"/>
          <w:szCs w:val="24"/>
        </w:rPr>
      </w:pPr>
      <w:r>
        <w:rPr>
          <w:bCs/>
          <w:sz w:val="24"/>
          <w:szCs w:val="24"/>
        </w:rPr>
        <w:tab/>
        <w:t>These increasing imperial absences meant a commensurate</w:t>
      </w:r>
      <w:r w:rsidR="0046134A">
        <w:rPr>
          <w:bCs/>
          <w:sz w:val="24"/>
          <w:szCs w:val="24"/>
        </w:rPr>
        <w:t xml:space="preserve"> increase</w:t>
      </w:r>
      <w:r>
        <w:rPr>
          <w:bCs/>
          <w:sz w:val="24"/>
          <w:szCs w:val="24"/>
        </w:rPr>
        <w:t xml:space="preserve"> in</w:t>
      </w:r>
      <w:r w:rsidR="0046134A" w:rsidRPr="0076389E">
        <w:rPr>
          <w:bCs/>
          <w:sz w:val="24"/>
          <w:szCs w:val="24"/>
        </w:rPr>
        <w:t xml:space="preserve"> t</w:t>
      </w:r>
      <w:r w:rsidR="0046134A">
        <w:rPr>
          <w:bCs/>
          <w:sz w:val="24"/>
          <w:szCs w:val="24"/>
        </w:rPr>
        <w:t>he burden of the Urban Prefect’s</w:t>
      </w:r>
      <w:r>
        <w:rPr>
          <w:bCs/>
          <w:sz w:val="24"/>
          <w:szCs w:val="24"/>
        </w:rPr>
        <w:t xml:space="preserve"> duties,</w:t>
      </w:r>
      <w:r w:rsidR="0046134A" w:rsidRPr="0076389E">
        <w:rPr>
          <w:bCs/>
          <w:sz w:val="24"/>
          <w:szCs w:val="24"/>
        </w:rPr>
        <w:t xml:space="preserve"> often</w:t>
      </w:r>
      <w:r>
        <w:rPr>
          <w:bCs/>
          <w:sz w:val="24"/>
          <w:szCs w:val="24"/>
        </w:rPr>
        <w:t xml:space="preserve"> accompanied by</w:t>
      </w:r>
      <w:r w:rsidR="0046134A" w:rsidRPr="0076389E">
        <w:rPr>
          <w:bCs/>
          <w:sz w:val="24"/>
          <w:szCs w:val="24"/>
        </w:rPr>
        <w:t xml:space="preserve"> restr</w:t>
      </w:r>
      <w:r>
        <w:rPr>
          <w:bCs/>
          <w:sz w:val="24"/>
          <w:szCs w:val="24"/>
        </w:rPr>
        <w:t>icting the Prefect’s</w:t>
      </w:r>
      <w:r w:rsidR="0046134A" w:rsidRPr="0076389E">
        <w:rPr>
          <w:bCs/>
          <w:sz w:val="24"/>
          <w:szCs w:val="24"/>
        </w:rPr>
        <w:t xml:space="preserve"> powers an</w:t>
      </w:r>
      <w:r>
        <w:rPr>
          <w:bCs/>
          <w:sz w:val="24"/>
          <w:szCs w:val="24"/>
        </w:rPr>
        <w:t>d abilities. To cope with this t</w:t>
      </w:r>
      <w:r w:rsidR="0046134A">
        <w:rPr>
          <w:bCs/>
          <w:sz w:val="24"/>
          <w:szCs w:val="24"/>
        </w:rPr>
        <w:t>he Prefect</w:t>
      </w:r>
      <w:r w:rsidR="0046134A" w:rsidRPr="0076389E">
        <w:rPr>
          <w:bCs/>
          <w:sz w:val="24"/>
          <w:szCs w:val="24"/>
        </w:rPr>
        <w:t>s needed to ornament their prestige in order to be able to command the respect and help of those peers and clients they needed in order to effectively administer the city. The Te</w:t>
      </w:r>
      <w:r w:rsidR="0046134A">
        <w:rPr>
          <w:bCs/>
          <w:sz w:val="24"/>
          <w:szCs w:val="24"/>
        </w:rPr>
        <w:t>mple of Tellus held the actual</w:t>
      </w:r>
      <w:r w:rsidR="0046134A" w:rsidRPr="0076389E">
        <w:rPr>
          <w:bCs/>
          <w:sz w:val="24"/>
          <w:szCs w:val="24"/>
        </w:rPr>
        <w:t xml:space="preserve"> administrative offices of the city, but the </w:t>
      </w:r>
      <w:r w:rsidR="0046134A" w:rsidRPr="0076389E">
        <w:rPr>
          <w:bCs/>
          <w:i/>
          <w:sz w:val="24"/>
          <w:szCs w:val="24"/>
        </w:rPr>
        <w:t>Templum Pacis</w:t>
      </w:r>
      <w:r w:rsidR="0046134A" w:rsidRPr="0076389E">
        <w:rPr>
          <w:bCs/>
          <w:sz w:val="24"/>
          <w:szCs w:val="24"/>
        </w:rPr>
        <w:t xml:space="preserve"> and the Marble Plan were monuments to the Urban Prefecture’s efficiency and power.</w:t>
      </w:r>
      <w:r w:rsidR="0046134A" w:rsidRPr="0076389E">
        <w:rPr>
          <w:rStyle w:val="FootnoteReference"/>
          <w:bCs/>
          <w:sz w:val="24"/>
          <w:szCs w:val="24"/>
        </w:rPr>
        <w:footnoteReference w:id="402"/>
      </w:r>
      <w:r w:rsidR="0046134A" w:rsidRPr="0076389E">
        <w:rPr>
          <w:bCs/>
          <w:sz w:val="24"/>
          <w:szCs w:val="24"/>
        </w:rPr>
        <w:t xml:space="preserve"> The records that had supported its creation would be housed with it in order to further ornament its prestige.</w:t>
      </w:r>
      <w:r w:rsidR="0046134A" w:rsidRPr="0076389E">
        <w:rPr>
          <w:rStyle w:val="FootnoteReference"/>
          <w:bCs/>
          <w:sz w:val="24"/>
          <w:szCs w:val="24"/>
        </w:rPr>
        <w:footnoteReference w:id="403"/>
      </w:r>
      <w:r w:rsidR="0046134A" w:rsidRPr="0076389E">
        <w:rPr>
          <w:bCs/>
          <w:sz w:val="24"/>
          <w:szCs w:val="24"/>
        </w:rPr>
        <w:t xml:space="preserve"> </w:t>
      </w:r>
      <w:r w:rsidR="0046134A">
        <w:rPr>
          <w:sz w:val="24"/>
          <w:szCs w:val="24"/>
        </w:rPr>
        <w:t xml:space="preserve">The Urban Prefecture served as the capstone of the senatorial career hierarchy because of the personal </w:t>
      </w:r>
      <w:r w:rsidR="0046134A" w:rsidRPr="00A612CB">
        <w:rPr>
          <w:sz w:val="24"/>
          <w:szCs w:val="24"/>
        </w:rPr>
        <w:t>prestige</w:t>
      </w:r>
      <w:r w:rsidR="0046134A">
        <w:rPr>
          <w:sz w:val="24"/>
          <w:szCs w:val="24"/>
        </w:rPr>
        <w:t xml:space="preserve"> that came from, and was required for, overseeing a city of so many significant monuments. Even Constantinople, despite outstripping Rome in terms of its access to the </w:t>
      </w:r>
      <w:r w:rsidR="0087599E">
        <w:rPr>
          <w:sz w:val="24"/>
          <w:szCs w:val="24"/>
        </w:rPr>
        <w:t>i</w:t>
      </w:r>
      <w:r w:rsidR="0046134A">
        <w:rPr>
          <w:sz w:val="24"/>
          <w:szCs w:val="24"/>
        </w:rPr>
        <w:t>mperial Court, could never hope to match Rome in terms of its monuments and history.</w:t>
      </w:r>
      <w:r w:rsidR="0046134A">
        <w:rPr>
          <w:rStyle w:val="FootnoteReference"/>
          <w:sz w:val="24"/>
          <w:szCs w:val="24"/>
        </w:rPr>
        <w:footnoteReference w:id="404"/>
      </w:r>
      <w:r w:rsidR="0046134A">
        <w:rPr>
          <w:sz w:val="24"/>
          <w:szCs w:val="24"/>
        </w:rPr>
        <w:t xml:space="preserve"> Constantinople’s acquisition of an Urban Prefect was an attempt to demonstrate that the city was truly </w:t>
      </w:r>
      <w:r w:rsidR="0046134A">
        <w:rPr>
          <w:i/>
          <w:sz w:val="24"/>
          <w:szCs w:val="24"/>
        </w:rPr>
        <w:t>Nova Roma</w:t>
      </w:r>
      <w:r w:rsidR="0046134A">
        <w:rPr>
          <w:sz w:val="24"/>
          <w:szCs w:val="24"/>
        </w:rPr>
        <w:t xml:space="preserve">. In the hierarchy of the </w:t>
      </w:r>
      <w:r w:rsidR="0046134A">
        <w:rPr>
          <w:i/>
          <w:sz w:val="24"/>
          <w:szCs w:val="24"/>
        </w:rPr>
        <w:t>Notitia Dignitatum</w:t>
      </w:r>
      <w:r w:rsidR="0046134A">
        <w:rPr>
          <w:sz w:val="24"/>
          <w:szCs w:val="24"/>
        </w:rPr>
        <w:t xml:space="preserve"> it ranked second only to the Praetorian </w:t>
      </w:r>
      <w:r w:rsidR="0046134A">
        <w:rPr>
          <w:sz w:val="24"/>
          <w:szCs w:val="24"/>
        </w:rPr>
        <w:lastRenderedPageBreak/>
        <w:t xml:space="preserve">Prefects, and whilst it may not have much formal political authority outside of Rome, the honour and glory that would be gained from the demonstration of the care and attention an Urban Prefect would appropriately pay to such ancient and prestigious buildings. Many of these buildings are even listed twice within the </w:t>
      </w:r>
      <w:r w:rsidR="0046134A">
        <w:rPr>
          <w:i/>
          <w:sz w:val="24"/>
          <w:szCs w:val="24"/>
        </w:rPr>
        <w:t>Regionaries</w:t>
      </w:r>
      <w:r w:rsidR="0046134A">
        <w:rPr>
          <w:sz w:val="24"/>
          <w:szCs w:val="24"/>
        </w:rPr>
        <w:t xml:space="preserve">. It is not just enough to list each of the </w:t>
      </w:r>
      <w:r w:rsidR="0046134A">
        <w:rPr>
          <w:i/>
          <w:sz w:val="24"/>
          <w:szCs w:val="24"/>
        </w:rPr>
        <w:t>Fora,</w:t>
      </w:r>
      <w:r w:rsidR="0046134A">
        <w:rPr>
          <w:sz w:val="24"/>
          <w:szCs w:val="24"/>
        </w:rPr>
        <w:t xml:space="preserve"> </w:t>
      </w:r>
      <w:r w:rsidR="0046134A">
        <w:rPr>
          <w:i/>
          <w:sz w:val="24"/>
          <w:szCs w:val="24"/>
        </w:rPr>
        <w:t xml:space="preserve">Bascilicae, </w:t>
      </w:r>
      <w:r w:rsidR="00C43F79">
        <w:rPr>
          <w:i/>
          <w:sz w:val="24"/>
          <w:szCs w:val="24"/>
        </w:rPr>
        <w:t>Thermae</w:t>
      </w:r>
      <w:r w:rsidR="0046134A">
        <w:rPr>
          <w:sz w:val="24"/>
          <w:szCs w:val="24"/>
        </w:rPr>
        <w:t xml:space="preserve"> individually in their locations; it has to be stressed again by collectively listing them in their groups.</w:t>
      </w:r>
      <w:r w:rsidR="0046134A">
        <w:rPr>
          <w:rStyle w:val="FootnoteReference"/>
          <w:sz w:val="24"/>
          <w:szCs w:val="24"/>
        </w:rPr>
        <w:footnoteReference w:id="405"/>
      </w:r>
      <w:r w:rsidR="0046134A">
        <w:rPr>
          <w:sz w:val="24"/>
          <w:szCs w:val="24"/>
        </w:rPr>
        <w:t xml:space="preserve"> These monumental cartographical and topographical representations would have been essential to establishing and improving one’s place within the socio-political hierarchy of Roman government, as it would be the easiest method of depicting the importance of one’s post. Individual details about the post would not be needed as only a figure who could instinctively understand them would ever be able to reach the Urban Prefecture. Urban Prefects could then use this prestige to compel or encourage the local elites of the city who were essential to the orderly management of the community. </w:t>
      </w:r>
    </w:p>
    <w:p w:rsidR="0046134A" w:rsidRDefault="0046134A" w:rsidP="0046134A">
      <w:pPr>
        <w:spacing w:line="480" w:lineRule="auto"/>
        <w:ind w:firstLine="720"/>
        <w:jc w:val="both"/>
        <w:rPr>
          <w:rFonts w:cs="Times New Roman"/>
          <w:bCs/>
          <w:sz w:val="24"/>
          <w:szCs w:val="24"/>
        </w:rPr>
      </w:pPr>
      <w:r>
        <w:rPr>
          <w:sz w:val="24"/>
          <w:szCs w:val="24"/>
        </w:rPr>
        <w:t xml:space="preserve">Such efforts and demonstrations ensured that the administration could create and maintain the monuments that would both provide a public good and prestige, and ensure that the local elites would be willing to contribute to it in exchange for a share of the glory. </w:t>
      </w:r>
      <w:r w:rsidR="0087599E">
        <w:rPr>
          <w:rFonts w:cs="Times New Roman"/>
          <w:bCs/>
          <w:sz w:val="24"/>
          <w:szCs w:val="24"/>
        </w:rPr>
        <w:t>Imperial</w:t>
      </w:r>
      <w:r>
        <w:rPr>
          <w:rFonts w:cs="Times New Roman"/>
          <w:bCs/>
          <w:sz w:val="24"/>
          <w:szCs w:val="24"/>
        </w:rPr>
        <w:t xml:space="preserve"> restorations, maintenance and constructions in Rome asserted the imperial desire to restore and preserve the </w:t>
      </w:r>
      <w:r>
        <w:rPr>
          <w:rFonts w:cs="Times New Roman"/>
          <w:bCs/>
          <w:i/>
          <w:sz w:val="24"/>
          <w:szCs w:val="24"/>
        </w:rPr>
        <w:t>res publica</w:t>
      </w:r>
      <w:r>
        <w:rPr>
          <w:rFonts w:cs="Times New Roman"/>
          <w:bCs/>
          <w:sz w:val="24"/>
          <w:szCs w:val="24"/>
        </w:rPr>
        <w:t xml:space="preserve"> whilst encouraging others to pursue their own glories as well through further restorations.</w:t>
      </w:r>
      <w:r>
        <w:rPr>
          <w:rStyle w:val="FootnoteReference"/>
          <w:rFonts w:cs="Times New Roman"/>
          <w:bCs/>
          <w:sz w:val="24"/>
          <w:szCs w:val="24"/>
        </w:rPr>
        <w:footnoteReference w:id="406"/>
      </w:r>
      <w:r>
        <w:rPr>
          <w:rFonts w:cs="Times New Roman"/>
          <w:bCs/>
          <w:sz w:val="24"/>
          <w:szCs w:val="24"/>
        </w:rPr>
        <w:t xml:space="preserve"> </w:t>
      </w:r>
      <w:r w:rsidR="00BC0C4C">
        <w:rPr>
          <w:rFonts w:cs="Times New Roman"/>
          <w:bCs/>
          <w:sz w:val="24"/>
          <w:szCs w:val="24"/>
        </w:rPr>
        <w:t xml:space="preserve">Augmenting a city's privileges or available amenities encouraged behaviour useful to the imperial administration.  When the Emperor Commodus bestowed voting rights on a Lycian city in a rescript and praised the city for its </w:t>
      </w:r>
      <w:r w:rsidR="00BC0C4C">
        <w:rPr>
          <w:rFonts w:cs="Times New Roman"/>
          <w:bCs/>
          <w:sz w:val="24"/>
          <w:szCs w:val="24"/>
        </w:rPr>
        <w:lastRenderedPageBreak/>
        <w:t>zealous arrest of bandits, he implicitly incentivised the city</w:t>
      </w:r>
      <w:r w:rsidR="00F924EE">
        <w:rPr>
          <w:rFonts w:cs="Times New Roman"/>
          <w:bCs/>
          <w:sz w:val="24"/>
          <w:szCs w:val="24"/>
        </w:rPr>
        <w:t xml:space="preserve"> (and others like it)</w:t>
      </w:r>
      <w:r w:rsidR="00BC0C4C">
        <w:rPr>
          <w:rFonts w:cs="Times New Roman"/>
          <w:bCs/>
          <w:sz w:val="24"/>
          <w:szCs w:val="24"/>
        </w:rPr>
        <w:t xml:space="preserve"> to hunt </w:t>
      </w:r>
      <w:r w:rsidR="00F924EE">
        <w:rPr>
          <w:rFonts w:cs="Times New Roman"/>
          <w:bCs/>
          <w:sz w:val="24"/>
          <w:szCs w:val="24"/>
        </w:rPr>
        <w:t xml:space="preserve">for </w:t>
      </w:r>
      <w:r w:rsidR="00BC0C4C">
        <w:rPr>
          <w:rFonts w:cs="Times New Roman"/>
          <w:bCs/>
          <w:sz w:val="24"/>
          <w:szCs w:val="24"/>
        </w:rPr>
        <w:t>further bandits.</w:t>
      </w:r>
      <w:r w:rsidR="00BC0C4C">
        <w:rPr>
          <w:rStyle w:val="FootnoteReference"/>
          <w:rFonts w:cs="Times New Roman"/>
          <w:bCs/>
          <w:sz w:val="24"/>
          <w:szCs w:val="24"/>
        </w:rPr>
        <w:footnoteReference w:id="407"/>
      </w:r>
      <w:r w:rsidR="00BC0C4C">
        <w:rPr>
          <w:rFonts w:cs="Times New Roman"/>
          <w:bCs/>
          <w:sz w:val="24"/>
          <w:szCs w:val="24"/>
        </w:rPr>
        <w:t xml:space="preserve"> </w:t>
      </w:r>
      <w:r>
        <w:rPr>
          <w:rFonts w:cs="Times New Roman"/>
          <w:bCs/>
          <w:sz w:val="24"/>
          <w:szCs w:val="24"/>
        </w:rPr>
        <w:t xml:space="preserve">These restorations could then be demonstrated in maps or topographical catalogues and therefore accrue even more honour and glory to the administrator and their city. Most importantly it flattered the local elites, assured them of their continued importance at a time when they felt sorely neglected and encouraged them to co-operate with </w:t>
      </w:r>
      <w:r w:rsidR="0087599E">
        <w:rPr>
          <w:rFonts w:cs="Times New Roman"/>
          <w:bCs/>
          <w:sz w:val="24"/>
          <w:szCs w:val="24"/>
        </w:rPr>
        <w:t>i</w:t>
      </w:r>
      <w:r>
        <w:rPr>
          <w:rFonts w:cs="Times New Roman"/>
          <w:bCs/>
          <w:sz w:val="24"/>
          <w:szCs w:val="24"/>
        </w:rPr>
        <w:t>mperial officials.</w:t>
      </w:r>
    </w:p>
    <w:p w:rsidR="0046134A" w:rsidRDefault="0046134A" w:rsidP="0046134A">
      <w:pPr>
        <w:spacing w:line="480" w:lineRule="auto"/>
        <w:ind w:firstLine="720"/>
        <w:jc w:val="both"/>
        <w:rPr>
          <w:sz w:val="24"/>
          <w:szCs w:val="24"/>
        </w:rPr>
      </w:pPr>
      <w:r>
        <w:rPr>
          <w:sz w:val="24"/>
          <w:szCs w:val="24"/>
        </w:rPr>
        <w:t xml:space="preserve">In fact it would become even more important in Late Antiquity to encourage local notables, from the powerful senatorial aristocrats to </w:t>
      </w:r>
      <w:r w:rsidR="000A7B71">
        <w:rPr>
          <w:sz w:val="24"/>
          <w:szCs w:val="24"/>
        </w:rPr>
        <w:t xml:space="preserve">minor </w:t>
      </w:r>
      <w:r>
        <w:rPr>
          <w:sz w:val="24"/>
          <w:szCs w:val="24"/>
        </w:rPr>
        <w:t>merchants, both in Rome and abroad to cooperate with imperial officials. With an increase in what Lendon has termed, ‘over-honourable subjects’, it was possible to have subjects whose political authority was not necessarily congruent with their social status.</w:t>
      </w:r>
      <w:r>
        <w:rPr>
          <w:rStyle w:val="FootnoteReference"/>
          <w:sz w:val="24"/>
          <w:szCs w:val="24"/>
        </w:rPr>
        <w:footnoteReference w:id="408"/>
      </w:r>
      <w:r>
        <w:rPr>
          <w:sz w:val="24"/>
          <w:szCs w:val="24"/>
        </w:rPr>
        <w:t xml:space="preserve"> Imperial Court officials with too much political power and not enough social status would find it difficult to compel powerful aristocratic figures. Such subjects, who possessed an abundance of </w:t>
      </w:r>
      <w:r>
        <w:rPr>
          <w:i/>
          <w:sz w:val="24"/>
          <w:szCs w:val="24"/>
        </w:rPr>
        <w:t>auctoritas</w:t>
      </w:r>
      <w:r>
        <w:rPr>
          <w:sz w:val="24"/>
          <w:szCs w:val="24"/>
        </w:rPr>
        <w:t xml:space="preserve"> and their own network of clients and supporters but little attachment to the government hierarchy, might consider their own attempt to seize the </w:t>
      </w:r>
      <w:r w:rsidR="0087599E">
        <w:rPr>
          <w:sz w:val="24"/>
          <w:szCs w:val="24"/>
        </w:rPr>
        <w:t>i</w:t>
      </w:r>
      <w:r>
        <w:rPr>
          <w:sz w:val="24"/>
          <w:szCs w:val="24"/>
        </w:rPr>
        <w:t xml:space="preserve">mperial purple. By couching these hierarchies in terms of traditional monuments, values and forms, the Tetrarchy made their case far stronger to those people who would need to accept it. </w:t>
      </w:r>
      <w:r>
        <w:rPr>
          <w:rFonts w:eastAsiaTheme="majorEastAsia"/>
          <w:bCs/>
          <w:sz w:val="24"/>
          <w:szCs w:val="24"/>
        </w:rPr>
        <w:t>Enforcing the law and will of the government</w:t>
      </w:r>
      <w:r w:rsidRPr="00E50CE3">
        <w:rPr>
          <w:rFonts w:eastAsiaTheme="majorEastAsia"/>
          <w:bCs/>
          <w:sz w:val="24"/>
          <w:szCs w:val="24"/>
        </w:rPr>
        <w:t xml:space="preserve">, within any modern sense of the word, was largely impossible due to the limited resources available. </w:t>
      </w:r>
      <w:r w:rsidR="000A7B71">
        <w:rPr>
          <w:rFonts w:eastAsiaTheme="majorEastAsia"/>
          <w:bCs/>
          <w:sz w:val="24"/>
          <w:szCs w:val="24"/>
        </w:rPr>
        <w:t xml:space="preserve">Essential to it was ability to induce others to follow its wishes with tradition and prestige. </w:t>
      </w:r>
    </w:p>
    <w:p w:rsidR="0046134A" w:rsidRPr="00207FE6" w:rsidRDefault="0046134A" w:rsidP="00BC0C4C">
      <w:pPr>
        <w:spacing w:line="480" w:lineRule="auto"/>
        <w:ind w:firstLine="720"/>
        <w:jc w:val="both"/>
        <w:rPr>
          <w:sz w:val="24"/>
          <w:szCs w:val="24"/>
        </w:rPr>
      </w:pPr>
      <w:r w:rsidRPr="00207FE6">
        <w:rPr>
          <w:sz w:val="24"/>
          <w:szCs w:val="24"/>
        </w:rPr>
        <w:t xml:space="preserve">Whilst the </w:t>
      </w:r>
      <w:r w:rsidRPr="00207FE6">
        <w:rPr>
          <w:i/>
          <w:sz w:val="24"/>
          <w:szCs w:val="24"/>
        </w:rPr>
        <w:t>Regionaries</w:t>
      </w:r>
      <w:r w:rsidRPr="00207FE6">
        <w:rPr>
          <w:sz w:val="24"/>
          <w:szCs w:val="24"/>
        </w:rPr>
        <w:t xml:space="preserve"> contain ample examples of Rome’s monumental architecture, the temples and basilica from which the city was run</w:t>
      </w:r>
      <w:r>
        <w:rPr>
          <w:sz w:val="24"/>
          <w:szCs w:val="24"/>
        </w:rPr>
        <w:t xml:space="preserve"> and were essential to the Urban </w:t>
      </w:r>
      <w:r>
        <w:rPr>
          <w:sz w:val="24"/>
          <w:szCs w:val="24"/>
        </w:rPr>
        <w:lastRenderedPageBreak/>
        <w:t>Prefect’s prestige</w:t>
      </w:r>
      <w:r w:rsidRPr="00207FE6">
        <w:rPr>
          <w:sz w:val="24"/>
          <w:szCs w:val="24"/>
        </w:rPr>
        <w:t xml:space="preserve">, one the largest and most consistent statistics present with the </w:t>
      </w:r>
      <w:r w:rsidRPr="00207FE6">
        <w:rPr>
          <w:i/>
          <w:sz w:val="24"/>
          <w:szCs w:val="24"/>
        </w:rPr>
        <w:t>Regionaries</w:t>
      </w:r>
      <w:r w:rsidRPr="00207FE6">
        <w:rPr>
          <w:sz w:val="24"/>
          <w:szCs w:val="24"/>
        </w:rPr>
        <w:t xml:space="preserve"> are the number of </w:t>
      </w:r>
      <w:r w:rsidRPr="00207FE6">
        <w:rPr>
          <w:i/>
          <w:sz w:val="24"/>
          <w:szCs w:val="24"/>
        </w:rPr>
        <w:t xml:space="preserve">vici </w:t>
      </w:r>
      <w:r w:rsidRPr="00207FE6">
        <w:rPr>
          <w:sz w:val="24"/>
          <w:szCs w:val="24"/>
        </w:rPr>
        <w:t xml:space="preserve">and </w:t>
      </w:r>
      <w:r w:rsidRPr="00207FE6">
        <w:rPr>
          <w:i/>
          <w:sz w:val="24"/>
          <w:szCs w:val="24"/>
        </w:rPr>
        <w:t>vicomagistri</w:t>
      </w:r>
      <w:r w:rsidRPr="00207FE6">
        <w:rPr>
          <w:sz w:val="24"/>
          <w:szCs w:val="24"/>
        </w:rPr>
        <w:t xml:space="preserve">. The </w:t>
      </w:r>
      <w:r w:rsidRPr="00207FE6">
        <w:rPr>
          <w:i/>
          <w:iCs/>
          <w:sz w:val="24"/>
          <w:szCs w:val="24"/>
        </w:rPr>
        <w:t>vici</w:t>
      </w:r>
      <w:r w:rsidRPr="00207FE6">
        <w:rPr>
          <w:sz w:val="24"/>
          <w:szCs w:val="24"/>
        </w:rPr>
        <w:t xml:space="preserve"> were a neighbourhood sub-division of each region, the smallest administrative unit of the city. Each </w:t>
      </w:r>
      <w:r>
        <w:rPr>
          <w:i/>
          <w:iCs/>
          <w:sz w:val="24"/>
          <w:szCs w:val="24"/>
        </w:rPr>
        <w:t>vicus</w:t>
      </w:r>
      <w:r w:rsidRPr="00207FE6">
        <w:rPr>
          <w:sz w:val="24"/>
          <w:szCs w:val="24"/>
        </w:rPr>
        <w:t xml:space="preserve">, as a result of the Augustan reforms, possessed four </w:t>
      </w:r>
      <w:r w:rsidRPr="00207FE6">
        <w:rPr>
          <w:i/>
          <w:iCs/>
          <w:sz w:val="24"/>
          <w:szCs w:val="24"/>
        </w:rPr>
        <w:t>vicomagistri</w:t>
      </w:r>
      <w:r w:rsidRPr="00207FE6">
        <w:rPr>
          <w:sz w:val="24"/>
          <w:szCs w:val="24"/>
        </w:rPr>
        <w:t xml:space="preserve">, local magistrates/priests whose duty was to oversee worship of the </w:t>
      </w:r>
      <w:r w:rsidRPr="00207FE6">
        <w:rPr>
          <w:i/>
          <w:iCs/>
          <w:sz w:val="24"/>
          <w:szCs w:val="24"/>
        </w:rPr>
        <w:t xml:space="preserve">lares compitales </w:t>
      </w:r>
      <w:r w:rsidRPr="00207FE6">
        <w:rPr>
          <w:sz w:val="24"/>
          <w:szCs w:val="24"/>
          <w:lang w:eastAsia="zh-TW"/>
        </w:rPr>
        <w:t>(cross-ro</w:t>
      </w:r>
      <w:r>
        <w:rPr>
          <w:sz w:val="24"/>
          <w:szCs w:val="24"/>
          <w:lang w:eastAsia="zh-TW"/>
        </w:rPr>
        <w:t>ad deities) and the organise</w:t>
      </w:r>
      <w:r w:rsidRPr="00207FE6">
        <w:rPr>
          <w:sz w:val="24"/>
          <w:szCs w:val="24"/>
          <w:lang w:eastAsia="zh-TW"/>
        </w:rPr>
        <w:t xml:space="preserve"> </w:t>
      </w:r>
      <w:r w:rsidRPr="00207FE6">
        <w:rPr>
          <w:i/>
          <w:iCs/>
          <w:sz w:val="24"/>
          <w:szCs w:val="24"/>
          <w:lang w:eastAsia="zh-TW"/>
        </w:rPr>
        <w:t>ludi compitales</w:t>
      </w:r>
      <w:r w:rsidRPr="00207FE6">
        <w:rPr>
          <w:sz w:val="24"/>
          <w:szCs w:val="24"/>
          <w:lang w:eastAsia="zh-TW"/>
        </w:rPr>
        <w:t xml:space="preserve">, a festival that celebrated the </w:t>
      </w:r>
      <w:r w:rsidRPr="00207FE6">
        <w:rPr>
          <w:i/>
          <w:iCs/>
          <w:sz w:val="24"/>
          <w:szCs w:val="24"/>
          <w:lang w:eastAsia="zh-TW"/>
        </w:rPr>
        <w:t>lares compitales</w:t>
      </w:r>
      <w:r w:rsidRPr="00207FE6">
        <w:rPr>
          <w:sz w:val="24"/>
          <w:szCs w:val="24"/>
          <w:lang w:eastAsia="zh-TW"/>
        </w:rPr>
        <w:t>.</w:t>
      </w:r>
      <w:r w:rsidRPr="00207FE6">
        <w:rPr>
          <w:rStyle w:val="FootnoteReference"/>
          <w:sz w:val="24"/>
          <w:szCs w:val="24"/>
          <w:lang w:eastAsia="zh-TW"/>
        </w:rPr>
        <w:footnoteReference w:id="409"/>
      </w:r>
      <w:r w:rsidRPr="00207FE6">
        <w:rPr>
          <w:sz w:val="24"/>
          <w:szCs w:val="24"/>
          <w:lang w:eastAsia="zh-TW"/>
        </w:rPr>
        <w:t xml:space="preserve"> </w:t>
      </w:r>
      <w:r w:rsidRPr="00207FE6">
        <w:rPr>
          <w:sz w:val="24"/>
          <w:szCs w:val="24"/>
        </w:rPr>
        <w:t xml:space="preserve"> They also later received responsibility for the conducting of the worship of the </w:t>
      </w:r>
      <w:r w:rsidRPr="00207FE6">
        <w:rPr>
          <w:i/>
          <w:iCs/>
          <w:sz w:val="24"/>
          <w:szCs w:val="24"/>
        </w:rPr>
        <w:t xml:space="preserve">Lares Augusti </w:t>
      </w:r>
      <w:r w:rsidRPr="00207FE6">
        <w:rPr>
          <w:sz w:val="24"/>
          <w:szCs w:val="24"/>
        </w:rPr>
        <w:t xml:space="preserve">and the </w:t>
      </w:r>
      <w:r w:rsidRPr="00207FE6">
        <w:rPr>
          <w:i/>
          <w:iCs/>
          <w:sz w:val="24"/>
          <w:szCs w:val="24"/>
        </w:rPr>
        <w:t>Genius</w:t>
      </w:r>
      <w:r w:rsidRPr="00207FE6">
        <w:rPr>
          <w:sz w:val="24"/>
          <w:szCs w:val="24"/>
        </w:rPr>
        <w:t xml:space="preserve"> </w:t>
      </w:r>
      <w:r w:rsidR="00BC0C4C">
        <w:rPr>
          <w:i/>
          <w:sz w:val="24"/>
          <w:szCs w:val="24"/>
        </w:rPr>
        <w:t xml:space="preserve">Augusti </w:t>
      </w:r>
      <w:r w:rsidRPr="00207FE6">
        <w:rPr>
          <w:sz w:val="24"/>
          <w:szCs w:val="24"/>
        </w:rPr>
        <w:t>(technically a private cult).</w:t>
      </w:r>
      <w:r w:rsidRPr="00207FE6">
        <w:rPr>
          <w:rStyle w:val="FootnoteReference"/>
          <w:sz w:val="24"/>
          <w:szCs w:val="24"/>
        </w:rPr>
        <w:footnoteReference w:id="410"/>
      </w:r>
      <w:r w:rsidR="00BC0C4C">
        <w:rPr>
          <w:sz w:val="24"/>
          <w:szCs w:val="24"/>
        </w:rPr>
        <w:t xml:space="preserve"> </w:t>
      </w:r>
      <w:r>
        <w:rPr>
          <w:sz w:val="24"/>
          <w:szCs w:val="24"/>
        </w:rPr>
        <w:t>The Urban Prefect, as a s</w:t>
      </w:r>
      <w:r w:rsidRPr="00207FE6">
        <w:rPr>
          <w:sz w:val="24"/>
          <w:szCs w:val="24"/>
        </w:rPr>
        <w:t xml:space="preserve">enator and an </w:t>
      </w:r>
      <w:r>
        <w:rPr>
          <w:sz w:val="24"/>
          <w:szCs w:val="24"/>
        </w:rPr>
        <w:t>imperial</w:t>
      </w:r>
      <w:r w:rsidRPr="00207FE6">
        <w:rPr>
          <w:sz w:val="24"/>
          <w:szCs w:val="24"/>
        </w:rPr>
        <w:t xml:space="preserve"> official, had a responsibility to ensure the</w:t>
      </w:r>
      <w:r>
        <w:rPr>
          <w:sz w:val="24"/>
          <w:szCs w:val="24"/>
        </w:rPr>
        <w:t xml:space="preserve"> performance of the</w:t>
      </w:r>
      <w:r w:rsidRPr="00207FE6">
        <w:rPr>
          <w:sz w:val="24"/>
          <w:szCs w:val="24"/>
        </w:rPr>
        <w:t xml:space="preserve"> correct rites so as to ensure the prosperity and success of the Empire.</w:t>
      </w:r>
      <w:r w:rsidR="00496512">
        <w:rPr>
          <w:sz w:val="24"/>
          <w:szCs w:val="24"/>
        </w:rPr>
        <w:t xml:space="preserve"> T</w:t>
      </w:r>
      <w:r w:rsidRPr="00207FE6">
        <w:rPr>
          <w:sz w:val="24"/>
          <w:szCs w:val="24"/>
        </w:rPr>
        <w:t xml:space="preserve">he </w:t>
      </w:r>
      <w:r w:rsidRPr="008039FB">
        <w:rPr>
          <w:sz w:val="24"/>
          <w:szCs w:val="24"/>
        </w:rPr>
        <w:t xml:space="preserve">numbers of </w:t>
      </w:r>
      <w:r w:rsidRPr="008039FB">
        <w:rPr>
          <w:i/>
          <w:iCs/>
          <w:sz w:val="24"/>
          <w:szCs w:val="24"/>
        </w:rPr>
        <w:t>vicomagistri</w:t>
      </w:r>
      <w:r w:rsidR="00496512" w:rsidRPr="008039FB">
        <w:rPr>
          <w:sz w:val="24"/>
          <w:szCs w:val="24"/>
        </w:rPr>
        <w:t xml:space="preserve"> decreased</w:t>
      </w:r>
      <w:r w:rsidRPr="008039FB">
        <w:rPr>
          <w:sz w:val="24"/>
          <w:szCs w:val="24"/>
        </w:rPr>
        <w:t xml:space="preserve"> from four per </w:t>
      </w:r>
      <w:r w:rsidRPr="008039FB">
        <w:rPr>
          <w:i/>
          <w:iCs/>
          <w:sz w:val="24"/>
          <w:szCs w:val="24"/>
        </w:rPr>
        <w:t>vici</w:t>
      </w:r>
      <w:r w:rsidRPr="008039FB">
        <w:rPr>
          <w:sz w:val="24"/>
          <w:szCs w:val="24"/>
        </w:rPr>
        <w:t xml:space="preserve"> under the Augustan reforms</w:t>
      </w:r>
      <w:r w:rsidR="00496512" w:rsidRPr="008039FB">
        <w:rPr>
          <w:sz w:val="24"/>
          <w:szCs w:val="24"/>
        </w:rPr>
        <w:t xml:space="preserve"> (1060 overall)</w:t>
      </w:r>
      <w:r w:rsidRPr="008039FB">
        <w:rPr>
          <w:sz w:val="24"/>
          <w:szCs w:val="24"/>
        </w:rPr>
        <w:t xml:space="preserve"> to forty-eight for each entire region present in the </w:t>
      </w:r>
      <w:r w:rsidRPr="008039FB">
        <w:rPr>
          <w:i/>
          <w:sz w:val="24"/>
          <w:szCs w:val="24"/>
        </w:rPr>
        <w:t>Regionary Catalogues</w:t>
      </w:r>
      <w:r w:rsidR="00496512">
        <w:rPr>
          <w:i/>
          <w:sz w:val="24"/>
          <w:szCs w:val="24"/>
        </w:rPr>
        <w:t xml:space="preserve"> </w:t>
      </w:r>
      <w:r w:rsidR="00496512">
        <w:rPr>
          <w:sz w:val="24"/>
          <w:szCs w:val="24"/>
        </w:rPr>
        <w:t>(672 overall)</w:t>
      </w:r>
      <w:r w:rsidRPr="00207FE6">
        <w:rPr>
          <w:sz w:val="24"/>
          <w:szCs w:val="24"/>
        </w:rPr>
        <w:t>.</w:t>
      </w:r>
      <w:r w:rsidRPr="00207FE6">
        <w:rPr>
          <w:rStyle w:val="FootnoteReference"/>
          <w:sz w:val="24"/>
          <w:szCs w:val="24"/>
        </w:rPr>
        <w:footnoteReference w:id="411"/>
      </w:r>
      <w:r w:rsidR="00496512">
        <w:rPr>
          <w:sz w:val="24"/>
          <w:szCs w:val="24"/>
        </w:rPr>
        <w:t xml:space="preserve"> This should not be taken as any indication of a loss of esteem or importance. Fewer posts meant com</w:t>
      </w:r>
      <w:r w:rsidR="008039FB">
        <w:rPr>
          <w:sz w:val="24"/>
          <w:szCs w:val="24"/>
        </w:rPr>
        <w:t>petition for them would be fier</w:t>
      </w:r>
      <w:r w:rsidR="00496512">
        <w:rPr>
          <w:sz w:val="24"/>
          <w:szCs w:val="24"/>
        </w:rPr>
        <w:t xml:space="preserve">cer by nature and in any case, </w:t>
      </w:r>
      <w:r w:rsidRPr="00207FE6">
        <w:rPr>
          <w:sz w:val="24"/>
          <w:szCs w:val="24"/>
        </w:rPr>
        <w:t>Aurelian placed</w:t>
      </w:r>
      <w:r w:rsidR="00DE3BD3">
        <w:rPr>
          <w:sz w:val="24"/>
          <w:szCs w:val="24"/>
        </w:rPr>
        <w:t xml:space="preserve"> an increasing importance</w:t>
      </w:r>
      <w:r>
        <w:rPr>
          <w:sz w:val="24"/>
          <w:szCs w:val="24"/>
        </w:rPr>
        <w:t xml:space="preserve"> on</w:t>
      </w:r>
      <w:r w:rsidRPr="00207FE6">
        <w:rPr>
          <w:sz w:val="24"/>
          <w:szCs w:val="24"/>
        </w:rPr>
        <w:t xml:space="preserve"> the divine and </w:t>
      </w:r>
      <w:r>
        <w:rPr>
          <w:sz w:val="24"/>
          <w:szCs w:val="24"/>
        </w:rPr>
        <w:t>his</w:t>
      </w:r>
      <w:r w:rsidRPr="00207FE6">
        <w:rPr>
          <w:sz w:val="24"/>
          <w:szCs w:val="24"/>
        </w:rPr>
        <w:t xml:space="preserve"> own personal relationship </w:t>
      </w:r>
      <w:r w:rsidR="00496512">
        <w:rPr>
          <w:sz w:val="24"/>
          <w:szCs w:val="24"/>
        </w:rPr>
        <w:t>with it. T</w:t>
      </w:r>
      <w:r w:rsidR="00BC0C4C">
        <w:rPr>
          <w:sz w:val="24"/>
          <w:szCs w:val="24"/>
        </w:rPr>
        <w:t>herefore</w:t>
      </w:r>
      <w:r>
        <w:rPr>
          <w:sz w:val="24"/>
          <w:szCs w:val="24"/>
        </w:rPr>
        <w:t xml:space="preserve"> we can expect t</w:t>
      </w:r>
      <w:r w:rsidRPr="00207FE6">
        <w:rPr>
          <w:sz w:val="24"/>
          <w:szCs w:val="24"/>
        </w:rPr>
        <w:t xml:space="preserve">hese </w:t>
      </w:r>
      <w:r w:rsidR="0087599E">
        <w:rPr>
          <w:sz w:val="24"/>
          <w:szCs w:val="24"/>
        </w:rPr>
        <w:t>i</w:t>
      </w:r>
      <w:r>
        <w:rPr>
          <w:sz w:val="24"/>
          <w:szCs w:val="24"/>
        </w:rPr>
        <w:t>mperial</w:t>
      </w:r>
      <w:r w:rsidR="00DE3BD3">
        <w:rPr>
          <w:sz w:val="24"/>
          <w:szCs w:val="24"/>
        </w:rPr>
        <w:t xml:space="preserve"> cults, </w:t>
      </w:r>
      <w:r w:rsidRPr="00207FE6">
        <w:rPr>
          <w:sz w:val="24"/>
          <w:szCs w:val="24"/>
        </w:rPr>
        <w:t xml:space="preserve">as well as those gods the </w:t>
      </w:r>
      <w:r w:rsidR="0087599E">
        <w:rPr>
          <w:sz w:val="24"/>
          <w:szCs w:val="24"/>
        </w:rPr>
        <w:t>emperors</w:t>
      </w:r>
      <w:r w:rsidRPr="00207FE6">
        <w:rPr>
          <w:sz w:val="24"/>
          <w:szCs w:val="24"/>
        </w:rPr>
        <w:t xml:space="preserve"> personally associated with, to have increased consequently in importance.</w:t>
      </w:r>
      <w:r w:rsidRPr="00207FE6">
        <w:rPr>
          <w:rStyle w:val="FootnoteReference"/>
          <w:sz w:val="24"/>
          <w:szCs w:val="24"/>
        </w:rPr>
        <w:footnoteReference w:id="412"/>
      </w:r>
      <w:r w:rsidR="00496512">
        <w:rPr>
          <w:sz w:val="24"/>
          <w:szCs w:val="24"/>
        </w:rPr>
        <w:t xml:space="preserve"> </w:t>
      </w:r>
      <w:r w:rsidR="00BC0C4C" w:rsidRPr="00496512">
        <w:rPr>
          <w:sz w:val="24"/>
          <w:szCs w:val="24"/>
        </w:rPr>
        <w:t>Furthermore</w:t>
      </w:r>
      <w:r w:rsidR="00BC0C4C" w:rsidRPr="00207FE6">
        <w:rPr>
          <w:sz w:val="24"/>
          <w:szCs w:val="24"/>
        </w:rPr>
        <w:t xml:space="preserve"> the </w:t>
      </w:r>
      <w:r w:rsidR="00BC0C4C" w:rsidRPr="00207FE6">
        <w:rPr>
          <w:i/>
          <w:iCs/>
          <w:sz w:val="24"/>
          <w:szCs w:val="24"/>
        </w:rPr>
        <w:t>vicomag</w:t>
      </w:r>
      <w:r w:rsidR="00B05459">
        <w:rPr>
          <w:i/>
          <w:iCs/>
          <w:sz w:val="24"/>
          <w:szCs w:val="24"/>
        </w:rPr>
        <w:t>i</w:t>
      </w:r>
      <w:r w:rsidR="00BC0C4C" w:rsidRPr="00207FE6">
        <w:rPr>
          <w:i/>
          <w:iCs/>
          <w:sz w:val="24"/>
          <w:szCs w:val="24"/>
        </w:rPr>
        <w:t xml:space="preserve">stri </w:t>
      </w:r>
      <w:r w:rsidR="00BC0C4C" w:rsidRPr="00207FE6">
        <w:rPr>
          <w:sz w:val="24"/>
          <w:szCs w:val="24"/>
        </w:rPr>
        <w:t>also had more practical administrative functions. They cleaned the streets, h</w:t>
      </w:r>
      <w:r w:rsidR="00BC0C4C">
        <w:rPr>
          <w:sz w:val="24"/>
          <w:szCs w:val="24"/>
        </w:rPr>
        <w:t xml:space="preserve">elped to organise fire-fighting </w:t>
      </w:r>
      <w:r w:rsidR="00BC0C4C" w:rsidRPr="00207FE6">
        <w:rPr>
          <w:sz w:val="24"/>
          <w:szCs w:val="24"/>
        </w:rPr>
        <w:t>and supervised public works.</w:t>
      </w:r>
      <w:r w:rsidR="00BC0C4C" w:rsidRPr="00207FE6">
        <w:rPr>
          <w:rStyle w:val="FootnoteReference"/>
          <w:sz w:val="24"/>
          <w:szCs w:val="24"/>
        </w:rPr>
        <w:footnoteReference w:id="413"/>
      </w:r>
      <w:r w:rsidR="00BC0C4C" w:rsidRPr="00207FE6">
        <w:rPr>
          <w:sz w:val="24"/>
          <w:szCs w:val="24"/>
        </w:rPr>
        <w:t xml:space="preserve"> </w:t>
      </w:r>
      <w:r w:rsidR="0064451D">
        <w:rPr>
          <w:sz w:val="24"/>
          <w:szCs w:val="24"/>
        </w:rPr>
        <w:t xml:space="preserve">With the </w:t>
      </w:r>
      <w:r w:rsidR="0064451D" w:rsidRPr="0064451D">
        <w:rPr>
          <w:i/>
          <w:sz w:val="24"/>
          <w:szCs w:val="24"/>
        </w:rPr>
        <w:t>gradus</w:t>
      </w:r>
      <w:r w:rsidR="0064451D">
        <w:rPr>
          <w:sz w:val="24"/>
          <w:szCs w:val="24"/>
        </w:rPr>
        <w:t xml:space="preserve">, from which the ration had to be distributed, scattered about the city, </w:t>
      </w:r>
      <w:r w:rsidR="00BC0C4C" w:rsidRPr="00207FE6">
        <w:rPr>
          <w:sz w:val="24"/>
          <w:szCs w:val="24"/>
        </w:rPr>
        <w:t xml:space="preserve">the </w:t>
      </w:r>
      <w:r w:rsidR="00BC0C4C" w:rsidRPr="00207FE6">
        <w:rPr>
          <w:i/>
          <w:iCs/>
          <w:sz w:val="24"/>
          <w:szCs w:val="24"/>
        </w:rPr>
        <w:t>vici</w:t>
      </w:r>
      <w:r w:rsidR="00BC0C4C" w:rsidRPr="00207FE6">
        <w:rPr>
          <w:sz w:val="24"/>
          <w:szCs w:val="24"/>
        </w:rPr>
        <w:t xml:space="preserve"> provided a convenient point from which </w:t>
      </w:r>
      <w:r w:rsidR="0064451D">
        <w:rPr>
          <w:sz w:val="24"/>
          <w:szCs w:val="24"/>
        </w:rPr>
        <w:t>it could all</w:t>
      </w:r>
      <w:r w:rsidR="00BC0C4C">
        <w:rPr>
          <w:sz w:val="24"/>
          <w:szCs w:val="24"/>
        </w:rPr>
        <w:t xml:space="preserve"> be distributed</w:t>
      </w:r>
      <w:r w:rsidR="00BC0C4C" w:rsidRPr="00207FE6">
        <w:rPr>
          <w:sz w:val="24"/>
          <w:szCs w:val="24"/>
        </w:rPr>
        <w:t>.</w:t>
      </w:r>
      <w:r w:rsidR="006A23B1">
        <w:rPr>
          <w:rStyle w:val="FootnoteReference"/>
          <w:sz w:val="24"/>
          <w:szCs w:val="24"/>
        </w:rPr>
        <w:footnoteReference w:id="414"/>
      </w:r>
      <w:r w:rsidR="00BC0C4C" w:rsidRPr="00207FE6">
        <w:rPr>
          <w:sz w:val="24"/>
          <w:szCs w:val="24"/>
        </w:rPr>
        <w:t xml:space="preserve"> This would </w:t>
      </w:r>
      <w:r w:rsidR="00BC0C4C" w:rsidRPr="00207FE6">
        <w:rPr>
          <w:sz w:val="24"/>
          <w:szCs w:val="24"/>
        </w:rPr>
        <w:lastRenderedPageBreak/>
        <w:t xml:space="preserve">further justify their inclusion within the </w:t>
      </w:r>
      <w:r w:rsidR="00BC0C4C" w:rsidRPr="00207FE6">
        <w:rPr>
          <w:i/>
          <w:iCs/>
          <w:sz w:val="24"/>
          <w:szCs w:val="24"/>
        </w:rPr>
        <w:t>Regionaries</w:t>
      </w:r>
      <w:r w:rsidR="00BC0C4C" w:rsidRPr="00207FE6">
        <w:rPr>
          <w:sz w:val="24"/>
          <w:szCs w:val="24"/>
        </w:rPr>
        <w:t xml:space="preserve">, as they would provide an administrative framework by which the Urban Prefect and the appropriate subordinates could determine how the </w:t>
      </w:r>
      <w:r w:rsidR="00BC0C4C" w:rsidRPr="00207FE6">
        <w:rPr>
          <w:i/>
          <w:iCs/>
          <w:sz w:val="24"/>
          <w:szCs w:val="24"/>
        </w:rPr>
        <w:t>annona</w:t>
      </w:r>
      <w:r w:rsidR="00BC0C4C">
        <w:rPr>
          <w:i/>
          <w:iCs/>
          <w:sz w:val="24"/>
          <w:szCs w:val="24"/>
        </w:rPr>
        <w:t>e</w:t>
      </w:r>
      <w:r w:rsidR="00BC0C4C">
        <w:rPr>
          <w:sz w:val="24"/>
          <w:szCs w:val="24"/>
        </w:rPr>
        <w:t xml:space="preserve"> should be distributed. </w:t>
      </w:r>
    </w:p>
    <w:p w:rsidR="0046134A" w:rsidRDefault="0046134A" w:rsidP="0046134A">
      <w:pPr>
        <w:spacing w:line="480" w:lineRule="auto"/>
        <w:ind w:firstLine="720"/>
        <w:jc w:val="both"/>
        <w:rPr>
          <w:sz w:val="24"/>
          <w:szCs w:val="24"/>
        </w:rPr>
      </w:pPr>
      <w:r w:rsidRPr="00207FE6">
        <w:rPr>
          <w:sz w:val="24"/>
          <w:szCs w:val="24"/>
        </w:rPr>
        <w:t>In contrast to the famous temples and shrines that are named within the body of the document, these statistics seem quaint and distinctly administrative. But the</w:t>
      </w:r>
      <w:r w:rsidRPr="00207FE6">
        <w:rPr>
          <w:i/>
          <w:sz w:val="24"/>
          <w:szCs w:val="24"/>
        </w:rPr>
        <w:t xml:space="preserve"> </w:t>
      </w:r>
      <w:r w:rsidRPr="00207FE6">
        <w:rPr>
          <w:sz w:val="24"/>
          <w:szCs w:val="24"/>
        </w:rPr>
        <w:t>inclusion</w:t>
      </w:r>
      <w:r>
        <w:rPr>
          <w:sz w:val="24"/>
          <w:szCs w:val="24"/>
        </w:rPr>
        <w:t xml:space="preserve"> of the </w:t>
      </w:r>
      <w:r>
        <w:rPr>
          <w:i/>
          <w:sz w:val="24"/>
          <w:szCs w:val="24"/>
        </w:rPr>
        <w:t>vicomagistri</w:t>
      </w:r>
      <w:r w:rsidRPr="00207FE6">
        <w:rPr>
          <w:sz w:val="24"/>
          <w:szCs w:val="24"/>
        </w:rPr>
        <w:t xml:space="preserve"> in the </w:t>
      </w:r>
      <w:r w:rsidRPr="00207FE6">
        <w:rPr>
          <w:i/>
          <w:iCs/>
          <w:sz w:val="24"/>
          <w:szCs w:val="24"/>
        </w:rPr>
        <w:t>Regionaries</w:t>
      </w:r>
      <w:r w:rsidRPr="00207FE6">
        <w:rPr>
          <w:sz w:val="24"/>
          <w:szCs w:val="24"/>
        </w:rPr>
        <w:t xml:space="preserve"> should not be seen as another organisational tool for the Urban Prefect even as it outlines part of his religious responsibilities. </w:t>
      </w:r>
      <w:r>
        <w:rPr>
          <w:sz w:val="24"/>
          <w:szCs w:val="24"/>
        </w:rPr>
        <w:t>A</w:t>
      </w:r>
      <w:r w:rsidRPr="00207FE6">
        <w:rPr>
          <w:sz w:val="24"/>
          <w:szCs w:val="24"/>
        </w:rPr>
        <w:t>ny Urban Prefect would</w:t>
      </w:r>
      <w:r>
        <w:rPr>
          <w:sz w:val="24"/>
          <w:szCs w:val="24"/>
        </w:rPr>
        <w:t xml:space="preserve"> be</w:t>
      </w:r>
      <w:r w:rsidRPr="00207FE6">
        <w:rPr>
          <w:sz w:val="24"/>
          <w:szCs w:val="24"/>
        </w:rPr>
        <w:t xml:space="preserve"> wise to ensure he had the extensive network of supporters necessary for governing such a city. By Augustan tradition the </w:t>
      </w:r>
      <w:r w:rsidRPr="00207FE6">
        <w:rPr>
          <w:i/>
          <w:sz w:val="24"/>
          <w:szCs w:val="24"/>
        </w:rPr>
        <w:t>vicomagistri</w:t>
      </w:r>
      <w:r w:rsidRPr="00207FE6">
        <w:rPr>
          <w:sz w:val="24"/>
          <w:szCs w:val="24"/>
        </w:rPr>
        <w:t xml:space="preserve"> had been chosen exclusively from the ranks of freedmen. These would form the class </w:t>
      </w:r>
      <w:r>
        <w:rPr>
          <w:sz w:val="24"/>
          <w:szCs w:val="24"/>
        </w:rPr>
        <w:t>of upwardly mobile and publicly-</w:t>
      </w:r>
      <w:r w:rsidRPr="00207FE6">
        <w:rPr>
          <w:sz w:val="24"/>
          <w:szCs w:val="24"/>
        </w:rPr>
        <w:t>minded individuals who would be clients of their former masters and keen to earn honour and prestige.</w:t>
      </w:r>
      <w:r w:rsidRPr="00207FE6">
        <w:rPr>
          <w:rStyle w:val="FootnoteReference"/>
          <w:sz w:val="24"/>
          <w:szCs w:val="24"/>
        </w:rPr>
        <w:footnoteReference w:id="415"/>
      </w:r>
      <w:r w:rsidRPr="00207FE6">
        <w:rPr>
          <w:sz w:val="24"/>
          <w:szCs w:val="24"/>
        </w:rPr>
        <w:t xml:space="preserve"> Whilst they were nominally elected to the post, the</w:t>
      </w:r>
      <w:r>
        <w:rPr>
          <w:sz w:val="24"/>
          <w:szCs w:val="24"/>
        </w:rPr>
        <w:t xml:space="preserve"> implic</w:t>
      </w:r>
      <w:r w:rsidR="00B05459">
        <w:rPr>
          <w:sz w:val="24"/>
          <w:szCs w:val="24"/>
        </w:rPr>
        <w:t>i</w:t>
      </w:r>
      <w:r>
        <w:rPr>
          <w:sz w:val="24"/>
          <w:szCs w:val="24"/>
        </w:rPr>
        <w:t>t</w:t>
      </w:r>
      <w:r w:rsidRPr="00207FE6">
        <w:rPr>
          <w:sz w:val="24"/>
          <w:szCs w:val="24"/>
        </w:rPr>
        <w:t xml:space="preserve"> patronage and assent of the Urban Prefect would be a pre-requisite for any individual attempting to gain any magistracy (however minor) in the city. Such behaviour in a more modern context would be seen as corruption and nepotism, but it was entirely traditional that Roma</w:t>
      </w:r>
      <w:r>
        <w:rPr>
          <w:sz w:val="24"/>
          <w:szCs w:val="24"/>
        </w:rPr>
        <w:t>n administrative figures reward</w:t>
      </w:r>
      <w:r w:rsidRPr="00207FE6">
        <w:rPr>
          <w:sz w:val="24"/>
          <w:szCs w:val="24"/>
        </w:rPr>
        <w:t xml:space="preserve"> supporters in this way</w:t>
      </w:r>
      <w:r>
        <w:rPr>
          <w:sz w:val="24"/>
          <w:szCs w:val="24"/>
        </w:rPr>
        <w:t>. It was central to the Urban Prefect’s performance of his duties</w:t>
      </w:r>
      <w:r w:rsidRPr="00207FE6">
        <w:rPr>
          <w:sz w:val="24"/>
          <w:szCs w:val="24"/>
        </w:rPr>
        <w:t xml:space="preserve">. </w:t>
      </w:r>
    </w:p>
    <w:p w:rsidR="0046134A" w:rsidRDefault="00BC0C4C" w:rsidP="0046134A">
      <w:pPr>
        <w:spacing w:line="480" w:lineRule="auto"/>
        <w:ind w:firstLine="720"/>
        <w:jc w:val="both"/>
        <w:rPr>
          <w:sz w:val="24"/>
          <w:szCs w:val="24"/>
        </w:rPr>
      </w:pPr>
      <w:r>
        <w:rPr>
          <w:sz w:val="24"/>
          <w:szCs w:val="24"/>
        </w:rPr>
        <w:t>T</w:t>
      </w:r>
      <w:r w:rsidR="0046134A" w:rsidRPr="0076389E">
        <w:rPr>
          <w:sz w:val="24"/>
          <w:szCs w:val="24"/>
        </w:rPr>
        <w:t>hi</w:t>
      </w:r>
      <w:r>
        <w:rPr>
          <w:sz w:val="24"/>
          <w:szCs w:val="24"/>
        </w:rPr>
        <w:t>s performance</w:t>
      </w:r>
      <w:r w:rsidR="0046134A" w:rsidRPr="0076389E">
        <w:rPr>
          <w:sz w:val="24"/>
          <w:szCs w:val="24"/>
        </w:rPr>
        <w:t xml:space="preserve"> would be dependent upon the Urban Prefect’s ability </w:t>
      </w:r>
      <w:r w:rsidR="0046134A">
        <w:rPr>
          <w:sz w:val="24"/>
          <w:szCs w:val="24"/>
        </w:rPr>
        <w:t>to command respect and prestige</w:t>
      </w:r>
      <w:r w:rsidR="0046134A" w:rsidRPr="0076389E">
        <w:rPr>
          <w:sz w:val="24"/>
          <w:szCs w:val="24"/>
        </w:rPr>
        <w:t>.</w:t>
      </w:r>
      <w:r w:rsidR="0046134A" w:rsidRPr="0076389E">
        <w:rPr>
          <w:rStyle w:val="FootnoteReference"/>
          <w:sz w:val="24"/>
          <w:szCs w:val="24"/>
        </w:rPr>
        <w:footnoteReference w:id="416"/>
      </w:r>
      <w:r w:rsidR="0046134A">
        <w:rPr>
          <w:sz w:val="24"/>
          <w:szCs w:val="24"/>
        </w:rPr>
        <w:t xml:space="preserve"> The </w:t>
      </w:r>
      <w:r w:rsidR="000A7B71">
        <w:rPr>
          <w:sz w:val="24"/>
          <w:szCs w:val="24"/>
        </w:rPr>
        <w:t>i</w:t>
      </w:r>
      <w:r w:rsidR="0046134A">
        <w:rPr>
          <w:sz w:val="24"/>
          <w:szCs w:val="24"/>
        </w:rPr>
        <w:t xml:space="preserve">mperial monuments depicted in the documents such as the </w:t>
      </w:r>
      <w:r w:rsidR="0046134A">
        <w:rPr>
          <w:i/>
          <w:sz w:val="24"/>
          <w:szCs w:val="24"/>
        </w:rPr>
        <w:t>Regionaries</w:t>
      </w:r>
      <w:r w:rsidR="0046134A">
        <w:rPr>
          <w:sz w:val="24"/>
          <w:szCs w:val="24"/>
        </w:rPr>
        <w:t xml:space="preserve"> were only indirectly related to the means and strategies by which the </w:t>
      </w:r>
      <w:r w:rsidR="0087599E">
        <w:rPr>
          <w:sz w:val="24"/>
          <w:szCs w:val="24"/>
        </w:rPr>
        <w:t>emperors</w:t>
      </w:r>
      <w:r w:rsidR="0046134A">
        <w:rPr>
          <w:sz w:val="24"/>
          <w:szCs w:val="24"/>
        </w:rPr>
        <w:t xml:space="preserve"> ruled, as those strategies had to change</w:t>
      </w:r>
      <w:r w:rsidR="000A7B71">
        <w:rPr>
          <w:sz w:val="24"/>
          <w:szCs w:val="24"/>
        </w:rPr>
        <w:t xml:space="preserve"> as the e</w:t>
      </w:r>
      <w:r w:rsidR="0046134A">
        <w:rPr>
          <w:sz w:val="24"/>
          <w:szCs w:val="24"/>
        </w:rPr>
        <w:t xml:space="preserve">mpire’s resources became ever more </w:t>
      </w:r>
      <w:r w:rsidR="0046134A">
        <w:rPr>
          <w:sz w:val="24"/>
          <w:szCs w:val="24"/>
        </w:rPr>
        <w:lastRenderedPageBreak/>
        <w:t xml:space="preserve">strained and the </w:t>
      </w:r>
      <w:r w:rsidR="0046134A">
        <w:rPr>
          <w:i/>
          <w:sz w:val="24"/>
          <w:szCs w:val="24"/>
        </w:rPr>
        <w:t>mos maiorum</w:t>
      </w:r>
      <w:r w:rsidR="0046134A">
        <w:rPr>
          <w:sz w:val="24"/>
          <w:szCs w:val="24"/>
        </w:rPr>
        <w:t xml:space="preserve"> also changed. Political reality and necessity seemingly bore little relation to the metho</w:t>
      </w:r>
      <w:r w:rsidR="000A7B71">
        <w:rPr>
          <w:sz w:val="24"/>
          <w:szCs w:val="24"/>
        </w:rPr>
        <w:t>ds by which the e</w:t>
      </w:r>
      <w:r w:rsidR="0046134A">
        <w:rPr>
          <w:sz w:val="24"/>
          <w:szCs w:val="24"/>
        </w:rPr>
        <w:t>mpire</w:t>
      </w:r>
      <w:r w:rsidR="000A7B71">
        <w:rPr>
          <w:sz w:val="24"/>
          <w:szCs w:val="24"/>
        </w:rPr>
        <w:t xml:space="preserve"> was</w:t>
      </w:r>
      <w:r w:rsidR="0046134A">
        <w:rPr>
          <w:sz w:val="24"/>
          <w:szCs w:val="24"/>
        </w:rPr>
        <w:t xml:space="preserve"> actually ruled. Messages only illustrated the </w:t>
      </w:r>
      <w:r w:rsidR="0046134A">
        <w:rPr>
          <w:i/>
          <w:sz w:val="24"/>
          <w:szCs w:val="24"/>
        </w:rPr>
        <w:t>potential</w:t>
      </w:r>
      <w:r w:rsidR="0046134A">
        <w:rPr>
          <w:sz w:val="24"/>
          <w:szCs w:val="24"/>
        </w:rPr>
        <w:t xml:space="preserve"> of imperial administrative power, not its reality. </w:t>
      </w:r>
      <w:r w:rsidR="000A7B71">
        <w:rPr>
          <w:sz w:val="24"/>
          <w:szCs w:val="24"/>
        </w:rPr>
        <w:t>Reiterate</w:t>
      </w:r>
      <w:r w:rsidR="0046134A">
        <w:rPr>
          <w:sz w:val="24"/>
          <w:szCs w:val="24"/>
        </w:rPr>
        <w:t xml:space="preserve"> the message forcefully enough and </w:t>
      </w:r>
      <w:r w:rsidR="000A7B71">
        <w:rPr>
          <w:sz w:val="24"/>
          <w:szCs w:val="24"/>
        </w:rPr>
        <w:t>the ideal itself would become real</w:t>
      </w:r>
      <w:r w:rsidR="0046134A">
        <w:rPr>
          <w:sz w:val="24"/>
          <w:szCs w:val="24"/>
        </w:rPr>
        <w:t>. Readers would see the monuments as reflecting the magnificence of the emperor and his empire as well as their own inherent value.</w:t>
      </w:r>
      <w:r w:rsidR="0046134A">
        <w:rPr>
          <w:rStyle w:val="FootnoteReference"/>
          <w:sz w:val="24"/>
          <w:szCs w:val="24"/>
        </w:rPr>
        <w:footnoteReference w:id="417"/>
      </w:r>
      <w:r w:rsidR="0046134A">
        <w:rPr>
          <w:sz w:val="24"/>
          <w:szCs w:val="24"/>
        </w:rPr>
        <w:t xml:space="preserve"> The administration needed to look important as its main function. In the honour and prestige motivated world of the aristocrats of Antiquity, if somebody or something did not look important it would be treated as such.</w:t>
      </w:r>
      <w:r w:rsidR="0046134A">
        <w:rPr>
          <w:rStyle w:val="FootnoteReference"/>
          <w:sz w:val="24"/>
          <w:szCs w:val="24"/>
        </w:rPr>
        <w:footnoteReference w:id="418"/>
      </w:r>
      <w:r w:rsidR="0046134A">
        <w:rPr>
          <w:sz w:val="24"/>
          <w:szCs w:val="24"/>
        </w:rPr>
        <w:t xml:space="preserve"> ‘It was necessary that the imperial architecture [and its depictions] lead, as the imperator presumably led, that it allow him to be seen and thought of in dwellings both unique and pertinent.’</w:t>
      </w:r>
      <w:r w:rsidR="0046134A">
        <w:rPr>
          <w:rStyle w:val="FootnoteReference"/>
          <w:sz w:val="24"/>
          <w:szCs w:val="24"/>
        </w:rPr>
        <w:footnoteReference w:id="419"/>
      </w:r>
      <w:r w:rsidR="0046134A">
        <w:rPr>
          <w:sz w:val="24"/>
          <w:szCs w:val="24"/>
        </w:rPr>
        <w:t xml:space="preserve"> </w:t>
      </w:r>
      <w:r w:rsidR="0087599E">
        <w:rPr>
          <w:sz w:val="24"/>
          <w:szCs w:val="24"/>
        </w:rPr>
        <w:t>Emperors</w:t>
      </w:r>
      <w:r>
        <w:rPr>
          <w:sz w:val="24"/>
          <w:szCs w:val="24"/>
        </w:rPr>
        <w:t xml:space="preserve"> were able to reign over the Empire because of their vast personal fortune, which they would distribute as the great senatorial patrons of old did. By drawing upon his own personal resources, the </w:t>
      </w:r>
      <w:r w:rsidR="0087599E">
        <w:rPr>
          <w:sz w:val="24"/>
          <w:szCs w:val="24"/>
        </w:rPr>
        <w:t>e</w:t>
      </w:r>
      <w:r>
        <w:rPr>
          <w:sz w:val="24"/>
          <w:szCs w:val="24"/>
        </w:rPr>
        <w:t>mperor gained the right to be the sole patron in Rome.</w:t>
      </w:r>
      <w:r>
        <w:rPr>
          <w:rStyle w:val="FootnoteReference"/>
          <w:sz w:val="24"/>
          <w:szCs w:val="24"/>
        </w:rPr>
        <w:footnoteReference w:id="420"/>
      </w:r>
      <w:r>
        <w:rPr>
          <w:sz w:val="24"/>
          <w:szCs w:val="24"/>
        </w:rPr>
        <w:t xml:space="preserve"> But the euergetism of the Roman </w:t>
      </w:r>
      <w:r w:rsidR="0087599E">
        <w:rPr>
          <w:sz w:val="24"/>
          <w:szCs w:val="24"/>
        </w:rPr>
        <w:t>e</w:t>
      </w:r>
      <w:r>
        <w:rPr>
          <w:sz w:val="24"/>
          <w:szCs w:val="24"/>
        </w:rPr>
        <w:t>mperor was not simply an expression of his superiority. It was a desire to be loved and so be obeyed.</w:t>
      </w:r>
      <w:r>
        <w:rPr>
          <w:rStyle w:val="FootnoteReference"/>
          <w:sz w:val="24"/>
          <w:szCs w:val="24"/>
        </w:rPr>
        <w:footnoteReference w:id="421"/>
      </w:r>
      <w:r>
        <w:rPr>
          <w:sz w:val="24"/>
          <w:szCs w:val="24"/>
        </w:rPr>
        <w:t xml:space="preserve"> </w:t>
      </w:r>
      <w:r w:rsidR="0046134A">
        <w:rPr>
          <w:sz w:val="24"/>
          <w:szCs w:val="24"/>
        </w:rPr>
        <w:t xml:space="preserve">What ruler, other than the </w:t>
      </w:r>
      <w:r w:rsidR="000A7B71">
        <w:rPr>
          <w:sz w:val="24"/>
          <w:szCs w:val="24"/>
        </w:rPr>
        <w:t>e</w:t>
      </w:r>
      <w:r w:rsidR="0046134A">
        <w:rPr>
          <w:sz w:val="24"/>
          <w:szCs w:val="24"/>
        </w:rPr>
        <w:t xml:space="preserve">mperor, possessed a capital with temples nearly a thousand years old? What other city could claim so many complex buildings such as the mighty </w:t>
      </w:r>
      <w:r w:rsidR="00C43F79">
        <w:rPr>
          <w:i/>
          <w:sz w:val="24"/>
          <w:szCs w:val="24"/>
        </w:rPr>
        <w:t>thermae</w:t>
      </w:r>
      <w:r w:rsidR="0046134A">
        <w:rPr>
          <w:sz w:val="24"/>
          <w:szCs w:val="24"/>
        </w:rPr>
        <w:t xml:space="preserve">, or the </w:t>
      </w:r>
      <w:r w:rsidR="0046134A" w:rsidRPr="00D310C2">
        <w:rPr>
          <w:i/>
          <w:sz w:val="24"/>
          <w:szCs w:val="24"/>
        </w:rPr>
        <w:t>Circus</w:t>
      </w:r>
      <w:r w:rsidR="0046134A">
        <w:rPr>
          <w:i/>
          <w:sz w:val="24"/>
          <w:szCs w:val="24"/>
        </w:rPr>
        <w:t xml:space="preserve"> Maximus</w:t>
      </w:r>
      <w:r w:rsidR="0046134A">
        <w:rPr>
          <w:sz w:val="24"/>
          <w:szCs w:val="24"/>
        </w:rPr>
        <w:t xml:space="preserve"> that fits 480,000 people and requires the most important member of the most august body to control it? </w:t>
      </w:r>
    </w:p>
    <w:p w:rsidR="0046134A" w:rsidRDefault="0046134A" w:rsidP="007039DE">
      <w:pPr>
        <w:spacing w:line="480" w:lineRule="auto"/>
        <w:ind w:firstLine="720"/>
        <w:jc w:val="both"/>
        <w:rPr>
          <w:sz w:val="24"/>
          <w:szCs w:val="24"/>
        </w:rPr>
      </w:pPr>
      <w:r>
        <w:rPr>
          <w:sz w:val="24"/>
          <w:szCs w:val="24"/>
        </w:rPr>
        <w:t xml:space="preserve">Rome’s monuments and maps were signs of power. They characterise political entities, cultural values and statesmen in a very literal sense: making them “present” in public spaces. Their omnipresence throughout the Empire was inevitable and unceasing. </w:t>
      </w:r>
      <w:r>
        <w:rPr>
          <w:sz w:val="24"/>
          <w:szCs w:val="24"/>
        </w:rPr>
        <w:lastRenderedPageBreak/>
        <w:t xml:space="preserve">Within Rome, even at the time of Augustus, the average production of imperial statues could be between 500 and 1000 a </w:t>
      </w:r>
      <w:r w:rsidR="007039DE">
        <w:rPr>
          <w:sz w:val="24"/>
          <w:szCs w:val="24"/>
        </w:rPr>
        <w:t>year</w:t>
      </w:r>
      <w:r>
        <w:rPr>
          <w:sz w:val="24"/>
          <w:szCs w:val="24"/>
        </w:rPr>
        <w:t xml:space="preserve"> and failure to pay the appropriate respects to them could be construed as treasonous.</w:t>
      </w:r>
      <w:r>
        <w:rPr>
          <w:rStyle w:val="FootnoteReference"/>
          <w:sz w:val="24"/>
          <w:szCs w:val="24"/>
        </w:rPr>
        <w:footnoteReference w:id="422"/>
      </w:r>
      <w:r>
        <w:rPr>
          <w:sz w:val="24"/>
          <w:szCs w:val="24"/>
        </w:rPr>
        <w:t xml:space="preserve"> The </w:t>
      </w:r>
      <w:r>
        <w:rPr>
          <w:i/>
          <w:sz w:val="24"/>
          <w:szCs w:val="24"/>
        </w:rPr>
        <w:t>Regionaries</w:t>
      </w:r>
      <w:r>
        <w:rPr>
          <w:sz w:val="24"/>
          <w:szCs w:val="24"/>
        </w:rPr>
        <w:t xml:space="preserve"> list in the </w:t>
      </w:r>
      <w:r>
        <w:rPr>
          <w:i/>
          <w:sz w:val="24"/>
          <w:szCs w:val="24"/>
        </w:rPr>
        <w:t>Breviarium</w:t>
      </w:r>
      <w:r>
        <w:rPr>
          <w:sz w:val="24"/>
          <w:szCs w:val="24"/>
        </w:rPr>
        <w:t xml:space="preserve">: 2 </w:t>
      </w:r>
      <w:r>
        <w:rPr>
          <w:i/>
          <w:sz w:val="24"/>
          <w:szCs w:val="24"/>
        </w:rPr>
        <w:t>Colossi</w:t>
      </w:r>
      <w:r>
        <w:rPr>
          <w:sz w:val="24"/>
          <w:szCs w:val="24"/>
        </w:rPr>
        <w:t xml:space="preserve"> and 22 </w:t>
      </w:r>
      <w:r>
        <w:rPr>
          <w:i/>
          <w:sz w:val="24"/>
          <w:szCs w:val="24"/>
        </w:rPr>
        <w:t>equi magni</w:t>
      </w:r>
      <w:r>
        <w:rPr>
          <w:sz w:val="24"/>
          <w:szCs w:val="24"/>
        </w:rPr>
        <w:t xml:space="preserve">, which may seem small in comparison, but </w:t>
      </w:r>
      <w:r w:rsidR="002B0E6E">
        <w:rPr>
          <w:sz w:val="24"/>
          <w:szCs w:val="24"/>
        </w:rPr>
        <w:t>this would refer</w:t>
      </w:r>
      <w:r>
        <w:rPr>
          <w:sz w:val="24"/>
          <w:szCs w:val="24"/>
        </w:rPr>
        <w:t xml:space="preserve"> only the most important and significant figures </w:t>
      </w:r>
      <w:r w:rsidR="002B0E6E">
        <w:rPr>
          <w:sz w:val="24"/>
          <w:szCs w:val="24"/>
        </w:rPr>
        <w:t>to be</w:t>
      </w:r>
      <w:r>
        <w:rPr>
          <w:sz w:val="24"/>
          <w:szCs w:val="24"/>
        </w:rPr>
        <w:t xml:space="preserve"> awarded statues.</w:t>
      </w:r>
      <w:r>
        <w:rPr>
          <w:rStyle w:val="FootnoteReference"/>
          <w:sz w:val="24"/>
          <w:szCs w:val="24"/>
        </w:rPr>
        <w:footnoteReference w:id="423"/>
      </w:r>
      <w:r w:rsidRPr="00C570A9">
        <w:rPr>
          <w:sz w:val="24"/>
          <w:szCs w:val="24"/>
        </w:rPr>
        <w:t xml:space="preserve"> </w:t>
      </w:r>
      <w:r>
        <w:rPr>
          <w:sz w:val="24"/>
          <w:szCs w:val="24"/>
        </w:rPr>
        <w:t>There was no escape and no space from which to view such monuments from a neutral, disinterested point of view. In order to participate in the prevailing culture one is forced both to accept and celebrate the monument and the powers it represents, or to oppose and destroy it.</w:t>
      </w:r>
      <w:r>
        <w:rPr>
          <w:rStyle w:val="FootnoteReference"/>
          <w:sz w:val="24"/>
          <w:szCs w:val="24"/>
        </w:rPr>
        <w:footnoteReference w:id="424"/>
      </w:r>
      <w:r>
        <w:rPr>
          <w:sz w:val="24"/>
          <w:szCs w:val="24"/>
        </w:rPr>
        <w:t xml:space="preserve"> </w:t>
      </w:r>
    </w:p>
    <w:p w:rsidR="0046134A" w:rsidRPr="00207FE6" w:rsidRDefault="0046134A" w:rsidP="0046134A">
      <w:pPr>
        <w:spacing w:line="480" w:lineRule="auto"/>
        <w:ind w:firstLine="720"/>
        <w:jc w:val="both"/>
        <w:rPr>
          <w:sz w:val="24"/>
          <w:szCs w:val="24"/>
        </w:rPr>
      </w:pPr>
      <w:r w:rsidRPr="00207FE6">
        <w:rPr>
          <w:sz w:val="24"/>
          <w:szCs w:val="24"/>
        </w:rPr>
        <w:t xml:space="preserve">The administration and maintenance of </w:t>
      </w:r>
      <w:r w:rsidR="00AE5718">
        <w:rPr>
          <w:sz w:val="24"/>
          <w:szCs w:val="24"/>
        </w:rPr>
        <w:t>such</w:t>
      </w:r>
      <w:r>
        <w:rPr>
          <w:sz w:val="24"/>
          <w:szCs w:val="24"/>
        </w:rPr>
        <w:t xml:space="preserve"> monuments and buildings </w:t>
      </w:r>
      <w:r w:rsidR="00AE5718">
        <w:rPr>
          <w:sz w:val="24"/>
          <w:szCs w:val="24"/>
        </w:rPr>
        <w:t>was</w:t>
      </w:r>
      <w:r w:rsidRPr="00207FE6">
        <w:rPr>
          <w:sz w:val="24"/>
          <w:szCs w:val="24"/>
        </w:rPr>
        <w:t xml:space="preserve"> the traditional, even </w:t>
      </w:r>
      <w:r w:rsidR="00182EFE">
        <w:rPr>
          <w:sz w:val="24"/>
          <w:szCs w:val="24"/>
        </w:rPr>
        <w:t>sacred</w:t>
      </w:r>
      <w:r w:rsidRPr="00207FE6">
        <w:rPr>
          <w:sz w:val="24"/>
          <w:szCs w:val="24"/>
        </w:rPr>
        <w:t xml:space="preserve">, duty of the Urban Prefect and the </w:t>
      </w:r>
      <w:r>
        <w:rPr>
          <w:sz w:val="24"/>
          <w:szCs w:val="24"/>
        </w:rPr>
        <w:t>senatorial</w:t>
      </w:r>
      <w:r w:rsidRPr="00207FE6">
        <w:rPr>
          <w:sz w:val="24"/>
          <w:szCs w:val="24"/>
        </w:rPr>
        <w:t xml:space="preserve"> elite that he would hail from. The administration of the city was a religious act and in turn religion was part of the action of good governance. In the </w:t>
      </w:r>
      <w:r w:rsidRPr="00207FE6">
        <w:rPr>
          <w:i/>
          <w:sz w:val="24"/>
          <w:szCs w:val="24"/>
        </w:rPr>
        <w:t>Memorable Deeds and Sayings</w:t>
      </w:r>
      <w:r w:rsidRPr="00207FE6">
        <w:rPr>
          <w:sz w:val="24"/>
          <w:szCs w:val="24"/>
        </w:rPr>
        <w:t>, Valerius Maximus sta</w:t>
      </w:r>
      <w:r>
        <w:rPr>
          <w:sz w:val="24"/>
          <w:szCs w:val="24"/>
        </w:rPr>
        <w:t>t</w:t>
      </w:r>
      <w:r w:rsidRPr="00207FE6">
        <w:rPr>
          <w:sz w:val="24"/>
          <w:szCs w:val="24"/>
        </w:rPr>
        <w:t xml:space="preserve">es that the “Roman Religion” was, </w:t>
      </w:r>
    </w:p>
    <w:p w:rsidR="0046134A" w:rsidRPr="00207FE6" w:rsidRDefault="0046134A" w:rsidP="0046134A">
      <w:pPr>
        <w:spacing w:line="480" w:lineRule="auto"/>
        <w:ind w:left="1440"/>
        <w:jc w:val="both"/>
        <w:rPr>
          <w:sz w:val="24"/>
          <w:szCs w:val="24"/>
        </w:rPr>
      </w:pPr>
      <w:r w:rsidRPr="00207FE6">
        <w:rPr>
          <w:sz w:val="24"/>
          <w:szCs w:val="24"/>
        </w:rPr>
        <w:t>‘that fixed and formal annual ceremonies be regulated by the knowledge of the priests; that sanction for the good governance of affairs be marshalled by the observations of augurs; that Apollo’s prophecies be revealed by the books of the seers; and that the expiation of portents be accomplished in accordance with the Etruscan discipline.’</w:t>
      </w:r>
      <w:r w:rsidRPr="00207FE6">
        <w:rPr>
          <w:rStyle w:val="FootnoteReference"/>
          <w:sz w:val="24"/>
          <w:szCs w:val="24"/>
        </w:rPr>
        <w:footnoteReference w:id="425"/>
      </w:r>
    </w:p>
    <w:p w:rsidR="0046134A" w:rsidRPr="00207FE6" w:rsidRDefault="0046134A" w:rsidP="0046134A">
      <w:pPr>
        <w:spacing w:line="480" w:lineRule="auto"/>
        <w:jc w:val="both"/>
        <w:rPr>
          <w:sz w:val="24"/>
          <w:szCs w:val="24"/>
        </w:rPr>
      </w:pPr>
      <w:r w:rsidRPr="00207FE6">
        <w:rPr>
          <w:sz w:val="24"/>
          <w:szCs w:val="24"/>
        </w:rPr>
        <w:t xml:space="preserve">Religion (publicly at least) was as much a matter of law, administration and tradition as it was belief. Ulpian summarised “Public Law” as, ‘that which has reference to the </w:t>
      </w:r>
      <w:r w:rsidRPr="00207FE6">
        <w:rPr>
          <w:sz w:val="24"/>
          <w:szCs w:val="24"/>
        </w:rPr>
        <w:lastRenderedPageBreak/>
        <w:t xml:space="preserve">administration of the Roman government… Public law has reference to </w:t>
      </w:r>
      <w:r w:rsidR="00182EFE">
        <w:rPr>
          <w:sz w:val="24"/>
          <w:szCs w:val="24"/>
        </w:rPr>
        <w:t>sacred</w:t>
      </w:r>
      <w:r w:rsidRPr="00207FE6">
        <w:rPr>
          <w:sz w:val="24"/>
          <w:szCs w:val="24"/>
        </w:rPr>
        <w:t xml:space="preserve"> ceremonies, and to the duties of priests and magistrates.’</w:t>
      </w:r>
      <w:r w:rsidRPr="00207FE6">
        <w:rPr>
          <w:rStyle w:val="FootnoteReference"/>
          <w:sz w:val="24"/>
          <w:szCs w:val="24"/>
        </w:rPr>
        <w:footnoteReference w:id="426"/>
      </w:r>
      <w:r w:rsidRPr="00207FE6">
        <w:rPr>
          <w:sz w:val="24"/>
          <w:szCs w:val="24"/>
        </w:rPr>
        <w:t xml:space="preserve"> I will examine this duality of religion and government, and its intermingling with tradition and history</w:t>
      </w:r>
      <w:r>
        <w:rPr>
          <w:sz w:val="24"/>
          <w:szCs w:val="24"/>
        </w:rPr>
        <w:t>,</w:t>
      </w:r>
      <w:r w:rsidRPr="00207FE6">
        <w:rPr>
          <w:sz w:val="24"/>
          <w:szCs w:val="24"/>
        </w:rPr>
        <w:t xml:space="preserve"> as part of the demonstration of the </w:t>
      </w:r>
      <w:r w:rsidRPr="00207FE6">
        <w:rPr>
          <w:i/>
          <w:sz w:val="24"/>
          <w:szCs w:val="24"/>
        </w:rPr>
        <w:t>Regionary Catalogues</w:t>
      </w:r>
      <w:r w:rsidRPr="00207FE6">
        <w:rPr>
          <w:sz w:val="24"/>
          <w:szCs w:val="24"/>
        </w:rPr>
        <w:t xml:space="preserve"> administrative use. </w:t>
      </w:r>
    </w:p>
    <w:p w:rsidR="0046134A" w:rsidRPr="00207FE6" w:rsidRDefault="0046134A" w:rsidP="0046134A">
      <w:pPr>
        <w:spacing w:line="480" w:lineRule="auto"/>
        <w:ind w:firstLine="720"/>
        <w:jc w:val="both"/>
        <w:rPr>
          <w:sz w:val="24"/>
          <w:szCs w:val="24"/>
        </w:rPr>
      </w:pPr>
      <w:r w:rsidRPr="00207FE6">
        <w:rPr>
          <w:sz w:val="24"/>
          <w:szCs w:val="24"/>
        </w:rPr>
        <w:tab/>
        <w:t xml:space="preserve">The duality of religion and government, administration and tradition can be seen through the inclusion of a large number of religious buildings within the </w:t>
      </w:r>
      <w:r w:rsidRPr="00207FE6">
        <w:rPr>
          <w:i/>
          <w:sz w:val="24"/>
          <w:szCs w:val="24"/>
        </w:rPr>
        <w:t>Regionary Catalogues</w:t>
      </w:r>
      <w:r w:rsidRPr="00207FE6">
        <w:rPr>
          <w:sz w:val="24"/>
          <w:szCs w:val="24"/>
        </w:rPr>
        <w:t xml:space="preserve">. Many of these buildings served dual-practical purposes, both as centres of devotion and religious practice but also as major administrative buildings. The Temple of Saturn in the </w:t>
      </w:r>
      <w:r w:rsidRPr="00207FE6">
        <w:rPr>
          <w:i/>
          <w:iCs/>
          <w:sz w:val="24"/>
          <w:szCs w:val="24"/>
        </w:rPr>
        <w:t>Regio VIII: Forum Romanum</w:t>
      </w:r>
      <w:r w:rsidRPr="00207FE6">
        <w:rPr>
          <w:sz w:val="24"/>
          <w:szCs w:val="24"/>
        </w:rPr>
        <w:t xml:space="preserve"> served as the treasury of the Republic and whilst this would have declined in importance with the steady disappearance of </w:t>
      </w:r>
      <w:r>
        <w:rPr>
          <w:sz w:val="24"/>
          <w:szCs w:val="24"/>
        </w:rPr>
        <w:t>Imperial</w:t>
      </w:r>
      <w:r w:rsidRPr="00207FE6">
        <w:rPr>
          <w:sz w:val="24"/>
          <w:szCs w:val="24"/>
        </w:rPr>
        <w:t xml:space="preserve"> government from t</w:t>
      </w:r>
      <w:r>
        <w:rPr>
          <w:sz w:val="24"/>
          <w:szCs w:val="24"/>
        </w:rPr>
        <w:t xml:space="preserve">he city, there is no reason </w:t>
      </w:r>
      <w:r w:rsidRPr="00207FE6">
        <w:rPr>
          <w:sz w:val="24"/>
          <w:szCs w:val="24"/>
        </w:rPr>
        <w:t>to</w:t>
      </w:r>
      <w:r>
        <w:rPr>
          <w:sz w:val="24"/>
          <w:szCs w:val="24"/>
        </w:rPr>
        <w:t xml:space="preserve"> not</w:t>
      </w:r>
      <w:r w:rsidRPr="00207FE6">
        <w:rPr>
          <w:sz w:val="24"/>
          <w:szCs w:val="24"/>
        </w:rPr>
        <w:t xml:space="preserve"> assume it continued to serve as a treasury for the urban administration. Alongside the Temple of Saturn in the same region was the Templum Castorum which has</w:t>
      </w:r>
      <w:r w:rsidR="007039DE">
        <w:rPr>
          <w:sz w:val="24"/>
          <w:szCs w:val="24"/>
        </w:rPr>
        <w:t xml:space="preserve"> was</w:t>
      </w:r>
      <w:r w:rsidRPr="00207FE6">
        <w:rPr>
          <w:sz w:val="24"/>
          <w:szCs w:val="24"/>
        </w:rPr>
        <w:t xml:space="preserve"> </w:t>
      </w:r>
      <w:r w:rsidR="007039DE">
        <w:rPr>
          <w:sz w:val="24"/>
          <w:szCs w:val="24"/>
        </w:rPr>
        <w:t xml:space="preserve">known as </w:t>
      </w:r>
      <w:r w:rsidRPr="00207FE6">
        <w:rPr>
          <w:sz w:val="24"/>
          <w:szCs w:val="24"/>
        </w:rPr>
        <w:t xml:space="preserve">the site of the </w:t>
      </w:r>
      <w:r>
        <w:rPr>
          <w:sz w:val="24"/>
          <w:szCs w:val="24"/>
        </w:rPr>
        <w:t>Imperial</w:t>
      </w:r>
      <w:r w:rsidRPr="00207FE6">
        <w:rPr>
          <w:sz w:val="24"/>
          <w:szCs w:val="24"/>
        </w:rPr>
        <w:t xml:space="preserve"> </w:t>
      </w:r>
      <w:r w:rsidRPr="001D2CE1">
        <w:rPr>
          <w:i/>
          <w:sz w:val="24"/>
          <w:szCs w:val="24"/>
        </w:rPr>
        <w:t>fisc</w:t>
      </w:r>
      <w:r w:rsidRPr="00207FE6">
        <w:rPr>
          <w:sz w:val="24"/>
          <w:szCs w:val="24"/>
        </w:rPr>
        <w:t xml:space="preserve">, the </w:t>
      </w:r>
      <w:r w:rsidR="0087599E">
        <w:rPr>
          <w:sz w:val="24"/>
          <w:szCs w:val="24"/>
        </w:rPr>
        <w:t>e</w:t>
      </w:r>
      <w:r>
        <w:rPr>
          <w:sz w:val="24"/>
          <w:szCs w:val="24"/>
        </w:rPr>
        <w:t>mperor’s</w:t>
      </w:r>
      <w:r w:rsidR="007039DE">
        <w:rPr>
          <w:sz w:val="24"/>
          <w:szCs w:val="24"/>
        </w:rPr>
        <w:t xml:space="preserve"> </w:t>
      </w:r>
      <w:r w:rsidRPr="00207FE6">
        <w:rPr>
          <w:sz w:val="24"/>
          <w:szCs w:val="24"/>
        </w:rPr>
        <w:t>personal treasury</w:t>
      </w:r>
      <w:r w:rsidR="00025BF3">
        <w:rPr>
          <w:sz w:val="24"/>
          <w:szCs w:val="24"/>
        </w:rPr>
        <w:t>, as well as continuing to serve as a meeting place for the Senate</w:t>
      </w:r>
      <w:r w:rsidRPr="00207FE6">
        <w:rPr>
          <w:sz w:val="24"/>
          <w:szCs w:val="24"/>
        </w:rPr>
        <w:t>.</w:t>
      </w:r>
      <w:r w:rsidRPr="00207FE6">
        <w:rPr>
          <w:rStyle w:val="FootnoteReference"/>
          <w:sz w:val="24"/>
          <w:szCs w:val="24"/>
        </w:rPr>
        <w:footnoteReference w:id="427"/>
      </w:r>
      <w:r w:rsidRPr="00207FE6">
        <w:rPr>
          <w:sz w:val="24"/>
          <w:szCs w:val="24"/>
        </w:rPr>
        <w:t xml:space="preserve"> The temple of Diana on the Aventine was home to the </w:t>
      </w:r>
      <w:r w:rsidRPr="00207FE6">
        <w:rPr>
          <w:i/>
          <w:sz w:val="24"/>
          <w:szCs w:val="24"/>
        </w:rPr>
        <w:t>Foedium Cassianum</w:t>
      </w:r>
      <w:r>
        <w:rPr>
          <w:i/>
          <w:sz w:val="24"/>
          <w:szCs w:val="24"/>
        </w:rPr>
        <w:t>,</w:t>
      </w:r>
      <w:r w:rsidRPr="00207FE6">
        <w:rPr>
          <w:sz w:val="24"/>
          <w:szCs w:val="24"/>
        </w:rPr>
        <w:t xml:space="preserve"> governing the supremacy of the Romans over the other states of Italy</w:t>
      </w:r>
      <w:r>
        <w:rPr>
          <w:sz w:val="24"/>
          <w:szCs w:val="24"/>
        </w:rPr>
        <w:t>,</w:t>
      </w:r>
      <w:r w:rsidRPr="00207FE6">
        <w:rPr>
          <w:sz w:val="24"/>
          <w:szCs w:val="24"/>
        </w:rPr>
        <w:t xml:space="preserve"> along with a number of other ancient legal documents.</w:t>
      </w:r>
      <w:r w:rsidRPr="00207FE6">
        <w:rPr>
          <w:rStyle w:val="FootnoteReference"/>
          <w:sz w:val="24"/>
          <w:szCs w:val="24"/>
        </w:rPr>
        <w:footnoteReference w:id="428"/>
      </w:r>
      <w:r w:rsidRPr="00207FE6">
        <w:rPr>
          <w:sz w:val="24"/>
          <w:szCs w:val="24"/>
        </w:rPr>
        <w:t xml:space="preserve"> More importantly,</w:t>
      </w:r>
      <w:r>
        <w:rPr>
          <w:sz w:val="24"/>
          <w:szCs w:val="24"/>
        </w:rPr>
        <w:t xml:space="preserve"> there was</w:t>
      </w:r>
      <w:r w:rsidRPr="00207FE6">
        <w:rPr>
          <w:sz w:val="24"/>
          <w:szCs w:val="24"/>
        </w:rPr>
        <w:t xml:space="preserve"> the </w:t>
      </w:r>
      <w:r w:rsidRPr="00207FE6">
        <w:rPr>
          <w:i/>
          <w:iCs/>
          <w:sz w:val="24"/>
          <w:szCs w:val="24"/>
        </w:rPr>
        <w:t xml:space="preserve">templum Solis </w:t>
      </w:r>
      <w:proofErr w:type="gramStart"/>
      <w:r w:rsidRPr="00207FE6">
        <w:rPr>
          <w:i/>
          <w:iCs/>
          <w:sz w:val="24"/>
          <w:szCs w:val="24"/>
        </w:rPr>
        <w:t>et</w:t>
      </w:r>
      <w:proofErr w:type="gramEnd"/>
      <w:r w:rsidRPr="00207FE6">
        <w:rPr>
          <w:i/>
          <w:iCs/>
          <w:sz w:val="24"/>
          <w:szCs w:val="24"/>
        </w:rPr>
        <w:t xml:space="preserve"> castra</w:t>
      </w:r>
      <w:r w:rsidRPr="00207FE6">
        <w:rPr>
          <w:sz w:val="24"/>
          <w:szCs w:val="24"/>
        </w:rPr>
        <w:t xml:space="preserve">, which from AD 274 served both as a distribution point for the </w:t>
      </w:r>
      <w:r w:rsidRPr="00207FE6">
        <w:rPr>
          <w:i/>
          <w:sz w:val="24"/>
          <w:szCs w:val="24"/>
        </w:rPr>
        <w:t>annonae</w:t>
      </w:r>
      <w:r w:rsidRPr="00207FE6">
        <w:rPr>
          <w:sz w:val="24"/>
          <w:szCs w:val="24"/>
        </w:rPr>
        <w:t xml:space="preserve"> and as a barracks</w:t>
      </w:r>
      <w:r>
        <w:rPr>
          <w:sz w:val="24"/>
          <w:szCs w:val="24"/>
        </w:rPr>
        <w:t>.</w:t>
      </w:r>
      <w:r w:rsidRPr="00207FE6">
        <w:rPr>
          <w:rStyle w:val="FootnoteReference"/>
          <w:sz w:val="24"/>
          <w:szCs w:val="24"/>
        </w:rPr>
        <w:footnoteReference w:id="429"/>
      </w:r>
      <w:r w:rsidRPr="00207FE6">
        <w:rPr>
          <w:sz w:val="24"/>
          <w:szCs w:val="24"/>
        </w:rPr>
        <w:t xml:space="preserve"> Those temples in the </w:t>
      </w:r>
      <w:r w:rsidRPr="00207FE6">
        <w:rPr>
          <w:i/>
          <w:sz w:val="24"/>
          <w:szCs w:val="24"/>
        </w:rPr>
        <w:t>Regionaries</w:t>
      </w:r>
      <w:r w:rsidRPr="00207FE6">
        <w:rPr>
          <w:sz w:val="24"/>
          <w:szCs w:val="24"/>
        </w:rPr>
        <w:t xml:space="preserve"> that do not have an obvious administrative purpose are </w:t>
      </w:r>
      <w:r>
        <w:rPr>
          <w:sz w:val="24"/>
          <w:szCs w:val="24"/>
        </w:rPr>
        <w:t>primarily</w:t>
      </w:r>
      <w:r w:rsidRPr="00207FE6">
        <w:rPr>
          <w:sz w:val="24"/>
          <w:szCs w:val="24"/>
        </w:rPr>
        <w:t xml:space="preserve"> the temples of the </w:t>
      </w:r>
      <w:r>
        <w:rPr>
          <w:sz w:val="24"/>
          <w:szCs w:val="24"/>
        </w:rPr>
        <w:t>Imperial</w:t>
      </w:r>
      <w:r w:rsidRPr="00207FE6">
        <w:rPr>
          <w:sz w:val="24"/>
          <w:szCs w:val="24"/>
        </w:rPr>
        <w:t xml:space="preserve"> Cult: </w:t>
      </w:r>
      <w:r w:rsidRPr="00207FE6">
        <w:rPr>
          <w:i/>
          <w:sz w:val="24"/>
          <w:szCs w:val="24"/>
        </w:rPr>
        <w:t>templum Claudii</w:t>
      </w:r>
      <w:r w:rsidRPr="00207FE6">
        <w:rPr>
          <w:sz w:val="24"/>
          <w:szCs w:val="24"/>
        </w:rPr>
        <w:t xml:space="preserve">, </w:t>
      </w:r>
      <w:r w:rsidRPr="00207FE6">
        <w:rPr>
          <w:i/>
          <w:sz w:val="24"/>
          <w:szCs w:val="24"/>
        </w:rPr>
        <w:t xml:space="preserve">templum Faustina, </w:t>
      </w:r>
      <w:r w:rsidRPr="00207FE6">
        <w:rPr>
          <w:i/>
          <w:sz w:val="24"/>
          <w:szCs w:val="24"/>
        </w:rPr>
        <w:lastRenderedPageBreak/>
        <w:t>templum divi Traiani, templum divi Antonini</w:t>
      </w:r>
      <w:r w:rsidRPr="00207FE6">
        <w:rPr>
          <w:sz w:val="24"/>
          <w:szCs w:val="24"/>
        </w:rPr>
        <w:t>.</w:t>
      </w:r>
      <w:r w:rsidRPr="00207FE6">
        <w:rPr>
          <w:rStyle w:val="FootnoteReference"/>
          <w:sz w:val="24"/>
          <w:szCs w:val="24"/>
        </w:rPr>
        <w:footnoteReference w:id="430"/>
      </w:r>
      <w:r w:rsidRPr="00207FE6">
        <w:rPr>
          <w:sz w:val="24"/>
          <w:szCs w:val="24"/>
        </w:rPr>
        <w:t xml:space="preserve"> The others include the temples associated with </w:t>
      </w:r>
      <w:r w:rsidRPr="00207FE6">
        <w:rPr>
          <w:i/>
          <w:sz w:val="24"/>
          <w:szCs w:val="24"/>
        </w:rPr>
        <w:t>genii</w:t>
      </w:r>
      <w:r w:rsidRPr="00207FE6">
        <w:rPr>
          <w:sz w:val="24"/>
          <w:szCs w:val="24"/>
        </w:rPr>
        <w:t xml:space="preserve"> of Rome and its oldest Gods. These may not have be</w:t>
      </w:r>
      <w:r>
        <w:rPr>
          <w:sz w:val="24"/>
          <w:szCs w:val="24"/>
        </w:rPr>
        <w:t>en administrative centres, but e</w:t>
      </w:r>
      <w:r w:rsidRPr="00207FE6">
        <w:rPr>
          <w:sz w:val="24"/>
          <w:szCs w:val="24"/>
        </w:rPr>
        <w:t xml:space="preserve">nsuring the performance of their correct rites was believed to be essential to the Empire’s continued prosperity and was an essential function of the Urban Prefect as the </w:t>
      </w:r>
      <w:r w:rsidR="0087599E">
        <w:rPr>
          <w:sz w:val="24"/>
          <w:szCs w:val="24"/>
        </w:rPr>
        <w:t>i</w:t>
      </w:r>
      <w:r>
        <w:rPr>
          <w:sz w:val="24"/>
          <w:szCs w:val="24"/>
        </w:rPr>
        <w:t>mperial</w:t>
      </w:r>
      <w:r w:rsidRPr="00207FE6">
        <w:rPr>
          <w:sz w:val="24"/>
          <w:szCs w:val="24"/>
        </w:rPr>
        <w:t xml:space="preserve"> representative. It is wrong therefore to discount them within the </w:t>
      </w:r>
      <w:r w:rsidRPr="00207FE6">
        <w:rPr>
          <w:i/>
          <w:sz w:val="24"/>
          <w:szCs w:val="24"/>
        </w:rPr>
        <w:t>Regionaries</w:t>
      </w:r>
      <w:r w:rsidRPr="00207FE6">
        <w:rPr>
          <w:sz w:val="24"/>
          <w:szCs w:val="24"/>
        </w:rPr>
        <w:t xml:space="preserve"> as simply monumental objects; they also served as the administrative and political centres of the city. Moreover these buildings were monuments in no small part due to their historical value, a value that they had</w:t>
      </w:r>
      <w:r>
        <w:rPr>
          <w:sz w:val="24"/>
          <w:szCs w:val="24"/>
        </w:rPr>
        <w:t xml:space="preserve"> originally</w:t>
      </w:r>
      <w:r w:rsidRPr="00207FE6">
        <w:rPr>
          <w:sz w:val="24"/>
          <w:szCs w:val="24"/>
        </w:rPr>
        <w:t xml:space="preserve"> achieved due to their administrative value and importance.</w:t>
      </w:r>
      <w:r w:rsidRPr="00207FE6">
        <w:rPr>
          <w:rStyle w:val="FootnoteReference"/>
          <w:sz w:val="24"/>
          <w:szCs w:val="24"/>
        </w:rPr>
        <w:footnoteReference w:id="431"/>
      </w:r>
      <w:r w:rsidR="00025BF3">
        <w:rPr>
          <w:sz w:val="24"/>
          <w:szCs w:val="24"/>
        </w:rPr>
        <w:t xml:space="preserve"> Even as buildings may have lost their original administrative functions, their heritage would mean that their administration and maintenance would become an administrative function in their own right. They formed part of the “civic” memory of the city</w:t>
      </w:r>
      <w:r w:rsidR="00C812B0">
        <w:rPr>
          <w:sz w:val="24"/>
          <w:szCs w:val="24"/>
        </w:rPr>
        <w:t xml:space="preserve"> and could continue to be useful in ways limited only by the individual’s priorities and personal views</w:t>
      </w:r>
      <w:r w:rsidR="00025BF3">
        <w:rPr>
          <w:sz w:val="24"/>
          <w:szCs w:val="24"/>
        </w:rPr>
        <w:t>.</w:t>
      </w:r>
      <w:r w:rsidR="00025BF3">
        <w:rPr>
          <w:rStyle w:val="FootnoteReference"/>
          <w:sz w:val="24"/>
          <w:szCs w:val="24"/>
        </w:rPr>
        <w:footnoteReference w:id="432"/>
      </w:r>
      <w:r w:rsidRPr="00207FE6">
        <w:rPr>
          <w:sz w:val="24"/>
          <w:szCs w:val="24"/>
        </w:rPr>
        <w:t xml:space="preserve"> In particular, the </w:t>
      </w:r>
      <w:r w:rsidRPr="00207FE6">
        <w:rPr>
          <w:i/>
          <w:iCs/>
          <w:sz w:val="24"/>
          <w:szCs w:val="24"/>
        </w:rPr>
        <w:t>templum Telluris</w:t>
      </w:r>
      <w:r w:rsidRPr="00207FE6">
        <w:rPr>
          <w:iCs/>
          <w:sz w:val="24"/>
          <w:szCs w:val="24"/>
        </w:rPr>
        <w:t xml:space="preserve"> is said to have</w:t>
      </w:r>
      <w:r w:rsidRPr="00207FE6">
        <w:rPr>
          <w:i/>
          <w:iCs/>
          <w:sz w:val="24"/>
          <w:szCs w:val="24"/>
        </w:rPr>
        <w:t xml:space="preserve"> </w:t>
      </w:r>
      <w:r w:rsidRPr="00207FE6">
        <w:rPr>
          <w:sz w:val="24"/>
          <w:szCs w:val="24"/>
        </w:rPr>
        <w:t>served as the administrative headquarters for the Urban Prefecture.</w:t>
      </w:r>
      <w:r w:rsidRPr="00207FE6">
        <w:rPr>
          <w:rStyle w:val="FootnoteReference"/>
          <w:sz w:val="24"/>
          <w:szCs w:val="24"/>
        </w:rPr>
        <w:footnoteReference w:id="433"/>
      </w:r>
      <w:r w:rsidRPr="00207FE6">
        <w:rPr>
          <w:sz w:val="24"/>
          <w:szCs w:val="24"/>
        </w:rPr>
        <w:t xml:space="preserve"> The </w:t>
      </w:r>
      <w:r w:rsidRPr="00207FE6">
        <w:rPr>
          <w:i/>
          <w:sz w:val="24"/>
          <w:szCs w:val="24"/>
        </w:rPr>
        <w:t>templum Pacis</w:t>
      </w:r>
      <w:r w:rsidRPr="00207FE6">
        <w:rPr>
          <w:sz w:val="24"/>
          <w:szCs w:val="24"/>
        </w:rPr>
        <w:t xml:space="preserve"> contained the Severan Marble Plan</w:t>
      </w:r>
      <w:r>
        <w:rPr>
          <w:sz w:val="24"/>
          <w:szCs w:val="24"/>
        </w:rPr>
        <w:t>,</w:t>
      </w:r>
      <w:r w:rsidRPr="00207FE6">
        <w:rPr>
          <w:sz w:val="24"/>
          <w:szCs w:val="24"/>
        </w:rPr>
        <w:t xml:space="preserve"> another topographical representation of Rome. So many buildings that </w:t>
      </w:r>
      <w:r>
        <w:rPr>
          <w:sz w:val="24"/>
          <w:szCs w:val="24"/>
        </w:rPr>
        <w:t>had such an ancient pedigree were</w:t>
      </w:r>
      <w:r w:rsidRPr="00207FE6">
        <w:rPr>
          <w:sz w:val="24"/>
          <w:szCs w:val="24"/>
        </w:rPr>
        <w:t xml:space="preserve"> a source of great responsibility for the Urban Prefect, but it was this responsibility for the topographical heritage that made the position of Urban Prefect so coveted by the </w:t>
      </w:r>
      <w:r w:rsidR="000A7B71">
        <w:rPr>
          <w:sz w:val="24"/>
          <w:szCs w:val="24"/>
        </w:rPr>
        <w:t>s</w:t>
      </w:r>
      <w:r>
        <w:rPr>
          <w:sz w:val="24"/>
          <w:szCs w:val="24"/>
        </w:rPr>
        <w:t>enatorial</w:t>
      </w:r>
      <w:r w:rsidRPr="00207FE6">
        <w:rPr>
          <w:sz w:val="24"/>
          <w:szCs w:val="24"/>
        </w:rPr>
        <w:t xml:space="preserve"> class. It was the source of the Urban Prefect’s </w:t>
      </w:r>
      <w:r w:rsidRPr="00207FE6">
        <w:rPr>
          <w:sz w:val="24"/>
          <w:szCs w:val="24"/>
        </w:rPr>
        <w:lastRenderedPageBreak/>
        <w:t xml:space="preserve">prestige and in turn was responsible for the prestige and authority necessary to compel others. </w:t>
      </w:r>
    </w:p>
    <w:p w:rsidR="00FB76CA" w:rsidRDefault="0046134A" w:rsidP="0046134A">
      <w:pPr>
        <w:spacing w:after="0" w:line="480" w:lineRule="auto"/>
        <w:ind w:firstLine="720"/>
        <w:jc w:val="both"/>
        <w:rPr>
          <w:sz w:val="24"/>
          <w:szCs w:val="24"/>
        </w:rPr>
      </w:pPr>
      <w:r>
        <w:rPr>
          <w:sz w:val="24"/>
          <w:szCs w:val="24"/>
        </w:rPr>
        <w:t xml:space="preserve">Again we see the </w:t>
      </w:r>
      <w:r>
        <w:rPr>
          <w:i/>
          <w:sz w:val="24"/>
          <w:szCs w:val="24"/>
        </w:rPr>
        <w:t>Regionaries</w:t>
      </w:r>
      <w:r>
        <w:rPr>
          <w:sz w:val="24"/>
          <w:szCs w:val="24"/>
        </w:rPr>
        <w:t>’</w:t>
      </w:r>
      <w:r w:rsidRPr="00207FE6">
        <w:rPr>
          <w:sz w:val="24"/>
          <w:szCs w:val="24"/>
        </w:rPr>
        <w:t xml:space="preserve"> duality of both prac</w:t>
      </w:r>
      <w:r>
        <w:rPr>
          <w:sz w:val="24"/>
          <w:szCs w:val="24"/>
        </w:rPr>
        <w:t>tical administrative data complementing and being comple</w:t>
      </w:r>
      <w:r w:rsidRPr="00207FE6">
        <w:rPr>
          <w:sz w:val="24"/>
          <w:szCs w:val="24"/>
        </w:rPr>
        <w:t>mented by items and statistics that were co</w:t>
      </w:r>
      <w:r>
        <w:rPr>
          <w:sz w:val="24"/>
          <w:szCs w:val="24"/>
        </w:rPr>
        <w:t>mplemented by and in turn comple</w:t>
      </w:r>
      <w:r w:rsidRPr="00207FE6">
        <w:rPr>
          <w:sz w:val="24"/>
          <w:szCs w:val="24"/>
        </w:rPr>
        <w:t>mented the prestige of historical buildings and traditional rites.</w:t>
      </w:r>
      <w:r w:rsidRPr="00207FE6">
        <w:rPr>
          <w:rStyle w:val="FootnoteReference"/>
          <w:sz w:val="24"/>
          <w:szCs w:val="24"/>
        </w:rPr>
        <w:footnoteReference w:id="434"/>
      </w:r>
      <w:r>
        <w:rPr>
          <w:sz w:val="24"/>
          <w:szCs w:val="24"/>
        </w:rPr>
        <w:t xml:space="preserve"> </w:t>
      </w:r>
      <w:r w:rsidRPr="0076389E">
        <w:rPr>
          <w:sz w:val="24"/>
          <w:szCs w:val="24"/>
        </w:rPr>
        <w:t xml:space="preserve">In this sense it is not surprising the </w:t>
      </w:r>
      <w:r w:rsidRPr="0076389E">
        <w:rPr>
          <w:i/>
          <w:sz w:val="24"/>
          <w:szCs w:val="24"/>
        </w:rPr>
        <w:t>Regionaries</w:t>
      </w:r>
      <w:r w:rsidRPr="0076389E">
        <w:rPr>
          <w:sz w:val="24"/>
          <w:szCs w:val="24"/>
        </w:rPr>
        <w:t xml:space="preserve"> were compiled. The Urban Prefect was expected to represent the </w:t>
      </w:r>
      <w:r w:rsidR="000A7B71">
        <w:rPr>
          <w:sz w:val="24"/>
          <w:szCs w:val="24"/>
        </w:rPr>
        <w:t>i</w:t>
      </w:r>
      <w:r>
        <w:rPr>
          <w:sz w:val="24"/>
          <w:szCs w:val="24"/>
        </w:rPr>
        <w:t>mperial</w:t>
      </w:r>
      <w:r w:rsidRPr="0076389E">
        <w:rPr>
          <w:sz w:val="24"/>
          <w:szCs w:val="24"/>
        </w:rPr>
        <w:t xml:space="preserve"> office, and this representation meant ensuring the co-operation of those significant locals. The Urban Prefect as a senator had a duty and responsibility, by virtue of his aristocratic upbringing, to ensure these Roman traditions were upheld.</w:t>
      </w:r>
      <w:r>
        <w:rPr>
          <w:sz w:val="24"/>
          <w:szCs w:val="24"/>
        </w:rPr>
        <w:t xml:space="preserve"> </w:t>
      </w:r>
      <w:r w:rsidRPr="00207FE6">
        <w:rPr>
          <w:sz w:val="24"/>
          <w:szCs w:val="24"/>
        </w:rPr>
        <w:t>The Urban Prefect had to be able to manage the city effectively within a short term and</w:t>
      </w:r>
      <w:r>
        <w:rPr>
          <w:sz w:val="24"/>
          <w:szCs w:val="24"/>
        </w:rPr>
        <w:t xml:space="preserve"> (as a proper aristocrat)</w:t>
      </w:r>
      <w:r w:rsidRPr="00207FE6">
        <w:rPr>
          <w:sz w:val="24"/>
          <w:szCs w:val="24"/>
        </w:rPr>
        <w:t xml:space="preserve"> lacked the professional skills and workforce of a more professional administrator. </w:t>
      </w:r>
      <w:r>
        <w:rPr>
          <w:sz w:val="24"/>
          <w:szCs w:val="24"/>
        </w:rPr>
        <w:t xml:space="preserve">It was essential that he be able to demonstrate the legitimacy, and therefore authority, of his position through the </w:t>
      </w:r>
      <w:r w:rsidR="009C7AF1">
        <w:rPr>
          <w:sz w:val="24"/>
          <w:szCs w:val="24"/>
        </w:rPr>
        <w:t>correct observance on maintenance</w:t>
      </w:r>
      <w:r>
        <w:rPr>
          <w:sz w:val="24"/>
          <w:szCs w:val="24"/>
        </w:rPr>
        <w:t xml:space="preserve"> of the city’s traditions, </w:t>
      </w:r>
      <w:r w:rsidR="009C7AF1">
        <w:rPr>
          <w:sz w:val="24"/>
          <w:szCs w:val="24"/>
        </w:rPr>
        <w:t>rights</w:t>
      </w:r>
      <w:r>
        <w:rPr>
          <w:sz w:val="24"/>
          <w:szCs w:val="24"/>
        </w:rPr>
        <w:t xml:space="preserve"> and privileges.</w:t>
      </w:r>
    </w:p>
    <w:p w:rsidR="007039DE" w:rsidRDefault="00D86111" w:rsidP="00D86111">
      <w:pPr>
        <w:tabs>
          <w:tab w:val="left" w:pos="3105"/>
        </w:tabs>
        <w:spacing w:after="0" w:line="480" w:lineRule="auto"/>
        <w:ind w:firstLine="720"/>
        <w:jc w:val="both"/>
        <w:rPr>
          <w:sz w:val="24"/>
          <w:szCs w:val="24"/>
        </w:rPr>
      </w:pPr>
      <w:r>
        <w:rPr>
          <w:sz w:val="24"/>
          <w:szCs w:val="24"/>
        </w:rPr>
        <w:tab/>
      </w:r>
    </w:p>
    <w:p w:rsidR="00FB76CA" w:rsidRDefault="00C63702" w:rsidP="00DB632E">
      <w:pPr>
        <w:spacing w:line="480" w:lineRule="auto"/>
        <w:jc w:val="center"/>
        <w:rPr>
          <w:sz w:val="24"/>
          <w:szCs w:val="24"/>
        </w:rPr>
      </w:pPr>
      <w:r>
        <w:rPr>
          <w:sz w:val="24"/>
          <w:szCs w:val="24"/>
        </w:rPr>
        <w:t>*****</w:t>
      </w:r>
    </w:p>
    <w:p w:rsidR="00AD6D75" w:rsidRDefault="00E756D7" w:rsidP="00722391">
      <w:pPr>
        <w:spacing w:line="480" w:lineRule="auto"/>
        <w:ind w:firstLine="720"/>
        <w:jc w:val="both"/>
        <w:rPr>
          <w:sz w:val="24"/>
          <w:szCs w:val="24"/>
        </w:rPr>
      </w:pPr>
      <w:r>
        <w:rPr>
          <w:sz w:val="24"/>
          <w:szCs w:val="24"/>
        </w:rPr>
        <w:t xml:space="preserve">After the crisis of the third century, legitimacy became a difficult quality to achieve and </w:t>
      </w:r>
      <w:r w:rsidR="0087599E">
        <w:rPr>
          <w:sz w:val="24"/>
          <w:szCs w:val="24"/>
        </w:rPr>
        <w:t>e</w:t>
      </w:r>
      <w:r w:rsidR="004A1254">
        <w:rPr>
          <w:sz w:val="24"/>
          <w:szCs w:val="24"/>
        </w:rPr>
        <w:t>mperor</w:t>
      </w:r>
      <w:r w:rsidR="008B44B0">
        <w:rPr>
          <w:sz w:val="24"/>
          <w:szCs w:val="24"/>
        </w:rPr>
        <w:t>s</w:t>
      </w:r>
      <w:r w:rsidR="0046134A">
        <w:rPr>
          <w:sz w:val="24"/>
          <w:szCs w:val="24"/>
        </w:rPr>
        <w:t xml:space="preserve"> </w:t>
      </w:r>
      <w:r>
        <w:rPr>
          <w:sz w:val="24"/>
          <w:szCs w:val="24"/>
        </w:rPr>
        <w:t>had to seek new methods of asserting their authority and order in order to avoid the mistakes of the past. Equally they could also not afford to alienate the support of those figures upon</w:t>
      </w:r>
      <w:r w:rsidR="00B6603F">
        <w:rPr>
          <w:sz w:val="24"/>
          <w:szCs w:val="24"/>
        </w:rPr>
        <w:t xml:space="preserve"> whom they would need to rely</w:t>
      </w:r>
      <w:r>
        <w:rPr>
          <w:sz w:val="24"/>
          <w:szCs w:val="24"/>
        </w:rPr>
        <w:t xml:space="preserve">. </w:t>
      </w:r>
      <w:r w:rsidR="00AD6D75">
        <w:rPr>
          <w:sz w:val="24"/>
          <w:szCs w:val="24"/>
        </w:rPr>
        <w:t>As the third century came to</w:t>
      </w:r>
      <w:r w:rsidR="00B6603F">
        <w:rPr>
          <w:sz w:val="24"/>
          <w:szCs w:val="24"/>
        </w:rPr>
        <w:t xml:space="preserve"> a</w:t>
      </w:r>
      <w:r w:rsidR="00AD6D75">
        <w:rPr>
          <w:sz w:val="24"/>
          <w:szCs w:val="24"/>
        </w:rPr>
        <w:t xml:space="preserve"> close and the more bureaucratic and militaristic government of Diocletian’s Tetrarchy developed, it suited the Empire’s administration to depict itself as possessing a unified and coherent </w:t>
      </w:r>
      <w:r w:rsidR="00AD6D75">
        <w:rPr>
          <w:sz w:val="24"/>
          <w:szCs w:val="24"/>
        </w:rPr>
        <w:lastRenderedPageBreak/>
        <w:t xml:space="preserve">hierarchy even as </w:t>
      </w:r>
      <w:r w:rsidR="0087599E">
        <w:rPr>
          <w:sz w:val="24"/>
          <w:szCs w:val="24"/>
        </w:rPr>
        <w:t>emperors</w:t>
      </w:r>
      <w:r w:rsidR="00AD6D75">
        <w:rPr>
          <w:sz w:val="24"/>
          <w:szCs w:val="24"/>
        </w:rPr>
        <w:t xml:space="preserve"> constantly changed</w:t>
      </w:r>
      <w:r>
        <w:rPr>
          <w:sz w:val="24"/>
          <w:szCs w:val="24"/>
        </w:rPr>
        <w:t>.</w:t>
      </w:r>
      <w:r w:rsidR="00AD6D75">
        <w:rPr>
          <w:sz w:val="24"/>
          <w:szCs w:val="24"/>
        </w:rPr>
        <w:t xml:space="preserve"> This</w:t>
      </w:r>
      <w:r>
        <w:rPr>
          <w:sz w:val="24"/>
          <w:szCs w:val="24"/>
        </w:rPr>
        <w:t xml:space="preserve"> meant that it could continue to radiate the appearance of stre</w:t>
      </w:r>
      <w:r w:rsidR="00B83FCF">
        <w:rPr>
          <w:sz w:val="24"/>
          <w:szCs w:val="24"/>
        </w:rPr>
        <w:t>ngth and power, even if it did no</w:t>
      </w:r>
      <w:r>
        <w:rPr>
          <w:sz w:val="24"/>
          <w:szCs w:val="24"/>
        </w:rPr>
        <w:t xml:space="preserve">t possess it. </w:t>
      </w:r>
    </w:p>
    <w:p w:rsidR="00AF3C7C" w:rsidRPr="00573388" w:rsidRDefault="00E756D7" w:rsidP="00573388">
      <w:pPr>
        <w:spacing w:line="480" w:lineRule="auto"/>
        <w:ind w:firstLine="720"/>
        <w:jc w:val="both"/>
        <w:rPr>
          <w:sz w:val="24"/>
          <w:szCs w:val="24"/>
        </w:rPr>
        <w:sectPr w:rsidR="00AF3C7C" w:rsidRPr="00573388">
          <w:footerReference w:type="default" r:id="rId16"/>
          <w:pgSz w:w="11906" w:h="16838"/>
          <w:pgMar w:top="1440" w:right="1440" w:bottom="1440" w:left="1440" w:header="708" w:footer="708" w:gutter="0"/>
          <w:cols w:space="708"/>
          <w:docGrid w:linePitch="360"/>
        </w:sectPr>
      </w:pPr>
      <w:r>
        <w:rPr>
          <w:sz w:val="24"/>
          <w:szCs w:val="24"/>
        </w:rPr>
        <w:t xml:space="preserve">Cartographical and topographical depictions of the administration ensured that all attention (and fear) was directed towards the top of the hierarchies. Even if not blatantly depicted in documents, the subtle reminder in the cartographical and topographical documents like the </w:t>
      </w:r>
      <w:r>
        <w:rPr>
          <w:i/>
          <w:sz w:val="24"/>
          <w:szCs w:val="24"/>
        </w:rPr>
        <w:t xml:space="preserve">Regionary Catalogues </w:t>
      </w:r>
      <w:r>
        <w:rPr>
          <w:sz w:val="24"/>
          <w:szCs w:val="24"/>
        </w:rPr>
        <w:t xml:space="preserve">and the </w:t>
      </w:r>
      <w:r>
        <w:rPr>
          <w:i/>
          <w:sz w:val="24"/>
          <w:szCs w:val="24"/>
        </w:rPr>
        <w:t>Notitia Dignitatum</w:t>
      </w:r>
      <w:r>
        <w:rPr>
          <w:sz w:val="24"/>
          <w:szCs w:val="24"/>
        </w:rPr>
        <w:t xml:space="preserve"> is that there was an </w:t>
      </w:r>
      <w:r w:rsidR="0087599E">
        <w:rPr>
          <w:sz w:val="24"/>
          <w:szCs w:val="24"/>
        </w:rPr>
        <w:t>e</w:t>
      </w:r>
      <w:r w:rsidR="008B44B0">
        <w:rPr>
          <w:sz w:val="24"/>
          <w:szCs w:val="24"/>
        </w:rPr>
        <w:t>mperor</w:t>
      </w:r>
      <w:r>
        <w:rPr>
          <w:sz w:val="24"/>
          <w:szCs w:val="24"/>
        </w:rPr>
        <w:t xml:space="preserve"> a</w:t>
      </w:r>
      <w:r w:rsidR="00B6603F">
        <w:rPr>
          <w:sz w:val="24"/>
          <w:szCs w:val="24"/>
        </w:rPr>
        <w:t>t the pinnacle of the hierarchy:</w:t>
      </w:r>
      <w:r>
        <w:rPr>
          <w:sz w:val="24"/>
          <w:szCs w:val="24"/>
        </w:rPr>
        <w:t xml:space="preserve"> One who had the </w:t>
      </w:r>
      <w:r w:rsidR="00573388">
        <w:rPr>
          <w:sz w:val="24"/>
          <w:szCs w:val="24"/>
        </w:rPr>
        <w:t>strength and resources to rule.</w:t>
      </w:r>
    </w:p>
    <w:p w:rsidR="0081093D" w:rsidRDefault="001512AA" w:rsidP="00573388">
      <w:pPr>
        <w:jc w:val="center"/>
        <w:rPr>
          <w:sz w:val="48"/>
          <w:szCs w:val="48"/>
          <w:u w:val="single"/>
        </w:rPr>
      </w:pPr>
      <w:r w:rsidRPr="0040314F">
        <w:rPr>
          <w:noProof/>
          <w:sz w:val="48"/>
          <w:szCs w:val="48"/>
          <w:lang w:eastAsia="en-GB"/>
        </w:rPr>
        <w:lastRenderedPageBreak/>
        <w:drawing>
          <wp:anchor distT="0" distB="0" distL="114300" distR="114300" simplePos="0" relativeHeight="251669504" behindDoc="1" locked="0" layoutInCell="1" allowOverlap="1" wp14:anchorId="2BECE89E" wp14:editId="3AA4C4AC">
            <wp:simplePos x="0" y="0"/>
            <wp:positionH relativeFrom="column">
              <wp:posOffset>62865</wp:posOffset>
            </wp:positionH>
            <wp:positionV relativeFrom="paragraph">
              <wp:posOffset>929640</wp:posOffset>
            </wp:positionV>
            <wp:extent cx="5643880" cy="7819390"/>
            <wp:effectExtent l="0" t="0" r="0" b="0"/>
            <wp:wrapTight wrapText="bothSides">
              <wp:wrapPolygon edited="0">
                <wp:start x="0" y="0"/>
                <wp:lineTo x="0" y="21523"/>
                <wp:lineTo x="21508" y="21523"/>
                <wp:lineTo x="21508" y="0"/>
                <wp:lineTo x="0" y="0"/>
              </wp:wrapPolygon>
            </wp:wrapTight>
            <wp:docPr id="1" name="Picture 1" descr="http://s3.amazonaws.com/trippy-media/4f55191fe4b0d9b2c68ecfbb_p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trippy-media/4f55191fe4b0d9b2c68ecfbb_pm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3880" cy="781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93D" w:rsidRPr="001512AA">
        <w:rPr>
          <w:sz w:val="48"/>
          <w:szCs w:val="48"/>
          <w:u w:val="single"/>
        </w:rPr>
        <w:t>Conclusion: “Musing amidst the ruins of the Capitol”:</w:t>
      </w:r>
    </w:p>
    <w:p w:rsidR="001512AA" w:rsidRPr="001512AA" w:rsidRDefault="001512AA" w:rsidP="00573388">
      <w:pPr>
        <w:jc w:val="center"/>
        <w:rPr>
          <w:sz w:val="48"/>
          <w:szCs w:val="48"/>
        </w:rPr>
      </w:pPr>
    </w:p>
    <w:p w:rsidR="0081093D" w:rsidRPr="00A8663C" w:rsidRDefault="0081093D" w:rsidP="00722391">
      <w:pPr>
        <w:jc w:val="both"/>
        <w:rPr>
          <w:sz w:val="24"/>
          <w:szCs w:val="24"/>
          <w:u w:val="single"/>
        </w:rPr>
      </w:pPr>
    </w:p>
    <w:p w:rsidR="0081093D" w:rsidRPr="0029315E" w:rsidRDefault="0081093D" w:rsidP="00722391">
      <w:pPr>
        <w:spacing w:line="480" w:lineRule="auto"/>
        <w:jc w:val="both"/>
        <w:rPr>
          <w:sz w:val="24"/>
          <w:szCs w:val="24"/>
        </w:rPr>
      </w:pPr>
      <w:r w:rsidRPr="00A8663C">
        <w:rPr>
          <w:sz w:val="24"/>
          <w:szCs w:val="24"/>
        </w:rPr>
        <w:t xml:space="preserve">When reading the </w:t>
      </w:r>
      <w:r w:rsidRPr="00A8663C">
        <w:rPr>
          <w:i/>
          <w:sz w:val="24"/>
          <w:szCs w:val="24"/>
        </w:rPr>
        <w:t>Regionary Catalogues</w:t>
      </w:r>
      <w:r w:rsidRPr="00A8663C">
        <w:rPr>
          <w:sz w:val="24"/>
          <w:szCs w:val="24"/>
        </w:rPr>
        <w:t xml:space="preserve"> one is reminded of Gibbon’s inspiration for the </w:t>
      </w:r>
      <w:r w:rsidR="00AE5718">
        <w:rPr>
          <w:i/>
          <w:sz w:val="24"/>
          <w:szCs w:val="24"/>
        </w:rPr>
        <w:t xml:space="preserve">Decline and Fall of the Empire </w:t>
      </w:r>
      <w:r w:rsidR="00AE5718" w:rsidRPr="00AE5718">
        <w:rPr>
          <w:sz w:val="24"/>
          <w:szCs w:val="24"/>
        </w:rPr>
        <w:t>and</w:t>
      </w:r>
      <w:r w:rsidR="00AE5718">
        <w:rPr>
          <w:sz w:val="24"/>
          <w:szCs w:val="24"/>
        </w:rPr>
        <w:t xml:space="preserve"> h</w:t>
      </w:r>
      <w:r w:rsidR="001D2CE1">
        <w:rPr>
          <w:sz w:val="24"/>
          <w:szCs w:val="24"/>
        </w:rPr>
        <w:t>ow</w:t>
      </w:r>
      <w:r w:rsidRPr="00A8663C">
        <w:rPr>
          <w:sz w:val="24"/>
          <w:szCs w:val="24"/>
        </w:rPr>
        <w:t xml:space="preserve"> he sat, ‘musing amidst the ruins of the Capitol… [</w:t>
      </w:r>
      <w:proofErr w:type="gramStart"/>
      <w:r w:rsidRPr="00A8663C">
        <w:rPr>
          <w:sz w:val="24"/>
          <w:szCs w:val="24"/>
        </w:rPr>
        <w:t>and</w:t>
      </w:r>
      <w:proofErr w:type="gramEnd"/>
      <w:r w:rsidRPr="00A8663C">
        <w:rPr>
          <w:sz w:val="24"/>
          <w:szCs w:val="24"/>
        </w:rPr>
        <w:t>] the idea of writing the decline and fall of the city first started to my</w:t>
      </w:r>
      <w:r w:rsidR="001D2CE1">
        <w:rPr>
          <w:sz w:val="24"/>
          <w:szCs w:val="24"/>
        </w:rPr>
        <w:t xml:space="preserve"> mind</w:t>
      </w:r>
      <w:r w:rsidRPr="00A8663C">
        <w:rPr>
          <w:sz w:val="24"/>
          <w:szCs w:val="24"/>
        </w:rPr>
        <w:t>.’</w:t>
      </w:r>
      <w:r w:rsidRPr="00A8663C">
        <w:rPr>
          <w:rStyle w:val="FootnoteReference"/>
          <w:sz w:val="24"/>
          <w:szCs w:val="24"/>
        </w:rPr>
        <w:footnoteReference w:id="435"/>
      </w:r>
      <w:r w:rsidRPr="00A8663C">
        <w:rPr>
          <w:sz w:val="24"/>
          <w:szCs w:val="24"/>
        </w:rPr>
        <w:t xml:space="preserve"> Few documents give us such a snapshot of the Eternal City before the slow decline into</w:t>
      </w:r>
      <w:r w:rsidR="001D2CE1">
        <w:rPr>
          <w:sz w:val="24"/>
          <w:szCs w:val="24"/>
        </w:rPr>
        <w:t xml:space="preserve"> its</w:t>
      </w:r>
      <w:r w:rsidRPr="00A8663C">
        <w:rPr>
          <w:sz w:val="24"/>
          <w:szCs w:val="24"/>
        </w:rPr>
        <w:t xml:space="preserve"> relative obscurity of the fifth and sixth centuries, </w:t>
      </w:r>
      <w:r w:rsidR="001D2CE1">
        <w:rPr>
          <w:sz w:val="24"/>
          <w:szCs w:val="24"/>
        </w:rPr>
        <w:t xml:space="preserve">giving us </w:t>
      </w:r>
      <w:r w:rsidRPr="00A8663C">
        <w:rPr>
          <w:sz w:val="24"/>
          <w:szCs w:val="24"/>
        </w:rPr>
        <w:t xml:space="preserve">the Rome of the Caesars rather than the Rome of the Catholic Church. </w:t>
      </w:r>
      <w:r>
        <w:rPr>
          <w:sz w:val="24"/>
          <w:szCs w:val="24"/>
        </w:rPr>
        <w:t>They have provided much of the basis for our understanding of the topography of ancient Rome. Until the 19</w:t>
      </w:r>
      <w:r w:rsidRPr="006A4245">
        <w:rPr>
          <w:sz w:val="24"/>
          <w:szCs w:val="24"/>
          <w:vertAlign w:val="superscript"/>
        </w:rPr>
        <w:t>th</w:t>
      </w:r>
      <w:r>
        <w:rPr>
          <w:sz w:val="24"/>
          <w:szCs w:val="24"/>
        </w:rPr>
        <w:t xml:space="preserve"> Century they were generally held to delineate the boundaries of the 14 Augustan Regions. Their eclectic collection of seemingly administrative information such as the number of cisterns, olive oil shops and state brothels</w:t>
      </w:r>
      <w:r w:rsidR="00B6603F">
        <w:rPr>
          <w:sz w:val="24"/>
          <w:szCs w:val="24"/>
        </w:rPr>
        <w:t>, together</w:t>
      </w:r>
      <w:r>
        <w:rPr>
          <w:sz w:val="24"/>
          <w:szCs w:val="24"/>
        </w:rPr>
        <w:t xml:space="preserve"> with the grand </w:t>
      </w:r>
      <w:r w:rsidR="008B44B0">
        <w:rPr>
          <w:sz w:val="24"/>
          <w:szCs w:val="24"/>
        </w:rPr>
        <w:t>imperial</w:t>
      </w:r>
      <w:r>
        <w:rPr>
          <w:sz w:val="24"/>
          <w:szCs w:val="24"/>
        </w:rPr>
        <w:t xml:space="preserve"> monuments and </w:t>
      </w:r>
      <w:r w:rsidR="00B6603F">
        <w:rPr>
          <w:i/>
          <w:sz w:val="24"/>
          <w:szCs w:val="24"/>
        </w:rPr>
        <w:t>fora,</w:t>
      </w:r>
      <w:r>
        <w:rPr>
          <w:sz w:val="24"/>
          <w:szCs w:val="24"/>
        </w:rPr>
        <w:t xml:space="preserve"> has meant </w:t>
      </w:r>
      <w:r w:rsidR="00B6603F">
        <w:rPr>
          <w:sz w:val="24"/>
          <w:szCs w:val="24"/>
        </w:rPr>
        <w:t xml:space="preserve">that </w:t>
      </w:r>
      <w:r>
        <w:rPr>
          <w:sz w:val="24"/>
          <w:szCs w:val="24"/>
        </w:rPr>
        <w:t xml:space="preserve">the limited research into the </w:t>
      </w:r>
      <w:r>
        <w:rPr>
          <w:i/>
          <w:sz w:val="24"/>
          <w:szCs w:val="24"/>
        </w:rPr>
        <w:t>Regionaries</w:t>
      </w:r>
      <w:r>
        <w:rPr>
          <w:sz w:val="24"/>
          <w:szCs w:val="24"/>
        </w:rPr>
        <w:t xml:space="preserve"> has drawn few conclusions about its nature. This gap in the research has meant that the </w:t>
      </w:r>
      <w:r>
        <w:rPr>
          <w:i/>
          <w:sz w:val="24"/>
          <w:szCs w:val="24"/>
        </w:rPr>
        <w:t>Regionaries</w:t>
      </w:r>
      <w:r>
        <w:rPr>
          <w:sz w:val="24"/>
          <w:szCs w:val="24"/>
        </w:rPr>
        <w:t xml:space="preserve"> have had to </w:t>
      </w:r>
      <w:r w:rsidR="002F29BA">
        <w:rPr>
          <w:sz w:val="24"/>
          <w:szCs w:val="24"/>
        </w:rPr>
        <w:t>be</w:t>
      </w:r>
      <w:r>
        <w:rPr>
          <w:sz w:val="24"/>
          <w:szCs w:val="24"/>
        </w:rPr>
        <w:t xml:space="preserve"> treated as either an administrative document or a </w:t>
      </w:r>
      <w:r w:rsidR="0087599E">
        <w:rPr>
          <w:sz w:val="24"/>
          <w:szCs w:val="24"/>
        </w:rPr>
        <w:t>se</w:t>
      </w:r>
      <w:r w:rsidR="008B44B0">
        <w:rPr>
          <w:sz w:val="24"/>
          <w:szCs w:val="24"/>
        </w:rPr>
        <w:t>natorial</w:t>
      </w:r>
      <w:r>
        <w:rPr>
          <w:sz w:val="24"/>
          <w:szCs w:val="24"/>
        </w:rPr>
        <w:t xml:space="preserve"> panegyric. What my research questions have attempted to do is synthesise a new approach that recognises the complexity of the Roman administration whilst also acknowledging its limitations. </w:t>
      </w:r>
    </w:p>
    <w:p w:rsidR="0081093D" w:rsidRPr="00A8663C" w:rsidRDefault="0081093D" w:rsidP="00722391">
      <w:pPr>
        <w:spacing w:line="480" w:lineRule="auto"/>
        <w:ind w:firstLine="720"/>
        <w:jc w:val="both"/>
        <w:rPr>
          <w:sz w:val="24"/>
          <w:szCs w:val="24"/>
        </w:rPr>
      </w:pPr>
      <w:r w:rsidRPr="00A8663C">
        <w:rPr>
          <w:sz w:val="24"/>
          <w:szCs w:val="24"/>
        </w:rPr>
        <w:t xml:space="preserve">The easiest question to answer was what the Regionary Catalogues can tell us about Roman Government. The key to answering this lay not in trying to make sense of what practical data the </w:t>
      </w:r>
      <w:r w:rsidRPr="00A8663C">
        <w:rPr>
          <w:i/>
          <w:sz w:val="24"/>
          <w:szCs w:val="24"/>
        </w:rPr>
        <w:t>Regionaries</w:t>
      </w:r>
      <w:r w:rsidRPr="00A8663C">
        <w:rPr>
          <w:sz w:val="24"/>
          <w:szCs w:val="24"/>
        </w:rPr>
        <w:t xml:space="preserve"> could tell us</w:t>
      </w:r>
      <w:r w:rsidR="002F29BA">
        <w:rPr>
          <w:sz w:val="24"/>
          <w:szCs w:val="24"/>
        </w:rPr>
        <w:t xml:space="preserve"> about the urban administration;</w:t>
      </w:r>
      <w:r w:rsidRPr="00A8663C">
        <w:rPr>
          <w:sz w:val="24"/>
          <w:szCs w:val="24"/>
        </w:rPr>
        <w:t xml:space="preserve"> the previous historiography of the </w:t>
      </w:r>
      <w:r w:rsidRPr="00A8663C">
        <w:rPr>
          <w:i/>
          <w:sz w:val="24"/>
          <w:szCs w:val="24"/>
        </w:rPr>
        <w:t>Regionaries</w:t>
      </w:r>
      <w:r w:rsidRPr="00A8663C">
        <w:rPr>
          <w:sz w:val="24"/>
          <w:szCs w:val="24"/>
        </w:rPr>
        <w:t xml:space="preserve"> has made it c</w:t>
      </w:r>
      <w:r w:rsidR="00B6603F">
        <w:rPr>
          <w:sz w:val="24"/>
          <w:szCs w:val="24"/>
        </w:rPr>
        <w:t>lear that that is a fool’s errand</w:t>
      </w:r>
      <w:r w:rsidRPr="00A8663C">
        <w:rPr>
          <w:sz w:val="24"/>
          <w:szCs w:val="24"/>
        </w:rPr>
        <w:t>. Ra</w:t>
      </w:r>
      <w:r w:rsidR="00B6603F">
        <w:rPr>
          <w:sz w:val="24"/>
          <w:szCs w:val="24"/>
        </w:rPr>
        <w:t xml:space="preserve">ther than engaging in </w:t>
      </w:r>
      <w:r w:rsidRPr="00A8663C">
        <w:rPr>
          <w:sz w:val="24"/>
          <w:szCs w:val="24"/>
        </w:rPr>
        <w:t xml:space="preserve">“linguistic gymnastics” and trying to force the </w:t>
      </w:r>
      <w:r w:rsidR="00B6603F">
        <w:rPr>
          <w:i/>
          <w:sz w:val="24"/>
          <w:szCs w:val="24"/>
        </w:rPr>
        <w:t xml:space="preserve">Regionaries’ </w:t>
      </w:r>
      <w:r w:rsidRPr="00A8663C">
        <w:rPr>
          <w:sz w:val="24"/>
          <w:szCs w:val="24"/>
        </w:rPr>
        <w:t xml:space="preserve">data to make sense </w:t>
      </w:r>
      <w:r w:rsidRPr="00A8663C">
        <w:rPr>
          <w:sz w:val="24"/>
          <w:szCs w:val="24"/>
        </w:rPr>
        <w:lastRenderedPageBreak/>
        <w:t xml:space="preserve">to our modern perspectives of administrative usefulness, we need to understand </w:t>
      </w:r>
      <w:r w:rsidR="002F29BA">
        <w:rPr>
          <w:sz w:val="24"/>
          <w:szCs w:val="24"/>
        </w:rPr>
        <w:t>the</w:t>
      </w:r>
      <w:r w:rsidRPr="00A8663C">
        <w:rPr>
          <w:sz w:val="24"/>
          <w:szCs w:val="24"/>
        </w:rPr>
        <w:t xml:space="preserve"> rather obvious truth that the Roman administration functioned along very different lines.</w:t>
      </w:r>
      <w:r w:rsidR="00CB0D3E" w:rsidRPr="00A8663C">
        <w:rPr>
          <w:sz w:val="24"/>
          <w:szCs w:val="24"/>
        </w:rPr>
        <w:t xml:space="preserve"> </w:t>
      </w:r>
      <w:r w:rsidR="00B6603F">
        <w:rPr>
          <w:sz w:val="24"/>
          <w:szCs w:val="24"/>
        </w:rPr>
        <w:t>Gibbon had already recognised</w:t>
      </w:r>
      <w:r w:rsidRPr="00A8663C">
        <w:rPr>
          <w:sz w:val="24"/>
          <w:szCs w:val="24"/>
        </w:rPr>
        <w:t xml:space="preserve"> that studying particular organs and aspects of government can illuminate the Empire’s governmental and social practices, as well as the dominant ideology. Therefore</w:t>
      </w:r>
      <w:r w:rsidR="002F29BA">
        <w:rPr>
          <w:sz w:val="24"/>
          <w:szCs w:val="24"/>
        </w:rPr>
        <w:t>,</w:t>
      </w:r>
      <w:r w:rsidRPr="00A8663C">
        <w:rPr>
          <w:sz w:val="24"/>
          <w:szCs w:val="24"/>
        </w:rPr>
        <w:t xml:space="preserve"> in order to explore the </w:t>
      </w:r>
      <w:r w:rsidRPr="00A8663C">
        <w:rPr>
          <w:i/>
          <w:sz w:val="24"/>
          <w:szCs w:val="24"/>
        </w:rPr>
        <w:t>Regionaries</w:t>
      </w:r>
      <w:r w:rsidR="00B6603F">
        <w:rPr>
          <w:i/>
          <w:sz w:val="24"/>
          <w:szCs w:val="24"/>
        </w:rPr>
        <w:t>’</w:t>
      </w:r>
      <w:r w:rsidRPr="00A8663C">
        <w:rPr>
          <w:sz w:val="24"/>
          <w:szCs w:val="24"/>
        </w:rPr>
        <w:t xml:space="preserve"> possible administrative use, we should instead focus on how the Romans conceived of their administration. </w:t>
      </w:r>
    </w:p>
    <w:p w:rsidR="0081093D" w:rsidRPr="00A8663C" w:rsidRDefault="0081093D" w:rsidP="00722391">
      <w:pPr>
        <w:spacing w:line="480" w:lineRule="auto"/>
        <w:ind w:firstLine="720"/>
        <w:jc w:val="both"/>
        <w:rPr>
          <w:sz w:val="24"/>
          <w:szCs w:val="24"/>
        </w:rPr>
      </w:pPr>
      <w:r w:rsidRPr="00A8663C">
        <w:rPr>
          <w:sz w:val="24"/>
          <w:szCs w:val="24"/>
        </w:rPr>
        <w:t>In order to do this</w:t>
      </w:r>
      <w:r w:rsidR="002F29BA">
        <w:rPr>
          <w:sz w:val="24"/>
          <w:szCs w:val="24"/>
        </w:rPr>
        <w:t>,</w:t>
      </w:r>
      <w:r w:rsidRPr="00A8663C">
        <w:rPr>
          <w:sz w:val="24"/>
          <w:szCs w:val="24"/>
        </w:rPr>
        <w:t xml:space="preserve"> I have synthesised a new approach from the work of Clifford Ando and Jon Lendon. Both historians have posited that the Roman </w:t>
      </w:r>
      <w:r w:rsidR="00AE5718">
        <w:rPr>
          <w:sz w:val="24"/>
          <w:szCs w:val="24"/>
        </w:rPr>
        <w:t>i</w:t>
      </w:r>
      <w:r w:rsidR="008B44B0">
        <w:rPr>
          <w:sz w:val="24"/>
          <w:szCs w:val="24"/>
        </w:rPr>
        <w:t>mperial</w:t>
      </w:r>
      <w:r w:rsidRPr="00A8663C">
        <w:rPr>
          <w:sz w:val="24"/>
          <w:szCs w:val="24"/>
        </w:rPr>
        <w:t xml:space="preserve"> government had a unique method of ensuring compliance with its wishes. Ando’s work argued that the administration’s reach and ability was extensive</w:t>
      </w:r>
      <w:r w:rsidR="00B6603F">
        <w:rPr>
          <w:sz w:val="24"/>
          <w:szCs w:val="24"/>
        </w:rPr>
        <w:t>,</w:t>
      </w:r>
      <w:r w:rsidRPr="00A8663C">
        <w:rPr>
          <w:sz w:val="24"/>
          <w:szCs w:val="24"/>
        </w:rPr>
        <w:t xml:space="preserve"> as evidenced by our large surviving corpus of law codes and inscriptions throughout the Empire that were concerned with the government. As such</w:t>
      </w:r>
      <w:r w:rsidR="00B6603F">
        <w:rPr>
          <w:sz w:val="24"/>
          <w:szCs w:val="24"/>
        </w:rPr>
        <w:t>,</w:t>
      </w:r>
      <w:r w:rsidRPr="00A8663C">
        <w:rPr>
          <w:sz w:val="24"/>
          <w:szCs w:val="24"/>
        </w:rPr>
        <w:t xml:space="preserve"> the central government was able to compel obedience to its wishes because it had so deeply inserted itself into its citizens’ lives that it conditioned their mental geography. The bureaucratic laws and standard</w:t>
      </w:r>
      <w:r w:rsidR="001D2CE1">
        <w:rPr>
          <w:sz w:val="24"/>
          <w:szCs w:val="24"/>
        </w:rPr>
        <w:t>s were</w:t>
      </w:r>
      <w:r w:rsidRPr="00A8663C">
        <w:rPr>
          <w:sz w:val="24"/>
          <w:szCs w:val="24"/>
        </w:rPr>
        <w:t xml:space="preserve"> therefore</w:t>
      </w:r>
      <w:r w:rsidR="001D2CE1">
        <w:rPr>
          <w:sz w:val="24"/>
          <w:szCs w:val="24"/>
        </w:rPr>
        <w:t xml:space="preserve"> something</w:t>
      </w:r>
      <w:r w:rsidRPr="00A8663C">
        <w:rPr>
          <w:sz w:val="24"/>
          <w:szCs w:val="24"/>
        </w:rPr>
        <w:t xml:space="preserve"> that every Roman subject could operate and engage with. Lendon pursu</w:t>
      </w:r>
      <w:r w:rsidR="001D2CE1">
        <w:rPr>
          <w:sz w:val="24"/>
          <w:szCs w:val="24"/>
        </w:rPr>
        <w:t>ed a similar line of inquiry but</w:t>
      </w:r>
      <w:r w:rsidRPr="00A8663C">
        <w:rPr>
          <w:sz w:val="24"/>
          <w:szCs w:val="24"/>
        </w:rPr>
        <w:t xml:space="preserve"> instead</w:t>
      </w:r>
      <w:r w:rsidR="002F29BA">
        <w:rPr>
          <w:sz w:val="24"/>
          <w:szCs w:val="24"/>
        </w:rPr>
        <w:t xml:space="preserve"> focused on the</w:t>
      </w:r>
      <w:r w:rsidRPr="00A8663C">
        <w:rPr>
          <w:sz w:val="24"/>
          <w:szCs w:val="24"/>
        </w:rPr>
        <w:t xml:space="preserve"> mental geography</w:t>
      </w:r>
      <w:r w:rsidR="002F29BA">
        <w:rPr>
          <w:sz w:val="24"/>
          <w:szCs w:val="24"/>
        </w:rPr>
        <w:t xml:space="preserve"> that</w:t>
      </w:r>
      <w:r w:rsidRPr="00A8663C">
        <w:rPr>
          <w:sz w:val="24"/>
          <w:szCs w:val="24"/>
        </w:rPr>
        <w:t xml:space="preserve"> the Empi</w:t>
      </w:r>
      <w:r w:rsidR="001D2CE1">
        <w:rPr>
          <w:sz w:val="24"/>
          <w:szCs w:val="24"/>
        </w:rPr>
        <w:t>re used to compel obedience. W</w:t>
      </w:r>
      <w:r w:rsidRPr="00A8663C">
        <w:rPr>
          <w:sz w:val="24"/>
          <w:szCs w:val="24"/>
        </w:rPr>
        <w:t xml:space="preserve">hereas Ando had argued that the Empire possessed a complex administrative bureaucracy to enforce its will, Lendon argued that the Empire fostered a mutual aristocratic culture that </w:t>
      </w:r>
      <w:r w:rsidR="002F29BA">
        <w:rPr>
          <w:sz w:val="24"/>
          <w:szCs w:val="24"/>
        </w:rPr>
        <w:t>consisted</w:t>
      </w:r>
      <w:r w:rsidRPr="00A8663C">
        <w:rPr>
          <w:sz w:val="24"/>
          <w:szCs w:val="24"/>
        </w:rPr>
        <w:t xml:space="preserve"> of a mutual respect for honour and the traditional, “proper” way of doing things. Because of these shared values, the </w:t>
      </w:r>
      <w:r w:rsidR="00AE5718">
        <w:rPr>
          <w:sz w:val="24"/>
          <w:szCs w:val="24"/>
        </w:rPr>
        <w:t>i</w:t>
      </w:r>
      <w:r w:rsidR="008B44B0">
        <w:rPr>
          <w:sz w:val="24"/>
          <w:szCs w:val="24"/>
        </w:rPr>
        <w:t>mperial</w:t>
      </w:r>
      <w:r w:rsidRPr="00A8663C">
        <w:rPr>
          <w:sz w:val="24"/>
          <w:szCs w:val="24"/>
        </w:rPr>
        <w:t xml:space="preserve"> administration had a system that could compel administrators to act properly and in accordance with the </w:t>
      </w:r>
      <w:r w:rsidR="00AE5718">
        <w:rPr>
          <w:sz w:val="24"/>
          <w:szCs w:val="24"/>
        </w:rPr>
        <w:t>i</w:t>
      </w:r>
      <w:r w:rsidR="008B44B0">
        <w:rPr>
          <w:sz w:val="24"/>
          <w:szCs w:val="24"/>
        </w:rPr>
        <w:t>mperial</w:t>
      </w:r>
      <w:r w:rsidRPr="00A8663C">
        <w:rPr>
          <w:sz w:val="24"/>
          <w:szCs w:val="24"/>
        </w:rPr>
        <w:t xml:space="preserve"> will out</w:t>
      </w:r>
      <w:r w:rsidR="002F29BA">
        <w:rPr>
          <w:sz w:val="24"/>
          <w:szCs w:val="24"/>
        </w:rPr>
        <w:t xml:space="preserve"> of</w:t>
      </w:r>
      <w:r w:rsidRPr="00A8663C">
        <w:rPr>
          <w:sz w:val="24"/>
          <w:szCs w:val="24"/>
        </w:rPr>
        <w:t xml:space="preserve"> a desire for honour and a fear of censure by their social equals.</w:t>
      </w:r>
      <w:r w:rsidR="00CB0D3E" w:rsidRPr="00A8663C">
        <w:rPr>
          <w:sz w:val="24"/>
          <w:szCs w:val="24"/>
        </w:rPr>
        <w:t xml:space="preserve"> </w:t>
      </w:r>
      <w:r w:rsidRPr="00A8663C">
        <w:rPr>
          <w:sz w:val="24"/>
          <w:szCs w:val="24"/>
        </w:rPr>
        <w:t xml:space="preserve">I combined elements from both these methodologies to create a new vision of the Roman administration. It is obvious that Roman </w:t>
      </w:r>
      <w:r w:rsidRPr="00A8663C">
        <w:rPr>
          <w:sz w:val="24"/>
          <w:szCs w:val="24"/>
        </w:rPr>
        <w:lastRenderedPageBreak/>
        <w:t>government must be, by virtue of the restrictions of technologies, amateurish and limited. Therefore</w:t>
      </w:r>
      <w:r w:rsidR="002F29BA">
        <w:rPr>
          <w:sz w:val="24"/>
          <w:szCs w:val="24"/>
        </w:rPr>
        <w:t>,</w:t>
      </w:r>
      <w:r w:rsidR="00A72FE2">
        <w:rPr>
          <w:sz w:val="24"/>
          <w:szCs w:val="24"/>
        </w:rPr>
        <w:t xml:space="preserve"> we must look to how a</w:t>
      </w:r>
      <w:r w:rsidRPr="00A8663C">
        <w:rPr>
          <w:sz w:val="24"/>
          <w:szCs w:val="24"/>
        </w:rPr>
        <w:t xml:space="preserve"> culture that</w:t>
      </w:r>
      <w:r w:rsidR="00A72FE2">
        <w:rPr>
          <w:sz w:val="24"/>
          <w:szCs w:val="24"/>
        </w:rPr>
        <w:t xml:space="preserve"> mutually</w:t>
      </w:r>
      <w:r w:rsidRPr="00A8663C">
        <w:rPr>
          <w:sz w:val="24"/>
          <w:szCs w:val="24"/>
        </w:rPr>
        <w:t xml:space="preserve"> values tradition, history and glory was used to construct a socio-political hierarchy that would ensure a reasonable form of administrativ</w:t>
      </w:r>
      <w:r w:rsidR="005D19C6">
        <w:rPr>
          <w:sz w:val="24"/>
          <w:szCs w:val="24"/>
        </w:rPr>
        <w:t>e effectiveness. My new approach</w:t>
      </w:r>
      <w:r w:rsidRPr="00A8663C">
        <w:rPr>
          <w:sz w:val="24"/>
          <w:szCs w:val="24"/>
        </w:rPr>
        <w:t xml:space="preserve"> means that</w:t>
      </w:r>
      <w:r w:rsidR="002F29BA">
        <w:rPr>
          <w:sz w:val="24"/>
          <w:szCs w:val="24"/>
        </w:rPr>
        <w:t>,</w:t>
      </w:r>
      <w:r w:rsidRPr="00A8663C">
        <w:rPr>
          <w:sz w:val="24"/>
          <w:szCs w:val="24"/>
        </w:rPr>
        <w:t xml:space="preserve"> in order to have the authority necessary to govern</w:t>
      </w:r>
      <w:r w:rsidR="00B6603F">
        <w:rPr>
          <w:sz w:val="24"/>
          <w:szCs w:val="24"/>
        </w:rPr>
        <w:t>,</w:t>
      </w:r>
      <w:r w:rsidRPr="00A8663C">
        <w:rPr>
          <w:sz w:val="24"/>
          <w:szCs w:val="24"/>
        </w:rPr>
        <w:t xml:space="preserve"> an administrator needed to demonstrate a respect for the traditional values </w:t>
      </w:r>
      <w:r w:rsidR="002F29BA">
        <w:rPr>
          <w:sz w:val="24"/>
          <w:szCs w:val="24"/>
        </w:rPr>
        <w:t>so as</w:t>
      </w:r>
      <w:r w:rsidRPr="00A8663C">
        <w:rPr>
          <w:sz w:val="24"/>
          <w:szCs w:val="24"/>
        </w:rPr>
        <w:t xml:space="preserve"> to be considered legitimate. This</w:t>
      </w:r>
      <w:r w:rsidR="002F29BA">
        <w:rPr>
          <w:sz w:val="24"/>
          <w:szCs w:val="24"/>
        </w:rPr>
        <w:t>,</w:t>
      </w:r>
      <w:r w:rsidRPr="00A8663C">
        <w:rPr>
          <w:sz w:val="24"/>
          <w:szCs w:val="24"/>
        </w:rPr>
        <w:t xml:space="preserve"> in turn</w:t>
      </w:r>
      <w:r w:rsidR="002F29BA">
        <w:rPr>
          <w:sz w:val="24"/>
          <w:szCs w:val="24"/>
        </w:rPr>
        <w:t>,</w:t>
      </w:r>
      <w:r w:rsidRPr="00A8663C">
        <w:rPr>
          <w:sz w:val="24"/>
          <w:szCs w:val="24"/>
        </w:rPr>
        <w:t xml:space="preserve"> allowed the construction of an elaborate and complex administrative hierarchy in which an administrator knew </w:t>
      </w:r>
      <w:r w:rsidR="002F29BA">
        <w:rPr>
          <w:sz w:val="24"/>
          <w:szCs w:val="24"/>
        </w:rPr>
        <w:t>his</w:t>
      </w:r>
      <w:r w:rsidRPr="00A8663C">
        <w:rPr>
          <w:sz w:val="24"/>
          <w:szCs w:val="24"/>
        </w:rPr>
        <w:t xml:space="preserve"> duty and roles</w:t>
      </w:r>
      <w:r w:rsidR="00B6603F">
        <w:rPr>
          <w:sz w:val="24"/>
          <w:szCs w:val="24"/>
        </w:rPr>
        <w:t>,</w:t>
      </w:r>
      <w:r w:rsidRPr="00A8663C">
        <w:rPr>
          <w:sz w:val="24"/>
          <w:szCs w:val="24"/>
        </w:rPr>
        <w:t xml:space="preserve"> because</w:t>
      </w:r>
      <w:r w:rsidR="002F29BA">
        <w:rPr>
          <w:sz w:val="24"/>
          <w:szCs w:val="24"/>
        </w:rPr>
        <w:t xml:space="preserve"> not</w:t>
      </w:r>
      <w:r w:rsidR="00CB0D3E">
        <w:rPr>
          <w:sz w:val="24"/>
          <w:szCs w:val="24"/>
        </w:rPr>
        <w:t xml:space="preserve"> to</w:t>
      </w:r>
      <w:r w:rsidRPr="00A8663C">
        <w:rPr>
          <w:sz w:val="24"/>
          <w:szCs w:val="24"/>
        </w:rPr>
        <w:t xml:space="preserve"> know one’s duties would be disrespectful to the traditions central to governance. Administrative data, where it related to a traditional and historical duty, was to be revered and utilised. With this view</w:t>
      </w:r>
      <w:r w:rsidR="002F29BA">
        <w:rPr>
          <w:sz w:val="24"/>
          <w:szCs w:val="24"/>
        </w:rPr>
        <w:t>,</w:t>
      </w:r>
      <w:r w:rsidRPr="00A8663C">
        <w:rPr>
          <w:sz w:val="24"/>
          <w:szCs w:val="24"/>
        </w:rPr>
        <w:t xml:space="preserve"> we no longer have to manipulate the dictionary in order to make the </w:t>
      </w:r>
      <w:r w:rsidRPr="00A8663C">
        <w:rPr>
          <w:i/>
          <w:sz w:val="24"/>
          <w:szCs w:val="24"/>
        </w:rPr>
        <w:t>Regionaries</w:t>
      </w:r>
      <w:r w:rsidR="00CB0D3E">
        <w:rPr>
          <w:i/>
          <w:sz w:val="24"/>
          <w:szCs w:val="24"/>
        </w:rPr>
        <w:t>’</w:t>
      </w:r>
      <w:r w:rsidRPr="00A8663C">
        <w:rPr>
          <w:sz w:val="24"/>
          <w:szCs w:val="24"/>
        </w:rPr>
        <w:t xml:space="preserve"> statistics work or discard them for being unrepresentative. Instead</w:t>
      </w:r>
      <w:r w:rsidR="002F29BA">
        <w:rPr>
          <w:sz w:val="24"/>
          <w:szCs w:val="24"/>
        </w:rPr>
        <w:t>,</w:t>
      </w:r>
      <w:r w:rsidRPr="00A8663C">
        <w:rPr>
          <w:sz w:val="24"/>
          <w:szCs w:val="24"/>
        </w:rPr>
        <w:t xml:space="preserve"> it becomes a document which demonstrates the appropriate reverence for tradition that a senior </w:t>
      </w:r>
      <w:r w:rsidR="00AE5718">
        <w:rPr>
          <w:sz w:val="24"/>
          <w:szCs w:val="24"/>
        </w:rPr>
        <w:t>i</w:t>
      </w:r>
      <w:r w:rsidR="008B44B0">
        <w:rPr>
          <w:sz w:val="24"/>
          <w:szCs w:val="24"/>
        </w:rPr>
        <w:t>mperial</w:t>
      </w:r>
      <w:r w:rsidRPr="00A8663C">
        <w:rPr>
          <w:sz w:val="24"/>
          <w:szCs w:val="24"/>
        </w:rPr>
        <w:t xml:space="preserve"> administrator like the Urban Prefect woul</w:t>
      </w:r>
      <w:r w:rsidR="002F29BA">
        <w:rPr>
          <w:sz w:val="24"/>
          <w:szCs w:val="24"/>
        </w:rPr>
        <w:t>d need for his role. A Rome</w:t>
      </w:r>
      <w:r w:rsidRPr="00A8663C">
        <w:rPr>
          <w:sz w:val="24"/>
          <w:szCs w:val="24"/>
        </w:rPr>
        <w:t xml:space="preserve"> that is not necessaril</w:t>
      </w:r>
      <w:r w:rsidR="002F29BA">
        <w:rPr>
          <w:sz w:val="24"/>
          <w:szCs w:val="24"/>
        </w:rPr>
        <w:t>y representative of the reality</w:t>
      </w:r>
      <w:r w:rsidRPr="00A8663C">
        <w:rPr>
          <w:sz w:val="24"/>
          <w:szCs w:val="24"/>
        </w:rPr>
        <w:t xml:space="preserve"> has been constructed from its history in order to provide its administrator with the tools necessary to govern. In the Roman government it was less important to have what we would term</w:t>
      </w:r>
      <w:r w:rsidR="002F29BA">
        <w:rPr>
          <w:sz w:val="24"/>
          <w:szCs w:val="24"/>
        </w:rPr>
        <w:t xml:space="preserve"> as</w:t>
      </w:r>
      <w:r w:rsidRPr="00A8663C">
        <w:rPr>
          <w:sz w:val="24"/>
          <w:szCs w:val="24"/>
        </w:rPr>
        <w:t xml:space="preserve"> administratively useful and up-to-date</w:t>
      </w:r>
      <w:r w:rsidR="00B6603F">
        <w:rPr>
          <w:sz w:val="24"/>
          <w:szCs w:val="24"/>
        </w:rPr>
        <w:t xml:space="preserve"> document</w:t>
      </w:r>
      <w:r w:rsidRPr="00A8663C">
        <w:rPr>
          <w:sz w:val="24"/>
          <w:szCs w:val="24"/>
        </w:rPr>
        <w:t>. Instead</w:t>
      </w:r>
      <w:r w:rsidR="002F29BA">
        <w:rPr>
          <w:sz w:val="24"/>
          <w:szCs w:val="24"/>
        </w:rPr>
        <w:t>,</w:t>
      </w:r>
      <w:r w:rsidRPr="00A8663C">
        <w:rPr>
          <w:sz w:val="24"/>
          <w:szCs w:val="24"/>
        </w:rPr>
        <w:t xml:space="preserve"> it was far more important to have an authority grounded in history and culture, rather than fact.</w:t>
      </w:r>
    </w:p>
    <w:p w:rsidR="0081093D" w:rsidRPr="0019668E" w:rsidRDefault="0081093D" w:rsidP="00CB0D3E">
      <w:pPr>
        <w:spacing w:line="480" w:lineRule="auto"/>
        <w:ind w:firstLine="720"/>
        <w:jc w:val="both"/>
        <w:rPr>
          <w:sz w:val="24"/>
          <w:szCs w:val="24"/>
        </w:rPr>
      </w:pPr>
      <w:r w:rsidRPr="00A8663C">
        <w:rPr>
          <w:sz w:val="24"/>
          <w:szCs w:val="24"/>
        </w:rPr>
        <w:t xml:space="preserve">Having established what the </w:t>
      </w:r>
      <w:r w:rsidRPr="00A8663C">
        <w:rPr>
          <w:i/>
          <w:sz w:val="24"/>
          <w:szCs w:val="24"/>
        </w:rPr>
        <w:t>Regionaries</w:t>
      </w:r>
      <w:r w:rsidRPr="00A8663C">
        <w:rPr>
          <w:sz w:val="24"/>
          <w:szCs w:val="24"/>
        </w:rPr>
        <w:t xml:space="preserve"> tell us about how the Roman government conceived of itself and </w:t>
      </w:r>
      <w:r w:rsidR="001D2CE1">
        <w:rPr>
          <w:sz w:val="24"/>
          <w:szCs w:val="24"/>
        </w:rPr>
        <w:t>what was useful</w:t>
      </w:r>
      <w:r w:rsidR="002F29BA">
        <w:rPr>
          <w:sz w:val="24"/>
          <w:szCs w:val="24"/>
        </w:rPr>
        <w:t>,</w:t>
      </w:r>
      <w:r w:rsidRPr="00A8663C">
        <w:rPr>
          <w:sz w:val="24"/>
          <w:szCs w:val="24"/>
        </w:rPr>
        <w:t xml:space="preserve"> it becomes easier to establish how the </w:t>
      </w:r>
      <w:r w:rsidRPr="00A8663C">
        <w:rPr>
          <w:i/>
          <w:sz w:val="24"/>
          <w:szCs w:val="24"/>
        </w:rPr>
        <w:t>Regionaries</w:t>
      </w:r>
      <w:r w:rsidRPr="00A8663C">
        <w:rPr>
          <w:sz w:val="24"/>
          <w:szCs w:val="24"/>
        </w:rPr>
        <w:t xml:space="preserve"> managed to evolve. Any culture which valued history and tradition as much as the Romans did would continue to value such a document even if the </w:t>
      </w:r>
      <w:r w:rsidRPr="00A8663C">
        <w:rPr>
          <w:i/>
          <w:sz w:val="24"/>
          <w:szCs w:val="24"/>
        </w:rPr>
        <w:t>Regionaries</w:t>
      </w:r>
      <w:r w:rsidRPr="00A8663C">
        <w:rPr>
          <w:sz w:val="24"/>
          <w:szCs w:val="24"/>
        </w:rPr>
        <w:t xml:space="preserve"> had ceased to be used in</w:t>
      </w:r>
      <w:r w:rsidR="00B6603F">
        <w:rPr>
          <w:sz w:val="24"/>
          <w:szCs w:val="24"/>
        </w:rPr>
        <w:t xml:space="preserve"> their</w:t>
      </w:r>
      <w:r w:rsidRPr="00A8663C">
        <w:rPr>
          <w:sz w:val="24"/>
          <w:szCs w:val="24"/>
        </w:rPr>
        <w:t xml:space="preserve"> original administrative capacity. Our first recorded appearance of the </w:t>
      </w:r>
      <w:r w:rsidRPr="00A8663C">
        <w:rPr>
          <w:i/>
          <w:sz w:val="24"/>
          <w:szCs w:val="24"/>
        </w:rPr>
        <w:t xml:space="preserve">Regionary </w:t>
      </w:r>
      <w:r w:rsidRPr="00A8663C">
        <w:rPr>
          <w:i/>
          <w:sz w:val="24"/>
          <w:szCs w:val="24"/>
        </w:rPr>
        <w:lastRenderedPageBreak/>
        <w:t>Catalogues</w:t>
      </w:r>
      <w:r w:rsidRPr="00A8663C">
        <w:rPr>
          <w:sz w:val="24"/>
          <w:szCs w:val="24"/>
        </w:rPr>
        <w:t xml:space="preserve"> is in the </w:t>
      </w:r>
      <w:r w:rsidRPr="00A8663C">
        <w:rPr>
          <w:i/>
          <w:sz w:val="24"/>
          <w:szCs w:val="24"/>
        </w:rPr>
        <w:t>Codex-Calendar</w:t>
      </w:r>
      <w:r w:rsidRPr="00A8663C">
        <w:rPr>
          <w:sz w:val="24"/>
          <w:szCs w:val="24"/>
        </w:rPr>
        <w:t xml:space="preserve"> </w:t>
      </w:r>
      <w:r w:rsidRPr="00A8663C">
        <w:rPr>
          <w:i/>
          <w:sz w:val="24"/>
          <w:szCs w:val="24"/>
        </w:rPr>
        <w:t>of 354</w:t>
      </w:r>
      <w:r w:rsidRPr="00A8663C">
        <w:rPr>
          <w:sz w:val="24"/>
          <w:szCs w:val="24"/>
        </w:rPr>
        <w:t>, a sumptuous manuscript illustrated by the most famous calligrapher of the day, Furius Dionysius Fi</w:t>
      </w:r>
      <w:r w:rsidR="00B6603F">
        <w:rPr>
          <w:sz w:val="24"/>
          <w:szCs w:val="24"/>
        </w:rPr>
        <w:t>l</w:t>
      </w:r>
      <w:r w:rsidRPr="00A8663C">
        <w:rPr>
          <w:sz w:val="24"/>
          <w:szCs w:val="24"/>
        </w:rPr>
        <w:t xml:space="preserve">ocalus. The </w:t>
      </w:r>
      <w:r w:rsidRPr="00A8663C">
        <w:rPr>
          <w:i/>
          <w:sz w:val="24"/>
          <w:szCs w:val="24"/>
        </w:rPr>
        <w:t>Regionaries</w:t>
      </w:r>
      <w:r w:rsidRPr="00A8663C">
        <w:rPr>
          <w:sz w:val="24"/>
          <w:szCs w:val="24"/>
        </w:rPr>
        <w:t xml:space="preserve"> were packaged with lists of Consuls, Urb</w:t>
      </w:r>
      <w:r w:rsidR="002F29BA">
        <w:rPr>
          <w:sz w:val="24"/>
          <w:szCs w:val="24"/>
        </w:rPr>
        <w:t xml:space="preserve">an Prefects, Popes and </w:t>
      </w:r>
      <w:r w:rsidR="0087599E">
        <w:rPr>
          <w:sz w:val="24"/>
          <w:szCs w:val="24"/>
        </w:rPr>
        <w:t>Emperors</w:t>
      </w:r>
      <w:r w:rsidRPr="00A8663C">
        <w:rPr>
          <w:sz w:val="24"/>
          <w:szCs w:val="24"/>
        </w:rPr>
        <w:t xml:space="preserve"> and</w:t>
      </w:r>
      <w:r w:rsidR="002F29BA">
        <w:rPr>
          <w:sz w:val="24"/>
          <w:szCs w:val="24"/>
        </w:rPr>
        <w:t>,</w:t>
      </w:r>
      <w:r w:rsidRPr="00A8663C">
        <w:rPr>
          <w:sz w:val="24"/>
          <w:szCs w:val="24"/>
        </w:rPr>
        <w:t xml:space="preserve"> whilst some have argued that the </w:t>
      </w:r>
      <w:r w:rsidRPr="00A8663C">
        <w:rPr>
          <w:i/>
          <w:sz w:val="24"/>
          <w:szCs w:val="24"/>
        </w:rPr>
        <w:t>Regionaries</w:t>
      </w:r>
      <w:r w:rsidRPr="00A8663C">
        <w:rPr>
          <w:sz w:val="24"/>
          <w:szCs w:val="24"/>
        </w:rPr>
        <w:t xml:space="preserve"> were not originally included with the </w:t>
      </w:r>
      <w:r w:rsidRPr="00A8663C">
        <w:rPr>
          <w:i/>
          <w:sz w:val="24"/>
          <w:szCs w:val="24"/>
        </w:rPr>
        <w:t>Codex-Calendar</w:t>
      </w:r>
      <w:r w:rsidRPr="00A8663C">
        <w:rPr>
          <w:sz w:val="24"/>
          <w:szCs w:val="24"/>
        </w:rPr>
        <w:t>, they certainly fit thematically with</w:t>
      </w:r>
      <w:r w:rsidR="002F29BA">
        <w:rPr>
          <w:sz w:val="24"/>
          <w:szCs w:val="24"/>
        </w:rPr>
        <w:t>in</w:t>
      </w:r>
      <w:r w:rsidRPr="00A8663C">
        <w:rPr>
          <w:sz w:val="24"/>
          <w:szCs w:val="24"/>
        </w:rPr>
        <w:t xml:space="preserve"> the other documents in the</w:t>
      </w:r>
      <w:r w:rsidR="002F29BA">
        <w:rPr>
          <w:sz w:val="24"/>
          <w:szCs w:val="24"/>
        </w:rPr>
        <w:t>ir</w:t>
      </w:r>
      <w:r w:rsidRPr="00A8663C">
        <w:rPr>
          <w:sz w:val="24"/>
          <w:szCs w:val="24"/>
        </w:rPr>
        <w:t xml:space="preserve"> mutual reverence for Rome’s past.</w:t>
      </w:r>
      <w:r w:rsidR="00CB0D3E" w:rsidRPr="00A8663C">
        <w:rPr>
          <w:sz w:val="24"/>
          <w:szCs w:val="24"/>
        </w:rPr>
        <w:t xml:space="preserve"> </w:t>
      </w:r>
      <w:r w:rsidRPr="00A8663C">
        <w:rPr>
          <w:sz w:val="24"/>
          <w:szCs w:val="24"/>
        </w:rPr>
        <w:t xml:space="preserve">The inherent flexibility of the Roman depictions of government in the </w:t>
      </w:r>
      <w:r w:rsidRPr="00A8663C">
        <w:rPr>
          <w:i/>
          <w:sz w:val="24"/>
          <w:szCs w:val="24"/>
        </w:rPr>
        <w:t>Regionaries</w:t>
      </w:r>
      <w:r w:rsidRPr="00A8663C">
        <w:rPr>
          <w:sz w:val="24"/>
          <w:szCs w:val="24"/>
        </w:rPr>
        <w:t xml:space="preserve"> and their spectacular power meant that, as more and more time passed from </w:t>
      </w:r>
      <w:r w:rsidR="002F29BA">
        <w:rPr>
          <w:sz w:val="24"/>
          <w:szCs w:val="24"/>
        </w:rPr>
        <w:t>the document</w:t>
      </w:r>
      <w:r w:rsidR="00B6603F">
        <w:rPr>
          <w:sz w:val="24"/>
          <w:szCs w:val="24"/>
        </w:rPr>
        <w:t>’s</w:t>
      </w:r>
      <w:r w:rsidRPr="00A8663C">
        <w:rPr>
          <w:sz w:val="24"/>
          <w:szCs w:val="24"/>
        </w:rPr>
        <w:t xml:space="preserve"> creation, their power could easily be repurposed to</w:t>
      </w:r>
      <w:r w:rsidR="002F29BA">
        <w:rPr>
          <w:sz w:val="24"/>
          <w:szCs w:val="24"/>
        </w:rPr>
        <w:t xml:space="preserve"> meet</w:t>
      </w:r>
      <w:r w:rsidRPr="00A8663C">
        <w:rPr>
          <w:sz w:val="24"/>
          <w:szCs w:val="24"/>
        </w:rPr>
        <w:t xml:space="preserve"> other goals. As Roman culture was re-discovered under the Carolingian Renaissance</w:t>
      </w:r>
      <w:r w:rsidR="00B6603F">
        <w:rPr>
          <w:sz w:val="24"/>
          <w:szCs w:val="24"/>
        </w:rPr>
        <w:t>, even though the p</w:t>
      </w:r>
      <w:r>
        <w:rPr>
          <w:sz w:val="24"/>
          <w:szCs w:val="24"/>
        </w:rPr>
        <w:t xml:space="preserve">agan characteristics of the </w:t>
      </w:r>
      <w:r>
        <w:rPr>
          <w:i/>
          <w:sz w:val="24"/>
          <w:szCs w:val="24"/>
        </w:rPr>
        <w:t>Regionaries</w:t>
      </w:r>
      <w:r>
        <w:rPr>
          <w:sz w:val="24"/>
          <w:szCs w:val="24"/>
        </w:rPr>
        <w:t xml:space="preserve"> were no longer a desirable aspect, the sheer weight of the monumental power</w:t>
      </w:r>
      <w:r w:rsidR="002F29BA">
        <w:rPr>
          <w:sz w:val="24"/>
          <w:szCs w:val="24"/>
        </w:rPr>
        <w:t xml:space="preserve"> that</w:t>
      </w:r>
      <w:r>
        <w:rPr>
          <w:sz w:val="24"/>
          <w:szCs w:val="24"/>
        </w:rPr>
        <w:t xml:space="preserve"> the </w:t>
      </w:r>
      <w:r>
        <w:rPr>
          <w:i/>
          <w:sz w:val="24"/>
          <w:szCs w:val="24"/>
        </w:rPr>
        <w:t>Regionaries</w:t>
      </w:r>
      <w:r>
        <w:rPr>
          <w:sz w:val="24"/>
          <w:szCs w:val="24"/>
        </w:rPr>
        <w:t xml:space="preserve"> depicted made them a desirable commodity. Their association with Rome’s </w:t>
      </w:r>
      <w:r w:rsidR="008B44B0">
        <w:rPr>
          <w:sz w:val="24"/>
          <w:szCs w:val="24"/>
        </w:rPr>
        <w:t>imperial</w:t>
      </w:r>
      <w:r>
        <w:rPr>
          <w:sz w:val="24"/>
          <w:szCs w:val="24"/>
        </w:rPr>
        <w:t xml:space="preserve"> power meant that they could lend lustre </w:t>
      </w:r>
      <w:r w:rsidR="00B6603F">
        <w:rPr>
          <w:sz w:val="24"/>
          <w:szCs w:val="24"/>
        </w:rPr>
        <w:t>to other</w:t>
      </w:r>
      <w:r w:rsidR="000F16A5">
        <w:rPr>
          <w:sz w:val="24"/>
          <w:szCs w:val="24"/>
        </w:rPr>
        <w:t>s</w:t>
      </w:r>
      <w:r w:rsidR="00B6603F">
        <w:rPr>
          <w:sz w:val="24"/>
          <w:szCs w:val="24"/>
        </w:rPr>
        <w:t>’</w:t>
      </w:r>
      <w:r w:rsidR="000F16A5">
        <w:rPr>
          <w:sz w:val="24"/>
          <w:szCs w:val="24"/>
        </w:rPr>
        <w:t xml:space="preserve"> </w:t>
      </w:r>
      <w:r w:rsidR="008B44B0">
        <w:rPr>
          <w:sz w:val="24"/>
          <w:szCs w:val="24"/>
        </w:rPr>
        <w:t>imperial</w:t>
      </w:r>
      <w:r w:rsidR="000F16A5">
        <w:rPr>
          <w:sz w:val="24"/>
          <w:szCs w:val="24"/>
        </w:rPr>
        <w:t xml:space="preserve"> pretensions</w:t>
      </w:r>
      <w:r>
        <w:rPr>
          <w:sz w:val="24"/>
          <w:szCs w:val="24"/>
        </w:rPr>
        <w:t xml:space="preserve"> and their continued transmission with the </w:t>
      </w:r>
      <w:r>
        <w:rPr>
          <w:i/>
          <w:sz w:val="24"/>
          <w:szCs w:val="24"/>
        </w:rPr>
        <w:t xml:space="preserve">Codex-Calendar </w:t>
      </w:r>
      <w:r>
        <w:rPr>
          <w:sz w:val="24"/>
          <w:szCs w:val="24"/>
        </w:rPr>
        <w:t xml:space="preserve">and other extravagant manuscripts such as the </w:t>
      </w:r>
      <w:r>
        <w:rPr>
          <w:i/>
          <w:sz w:val="24"/>
          <w:szCs w:val="24"/>
        </w:rPr>
        <w:t>Codex Spirensis</w:t>
      </w:r>
      <w:r>
        <w:rPr>
          <w:sz w:val="24"/>
          <w:szCs w:val="24"/>
        </w:rPr>
        <w:t xml:space="preserve"> meant that the </w:t>
      </w:r>
      <w:r>
        <w:rPr>
          <w:i/>
          <w:sz w:val="24"/>
          <w:szCs w:val="24"/>
        </w:rPr>
        <w:t>Regionaries</w:t>
      </w:r>
      <w:r>
        <w:rPr>
          <w:sz w:val="24"/>
          <w:szCs w:val="24"/>
        </w:rPr>
        <w:t xml:space="preserve"> maintained a spectacular power </w:t>
      </w:r>
      <w:r w:rsidR="001D2CE1">
        <w:rPr>
          <w:sz w:val="24"/>
          <w:szCs w:val="24"/>
        </w:rPr>
        <w:t xml:space="preserve">far </w:t>
      </w:r>
      <w:r>
        <w:rPr>
          <w:sz w:val="24"/>
          <w:szCs w:val="24"/>
        </w:rPr>
        <w:t xml:space="preserve">beyond the culture that created them. The </w:t>
      </w:r>
      <w:r w:rsidRPr="00073641">
        <w:rPr>
          <w:i/>
          <w:sz w:val="24"/>
          <w:szCs w:val="24"/>
        </w:rPr>
        <w:t>Regionaries</w:t>
      </w:r>
      <w:r>
        <w:rPr>
          <w:sz w:val="24"/>
          <w:szCs w:val="24"/>
        </w:rPr>
        <w:t xml:space="preserve"> were a forceful method of expressing the power and glory of the government. The Romans found this a laudable activity</w:t>
      </w:r>
      <w:r w:rsidR="000F16A5">
        <w:rPr>
          <w:sz w:val="24"/>
          <w:szCs w:val="24"/>
        </w:rPr>
        <w:t>,</w:t>
      </w:r>
      <w:r>
        <w:rPr>
          <w:sz w:val="24"/>
          <w:szCs w:val="24"/>
        </w:rPr>
        <w:t xml:space="preserve"> and so it became a popular device by which to associate something with the glory of ancient Rome. This confusion of the administrative and the spectacular is what has led to the duality of the </w:t>
      </w:r>
      <w:r>
        <w:rPr>
          <w:i/>
          <w:sz w:val="24"/>
          <w:szCs w:val="24"/>
        </w:rPr>
        <w:t>Regionaries</w:t>
      </w:r>
      <w:r>
        <w:rPr>
          <w:sz w:val="24"/>
          <w:szCs w:val="24"/>
        </w:rPr>
        <w:t xml:space="preserve"> being treated as both an administrative document of the Urban Prefecture and as a panegyric to the glory of Rome and its awesome history.</w:t>
      </w:r>
    </w:p>
    <w:p w:rsidR="0081093D" w:rsidRDefault="0081093D" w:rsidP="00722391">
      <w:pPr>
        <w:spacing w:line="480" w:lineRule="auto"/>
        <w:ind w:firstLine="720"/>
        <w:jc w:val="both"/>
        <w:rPr>
          <w:sz w:val="24"/>
          <w:szCs w:val="24"/>
        </w:rPr>
      </w:pPr>
      <w:r>
        <w:rPr>
          <w:sz w:val="24"/>
          <w:szCs w:val="24"/>
        </w:rPr>
        <w:t xml:space="preserve">The question of where the </w:t>
      </w:r>
      <w:r>
        <w:rPr>
          <w:i/>
          <w:sz w:val="24"/>
          <w:szCs w:val="24"/>
        </w:rPr>
        <w:t xml:space="preserve">Regionary </w:t>
      </w:r>
      <w:proofErr w:type="gramStart"/>
      <w:r>
        <w:rPr>
          <w:i/>
          <w:sz w:val="24"/>
          <w:szCs w:val="24"/>
        </w:rPr>
        <w:t>Catalogues</w:t>
      </w:r>
      <w:proofErr w:type="gramEnd"/>
      <w:r w:rsidR="00B6603F">
        <w:rPr>
          <w:sz w:val="24"/>
          <w:szCs w:val="24"/>
        </w:rPr>
        <w:t xml:space="preserve"> came from and who their author was </w:t>
      </w:r>
      <w:r>
        <w:rPr>
          <w:sz w:val="24"/>
          <w:szCs w:val="24"/>
        </w:rPr>
        <w:t xml:space="preserve">has been a much more difficult one to answer. The </w:t>
      </w:r>
      <w:r>
        <w:rPr>
          <w:i/>
          <w:sz w:val="24"/>
          <w:szCs w:val="24"/>
        </w:rPr>
        <w:t>Regionaries</w:t>
      </w:r>
      <w:r>
        <w:rPr>
          <w:sz w:val="24"/>
          <w:szCs w:val="24"/>
        </w:rPr>
        <w:t xml:space="preserve"> first appear in the </w:t>
      </w:r>
      <w:r>
        <w:rPr>
          <w:i/>
          <w:sz w:val="24"/>
          <w:szCs w:val="24"/>
        </w:rPr>
        <w:lastRenderedPageBreak/>
        <w:t>Codex-Calendar</w:t>
      </w:r>
      <w:r>
        <w:rPr>
          <w:sz w:val="24"/>
          <w:szCs w:val="24"/>
        </w:rPr>
        <w:t>, a gi</w:t>
      </w:r>
      <w:r w:rsidR="00D534AA">
        <w:rPr>
          <w:sz w:val="24"/>
          <w:szCs w:val="24"/>
        </w:rPr>
        <w:t>ft from one</w:t>
      </w:r>
      <w:r w:rsidR="00AE5718">
        <w:rPr>
          <w:sz w:val="24"/>
          <w:szCs w:val="24"/>
        </w:rPr>
        <w:t xml:space="preserve"> “esteemed”</w:t>
      </w:r>
      <w:r w:rsidR="00D534AA">
        <w:rPr>
          <w:sz w:val="24"/>
          <w:szCs w:val="24"/>
        </w:rPr>
        <w:t xml:space="preserve"> </w:t>
      </w:r>
      <w:r w:rsidR="00AE5718">
        <w:rPr>
          <w:sz w:val="24"/>
          <w:szCs w:val="24"/>
        </w:rPr>
        <w:t>Roman</w:t>
      </w:r>
      <w:r w:rsidR="00D534AA">
        <w:rPr>
          <w:sz w:val="24"/>
          <w:szCs w:val="24"/>
        </w:rPr>
        <w:t xml:space="preserve"> to another. It is hardly surprising that it </w:t>
      </w:r>
      <w:r w:rsidR="00AE5718">
        <w:rPr>
          <w:sz w:val="24"/>
          <w:szCs w:val="24"/>
        </w:rPr>
        <w:t xml:space="preserve">should appear </w:t>
      </w:r>
      <w:r w:rsidR="00EF3B18">
        <w:rPr>
          <w:sz w:val="24"/>
          <w:szCs w:val="24"/>
        </w:rPr>
        <w:t>here;</w:t>
      </w:r>
      <w:r w:rsidR="00D534AA">
        <w:rPr>
          <w:sz w:val="24"/>
          <w:szCs w:val="24"/>
        </w:rPr>
        <w:t xml:space="preserve"> Urban Prefects were also the masters of </w:t>
      </w:r>
      <w:r w:rsidR="00AE5718">
        <w:rPr>
          <w:sz w:val="24"/>
          <w:szCs w:val="24"/>
        </w:rPr>
        <w:t>s</w:t>
      </w:r>
      <w:r w:rsidR="008B44B0">
        <w:rPr>
          <w:sz w:val="24"/>
          <w:szCs w:val="24"/>
        </w:rPr>
        <w:t>enatorial</w:t>
      </w:r>
      <w:r w:rsidR="00D534AA">
        <w:rPr>
          <w:sz w:val="24"/>
          <w:szCs w:val="24"/>
        </w:rPr>
        <w:t xml:space="preserve"> households and families</w:t>
      </w:r>
      <w:r w:rsidR="00AE5718">
        <w:rPr>
          <w:sz w:val="24"/>
          <w:szCs w:val="24"/>
        </w:rPr>
        <w:t xml:space="preserve"> and would have a vested interest in a document that glorified their post and their predecessors</w:t>
      </w:r>
      <w:r>
        <w:rPr>
          <w:sz w:val="24"/>
          <w:szCs w:val="24"/>
        </w:rPr>
        <w:t xml:space="preserve">. Furthermore </w:t>
      </w:r>
      <w:r w:rsidRPr="00B6603F">
        <w:rPr>
          <w:sz w:val="24"/>
          <w:szCs w:val="24"/>
        </w:rPr>
        <w:t xml:space="preserve">the appearance of two different manuscript traditions, the </w:t>
      </w:r>
      <w:r w:rsidRPr="00B6603F">
        <w:rPr>
          <w:i/>
          <w:sz w:val="24"/>
          <w:szCs w:val="24"/>
        </w:rPr>
        <w:t>Notitia</w:t>
      </w:r>
      <w:r w:rsidRPr="00B6603F">
        <w:rPr>
          <w:sz w:val="24"/>
          <w:szCs w:val="24"/>
        </w:rPr>
        <w:t xml:space="preserve"> and the </w:t>
      </w:r>
      <w:r w:rsidRPr="00B6603F">
        <w:rPr>
          <w:i/>
          <w:sz w:val="24"/>
          <w:szCs w:val="24"/>
        </w:rPr>
        <w:t>Curiosum</w:t>
      </w:r>
      <w:r w:rsidRPr="00B6603F">
        <w:rPr>
          <w:sz w:val="24"/>
          <w:szCs w:val="24"/>
        </w:rPr>
        <w:t xml:space="preserve">, suggests that the </w:t>
      </w:r>
      <w:r w:rsidRPr="00B6603F">
        <w:rPr>
          <w:i/>
          <w:sz w:val="24"/>
          <w:szCs w:val="24"/>
        </w:rPr>
        <w:t>Regionaries</w:t>
      </w:r>
      <w:r w:rsidRPr="00B6603F">
        <w:rPr>
          <w:sz w:val="24"/>
          <w:szCs w:val="24"/>
        </w:rPr>
        <w:t xml:space="preserve"> had been updated sporadically. Elmer Merrill has argued that the </w:t>
      </w:r>
      <w:r w:rsidRPr="00B6603F">
        <w:rPr>
          <w:i/>
          <w:sz w:val="24"/>
          <w:szCs w:val="24"/>
        </w:rPr>
        <w:t>Regionaries</w:t>
      </w:r>
      <w:r w:rsidRPr="00B6603F">
        <w:rPr>
          <w:sz w:val="24"/>
          <w:szCs w:val="24"/>
        </w:rPr>
        <w:t xml:space="preserve"> had to possess a proto-document </w:t>
      </w:r>
      <w:r w:rsidR="000F16A5" w:rsidRPr="00B6603F">
        <w:rPr>
          <w:sz w:val="24"/>
          <w:szCs w:val="24"/>
        </w:rPr>
        <w:t>from which both</w:t>
      </w:r>
      <w:r w:rsidRPr="00B6603F">
        <w:rPr>
          <w:sz w:val="24"/>
          <w:szCs w:val="24"/>
        </w:rPr>
        <w:t xml:space="preserve"> the </w:t>
      </w:r>
      <w:r w:rsidRPr="00B6603F">
        <w:rPr>
          <w:i/>
          <w:sz w:val="24"/>
          <w:szCs w:val="24"/>
        </w:rPr>
        <w:t xml:space="preserve">Notitia </w:t>
      </w:r>
      <w:r w:rsidRPr="00B6603F">
        <w:rPr>
          <w:sz w:val="24"/>
          <w:szCs w:val="24"/>
        </w:rPr>
        <w:t xml:space="preserve">and the </w:t>
      </w:r>
      <w:r w:rsidRPr="00B6603F">
        <w:rPr>
          <w:i/>
          <w:sz w:val="24"/>
          <w:szCs w:val="24"/>
        </w:rPr>
        <w:t>Curiosum</w:t>
      </w:r>
      <w:r w:rsidR="00B6603F" w:rsidRPr="00B6603F">
        <w:rPr>
          <w:sz w:val="24"/>
          <w:szCs w:val="24"/>
        </w:rPr>
        <w:t xml:space="preserve"> spra</w:t>
      </w:r>
      <w:r w:rsidR="000F16A5" w:rsidRPr="00B6603F">
        <w:rPr>
          <w:sz w:val="24"/>
          <w:szCs w:val="24"/>
        </w:rPr>
        <w:t>ng</w:t>
      </w:r>
      <w:r w:rsidRPr="00B6603F">
        <w:rPr>
          <w:sz w:val="24"/>
          <w:szCs w:val="24"/>
        </w:rPr>
        <w:t xml:space="preserve">, and my own attempt at recreating the various layers of the </w:t>
      </w:r>
      <w:r w:rsidRPr="00B6603F">
        <w:rPr>
          <w:i/>
          <w:sz w:val="24"/>
          <w:szCs w:val="24"/>
        </w:rPr>
        <w:t>Regionaries</w:t>
      </w:r>
      <w:r w:rsidRPr="00B6603F">
        <w:rPr>
          <w:sz w:val="24"/>
          <w:szCs w:val="24"/>
        </w:rPr>
        <w:t xml:space="preserve"> has led me to much the same conclusions.</w:t>
      </w:r>
      <w:r w:rsidRPr="00B6603F">
        <w:rPr>
          <w:rStyle w:val="FootnoteReference"/>
          <w:sz w:val="24"/>
          <w:szCs w:val="24"/>
        </w:rPr>
        <w:footnoteReference w:id="436"/>
      </w:r>
      <w:r w:rsidRPr="00B6603F">
        <w:rPr>
          <w:sz w:val="24"/>
          <w:szCs w:val="24"/>
        </w:rPr>
        <w:t xml:space="preserve"> Merrill believes the </w:t>
      </w:r>
      <w:r w:rsidRPr="00B6603F">
        <w:rPr>
          <w:i/>
          <w:sz w:val="24"/>
          <w:szCs w:val="24"/>
        </w:rPr>
        <w:t>proto-Regionaries</w:t>
      </w:r>
      <w:r w:rsidRPr="00B6603F">
        <w:rPr>
          <w:sz w:val="24"/>
          <w:szCs w:val="24"/>
        </w:rPr>
        <w:t xml:space="preserve"> first appeared around AD 314, citing the appearance of the </w:t>
      </w:r>
      <w:r w:rsidRPr="00B6603F">
        <w:rPr>
          <w:i/>
          <w:sz w:val="24"/>
          <w:szCs w:val="24"/>
        </w:rPr>
        <w:t>Basilica Constantiniana</w:t>
      </w:r>
      <w:r w:rsidRPr="00B6603F">
        <w:rPr>
          <w:sz w:val="24"/>
          <w:szCs w:val="24"/>
        </w:rPr>
        <w:t xml:space="preserve">, the Arch of Constantine and the </w:t>
      </w:r>
      <w:r w:rsidR="00C43F79">
        <w:rPr>
          <w:i/>
          <w:sz w:val="24"/>
          <w:szCs w:val="24"/>
        </w:rPr>
        <w:t>Thermae</w:t>
      </w:r>
      <w:r w:rsidRPr="00B6603F">
        <w:rPr>
          <w:i/>
          <w:sz w:val="24"/>
          <w:szCs w:val="24"/>
        </w:rPr>
        <w:t xml:space="preserve"> Constantinianae</w:t>
      </w:r>
      <w:r w:rsidRPr="00B6603F">
        <w:rPr>
          <w:sz w:val="24"/>
          <w:szCs w:val="24"/>
        </w:rPr>
        <w:t>.</w:t>
      </w:r>
      <w:r w:rsidRPr="00B6603F">
        <w:rPr>
          <w:rStyle w:val="FootnoteReference"/>
          <w:sz w:val="24"/>
          <w:szCs w:val="24"/>
        </w:rPr>
        <w:footnoteReference w:id="437"/>
      </w:r>
      <w:r w:rsidRPr="00B6603F">
        <w:rPr>
          <w:sz w:val="24"/>
          <w:szCs w:val="24"/>
        </w:rPr>
        <w:t xml:space="preserve"> But this does not take into account that</w:t>
      </w:r>
      <w:r w:rsidR="00E10D9D" w:rsidRPr="00B6603F">
        <w:rPr>
          <w:sz w:val="24"/>
          <w:szCs w:val="24"/>
        </w:rPr>
        <w:t>,</w:t>
      </w:r>
      <w:r w:rsidRPr="00B6603F">
        <w:rPr>
          <w:sz w:val="24"/>
          <w:szCs w:val="24"/>
        </w:rPr>
        <w:t xml:space="preserve"> in the </w:t>
      </w:r>
      <w:r w:rsidRPr="00B6603F">
        <w:rPr>
          <w:i/>
          <w:sz w:val="24"/>
          <w:szCs w:val="24"/>
        </w:rPr>
        <w:t xml:space="preserve">Curiosum </w:t>
      </w:r>
      <w:r w:rsidRPr="00B6603F">
        <w:rPr>
          <w:sz w:val="24"/>
          <w:szCs w:val="24"/>
        </w:rPr>
        <w:t>tradition</w:t>
      </w:r>
      <w:r w:rsidR="00E10D9D" w:rsidRPr="00B6603F">
        <w:rPr>
          <w:sz w:val="24"/>
          <w:szCs w:val="24"/>
        </w:rPr>
        <w:t>,</w:t>
      </w:r>
      <w:r w:rsidRPr="00B6603F">
        <w:rPr>
          <w:sz w:val="24"/>
          <w:szCs w:val="24"/>
        </w:rPr>
        <w:t xml:space="preserve"> the </w:t>
      </w:r>
      <w:r w:rsidRPr="00B6603F">
        <w:rPr>
          <w:i/>
          <w:sz w:val="24"/>
          <w:szCs w:val="24"/>
        </w:rPr>
        <w:t>Basilica Constantiniana</w:t>
      </w:r>
      <w:r w:rsidRPr="00B6603F">
        <w:rPr>
          <w:sz w:val="24"/>
          <w:szCs w:val="24"/>
        </w:rPr>
        <w:t xml:space="preserve"> appears as the </w:t>
      </w:r>
      <w:r w:rsidRPr="00B6603F">
        <w:rPr>
          <w:i/>
          <w:sz w:val="24"/>
          <w:szCs w:val="24"/>
        </w:rPr>
        <w:t>Basilica Nova</w:t>
      </w:r>
      <w:r w:rsidR="00E10D9D" w:rsidRPr="00B6603F">
        <w:rPr>
          <w:i/>
          <w:sz w:val="24"/>
          <w:szCs w:val="24"/>
        </w:rPr>
        <w:t>,</w:t>
      </w:r>
      <w:r w:rsidR="00B6603F" w:rsidRPr="00B6603F">
        <w:rPr>
          <w:sz w:val="24"/>
          <w:szCs w:val="24"/>
        </w:rPr>
        <w:t xml:space="preserve"> which had</w:t>
      </w:r>
      <w:r w:rsidRPr="00B6603F">
        <w:rPr>
          <w:sz w:val="24"/>
          <w:szCs w:val="24"/>
        </w:rPr>
        <w:t xml:space="preserve"> initially</w:t>
      </w:r>
      <w:r w:rsidR="00B6603F" w:rsidRPr="00B6603F">
        <w:rPr>
          <w:sz w:val="24"/>
          <w:szCs w:val="24"/>
        </w:rPr>
        <w:t xml:space="preserve"> been</w:t>
      </w:r>
      <w:r w:rsidRPr="00B6603F">
        <w:rPr>
          <w:sz w:val="24"/>
          <w:szCs w:val="24"/>
        </w:rPr>
        <w:t xml:space="preserve"> built by Maxentius, and that in the </w:t>
      </w:r>
      <w:r w:rsidRPr="00B6603F">
        <w:rPr>
          <w:i/>
          <w:sz w:val="24"/>
          <w:szCs w:val="24"/>
        </w:rPr>
        <w:t>Notitia</w:t>
      </w:r>
      <w:r w:rsidRPr="00B6603F">
        <w:rPr>
          <w:sz w:val="24"/>
          <w:szCs w:val="24"/>
        </w:rPr>
        <w:t xml:space="preserve"> there is listed</w:t>
      </w:r>
      <w:r w:rsidR="00B6603F" w:rsidRPr="00B6603F">
        <w:rPr>
          <w:sz w:val="24"/>
          <w:szCs w:val="24"/>
        </w:rPr>
        <w:t xml:space="preserve"> the</w:t>
      </w:r>
      <w:r w:rsidRPr="00B6603F">
        <w:rPr>
          <w:sz w:val="24"/>
          <w:szCs w:val="24"/>
        </w:rPr>
        <w:t xml:space="preserve"> </w:t>
      </w:r>
      <w:r w:rsidRPr="00B6603F">
        <w:rPr>
          <w:i/>
          <w:sz w:val="24"/>
          <w:szCs w:val="24"/>
        </w:rPr>
        <w:t>Castra Praetoria</w:t>
      </w:r>
      <w:r w:rsidR="00B6603F" w:rsidRPr="00B6603F">
        <w:rPr>
          <w:i/>
          <w:sz w:val="24"/>
          <w:szCs w:val="24"/>
        </w:rPr>
        <w:t>,</w:t>
      </w:r>
      <w:r w:rsidRPr="00B6603F">
        <w:rPr>
          <w:sz w:val="24"/>
          <w:szCs w:val="24"/>
        </w:rPr>
        <w:t xml:space="preserve"> which had been destroyed by Constantine. Thei</w:t>
      </w:r>
      <w:r w:rsidR="00E10D9D" w:rsidRPr="00B6603F">
        <w:rPr>
          <w:sz w:val="24"/>
          <w:szCs w:val="24"/>
        </w:rPr>
        <w:t>r inclusion indicates that the</w:t>
      </w:r>
      <w:r w:rsidRPr="00B6603F">
        <w:rPr>
          <w:sz w:val="24"/>
          <w:szCs w:val="24"/>
        </w:rPr>
        <w:t xml:space="preserve"> </w:t>
      </w:r>
      <w:r w:rsidRPr="00B6603F">
        <w:rPr>
          <w:i/>
          <w:sz w:val="24"/>
          <w:szCs w:val="24"/>
        </w:rPr>
        <w:t>Regionaries</w:t>
      </w:r>
      <w:r w:rsidRPr="00B6603F">
        <w:rPr>
          <w:sz w:val="24"/>
          <w:szCs w:val="24"/>
        </w:rPr>
        <w:t xml:space="preserve"> existed in some form before AD 312 and Constantine’s victory. It seems uncharacteristic of a Roman </w:t>
      </w:r>
      <w:r w:rsidR="0087599E">
        <w:rPr>
          <w:sz w:val="24"/>
          <w:szCs w:val="24"/>
        </w:rPr>
        <w:t>e</w:t>
      </w:r>
      <w:r w:rsidR="008B44B0">
        <w:rPr>
          <w:sz w:val="24"/>
          <w:szCs w:val="24"/>
        </w:rPr>
        <w:t>mperor</w:t>
      </w:r>
      <w:r w:rsidRPr="00B6603F">
        <w:rPr>
          <w:sz w:val="24"/>
          <w:szCs w:val="24"/>
        </w:rPr>
        <w:t xml:space="preserve"> to create a document that would include buildings </w:t>
      </w:r>
      <w:r w:rsidR="00B6603F" w:rsidRPr="00B6603F">
        <w:rPr>
          <w:sz w:val="24"/>
          <w:szCs w:val="24"/>
        </w:rPr>
        <w:t xml:space="preserve">associated with </w:t>
      </w:r>
      <w:r w:rsidRPr="00B6603F">
        <w:rPr>
          <w:sz w:val="24"/>
          <w:szCs w:val="24"/>
        </w:rPr>
        <w:t>his rival and bizarre to include any that he had himself demolished</w:t>
      </w:r>
      <w:r w:rsidR="00D534AA" w:rsidRPr="00B6603F">
        <w:rPr>
          <w:sz w:val="24"/>
          <w:szCs w:val="24"/>
        </w:rPr>
        <w:t xml:space="preserve">. </w:t>
      </w:r>
      <w:r w:rsidR="00B6603F" w:rsidRPr="00B6603F">
        <w:rPr>
          <w:sz w:val="24"/>
          <w:szCs w:val="24"/>
        </w:rPr>
        <w:t xml:space="preserve">Assuming </w:t>
      </w:r>
      <w:r w:rsidR="008B44B0">
        <w:rPr>
          <w:sz w:val="24"/>
          <w:szCs w:val="24"/>
        </w:rPr>
        <w:t>imperial</w:t>
      </w:r>
      <w:r w:rsidR="00B6603F" w:rsidRPr="00B6603F">
        <w:rPr>
          <w:sz w:val="24"/>
          <w:szCs w:val="24"/>
        </w:rPr>
        <w:t xml:space="preserve"> involvement in the revisions, when the Constantinian layers we</w:t>
      </w:r>
      <w:r w:rsidR="00D534AA" w:rsidRPr="00B6603F">
        <w:rPr>
          <w:sz w:val="24"/>
          <w:szCs w:val="24"/>
        </w:rPr>
        <w:t>re added later on</w:t>
      </w:r>
      <w:r w:rsidR="004F2C33" w:rsidRPr="00B6603F">
        <w:rPr>
          <w:sz w:val="24"/>
          <w:szCs w:val="24"/>
        </w:rPr>
        <w:t>, Constantine would be sufficiently secure in his power that he need not delete outright his rival’s buildings and could instead afford to repurpose them</w:t>
      </w:r>
      <w:r w:rsidRPr="00B6603F">
        <w:rPr>
          <w:sz w:val="24"/>
          <w:szCs w:val="24"/>
        </w:rPr>
        <w:t>. This</w:t>
      </w:r>
      <w:r w:rsidR="00E10D9D" w:rsidRPr="00B6603F">
        <w:rPr>
          <w:sz w:val="24"/>
          <w:szCs w:val="24"/>
        </w:rPr>
        <w:t>,</w:t>
      </w:r>
      <w:r w:rsidRPr="00B6603F">
        <w:rPr>
          <w:sz w:val="24"/>
          <w:szCs w:val="24"/>
        </w:rPr>
        <w:t xml:space="preserve"> I would argue</w:t>
      </w:r>
      <w:r w:rsidR="00E10D9D" w:rsidRPr="00B6603F">
        <w:rPr>
          <w:sz w:val="24"/>
          <w:szCs w:val="24"/>
        </w:rPr>
        <w:t>,</w:t>
      </w:r>
      <w:r w:rsidRPr="00B6603F">
        <w:rPr>
          <w:sz w:val="24"/>
          <w:szCs w:val="24"/>
        </w:rPr>
        <w:t xml:space="preserve"> is an indication that</w:t>
      </w:r>
      <w:r w:rsidR="00B6603F" w:rsidRPr="00B6603F">
        <w:rPr>
          <w:sz w:val="24"/>
          <w:szCs w:val="24"/>
        </w:rPr>
        <w:t xml:space="preserve"> the</w:t>
      </w:r>
      <w:r w:rsidRPr="00B6603F">
        <w:rPr>
          <w:sz w:val="24"/>
          <w:szCs w:val="24"/>
        </w:rPr>
        <w:t xml:space="preserve"> </w:t>
      </w:r>
      <w:r w:rsidRPr="00B6603F">
        <w:rPr>
          <w:i/>
          <w:sz w:val="24"/>
          <w:szCs w:val="24"/>
        </w:rPr>
        <w:t>Regionaries</w:t>
      </w:r>
      <w:r w:rsidRPr="00B6603F">
        <w:rPr>
          <w:sz w:val="24"/>
          <w:szCs w:val="24"/>
        </w:rPr>
        <w:t xml:space="preserve"> existed in some form or other before Constantine a</w:t>
      </w:r>
      <w:r w:rsidR="00B6603F" w:rsidRPr="00B6603F">
        <w:rPr>
          <w:sz w:val="24"/>
          <w:szCs w:val="24"/>
        </w:rPr>
        <w:t>nd that he merely re-purposed them</w:t>
      </w:r>
      <w:r w:rsidRPr="00B6603F">
        <w:rPr>
          <w:sz w:val="24"/>
          <w:szCs w:val="24"/>
        </w:rPr>
        <w:t>. Since the Constantinian date</w:t>
      </w:r>
      <w:r w:rsidR="00B6603F" w:rsidRPr="00B6603F">
        <w:rPr>
          <w:sz w:val="24"/>
          <w:szCs w:val="24"/>
        </w:rPr>
        <w:t xml:space="preserve">s of the </w:t>
      </w:r>
      <w:r w:rsidR="00B6603F" w:rsidRPr="00B6603F">
        <w:rPr>
          <w:i/>
          <w:sz w:val="24"/>
          <w:szCs w:val="24"/>
        </w:rPr>
        <w:t>Regionaries</w:t>
      </w:r>
      <w:r w:rsidR="00B6603F" w:rsidRPr="00B6603F">
        <w:rPr>
          <w:sz w:val="24"/>
          <w:szCs w:val="24"/>
        </w:rPr>
        <w:t xml:space="preserve"> have</w:t>
      </w:r>
      <w:r w:rsidRPr="00B6603F">
        <w:rPr>
          <w:sz w:val="24"/>
          <w:szCs w:val="24"/>
        </w:rPr>
        <w:t xml:space="preserve"> been </w:t>
      </w:r>
      <w:r w:rsidR="00B6603F" w:rsidRPr="00B6603F">
        <w:rPr>
          <w:sz w:val="24"/>
          <w:szCs w:val="24"/>
        </w:rPr>
        <w:t xml:space="preserve">easily </w:t>
      </w:r>
      <w:r w:rsidRPr="00B6603F">
        <w:rPr>
          <w:sz w:val="24"/>
          <w:szCs w:val="24"/>
        </w:rPr>
        <w:t>established</w:t>
      </w:r>
      <w:r w:rsidR="00B6603F" w:rsidRPr="00B6603F">
        <w:rPr>
          <w:sz w:val="24"/>
          <w:szCs w:val="24"/>
        </w:rPr>
        <w:t xml:space="preserve"> </w:t>
      </w:r>
      <w:r w:rsidRPr="00B6603F">
        <w:rPr>
          <w:sz w:val="24"/>
          <w:szCs w:val="24"/>
        </w:rPr>
        <w:t>with Constantine’s construction work in Rome</w:t>
      </w:r>
      <w:r w:rsidR="00B6603F" w:rsidRPr="00B6603F">
        <w:rPr>
          <w:sz w:val="24"/>
          <w:szCs w:val="24"/>
        </w:rPr>
        <w:t xml:space="preserve"> and </w:t>
      </w:r>
      <w:r w:rsidR="00B6603F" w:rsidRPr="00B6603F">
        <w:rPr>
          <w:sz w:val="24"/>
          <w:szCs w:val="24"/>
        </w:rPr>
        <w:lastRenderedPageBreak/>
        <w:t xml:space="preserve">therefore providing a certain context for the </w:t>
      </w:r>
      <w:r w:rsidR="00B6603F" w:rsidRPr="00B6603F">
        <w:rPr>
          <w:i/>
          <w:sz w:val="24"/>
          <w:szCs w:val="24"/>
        </w:rPr>
        <w:t>Catalogues</w:t>
      </w:r>
      <w:r w:rsidRPr="00B6603F">
        <w:rPr>
          <w:sz w:val="24"/>
          <w:szCs w:val="24"/>
        </w:rPr>
        <w:t>, we must then ask what other contexts might be applicable.</w:t>
      </w:r>
      <w:r>
        <w:rPr>
          <w:sz w:val="24"/>
          <w:szCs w:val="24"/>
        </w:rPr>
        <w:t xml:space="preserve"> </w:t>
      </w:r>
    </w:p>
    <w:p w:rsidR="0081093D" w:rsidRPr="0029502A" w:rsidRDefault="0081093D" w:rsidP="00722391">
      <w:pPr>
        <w:spacing w:line="480" w:lineRule="auto"/>
        <w:ind w:firstLine="720"/>
        <w:jc w:val="both"/>
        <w:rPr>
          <w:sz w:val="24"/>
          <w:szCs w:val="24"/>
        </w:rPr>
      </w:pPr>
      <w:r>
        <w:rPr>
          <w:sz w:val="24"/>
          <w:szCs w:val="24"/>
        </w:rPr>
        <w:t>To provide this context for my analysis</w:t>
      </w:r>
      <w:r w:rsidR="00E10D9D">
        <w:rPr>
          <w:sz w:val="24"/>
          <w:szCs w:val="24"/>
        </w:rPr>
        <w:t>,</w:t>
      </w:r>
      <w:r>
        <w:rPr>
          <w:sz w:val="24"/>
          <w:szCs w:val="24"/>
        </w:rPr>
        <w:t xml:space="preserve"> I examined a monumental document similar to the </w:t>
      </w:r>
      <w:r>
        <w:rPr>
          <w:i/>
          <w:sz w:val="24"/>
          <w:szCs w:val="24"/>
        </w:rPr>
        <w:t>Regionaries</w:t>
      </w:r>
      <w:r>
        <w:rPr>
          <w:sz w:val="24"/>
          <w:szCs w:val="24"/>
        </w:rPr>
        <w:t xml:space="preserve"> in order to provide an investigative framework. The Severan Marble Plan, despite being physically different to the </w:t>
      </w:r>
      <w:r>
        <w:rPr>
          <w:i/>
          <w:sz w:val="24"/>
          <w:szCs w:val="24"/>
        </w:rPr>
        <w:t>Regionaries</w:t>
      </w:r>
      <w:r>
        <w:rPr>
          <w:sz w:val="24"/>
          <w:szCs w:val="24"/>
        </w:rPr>
        <w:t xml:space="preserve">, shares a number of similarities in content. We also have a definitive author for the Marble Plan, the </w:t>
      </w:r>
      <w:r w:rsidR="008B44B0">
        <w:rPr>
          <w:sz w:val="24"/>
          <w:szCs w:val="24"/>
        </w:rPr>
        <w:t>Emperor</w:t>
      </w:r>
      <w:r>
        <w:rPr>
          <w:sz w:val="24"/>
          <w:szCs w:val="24"/>
        </w:rPr>
        <w:t xml:space="preserve"> </w:t>
      </w:r>
      <w:r w:rsidR="008A797A">
        <w:rPr>
          <w:sz w:val="24"/>
          <w:szCs w:val="24"/>
        </w:rPr>
        <w:t>Septimius</w:t>
      </w:r>
      <w:r>
        <w:rPr>
          <w:sz w:val="24"/>
          <w:szCs w:val="24"/>
        </w:rPr>
        <w:t xml:space="preserve"> Severus. By examining the context and reasoning behind </w:t>
      </w:r>
      <w:r w:rsidR="008A797A">
        <w:rPr>
          <w:sz w:val="24"/>
          <w:szCs w:val="24"/>
        </w:rPr>
        <w:t>Septimius</w:t>
      </w:r>
      <w:r>
        <w:rPr>
          <w:sz w:val="24"/>
          <w:szCs w:val="24"/>
        </w:rPr>
        <w:t xml:space="preserve"> Severus’s creation of the Marble Plan, we saw that as an </w:t>
      </w:r>
      <w:r w:rsidR="00AE5718">
        <w:rPr>
          <w:sz w:val="24"/>
          <w:szCs w:val="24"/>
        </w:rPr>
        <w:t>e</w:t>
      </w:r>
      <w:r w:rsidR="008B44B0">
        <w:rPr>
          <w:sz w:val="24"/>
          <w:szCs w:val="24"/>
        </w:rPr>
        <w:t>mperor</w:t>
      </w:r>
      <w:r>
        <w:rPr>
          <w:sz w:val="24"/>
          <w:szCs w:val="24"/>
        </w:rPr>
        <w:t xml:space="preserve"> who seized power by military force</w:t>
      </w:r>
      <w:r w:rsidR="00E10D9D">
        <w:rPr>
          <w:sz w:val="24"/>
          <w:szCs w:val="24"/>
        </w:rPr>
        <w:t>,</w:t>
      </w:r>
      <w:r>
        <w:rPr>
          <w:sz w:val="24"/>
          <w:szCs w:val="24"/>
        </w:rPr>
        <w:t xml:space="preserve"> Severus needed to esta</w:t>
      </w:r>
      <w:r w:rsidR="00AE5718">
        <w:rPr>
          <w:sz w:val="24"/>
          <w:szCs w:val="24"/>
        </w:rPr>
        <w:t>blish his credibility with the senate and p</w:t>
      </w:r>
      <w:r>
        <w:rPr>
          <w:sz w:val="24"/>
          <w:szCs w:val="24"/>
        </w:rPr>
        <w:t xml:space="preserve">eople of Rome. This meant demonstrating the appropriate reverence for the traditions and history of the city, as well as more mundane reforms to the city’s administration. When this </w:t>
      </w:r>
      <w:r w:rsidR="004F2C33">
        <w:rPr>
          <w:sz w:val="24"/>
          <w:szCs w:val="24"/>
        </w:rPr>
        <w:t>is</w:t>
      </w:r>
      <w:r>
        <w:rPr>
          <w:sz w:val="24"/>
          <w:szCs w:val="24"/>
        </w:rPr>
        <w:t xml:space="preserve"> considered</w:t>
      </w:r>
      <w:r w:rsidR="004F2C33">
        <w:rPr>
          <w:sz w:val="24"/>
          <w:szCs w:val="24"/>
        </w:rPr>
        <w:t xml:space="preserve"> and applied to the </w:t>
      </w:r>
      <w:r w:rsidR="004F2C33">
        <w:rPr>
          <w:i/>
          <w:sz w:val="24"/>
          <w:szCs w:val="24"/>
        </w:rPr>
        <w:t>Regionary Catalogues</w:t>
      </w:r>
      <w:r w:rsidR="004F2C33">
        <w:rPr>
          <w:sz w:val="24"/>
          <w:szCs w:val="24"/>
        </w:rPr>
        <w:t xml:space="preserve"> it becomes apparent that this document may also have been commissioned by</w:t>
      </w:r>
      <w:r w:rsidR="008A5D40">
        <w:rPr>
          <w:sz w:val="24"/>
          <w:szCs w:val="24"/>
        </w:rPr>
        <w:t xml:space="preserve"> </w:t>
      </w:r>
      <w:r w:rsidR="004F2C33">
        <w:rPr>
          <w:sz w:val="24"/>
          <w:szCs w:val="24"/>
        </w:rPr>
        <w:t xml:space="preserve">an </w:t>
      </w:r>
      <w:r w:rsidR="008B44B0">
        <w:rPr>
          <w:sz w:val="24"/>
          <w:szCs w:val="24"/>
        </w:rPr>
        <w:t>emperor</w:t>
      </w:r>
      <w:r w:rsidR="008A5D40">
        <w:rPr>
          <w:sz w:val="24"/>
          <w:szCs w:val="24"/>
        </w:rPr>
        <w:t xml:space="preserve"> who </w:t>
      </w:r>
      <w:r>
        <w:rPr>
          <w:sz w:val="24"/>
          <w:szCs w:val="24"/>
        </w:rPr>
        <w:t>seized power by force, was focused on re-unifying the Empire and engaged in extensive reforms to the Urban Prefecture in order to accommodate his monumental architecture</w:t>
      </w:r>
      <w:r w:rsidR="004F2C33">
        <w:rPr>
          <w:sz w:val="24"/>
          <w:szCs w:val="24"/>
        </w:rPr>
        <w:t>. My analysis has shown that it was Aurelian who best fit</w:t>
      </w:r>
      <w:r w:rsidR="008A5D40">
        <w:rPr>
          <w:sz w:val="24"/>
          <w:szCs w:val="24"/>
        </w:rPr>
        <w:t>s</w:t>
      </w:r>
      <w:r w:rsidR="004F2C33">
        <w:rPr>
          <w:sz w:val="24"/>
          <w:szCs w:val="24"/>
        </w:rPr>
        <w:t xml:space="preserve"> this framework</w:t>
      </w:r>
      <w:r>
        <w:rPr>
          <w:sz w:val="24"/>
          <w:szCs w:val="24"/>
        </w:rPr>
        <w:t xml:space="preserve">. </w:t>
      </w:r>
      <w:r w:rsidR="00AE5718">
        <w:rPr>
          <w:sz w:val="24"/>
          <w:szCs w:val="24"/>
        </w:rPr>
        <w:t>A</w:t>
      </w:r>
      <w:r>
        <w:rPr>
          <w:sz w:val="24"/>
          <w:szCs w:val="24"/>
        </w:rPr>
        <w:t xml:space="preserve">ccompanying his construction of </w:t>
      </w:r>
      <w:r w:rsidR="00AE5718">
        <w:rPr>
          <w:sz w:val="24"/>
          <w:szCs w:val="24"/>
        </w:rPr>
        <w:t xml:space="preserve">the city’s new circuit of </w:t>
      </w:r>
      <w:r>
        <w:rPr>
          <w:sz w:val="24"/>
          <w:szCs w:val="24"/>
        </w:rPr>
        <w:t xml:space="preserve">wall, and in part to provide for it, Aurelian engaged in extensive reforms to the urban government of Rome, increasing the Urban Prefect’s administrative burden. The Urban Prefecture was the only repository of records detailed enough for the details of the </w:t>
      </w:r>
      <w:r>
        <w:rPr>
          <w:i/>
          <w:sz w:val="24"/>
          <w:szCs w:val="24"/>
        </w:rPr>
        <w:t>Regionaries</w:t>
      </w:r>
      <w:r w:rsidR="008A5D40">
        <w:rPr>
          <w:i/>
          <w:sz w:val="24"/>
          <w:szCs w:val="24"/>
        </w:rPr>
        <w:t>,</w:t>
      </w:r>
      <w:r>
        <w:rPr>
          <w:sz w:val="24"/>
          <w:szCs w:val="24"/>
        </w:rPr>
        <w:t xml:space="preserve"> such as lists of </w:t>
      </w:r>
      <w:r>
        <w:rPr>
          <w:i/>
          <w:sz w:val="24"/>
          <w:szCs w:val="24"/>
        </w:rPr>
        <w:t>balinea</w:t>
      </w:r>
      <w:r>
        <w:rPr>
          <w:sz w:val="24"/>
          <w:szCs w:val="24"/>
        </w:rPr>
        <w:t xml:space="preserve">, </w:t>
      </w:r>
      <w:r>
        <w:rPr>
          <w:i/>
          <w:sz w:val="24"/>
          <w:szCs w:val="24"/>
        </w:rPr>
        <w:t xml:space="preserve">lacus </w:t>
      </w:r>
      <w:r>
        <w:rPr>
          <w:sz w:val="24"/>
          <w:szCs w:val="24"/>
        </w:rPr>
        <w:t xml:space="preserve">and </w:t>
      </w:r>
      <w:r w:rsidR="00E10D9D">
        <w:rPr>
          <w:i/>
          <w:sz w:val="24"/>
          <w:szCs w:val="24"/>
        </w:rPr>
        <w:t>in</w:t>
      </w:r>
      <w:r>
        <w:rPr>
          <w:i/>
          <w:sz w:val="24"/>
          <w:szCs w:val="24"/>
        </w:rPr>
        <w:t>s</w:t>
      </w:r>
      <w:r w:rsidR="00E10D9D">
        <w:rPr>
          <w:i/>
          <w:sz w:val="24"/>
          <w:szCs w:val="24"/>
        </w:rPr>
        <w:t>u</w:t>
      </w:r>
      <w:r>
        <w:rPr>
          <w:i/>
          <w:sz w:val="24"/>
          <w:szCs w:val="24"/>
        </w:rPr>
        <w:t>lae</w:t>
      </w:r>
      <w:r>
        <w:rPr>
          <w:sz w:val="24"/>
          <w:szCs w:val="24"/>
        </w:rPr>
        <w:t xml:space="preserve">, details which would be necessary for the extensive architectural planning </w:t>
      </w:r>
      <w:r w:rsidR="00E10D9D">
        <w:rPr>
          <w:sz w:val="24"/>
          <w:szCs w:val="24"/>
        </w:rPr>
        <w:t xml:space="preserve">that </w:t>
      </w:r>
      <w:r>
        <w:rPr>
          <w:sz w:val="24"/>
          <w:szCs w:val="24"/>
        </w:rPr>
        <w:t>the Wall’s construction required. When we also consider the Roman form of administration</w:t>
      </w:r>
      <w:r w:rsidR="00E10D9D">
        <w:rPr>
          <w:sz w:val="24"/>
          <w:szCs w:val="24"/>
        </w:rPr>
        <w:t>,</w:t>
      </w:r>
      <w:r>
        <w:rPr>
          <w:sz w:val="24"/>
          <w:szCs w:val="24"/>
        </w:rPr>
        <w:t xml:space="preserve"> it stands to reason that the Urban Prefect would benefit from a document </w:t>
      </w:r>
      <w:r>
        <w:rPr>
          <w:sz w:val="24"/>
          <w:szCs w:val="24"/>
        </w:rPr>
        <w:lastRenderedPageBreak/>
        <w:t>that depicted those areas which may be affected either by the Wall’s construction or by Aurelian’s reforms.</w:t>
      </w:r>
    </w:p>
    <w:p w:rsidR="005C6C36" w:rsidRDefault="008902C4" w:rsidP="00972DCE">
      <w:pPr>
        <w:spacing w:line="480" w:lineRule="auto"/>
        <w:ind w:firstLine="720"/>
        <w:jc w:val="both"/>
        <w:rPr>
          <w:sz w:val="24"/>
          <w:szCs w:val="24"/>
        </w:rPr>
        <w:sectPr w:rsidR="005C6C36" w:rsidSect="005C6C36">
          <w:footerReference w:type="default" r:id="rId18"/>
          <w:pgSz w:w="11906" w:h="16838"/>
          <w:pgMar w:top="1440" w:right="1440" w:bottom="1440" w:left="1440" w:header="708" w:footer="708" w:gutter="0"/>
          <w:cols w:space="708"/>
          <w:docGrid w:linePitch="360"/>
        </w:sectPr>
      </w:pPr>
      <w:r>
        <w:rPr>
          <w:sz w:val="24"/>
          <w:szCs w:val="24"/>
        </w:rPr>
        <w:t>At this stage</w:t>
      </w:r>
      <w:r w:rsidR="00EF3B18">
        <w:rPr>
          <w:sz w:val="24"/>
          <w:szCs w:val="24"/>
        </w:rPr>
        <w:t xml:space="preserve"> I believe that</w:t>
      </w:r>
      <w:r>
        <w:rPr>
          <w:sz w:val="24"/>
          <w:szCs w:val="24"/>
        </w:rPr>
        <w:t xml:space="preserve"> Aurelian remains the most likely initial author in light of our limited evidence, but if we tested the hypothesis of an earlier production context we would be able to better confirm or deny this. However a</w:t>
      </w:r>
      <w:r w:rsidR="0081093D">
        <w:rPr>
          <w:sz w:val="24"/>
          <w:szCs w:val="24"/>
        </w:rPr>
        <w:t>n area</w:t>
      </w:r>
      <w:r w:rsidR="00E10D9D">
        <w:rPr>
          <w:sz w:val="24"/>
          <w:szCs w:val="24"/>
        </w:rPr>
        <w:t xml:space="preserve"> which</w:t>
      </w:r>
      <w:r w:rsidR="0081093D">
        <w:rPr>
          <w:sz w:val="24"/>
          <w:szCs w:val="24"/>
        </w:rPr>
        <w:t xml:space="preserve"> I would have like</w:t>
      </w:r>
      <w:r w:rsidR="00AC6F00">
        <w:rPr>
          <w:sz w:val="24"/>
          <w:szCs w:val="24"/>
        </w:rPr>
        <w:t>d</w:t>
      </w:r>
      <w:r w:rsidR="0081093D">
        <w:rPr>
          <w:sz w:val="24"/>
          <w:szCs w:val="24"/>
        </w:rPr>
        <w:t xml:space="preserve"> to cover in more depth is the relationship between the Marble Plan and the </w:t>
      </w:r>
      <w:r w:rsidR="0081093D">
        <w:rPr>
          <w:i/>
          <w:sz w:val="24"/>
          <w:szCs w:val="24"/>
        </w:rPr>
        <w:t>Regionaries</w:t>
      </w:r>
      <w:r w:rsidR="005D19C6">
        <w:rPr>
          <w:sz w:val="24"/>
          <w:szCs w:val="24"/>
        </w:rPr>
        <w:t>, particularly the hypothesis</w:t>
      </w:r>
      <w:r w:rsidR="0081093D">
        <w:rPr>
          <w:sz w:val="24"/>
          <w:szCs w:val="24"/>
        </w:rPr>
        <w:t xml:space="preserve"> that the </w:t>
      </w:r>
      <w:r w:rsidR="0081093D">
        <w:rPr>
          <w:i/>
          <w:sz w:val="24"/>
          <w:szCs w:val="24"/>
        </w:rPr>
        <w:t>Regionaries</w:t>
      </w:r>
      <w:r w:rsidR="0081093D">
        <w:rPr>
          <w:sz w:val="24"/>
          <w:szCs w:val="24"/>
        </w:rPr>
        <w:t xml:space="preserve"> served as a textual accompaniment to the Marble Plan. In this</w:t>
      </w:r>
      <w:r w:rsidR="00E10D9D">
        <w:rPr>
          <w:sz w:val="24"/>
          <w:szCs w:val="24"/>
        </w:rPr>
        <w:t>,</w:t>
      </w:r>
      <w:r w:rsidR="0081093D">
        <w:rPr>
          <w:sz w:val="24"/>
          <w:szCs w:val="24"/>
        </w:rPr>
        <w:t xml:space="preserve"> I would </w:t>
      </w:r>
      <w:r w:rsidR="00E10D9D">
        <w:rPr>
          <w:sz w:val="24"/>
          <w:szCs w:val="24"/>
        </w:rPr>
        <w:t xml:space="preserve">have </w:t>
      </w:r>
      <w:r w:rsidR="0081093D">
        <w:rPr>
          <w:sz w:val="24"/>
          <w:szCs w:val="24"/>
        </w:rPr>
        <w:t>hope</w:t>
      </w:r>
      <w:r w:rsidR="00E10D9D">
        <w:rPr>
          <w:sz w:val="24"/>
          <w:szCs w:val="24"/>
        </w:rPr>
        <w:t>d</w:t>
      </w:r>
      <w:r w:rsidR="0081093D">
        <w:rPr>
          <w:sz w:val="24"/>
          <w:szCs w:val="24"/>
        </w:rPr>
        <w:t xml:space="preserve"> to</w:t>
      </w:r>
      <w:r w:rsidR="0081093D" w:rsidRPr="00F603C3">
        <w:rPr>
          <w:sz w:val="24"/>
          <w:szCs w:val="24"/>
        </w:rPr>
        <w:t xml:space="preserve"> </w:t>
      </w:r>
      <w:r w:rsidR="0081093D">
        <w:rPr>
          <w:sz w:val="24"/>
          <w:szCs w:val="24"/>
        </w:rPr>
        <w:t xml:space="preserve">explore </w:t>
      </w:r>
      <w:r w:rsidR="008A797A">
        <w:rPr>
          <w:sz w:val="24"/>
          <w:szCs w:val="24"/>
        </w:rPr>
        <w:t>Septimius</w:t>
      </w:r>
      <w:r w:rsidR="008A5D40">
        <w:rPr>
          <w:sz w:val="24"/>
          <w:szCs w:val="24"/>
        </w:rPr>
        <w:t xml:space="preserve"> Severus’s motives</w:t>
      </w:r>
      <w:r w:rsidR="0081093D">
        <w:rPr>
          <w:sz w:val="24"/>
          <w:szCs w:val="24"/>
        </w:rPr>
        <w:t xml:space="preserve"> behind the creation of the Marble Plan and its intended uses and how the </w:t>
      </w:r>
      <w:r w:rsidR="0081093D">
        <w:rPr>
          <w:i/>
          <w:sz w:val="24"/>
          <w:szCs w:val="24"/>
        </w:rPr>
        <w:t>Regionaries</w:t>
      </w:r>
      <w:r w:rsidR="00E10D9D">
        <w:rPr>
          <w:sz w:val="24"/>
          <w:szCs w:val="24"/>
        </w:rPr>
        <w:t xml:space="preserve"> may have inspired or comple</w:t>
      </w:r>
      <w:r w:rsidR="0081093D">
        <w:rPr>
          <w:sz w:val="24"/>
          <w:szCs w:val="24"/>
        </w:rPr>
        <w:t>mented these. Furthermore</w:t>
      </w:r>
      <w:r w:rsidR="00E10D9D">
        <w:rPr>
          <w:sz w:val="24"/>
          <w:szCs w:val="24"/>
        </w:rPr>
        <w:t>,</w:t>
      </w:r>
      <w:r w:rsidR="0081093D">
        <w:rPr>
          <w:sz w:val="24"/>
          <w:szCs w:val="24"/>
        </w:rPr>
        <w:t xml:space="preserve"> I would </w:t>
      </w:r>
      <w:r w:rsidR="00E10D9D">
        <w:rPr>
          <w:sz w:val="24"/>
          <w:szCs w:val="24"/>
        </w:rPr>
        <w:t>have expected to</w:t>
      </w:r>
      <w:r w:rsidR="0081093D">
        <w:rPr>
          <w:sz w:val="24"/>
          <w:szCs w:val="24"/>
        </w:rPr>
        <w:t xml:space="preserve"> investigate the idea </w:t>
      </w:r>
      <w:r w:rsidR="00E10D9D">
        <w:rPr>
          <w:sz w:val="24"/>
          <w:szCs w:val="24"/>
        </w:rPr>
        <w:t>upon which</w:t>
      </w:r>
      <w:r w:rsidR="0081093D">
        <w:rPr>
          <w:sz w:val="24"/>
          <w:szCs w:val="24"/>
        </w:rPr>
        <w:t xml:space="preserve"> the Severan Marble Plan drew or</w:t>
      </w:r>
      <w:r w:rsidR="00E10D9D">
        <w:rPr>
          <w:sz w:val="24"/>
          <w:szCs w:val="24"/>
        </w:rPr>
        <w:t xml:space="preserve"> whether it</w:t>
      </w:r>
      <w:r w:rsidR="0081093D">
        <w:rPr>
          <w:sz w:val="24"/>
          <w:szCs w:val="24"/>
        </w:rPr>
        <w:t xml:space="preserve"> was a reconstruction of a Flavian Marble Plan.</w:t>
      </w:r>
      <w:r w:rsidR="0081093D">
        <w:rPr>
          <w:rStyle w:val="FootnoteReference"/>
          <w:sz w:val="24"/>
          <w:szCs w:val="24"/>
        </w:rPr>
        <w:footnoteReference w:id="438"/>
      </w:r>
      <w:r w:rsidR="00E10D9D">
        <w:rPr>
          <w:sz w:val="24"/>
          <w:szCs w:val="24"/>
        </w:rPr>
        <w:t xml:space="preserve"> Indeed, this would lead to exploring</w:t>
      </w:r>
      <w:r w:rsidR="0081093D">
        <w:rPr>
          <w:sz w:val="24"/>
          <w:szCs w:val="24"/>
        </w:rPr>
        <w:t xml:space="preserve"> the possibility of an</w:t>
      </w:r>
      <w:r w:rsidR="004F2C33">
        <w:rPr>
          <w:sz w:val="24"/>
          <w:szCs w:val="24"/>
        </w:rPr>
        <w:t xml:space="preserve"> even</w:t>
      </w:r>
      <w:r w:rsidR="0081093D">
        <w:rPr>
          <w:sz w:val="24"/>
          <w:szCs w:val="24"/>
        </w:rPr>
        <w:t xml:space="preserve"> earlier genesis for the </w:t>
      </w:r>
      <w:r w:rsidR="0081093D">
        <w:rPr>
          <w:i/>
          <w:sz w:val="24"/>
          <w:szCs w:val="24"/>
        </w:rPr>
        <w:t>Regionaries</w:t>
      </w:r>
      <w:r w:rsidR="0081093D">
        <w:rPr>
          <w:sz w:val="24"/>
          <w:szCs w:val="24"/>
        </w:rPr>
        <w:t xml:space="preserve"> or the possibilities that both the Marble Plan and the </w:t>
      </w:r>
      <w:r w:rsidR="0081093D">
        <w:rPr>
          <w:i/>
          <w:sz w:val="24"/>
          <w:szCs w:val="24"/>
        </w:rPr>
        <w:t>Regionaries</w:t>
      </w:r>
      <w:r w:rsidR="0081093D">
        <w:rPr>
          <w:sz w:val="24"/>
          <w:szCs w:val="24"/>
        </w:rPr>
        <w:t xml:space="preserve"> are the continuation of a particular genre of administrative documents</w:t>
      </w:r>
      <w:r w:rsidR="004F2C33">
        <w:rPr>
          <w:sz w:val="24"/>
          <w:szCs w:val="24"/>
        </w:rPr>
        <w:t xml:space="preserve">. </w:t>
      </w:r>
      <w:r w:rsidR="0081093D">
        <w:rPr>
          <w:sz w:val="24"/>
          <w:szCs w:val="24"/>
        </w:rPr>
        <w:t xml:space="preserve">Another significant area of potential research that I </w:t>
      </w:r>
      <w:r w:rsidR="008A5D40">
        <w:rPr>
          <w:sz w:val="24"/>
          <w:szCs w:val="24"/>
        </w:rPr>
        <w:t>had to leave unexplored</w:t>
      </w:r>
      <w:r w:rsidR="0081093D">
        <w:rPr>
          <w:sz w:val="24"/>
          <w:szCs w:val="24"/>
        </w:rPr>
        <w:t xml:space="preserve"> is the relationship of Constantine’s administrative reforms to the </w:t>
      </w:r>
      <w:r w:rsidR="0081093D">
        <w:rPr>
          <w:i/>
          <w:sz w:val="24"/>
          <w:szCs w:val="24"/>
        </w:rPr>
        <w:t>Regionaries</w:t>
      </w:r>
      <w:r w:rsidR="0081093D">
        <w:rPr>
          <w:sz w:val="24"/>
          <w:szCs w:val="24"/>
        </w:rPr>
        <w:t xml:space="preserve">. Whilst the </w:t>
      </w:r>
      <w:r w:rsidR="0081093D">
        <w:rPr>
          <w:i/>
          <w:sz w:val="24"/>
          <w:szCs w:val="24"/>
        </w:rPr>
        <w:t>Regionaries</w:t>
      </w:r>
      <w:r w:rsidR="00E10D9D">
        <w:rPr>
          <w:sz w:val="24"/>
          <w:szCs w:val="24"/>
        </w:rPr>
        <w:t xml:space="preserve"> are</w:t>
      </w:r>
      <w:r w:rsidR="0081093D">
        <w:rPr>
          <w:sz w:val="24"/>
          <w:szCs w:val="24"/>
        </w:rPr>
        <w:t xml:space="preserve"> unlikely to have been created under Constantine, it is clear from the history of the document’s layers that Constantine’s administration saw significant updates to the </w:t>
      </w:r>
      <w:r w:rsidR="0081093D">
        <w:rPr>
          <w:i/>
          <w:sz w:val="24"/>
          <w:szCs w:val="24"/>
        </w:rPr>
        <w:t>Regionaries</w:t>
      </w:r>
      <w:r w:rsidR="0081093D">
        <w:rPr>
          <w:sz w:val="24"/>
          <w:szCs w:val="24"/>
        </w:rPr>
        <w:t xml:space="preserve">. It would also be interesting to explore the comparison between </w:t>
      </w:r>
      <w:r w:rsidR="008A797A">
        <w:rPr>
          <w:sz w:val="24"/>
          <w:szCs w:val="24"/>
        </w:rPr>
        <w:t>Septimius</w:t>
      </w:r>
      <w:r w:rsidR="0081093D">
        <w:rPr>
          <w:sz w:val="24"/>
          <w:szCs w:val="24"/>
        </w:rPr>
        <w:t xml:space="preserve"> Severus and Constantine in greater detail to</w:t>
      </w:r>
      <w:r w:rsidR="008A5D40">
        <w:rPr>
          <w:sz w:val="24"/>
          <w:szCs w:val="24"/>
        </w:rPr>
        <w:t xml:space="preserve"> both</w:t>
      </w:r>
      <w:r w:rsidR="0081093D">
        <w:rPr>
          <w:sz w:val="24"/>
          <w:szCs w:val="24"/>
        </w:rPr>
        <w:t xml:space="preserve"> provide further context for the </w:t>
      </w:r>
      <w:r w:rsidR="0081093D">
        <w:rPr>
          <w:i/>
          <w:sz w:val="24"/>
          <w:szCs w:val="24"/>
        </w:rPr>
        <w:t>Regionaries</w:t>
      </w:r>
      <w:r w:rsidR="0081093D">
        <w:rPr>
          <w:sz w:val="24"/>
          <w:szCs w:val="24"/>
        </w:rPr>
        <w:t xml:space="preserve"> uses in the time of Constantine and explore the challenges facing usurper </w:t>
      </w:r>
      <w:r w:rsidR="0087599E">
        <w:rPr>
          <w:sz w:val="24"/>
          <w:szCs w:val="24"/>
        </w:rPr>
        <w:t>emperors</w:t>
      </w:r>
      <w:r w:rsidR="0081093D">
        <w:rPr>
          <w:sz w:val="24"/>
          <w:szCs w:val="24"/>
        </w:rPr>
        <w:t xml:space="preserve">. An extension of this would be to explore the role the </w:t>
      </w:r>
      <w:r w:rsidR="0081093D">
        <w:rPr>
          <w:i/>
          <w:sz w:val="24"/>
          <w:szCs w:val="24"/>
        </w:rPr>
        <w:t>Regionaries</w:t>
      </w:r>
      <w:r w:rsidR="0081093D">
        <w:rPr>
          <w:sz w:val="24"/>
          <w:szCs w:val="24"/>
        </w:rPr>
        <w:t xml:space="preserve"> played as a plan/model for Constantine’s </w:t>
      </w:r>
      <w:r w:rsidR="0081093D">
        <w:rPr>
          <w:i/>
          <w:sz w:val="24"/>
          <w:szCs w:val="24"/>
        </w:rPr>
        <w:t>Nova Roma</w:t>
      </w:r>
      <w:r w:rsidR="0081093D">
        <w:rPr>
          <w:sz w:val="24"/>
          <w:szCs w:val="24"/>
        </w:rPr>
        <w:t xml:space="preserve">, Constantinople. The </w:t>
      </w:r>
      <w:r w:rsidR="0081093D">
        <w:rPr>
          <w:i/>
          <w:sz w:val="24"/>
          <w:szCs w:val="24"/>
        </w:rPr>
        <w:t>Regionaries</w:t>
      </w:r>
      <w:r w:rsidR="0081093D">
        <w:rPr>
          <w:sz w:val="24"/>
          <w:szCs w:val="24"/>
        </w:rPr>
        <w:t xml:space="preserve"> depict the greatest monuments of Rome’s history and </w:t>
      </w:r>
      <w:r w:rsidR="0081093D">
        <w:rPr>
          <w:sz w:val="24"/>
          <w:szCs w:val="24"/>
        </w:rPr>
        <w:lastRenderedPageBreak/>
        <w:t>those administrative aspects that were some of its most important traditions</w:t>
      </w:r>
      <w:r w:rsidR="00E10D9D">
        <w:rPr>
          <w:sz w:val="24"/>
          <w:szCs w:val="24"/>
        </w:rPr>
        <w:t>,</w:t>
      </w:r>
      <w:r w:rsidR="0081093D">
        <w:rPr>
          <w:sz w:val="24"/>
          <w:szCs w:val="24"/>
        </w:rPr>
        <w:t xml:space="preserve"> and it is these things that Constantine would be looking </w:t>
      </w:r>
      <w:r w:rsidR="00972DCE">
        <w:rPr>
          <w:sz w:val="24"/>
          <w:szCs w:val="24"/>
        </w:rPr>
        <w:t xml:space="preserve">to recreate in his </w:t>
      </w:r>
      <w:r>
        <w:rPr>
          <w:sz w:val="24"/>
          <w:szCs w:val="24"/>
        </w:rPr>
        <w:t>new capital.</w:t>
      </w:r>
    </w:p>
    <w:p w:rsidR="005C6C36" w:rsidRPr="00972DCE" w:rsidRDefault="005C6C36" w:rsidP="005C6C36">
      <w:pPr>
        <w:jc w:val="center"/>
        <w:rPr>
          <w:b/>
          <w:sz w:val="32"/>
          <w:szCs w:val="32"/>
          <w:u w:val="single"/>
        </w:rPr>
      </w:pPr>
      <w:bookmarkStart w:id="1" w:name="OLE_LINK1"/>
      <w:r>
        <w:rPr>
          <w:b/>
          <w:sz w:val="32"/>
          <w:szCs w:val="32"/>
          <w:u w:val="single"/>
        </w:rPr>
        <w:lastRenderedPageBreak/>
        <w:t>Appendix</w:t>
      </w:r>
      <w:r w:rsidR="002456E3">
        <w:rPr>
          <w:b/>
          <w:sz w:val="32"/>
          <w:szCs w:val="32"/>
          <w:u w:val="single"/>
        </w:rPr>
        <w:t xml:space="preserve"> One</w:t>
      </w:r>
      <w:r>
        <w:rPr>
          <w:b/>
          <w:sz w:val="32"/>
          <w:szCs w:val="32"/>
          <w:u w:val="single"/>
        </w:rPr>
        <w:t xml:space="preserve">: The Differences between the </w:t>
      </w:r>
      <w:r>
        <w:rPr>
          <w:b/>
          <w:i/>
          <w:sz w:val="32"/>
          <w:szCs w:val="32"/>
          <w:u w:val="single"/>
        </w:rPr>
        <w:t xml:space="preserve">Curiosum </w:t>
      </w:r>
      <w:r>
        <w:rPr>
          <w:b/>
          <w:sz w:val="32"/>
          <w:szCs w:val="32"/>
          <w:u w:val="single"/>
        </w:rPr>
        <w:t xml:space="preserve">and the </w:t>
      </w:r>
      <w:r>
        <w:rPr>
          <w:b/>
          <w:i/>
          <w:sz w:val="32"/>
          <w:szCs w:val="32"/>
          <w:u w:val="single"/>
        </w:rPr>
        <w:t>Notitia</w:t>
      </w:r>
      <w:r w:rsidR="00972DCE" w:rsidRPr="00C378A6">
        <w:rPr>
          <w:rStyle w:val="FootnoteReference"/>
          <w:b/>
          <w:i/>
          <w:sz w:val="32"/>
          <w:szCs w:val="32"/>
          <w:u w:val="single"/>
        </w:rPr>
        <w:footnoteReference w:id="439"/>
      </w:r>
    </w:p>
    <w:tbl>
      <w:tblPr>
        <w:tblStyle w:val="TableGrid"/>
        <w:tblW w:w="0" w:type="auto"/>
        <w:tblLayout w:type="fixed"/>
        <w:tblLook w:val="04A0" w:firstRow="1" w:lastRow="0" w:firstColumn="1" w:lastColumn="0" w:noHBand="0" w:noVBand="1"/>
      </w:tblPr>
      <w:tblGrid>
        <w:gridCol w:w="1264"/>
        <w:gridCol w:w="3438"/>
        <w:gridCol w:w="4251"/>
        <w:gridCol w:w="2551"/>
        <w:gridCol w:w="2670"/>
      </w:tblGrid>
      <w:tr w:rsidR="005C6C36" w:rsidRPr="00652AB0" w:rsidTr="00EA0C5F">
        <w:trPr>
          <w:trHeight w:val="1635"/>
        </w:trPr>
        <w:tc>
          <w:tcPr>
            <w:tcW w:w="14174" w:type="dxa"/>
            <w:gridSpan w:val="5"/>
            <w:noWrap/>
            <w:hideMark/>
          </w:tcPr>
          <w:p w:rsidR="005C6C36" w:rsidRPr="00652AB0" w:rsidRDefault="005C6C36" w:rsidP="005C6C36">
            <w:pPr>
              <w:rPr>
                <w:rFonts w:ascii="Calibri" w:eastAsia="Times New Roman" w:hAnsi="Calibri" w:cs="Times New Roman"/>
                <w:sz w:val="24"/>
                <w:szCs w:val="24"/>
                <w:lang w:eastAsia="en-GB"/>
              </w:rPr>
            </w:pPr>
            <w:r w:rsidRPr="00652AB0">
              <w:rPr>
                <w:rFonts w:ascii="Calibri" w:eastAsia="Times New Roman" w:hAnsi="Calibri" w:cs="Times New Roman"/>
                <w:sz w:val="24"/>
                <w:szCs w:val="24"/>
                <w:lang w:eastAsia="en-GB"/>
              </w:rPr>
              <w:t xml:space="preserve">Here are the differences in content between the </w:t>
            </w:r>
            <w:r w:rsidRPr="00652AB0">
              <w:rPr>
                <w:rFonts w:ascii="Calibri" w:eastAsia="Times New Roman" w:hAnsi="Calibri" w:cs="Times New Roman"/>
                <w:i/>
                <w:iCs/>
                <w:sz w:val="24"/>
                <w:szCs w:val="24"/>
                <w:lang w:eastAsia="en-GB"/>
              </w:rPr>
              <w:t>Curiosum</w:t>
            </w:r>
            <w:r w:rsidRPr="00652AB0">
              <w:rPr>
                <w:rFonts w:ascii="Calibri" w:eastAsia="Times New Roman" w:hAnsi="Calibri" w:cs="Times New Roman"/>
                <w:sz w:val="24"/>
                <w:szCs w:val="24"/>
                <w:lang w:eastAsia="en-GB"/>
              </w:rPr>
              <w:t xml:space="preserve"> and the </w:t>
            </w:r>
            <w:r w:rsidRPr="00652AB0">
              <w:rPr>
                <w:rFonts w:ascii="Calibri" w:eastAsia="Times New Roman" w:hAnsi="Calibri" w:cs="Times New Roman"/>
                <w:i/>
                <w:iCs/>
                <w:sz w:val="24"/>
                <w:szCs w:val="24"/>
                <w:lang w:eastAsia="en-GB"/>
              </w:rPr>
              <w:t>Notitia. A</w:t>
            </w:r>
            <w:r w:rsidRPr="00652AB0">
              <w:rPr>
                <w:rFonts w:ascii="Calibri" w:eastAsia="Times New Roman" w:hAnsi="Calibri" w:cs="Times New Roman"/>
                <w:sz w:val="24"/>
                <w:szCs w:val="24"/>
                <w:lang w:eastAsia="en-GB"/>
              </w:rPr>
              <w:t>lso included are the figures from the end of each area and the totals of all the Regions in the Appendices. Unique Items appear in only one or the other, Similar items are those where one of the items appears in both MS but in one there is an addition or subtle change (as in an extra item added to another or the same buildings with two names). Included in the "Similar" group are those items that are duplicated in both documents but</w:t>
            </w:r>
            <w:r>
              <w:rPr>
                <w:rFonts w:ascii="Calibri" w:eastAsia="Times New Roman" w:hAnsi="Calibri" w:cs="Times New Roman"/>
                <w:sz w:val="24"/>
                <w:szCs w:val="24"/>
                <w:lang w:eastAsia="en-GB"/>
              </w:rPr>
              <w:t xml:space="preserve"> appear in a different fashion I.E</w:t>
            </w:r>
            <w:r w:rsidRPr="00652AB0">
              <w:rPr>
                <w:rFonts w:ascii="Calibri" w:eastAsia="Times New Roman" w:hAnsi="Calibri" w:cs="Times New Roman"/>
                <w:sz w:val="24"/>
                <w:szCs w:val="24"/>
                <w:lang w:eastAsia="en-GB"/>
              </w:rPr>
              <w:t xml:space="preserve"> the </w:t>
            </w:r>
            <w:r w:rsidRPr="00652AB0">
              <w:rPr>
                <w:rFonts w:ascii="Calibri" w:eastAsia="Times New Roman" w:hAnsi="Calibri" w:cs="Times New Roman"/>
                <w:i/>
                <w:iCs/>
                <w:sz w:val="24"/>
                <w:szCs w:val="24"/>
                <w:lang w:eastAsia="en-GB"/>
              </w:rPr>
              <w:t xml:space="preserve">Curiosum </w:t>
            </w:r>
            <w:r w:rsidRPr="00652AB0">
              <w:rPr>
                <w:rFonts w:ascii="Calibri" w:eastAsia="Times New Roman" w:hAnsi="Calibri" w:cs="Times New Roman"/>
                <w:sz w:val="24"/>
                <w:szCs w:val="24"/>
                <w:lang w:eastAsia="en-GB"/>
              </w:rPr>
              <w:t xml:space="preserve">lists the </w:t>
            </w:r>
            <w:r w:rsidRPr="00EA0C5F">
              <w:rPr>
                <w:rFonts w:ascii="Calibri" w:eastAsia="Times New Roman" w:hAnsi="Calibri" w:cs="Times New Roman"/>
                <w:i/>
                <w:sz w:val="24"/>
                <w:szCs w:val="24"/>
                <w:lang w:eastAsia="en-GB"/>
              </w:rPr>
              <w:t>thermas Constantinianas</w:t>
            </w:r>
            <w:r w:rsidRPr="00652AB0">
              <w:rPr>
                <w:rFonts w:ascii="Calibri" w:eastAsia="Times New Roman" w:hAnsi="Calibri" w:cs="Times New Roman"/>
                <w:sz w:val="24"/>
                <w:szCs w:val="24"/>
                <w:lang w:eastAsia="en-GB"/>
              </w:rPr>
              <w:t xml:space="preserve"> and </w:t>
            </w:r>
            <w:r w:rsidRPr="00EA0C5F">
              <w:rPr>
                <w:rFonts w:ascii="Calibri" w:eastAsia="Times New Roman" w:hAnsi="Calibri" w:cs="Times New Roman"/>
                <w:i/>
                <w:sz w:val="24"/>
                <w:szCs w:val="24"/>
                <w:lang w:eastAsia="en-GB"/>
              </w:rPr>
              <w:t>thermas Diocletianas</w:t>
            </w:r>
            <w:r w:rsidRPr="00652AB0">
              <w:rPr>
                <w:rFonts w:ascii="Calibri" w:eastAsia="Times New Roman" w:hAnsi="Calibri" w:cs="Times New Roman"/>
                <w:sz w:val="24"/>
                <w:szCs w:val="24"/>
                <w:lang w:eastAsia="en-GB"/>
              </w:rPr>
              <w:t xml:space="preserve">, whereas the </w:t>
            </w:r>
            <w:r w:rsidRPr="00652AB0">
              <w:rPr>
                <w:rFonts w:ascii="Calibri" w:eastAsia="Times New Roman" w:hAnsi="Calibri" w:cs="Times New Roman"/>
                <w:i/>
                <w:iCs/>
                <w:sz w:val="24"/>
                <w:szCs w:val="24"/>
                <w:lang w:eastAsia="en-GB"/>
              </w:rPr>
              <w:t>Notitia</w:t>
            </w:r>
            <w:r w:rsidRPr="00652AB0">
              <w:rPr>
                <w:rFonts w:ascii="Calibri" w:eastAsia="Times New Roman" w:hAnsi="Calibri" w:cs="Times New Roman"/>
                <w:sz w:val="24"/>
                <w:szCs w:val="24"/>
                <w:lang w:eastAsia="en-GB"/>
              </w:rPr>
              <w:t xml:space="preserve"> lists them as the t</w:t>
            </w:r>
            <w:r w:rsidRPr="00EA0C5F">
              <w:rPr>
                <w:rFonts w:ascii="Calibri" w:eastAsia="Times New Roman" w:hAnsi="Calibri" w:cs="Times New Roman"/>
                <w:i/>
                <w:sz w:val="24"/>
                <w:szCs w:val="24"/>
                <w:lang w:eastAsia="en-GB"/>
              </w:rPr>
              <w:t>hermas Diocletianas et Constantinianas</w:t>
            </w:r>
            <w:r w:rsidRPr="00652AB0">
              <w:rPr>
                <w:rFonts w:ascii="Calibri" w:eastAsia="Times New Roman" w:hAnsi="Calibri" w:cs="Times New Roman"/>
                <w:sz w:val="24"/>
                <w:szCs w:val="24"/>
                <w:lang w:eastAsia="en-GB"/>
              </w:rPr>
              <w:t>.</w:t>
            </w: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EA0C5F" w:rsidRDefault="005C6C36" w:rsidP="005C6C36">
            <w:pPr>
              <w:rPr>
                <w:rFonts w:eastAsia="Times New Roman" w:cstheme="minorHAnsi"/>
                <w:b/>
                <w:sz w:val="24"/>
                <w:szCs w:val="24"/>
                <w:u w:val="single"/>
                <w:lang w:eastAsia="en-GB"/>
              </w:rPr>
            </w:pPr>
            <w:r w:rsidRPr="00EA0C5F">
              <w:rPr>
                <w:rFonts w:eastAsia="Times New Roman" w:cstheme="minorHAnsi"/>
                <w:b/>
                <w:sz w:val="24"/>
                <w:szCs w:val="24"/>
                <w:u w:val="single"/>
                <w:lang w:eastAsia="en-GB"/>
              </w:rPr>
              <w:t>Curiosum</w:t>
            </w:r>
          </w:p>
        </w:tc>
        <w:tc>
          <w:tcPr>
            <w:tcW w:w="4251" w:type="dxa"/>
            <w:noWrap/>
            <w:hideMark/>
          </w:tcPr>
          <w:p w:rsidR="005C6C36" w:rsidRPr="00EA0C5F" w:rsidRDefault="005C6C36" w:rsidP="005C6C36">
            <w:pPr>
              <w:rPr>
                <w:rFonts w:eastAsia="Times New Roman" w:cstheme="minorHAnsi"/>
                <w:b/>
                <w:sz w:val="24"/>
                <w:szCs w:val="24"/>
                <w:u w:val="single"/>
                <w:lang w:eastAsia="en-GB"/>
              </w:rPr>
            </w:pPr>
            <w:r w:rsidRPr="00EA0C5F">
              <w:rPr>
                <w:rFonts w:eastAsia="Times New Roman" w:cstheme="minorHAnsi"/>
                <w:b/>
                <w:sz w:val="24"/>
                <w:szCs w:val="24"/>
                <w:u w:val="single"/>
                <w:lang w:eastAsia="en-GB"/>
              </w:rPr>
              <w:t xml:space="preserve">Notitia </w:t>
            </w:r>
          </w:p>
        </w:tc>
        <w:tc>
          <w:tcPr>
            <w:tcW w:w="2551" w:type="dxa"/>
            <w:noWrap/>
            <w:hideMark/>
          </w:tcPr>
          <w:p w:rsidR="005C6C36" w:rsidRPr="00EA0C5F" w:rsidRDefault="005C6C36" w:rsidP="005C6C36">
            <w:pPr>
              <w:rPr>
                <w:rFonts w:eastAsia="Times New Roman" w:cstheme="minorHAnsi"/>
                <w:b/>
                <w:sz w:val="24"/>
                <w:szCs w:val="24"/>
                <w:u w:val="single"/>
                <w:lang w:eastAsia="en-GB"/>
              </w:rPr>
            </w:pPr>
            <w:r w:rsidRPr="00EA0C5F">
              <w:rPr>
                <w:rFonts w:eastAsia="Times New Roman" w:cstheme="minorHAnsi"/>
                <w:b/>
                <w:sz w:val="24"/>
                <w:szCs w:val="24"/>
                <w:u w:val="single"/>
                <w:lang w:eastAsia="en-GB"/>
              </w:rPr>
              <w:t>Unique Item ( X = Curiosum/X (N)= Notitia)</w:t>
            </w:r>
          </w:p>
        </w:tc>
        <w:tc>
          <w:tcPr>
            <w:tcW w:w="2670" w:type="dxa"/>
            <w:noWrap/>
            <w:hideMark/>
          </w:tcPr>
          <w:p w:rsidR="005C6C36" w:rsidRPr="00EA0C5F" w:rsidRDefault="005C6C36" w:rsidP="005C6C36">
            <w:pPr>
              <w:rPr>
                <w:rFonts w:eastAsia="Times New Roman" w:cstheme="minorHAnsi"/>
                <w:b/>
                <w:sz w:val="24"/>
                <w:szCs w:val="24"/>
                <w:u w:val="single"/>
                <w:lang w:eastAsia="en-GB"/>
              </w:rPr>
            </w:pPr>
            <w:r w:rsidRPr="00EA0C5F">
              <w:rPr>
                <w:rFonts w:eastAsia="Times New Roman" w:cstheme="minorHAnsi"/>
                <w:b/>
                <w:sz w:val="24"/>
                <w:szCs w:val="24"/>
                <w:u w:val="single"/>
                <w:lang w:eastAsia="en-GB"/>
              </w:rPr>
              <w:t>Similar but with different names or additions</w:t>
            </w: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EA0C5F" w:rsidRDefault="00EA0C5F" w:rsidP="005C6C36">
            <w:pPr>
              <w:rPr>
                <w:rFonts w:eastAsia="Times New Roman" w:cstheme="minorHAnsi"/>
                <w:b/>
                <w:sz w:val="24"/>
                <w:szCs w:val="24"/>
                <w:lang w:eastAsia="en-GB"/>
              </w:rPr>
            </w:pPr>
            <w:r w:rsidRPr="00EA0C5F">
              <w:rPr>
                <w:rFonts w:eastAsia="Times New Roman" w:cstheme="minorHAnsi"/>
                <w:b/>
                <w:sz w:val="24"/>
                <w:szCs w:val="24"/>
                <w:lang w:eastAsia="en-GB"/>
              </w:rPr>
              <w:t>REGIO</w:t>
            </w:r>
            <w:r w:rsidR="005C6C36" w:rsidRPr="00EA0C5F">
              <w:rPr>
                <w:rFonts w:eastAsia="Times New Roman" w:cstheme="minorHAnsi"/>
                <w:b/>
                <w:sz w:val="24"/>
                <w:szCs w:val="24"/>
                <w:lang w:eastAsia="en-GB"/>
              </w:rPr>
              <w:t xml:space="preserve"> I</w:t>
            </w:r>
          </w:p>
        </w:tc>
        <w:tc>
          <w:tcPr>
            <w:tcW w:w="4251" w:type="dxa"/>
            <w:noWrap/>
            <w:hideMark/>
          </w:tcPr>
          <w:p w:rsidR="005C6C36" w:rsidRPr="00EA0C5F" w:rsidRDefault="00EA0C5F" w:rsidP="005C6C36">
            <w:pPr>
              <w:rPr>
                <w:rFonts w:eastAsia="Times New Roman" w:cstheme="minorHAnsi"/>
                <w:b/>
                <w:sz w:val="24"/>
                <w:szCs w:val="24"/>
                <w:lang w:eastAsia="en-GB"/>
              </w:rPr>
            </w:pPr>
            <w:r>
              <w:rPr>
                <w:rFonts w:eastAsia="Times New Roman" w:cstheme="minorHAnsi"/>
                <w:b/>
                <w:sz w:val="24"/>
                <w:szCs w:val="24"/>
                <w:lang w:eastAsia="en-GB"/>
              </w:rPr>
              <w:t>REGIO</w:t>
            </w:r>
            <w:r w:rsidR="005C6C36" w:rsidRPr="00EA0C5F">
              <w:rPr>
                <w:rFonts w:eastAsia="Times New Roman" w:cstheme="minorHAnsi"/>
                <w:b/>
                <w:sz w:val="24"/>
                <w:szCs w:val="24"/>
                <w:lang w:eastAsia="en-GB"/>
              </w:rPr>
              <w:t xml:space="preserve"> I</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balneum Torquati</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 balineum Torquati </w:t>
            </w:r>
            <w:r w:rsidRPr="00D86111">
              <w:rPr>
                <w:rFonts w:eastAsia="Times New Roman" w:cstheme="minorHAnsi"/>
                <w:b/>
                <w:bCs/>
                <w:i/>
                <w:sz w:val="20"/>
                <w:szCs w:val="20"/>
                <w:lang w:eastAsia="en-GB"/>
              </w:rPr>
              <w:t>et Vespasiani</w:t>
            </w:r>
          </w:p>
        </w:tc>
        <w:tc>
          <w:tcPr>
            <w:tcW w:w="2551" w:type="dxa"/>
            <w:noWrap/>
            <w:hideMark/>
          </w:tcPr>
          <w:p w:rsidR="005C6C36" w:rsidRPr="00D86111" w:rsidRDefault="005C6C36" w:rsidP="005C6C36">
            <w:pPr>
              <w:rPr>
                <w:rFonts w:eastAsia="Times New Roman" w:cstheme="minorHAnsi"/>
                <w:i/>
                <w:sz w:val="20"/>
                <w:szCs w:val="20"/>
                <w:lang w:eastAsia="en-GB"/>
              </w:rPr>
            </w:pPr>
          </w:p>
        </w:tc>
        <w:tc>
          <w:tcPr>
            <w:tcW w:w="2670" w:type="dxa"/>
            <w:noWrap/>
            <w:hideMark/>
          </w:tcPr>
          <w:p w:rsidR="005C6C36" w:rsidRPr="00EA0C5F" w:rsidRDefault="005C6C36" w:rsidP="005C6C36">
            <w:pPr>
              <w:rPr>
                <w:rFonts w:eastAsia="Times New Roman" w:cstheme="minorHAnsi"/>
                <w:sz w:val="20"/>
                <w:szCs w:val="20"/>
                <w:lang w:eastAsia="en-GB"/>
              </w:rPr>
            </w:pPr>
            <w:r w:rsidRPr="00EA0C5F">
              <w:rPr>
                <w:rFonts w:eastAsia="Times New Roman" w:cstheme="minorHAnsi"/>
                <w:sz w:val="20"/>
                <w:szCs w:val="20"/>
                <w:lang w:eastAsia="en-GB"/>
              </w:rPr>
              <w:t>X (N)</w:t>
            </w:r>
          </w:p>
        </w:tc>
      </w:tr>
      <w:tr w:rsidR="005C6C36" w:rsidRPr="00EA0C5F" w:rsidTr="00EA0C5F">
        <w:trPr>
          <w:trHeight w:val="630"/>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aream Apollinis et Splenis</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aream Apollinis et Splenis </w:t>
            </w:r>
            <w:r w:rsidRPr="00D86111">
              <w:rPr>
                <w:rFonts w:eastAsia="Times New Roman" w:cstheme="minorHAnsi"/>
                <w:b/>
                <w:bCs/>
                <w:i/>
                <w:sz w:val="20"/>
                <w:szCs w:val="20"/>
                <w:lang w:eastAsia="en-GB"/>
              </w:rPr>
              <w:t>et Calles</w:t>
            </w:r>
          </w:p>
        </w:tc>
        <w:tc>
          <w:tcPr>
            <w:tcW w:w="2551" w:type="dxa"/>
            <w:noWrap/>
            <w:hideMark/>
          </w:tcPr>
          <w:p w:rsidR="005C6C36" w:rsidRPr="00D86111" w:rsidRDefault="005C6C36" w:rsidP="005C6C36">
            <w:pPr>
              <w:rPr>
                <w:rFonts w:eastAsia="Times New Roman" w:cstheme="minorHAnsi"/>
                <w:i/>
                <w:sz w:val="20"/>
                <w:szCs w:val="20"/>
                <w:lang w:eastAsia="en-GB"/>
              </w:rPr>
            </w:pPr>
          </w:p>
        </w:tc>
        <w:tc>
          <w:tcPr>
            <w:tcW w:w="2670" w:type="dxa"/>
            <w:noWrap/>
            <w:hideMark/>
          </w:tcPr>
          <w:p w:rsidR="005C6C36" w:rsidRPr="00EA0C5F" w:rsidRDefault="005C6C36" w:rsidP="005C6C36">
            <w:pPr>
              <w:rPr>
                <w:rFonts w:eastAsia="Times New Roman" w:cstheme="minorHAnsi"/>
                <w:sz w:val="20"/>
                <w:szCs w:val="20"/>
                <w:lang w:eastAsia="en-GB"/>
              </w:rPr>
            </w:pPr>
            <w:r w:rsidRPr="00EA0C5F">
              <w:rPr>
                <w:rFonts w:eastAsia="Times New Roman" w:cstheme="minorHAnsi"/>
                <w:sz w:val="20"/>
                <w:szCs w:val="20"/>
                <w:lang w:eastAsia="en-GB"/>
              </w:rPr>
              <w:t>X (N)</w:t>
            </w:r>
          </w:p>
        </w:tc>
      </w:tr>
      <w:tr w:rsidR="005C6C36" w:rsidRPr="00EA0C5F" w:rsidTr="00EA0C5F">
        <w:trPr>
          <w:trHeight w:val="360"/>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balneum Abascantis et Mamertini</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balineum</w:t>
            </w:r>
            <w:r w:rsidRPr="00D86111">
              <w:rPr>
                <w:rFonts w:eastAsia="Times New Roman" w:cstheme="minorHAnsi"/>
                <w:b/>
                <w:bCs/>
                <w:i/>
                <w:sz w:val="20"/>
                <w:szCs w:val="20"/>
                <w:lang w:eastAsia="en-GB"/>
              </w:rPr>
              <w:t> Bolani et</w:t>
            </w:r>
            <w:r w:rsidRPr="00D86111">
              <w:rPr>
                <w:rFonts w:eastAsia="Times New Roman" w:cstheme="minorHAnsi"/>
                <w:i/>
                <w:sz w:val="20"/>
                <w:szCs w:val="20"/>
                <w:lang w:eastAsia="en-GB"/>
              </w:rPr>
              <w:t xml:space="preserve"> Mamertini and balineum Abascanti </w:t>
            </w:r>
            <w:r w:rsidRPr="00D86111">
              <w:rPr>
                <w:rFonts w:eastAsia="Times New Roman" w:cstheme="minorHAnsi"/>
                <w:b/>
                <w:bCs/>
                <w:i/>
                <w:sz w:val="20"/>
                <w:szCs w:val="20"/>
                <w:lang w:eastAsia="en-GB"/>
              </w:rPr>
              <w:t>et Antiochiani</w:t>
            </w:r>
          </w:p>
        </w:tc>
        <w:tc>
          <w:tcPr>
            <w:tcW w:w="2551" w:type="dxa"/>
            <w:noWrap/>
            <w:hideMark/>
          </w:tcPr>
          <w:p w:rsidR="005C6C36" w:rsidRPr="00D86111" w:rsidRDefault="005C6C36" w:rsidP="005C6C36">
            <w:pPr>
              <w:rPr>
                <w:rFonts w:eastAsia="Times New Roman" w:cstheme="minorHAnsi"/>
                <w:i/>
                <w:sz w:val="20"/>
                <w:szCs w:val="20"/>
                <w:lang w:eastAsia="en-GB"/>
              </w:rPr>
            </w:pPr>
          </w:p>
        </w:tc>
        <w:tc>
          <w:tcPr>
            <w:tcW w:w="2670" w:type="dxa"/>
            <w:noWrap/>
            <w:hideMark/>
          </w:tcPr>
          <w:p w:rsidR="005C6C36" w:rsidRPr="00EA0C5F" w:rsidRDefault="005C6C36" w:rsidP="005C6C36">
            <w:pPr>
              <w:rPr>
                <w:rFonts w:eastAsia="Times New Roman" w:cstheme="minorHAnsi"/>
                <w:sz w:val="20"/>
                <w:szCs w:val="20"/>
                <w:lang w:eastAsia="en-GB"/>
              </w:rPr>
            </w:pPr>
            <w:r w:rsidRPr="00EA0C5F">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aedem Martis</w:t>
            </w:r>
          </w:p>
        </w:tc>
        <w:tc>
          <w:tcPr>
            <w:tcW w:w="4251"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noProof/>
                <w:color w:val="000000"/>
                <w:sz w:val="20"/>
                <w:szCs w:val="20"/>
                <w:lang w:eastAsia="en-GB"/>
              </w:rPr>
              <mc:AlternateContent>
                <mc:Choice Requires="wps">
                  <w:drawing>
                    <wp:anchor distT="0" distB="0" distL="114300" distR="114300" simplePos="0" relativeHeight="251659264" behindDoc="0" locked="0" layoutInCell="1" allowOverlap="1" wp14:anchorId="5E19DB11" wp14:editId="20F5FA30">
                      <wp:simplePos x="0" y="0"/>
                      <wp:positionH relativeFrom="column">
                        <wp:posOffset>0</wp:posOffset>
                      </wp:positionH>
                      <wp:positionV relativeFrom="paragraph">
                        <wp:posOffset>0</wp:posOffset>
                      </wp:positionV>
                      <wp:extent cx="95250" cy="9525"/>
                      <wp:effectExtent l="0" t="0" r="0" b="0"/>
                      <wp:wrapNone/>
                      <wp:docPr id="1025" name="Rectangle 1025" descr="[imago inan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id="Rectangle 1025" o:spid="_x0000_s1026" alt="[imago inanis]" style="position:absolute;margin-left:0;margin-top:0;width: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" filled="f" stroked="f">
                      <o:lock v:ext="edit" aspectratio="t"/>
                    </v:rect>
                  </w:pict>
                </mc:Fallback>
              </mc:AlternateContent>
            </w:r>
            <w:r w:rsidRPr="00D86111">
              <w:rPr>
                <w:rFonts w:eastAsia="Times New Roman" w:cstheme="minorHAnsi"/>
                <w:i/>
                <w:noProof/>
                <w:color w:val="000000"/>
                <w:sz w:val="20"/>
                <w:szCs w:val="20"/>
                <w:lang w:eastAsia="en-GB"/>
              </w:rPr>
              <mc:AlternateContent>
                <mc:Choice Requires="wps">
                  <w:drawing>
                    <wp:anchor distT="0" distB="0" distL="114300" distR="114300" simplePos="0" relativeHeight="251660288" behindDoc="0" locked="0" layoutInCell="1" allowOverlap="1" wp14:anchorId="178BC334" wp14:editId="67CC6B78">
                      <wp:simplePos x="0" y="0"/>
                      <wp:positionH relativeFrom="column">
                        <wp:posOffset>104775</wp:posOffset>
                      </wp:positionH>
                      <wp:positionV relativeFrom="paragraph">
                        <wp:posOffset>0</wp:posOffset>
                      </wp:positionV>
                      <wp:extent cx="190500" cy="9525"/>
                      <wp:effectExtent l="0" t="0" r="0" b="0"/>
                      <wp:wrapNone/>
                      <wp:docPr id="1026" name="Rectangle 1026" descr="[imago inan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id="Rectangle 1026" o:spid="_x0000_s1026" alt="[imago inanis]" style="position:absolute;margin-left:8.25pt;margin-top:0;width:1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" filled="f" stroked="f">
                      <o:lock v:ext="edit" aspectratio="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420"/>
            </w:tblGrid>
            <w:tr w:rsidR="005C6C36" w:rsidRPr="00D86111" w:rsidTr="00EA0C5F">
              <w:trPr>
                <w:trHeight w:val="315"/>
                <w:tblCellSpacing w:w="0" w:type="dxa"/>
              </w:trPr>
              <w:tc>
                <w:tcPr>
                  <w:tcW w:w="7420" w:type="dxa"/>
                  <w:tcBorders>
                    <w:top w:val="nil"/>
                    <w:left w:val="nil"/>
                    <w:bottom w:val="nil"/>
                    <w:right w:val="nil"/>
                  </w:tcBorders>
                  <w:shd w:val="clear" w:color="auto" w:fill="auto"/>
                  <w:noWrap/>
                  <w:vAlign w:val="bottom"/>
                  <w:hideMark/>
                </w:tcPr>
                <w:p w:rsidR="005C6C36" w:rsidRPr="00D86111" w:rsidRDefault="005C6C36" w:rsidP="005C6C36">
                  <w:pPr>
                    <w:spacing w:after="0" w:line="240" w:lineRule="auto"/>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aedem Martis</w:t>
                  </w:r>
                  <w:r w:rsidRPr="00D86111">
                    <w:rPr>
                      <w:rFonts w:eastAsia="Times New Roman" w:cstheme="minorHAnsi"/>
                      <w:b/>
                      <w:bCs/>
                      <w:i/>
                      <w:color w:val="000000"/>
                      <w:sz w:val="20"/>
                      <w:szCs w:val="20"/>
                      <w:lang w:eastAsia="en-GB"/>
                    </w:rPr>
                    <w:t> </w:t>
                  </w:r>
                  <w:r w:rsidRPr="00D86111">
                    <w:rPr>
                      <w:rFonts w:eastAsia="Times New Roman" w:cstheme="minorHAnsi"/>
                      <w:b/>
                      <w:bCs/>
                      <w:i/>
                      <w:iCs/>
                      <w:color w:val="000000"/>
                      <w:sz w:val="20"/>
                      <w:szCs w:val="20"/>
                      <w:lang w:eastAsia="en-GB"/>
                    </w:rPr>
                    <w:t>et Minervae et Tempestatis</w:t>
                  </w:r>
                </w:p>
              </w:tc>
            </w:tr>
          </w:tbl>
          <w:p w:rsidR="005C6C36" w:rsidRPr="00D86111" w:rsidRDefault="005C6C36" w:rsidP="005C6C36">
            <w:pPr>
              <w:rPr>
                <w:rFonts w:eastAsia="Times New Roman" w:cstheme="minorHAnsi"/>
                <w:i/>
                <w:color w:val="000000"/>
                <w:sz w:val="20"/>
                <w:szCs w:val="20"/>
                <w:lang w:eastAsia="en-GB"/>
              </w:rPr>
            </w:pPr>
          </w:p>
        </w:tc>
        <w:tc>
          <w:tcPr>
            <w:tcW w:w="2551" w:type="dxa"/>
            <w:noWrap/>
            <w:hideMark/>
          </w:tcPr>
          <w:p w:rsidR="005C6C36" w:rsidRPr="00D86111" w:rsidRDefault="005C6C36" w:rsidP="005C6C36">
            <w:pPr>
              <w:rPr>
                <w:rFonts w:eastAsia="Times New Roman" w:cstheme="minorHAnsi"/>
                <w:i/>
                <w:sz w:val="20"/>
                <w:szCs w:val="20"/>
                <w:lang w:eastAsia="en-GB"/>
              </w:rPr>
            </w:pPr>
          </w:p>
        </w:tc>
        <w:tc>
          <w:tcPr>
            <w:tcW w:w="2670" w:type="dxa"/>
            <w:noWrap/>
            <w:hideMark/>
          </w:tcPr>
          <w:p w:rsidR="005C6C36" w:rsidRPr="00EA0C5F" w:rsidRDefault="005C6C36" w:rsidP="005C6C36">
            <w:pPr>
              <w:rPr>
                <w:rFonts w:eastAsia="Times New Roman" w:cstheme="minorHAnsi"/>
                <w:sz w:val="20"/>
                <w:szCs w:val="20"/>
                <w:lang w:eastAsia="en-GB"/>
              </w:rPr>
            </w:pPr>
            <w:r w:rsidRPr="00EA0C5F">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arcum divi Veri et Traiani et Drusi</w:t>
            </w:r>
          </w:p>
        </w:tc>
        <w:tc>
          <w:tcPr>
            <w:tcW w:w="4251"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noProof/>
                <w:color w:val="000000"/>
                <w:sz w:val="20"/>
                <w:szCs w:val="20"/>
                <w:lang w:eastAsia="en-GB"/>
              </w:rPr>
              <mc:AlternateContent>
                <mc:Choice Requires="wps">
                  <w:drawing>
                    <wp:anchor distT="0" distB="0" distL="114300" distR="114300" simplePos="0" relativeHeight="251661312" behindDoc="0" locked="0" layoutInCell="1" allowOverlap="1" wp14:anchorId="2843C2AC" wp14:editId="4A8FFF6C">
                      <wp:simplePos x="0" y="0"/>
                      <wp:positionH relativeFrom="column">
                        <wp:posOffset>0</wp:posOffset>
                      </wp:positionH>
                      <wp:positionV relativeFrom="paragraph">
                        <wp:posOffset>0</wp:posOffset>
                      </wp:positionV>
                      <wp:extent cx="190500" cy="9525"/>
                      <wp:effectExtent l="0" t="0" r="0" b="0"/>
                      <wp:wrapNone/>
                      <wp:docPr id="1027" name="Rectangle 1027" descr="[imago inan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95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id="Rectangle 1027" o:spid="_x0000_s1026" alt="[imago inanis]" style="position:absolute;margin-left:0;margin-top:0;width:1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" filled="f" stroked="f">
                      <o:lock v:ext="edit" aspectratio="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420"/>
            </w:tblGrid>
            <w:tr w:rsidR="005C6C36" w:rsidRPr="00D86111" w:rsidTr="00EA0C5F">
              <w:trPr>
                <w:trHeight w:val="315"/>
                <w:tblCellSpacing w:w="0" w:type="dxa"/>
              </w:trPr>
              <w:tc>
                <w:tcPr>
                  <w:tcW w:w="7420" w:type="dxa"/>
                  <w:tcBorders>
                    <w:top w:val="nil"/>
                    <w:left w:val="nil"/>
                    <w:bottom w:val="nil"/>
                    <w:right w:val="nil"/>
                  </w:tcBorders>
                  <w:shd w:val="clear" w:color="auto" w:fill="auto"/>
                  <w:noWrap/>
                  <w:vAlign w:val="bottom"/>
                  <w:hideMark/>
                </w:tcPr>
                <w:p w:rsidR="005C6C36" w:rsidRPr="00D86111" w:rsidRDefault="005C6C36" w:rsidP="005C6C36">
                  <w:pPr>
                    <w:spacing w:after="0" w:line="240" w:lineRule="auto"/>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arcum divi Veri </w:t>
                  </w:r>
                  <w:r w:rsidRPr="00D86111">
                    <w:rPr>
                      <w:rFonts w:eastAsia="Times New Roman" w:cstheme="minorHAnsi"/>
                      <w:b/>
                      <w:bCs/>
                      <w:i/>
                      <w:iCs/>
                      <w:color w:val="000000"/>
                      <w:sz w:val="20"/>
                      <w:szCs w:val="20"/>
                      <w:lang w:eastAsia="en-GB"/>
                    </w:rPr>
                    <w:t>Partici </w:t>
                  </w:r>
                  <w:r w:rsidRPr="00D86111">
                    <w:rPr>
                      <w:rFonts w:eastAsia="Times New Roman" w:cstheme="minorHAnsi"/>
                      <w:i/>
                      <w:color w:val="000000"/>
                      <w:sz w:val="20"/>
                      <w:szCs w:val="20"/>
                      <w:lang w:eastAsia="en-GB"/>
                    </w:rPr>
                    <w:t>et </w:t>
                  </w:r>
                  <w:r w:rsidRPr="00D86111">
                    <w:rPr>
                      <w:rFonts w:eastAsia="Times New Roman" w:cstheme="minorHAnsi"/>
                      <w:b/>
                      <w:bCs/>
                      <w:i/>
                      <w:iCs/>
                      <w:color w:val="000000"/>
                      <w:sz w:val="20"/>
                      <w:szCs w:val="20"/>
                      <w:lang w:eastAsia="en-GB"/>
                    </w:rPr>
                    <w:t>divi </w:t>
                  </w:r>
                  <w:r w:rsidRPr="00D86111">
                    <w:rPr>
                      <w:rFonts w:eastAsia="Times New Roman" w:cstheme="minorHAnsi"/>
                      <w:i/>
                      <w:color w:val="000000"/>
                      <w:sz w:val="20"/>
                      <w:szCs w:val="20"/>
                      <w:lang w:eastAsia="en-GB"/>
                    </w:rPr>
                    <w:t>Traiani et Drusi</w:t>
                  </w:r>
                </w:p>
              </w:tc>
            </w:tr>
          </w:tbl>
          <w:p w:rsidR="005C6C36" w:rsidRPr="00D86111" w:rsidRDefault="005C6C36" w:rsidP="005C6C36">
            <w:pPr>
              <w:rPr>
                <w:rFonts w:eastAsia="Times New Roman" w:cstheme="minorHAnsi"/>
                <w:i/>
                <w:color w:val="000000"/>
                <w:sz w:val="20"/>
                <w:szCs w:val="20"/>
                <w:lang w:eastAsia="en-GB"/>
              </w:rPr>
            </w:pPr>
          </w:p>
        </w:tc>
        <w:tc>
          <w:tcPr>
            <w:tcW w:w="2551" w:type="dxa"/>
            <w:noWrap/>
            <w:hideMark/>
          </w:tcPr>
          <w:p w:rsidR="005C6C36" w:rsidRPr="00D86111" w:rsidRDefault="005C6C36" w:rsidP="005C6C36">
            <w:pPr>
              <w:rPr>
                <w:rFonts w:eastAsia="Times New Roman" w:cstheme="minorHAnsi"/>
                <w:i/>
                <w:sz w:val="20"/>
                <w:szCs w:val="20"/>
                <w:lang w:eastAsia="en-GB"/>
              </w:rPr>
            </w:pPr>
          </w:p>
        </w:tc>
        <w:tc>
          <w:tcPr>
            <w:tcW w:w="2670" w:type="dxa"/>
            <w:noWrap/>
            <w:hideMark/>
          </w:tcPr>
          <w:p w:rsidR="005C6C36" w:rsidRPr="00EA0C5F" w:rsidRDefault="005C6C36" w:rsidP="005C6C36">
            <w:pPr>
              <w:rPr>
                <w:rFonts w:eastAsia="Times New Roman" w:cstheme="minorHAnsi"/>
                <w:sz w:val="20"/>
                <w:szCs w:val="20"/>
                <w:lang w:eastAsia="en-GB"/>
              </w:rPr>
            </w:pPr>
            <w:r w:rsidRPr="00EA0C5F">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Lacos</w:t>
            </w:r>
          </w:p>
        </w:tc>
        <w:tc>
          <w:tcPr>
            <w:tcW w:w="3438" w:type="dxa"/>
            <w:noWrap/>
            <w:hideMark/>
          </w:tcPr>
          <w:p w:rsidR="005C6C36" w:rsidRPr="00EA0C5F" w:rsidRDefault="005C6C36" w:rsidP="005C6C36">
            <w:pPr>
              <w:jc w:val="right"/>
              <w:rPr>
                <w:rFonts w:eastAsia="Times New Roman" w:cstheme="minorHAnsi"/>
                <w:color w:val="000000"/>
                <w:sz w:val="20"/>
                <w:szCs w:val="20"/>
                <w:lang w:eastAsia="en-GB"/>
              </w:rPr>
            </w:pPr>
            <w:r w:rsidRPr="00EA0C5F">
              <w:rPr>
                <w:rFonts w:eastAsia="Times New Roman" w:cstheme="minorHAnsi"/>
                <w:color w:val="000000"/>
                <w:sz w:val="20"/>
                <w:szCs w:val="20"/>
                <w:lang w:eastAsia="en-GB"/>
              </w:rPr>
              <w:t>81</w:t>
            </w:r>
          </w:p>
        </w:tc>
        <w:tc>
          <w:tcPr>
            <w:tcW w:w="4251" w:type="dxa"/>
            <w:noWrap/>
            <w:hideMark/>
          </w:tcPr>
          <w:p w:rsidR="005C6C36" w:rsidRPr="00EA0C5F" w:rsidRDefault="005C6C36" w:rsidP="005C6C36">
            <w:pPr>
              <w:jc w:val="right"/>
              <w:rPr>
                <w:rFonts w:eastAsia="Times New Roman" w:cstheme="minorHAnsi"/>
                <w:color w:val="000000"/>
                <w:sz w:val="20"/>
                <w:szCs w:val="20"/>
                <w:lang w:eastAsia="en-GB"/>
              </w:rPr>
            </w:pPr>
            <w:r w:rsidRPr="00EA0C5F">
              <w:rPr>
                <w:rFonts w:eastAsia="Times New Roman" w:cstheme="minorHAnsi"/>
                <w:color w:val="000000"/>
                <w:sz w:val="20"/>
                <w:szCs w:val="20"/>
                <w:lang w:eastAsia="en-GB"/>
              </w:rPr>
              <w:t>87</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Continet Pedes</w:t>
            </w:r>
          </w:p>
        </w:tc>
        <w:tc>
          <w:tcPr>
            <w:tcW w:w="3438" w:type="dxa"/>
            <w:noWrap/>
            <w:hideMark/>
          </w:tcPr>
          <w:p w:rsidR="005C6C36" w:rsidRPr="00EA0C5F" w:rsidRDefault="005C6C36" w:rsidP="005C6C36">
            <w:pPr>
              <w:jc w:val="right"/>
              <w:rPr>
                <w:rFonts w:eastAsia="Times New Roman" w:cstheme="minorHAnsi"/>
                <w:color w:val="000000"/>
                <w:sz w:val="20"/>
                <w:szCs w:val="20"/>
                <w:lang w:eastAsia="en-GB"/>
              </w:rPr>
            </w:pPr>
            <w:r w:rsidRPr="00EA0C5F">
              <w:rPr>
                <w:rFonts w:eastAsia="Times New Roman" w:cstheme="minorHAnsi"/>
                <w:color w:val="000000"/>
                <w:sz w:val="20"/>
                <w:szCs w:val="20"/>
                <w:lang w:eastAsia="en-GB"/>
              </w:rPr>
              <w:t>12,211</w:t>
            </w:r>
          </w:p>
        </w:tc>
        <w:tc>
          <w:tcPr>
            <w:tcW w:w="4251" w:type="dxa"/>
            <w:noWrap/>
            <w:hideMark/>
          </w:tcPr>
          <w:p w:rsidR="005C6C36" w:rsidRPr="00EA0C5F" w:rsidRDefault="005C6C36" w:rsidP="005C6C36">
            <w:pPr>
              <w:jc w:val="right"/>
              <w:rPr>
                <w:rFonts w:eastAsia="Times New Roman" w:cstheme="minorHAnsi"/>
                <w:color w:val="000000"/>
                <w:sz w:val="20"/>
                <w:szCs w:val="20"/>
                <w:lang w:eastAsia="en-GB"/>
              </w:rPr>
            </w:pPr>
            <w:r w:rsidRPr="00EA0C5F">
              <w:rPr>
                <w:rFonts w:eastAsia="Times New Roman" w:cstheme="minorHAnsi"/>
                <w:color w:val="000000"/>
                <w:sz w:val="20"/>
                <w:szCs w:val="20"/>
                <w:lang w:eastAsia="en-GB"/>
              </w:rPr>
              <w:t>12,219</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EA0C5F" w:rsidRDefault="00EA0C5F" w:rsidP="005C6C36">
            <w:pPr>
              <w:rPr>
                <w:rFonts w:eastAsia="Times New Roman" w:cstheme="minorHAnsi"/>
                <w:b/>
                <w:sz w:val="24"/>
                <w:szCs w:val="24"/>
                <w:lang w:eastAsia="en-GB"/>
              </w:rPr>
            </w:pPr>
            <w:r w:rsidRPr="00EA0C5F">
              <w:rPr>
                <w:rFonts w:eastAsia="Times New Roman" w:cstheme="minorHAnsi"/>
                <w:b/>
                <w:sz w:val="24"/>
                <w:szCs w:val="24"/>
                <w:lang w:eastAsia="en-GB"/>
              </w:rPr>
              <w:t>REGIO</w:t>
            </w:r>
            <w:r w:rsidR="005C6C36" w:rsidRPr="00EA0C5F">
              <w:rPr>
                <w:rFonts w:eastAsia="Times New Roman" w:cstheme="minorHAnsi"/>
                <w:b/>
                <w:sz w:val="24"/>
                <w:szCs w:val="24"/>
                <w:lang w:eastAsia="en-GB"/>
              </w:rPr>
              <w:t xml:space="preserve"> II</w:t>
            </w:r>
          </w:p>
        </w:tc>
        <w:tc>
          <w:tcPr>
            <w:tcW w:w="4251" w:type="dxa"/>
            <w:noWrap/>
            <w:hideMark/>
          </w:tcPr>
          <w:p w:rsidR="005C6C36" w:rsidRPr="00EA0C5F" w:rsidRDefault="00EA0C5F" w:rsidP="005C6C36">
            <w:pPr>
              <w:rPr>
                <w:rFonts w:eastAsia="Times New Roman" w:cstheme="minorHAnsi"/>
                <w:b/>
                <w:sz w:val="24"/>
                <w:szCs w:val="24"/>
                <w:lang w:eastAsia="en-GB"/>
              </w:rPr>
            </w:pPr>
            <w:r w:rsidRPr="00EA0C5F">
              <w:rPr>
                <w:rFonts w:eastAsia="Times New Roman" w:cstheme="minorHAnsi"/>
                <w:b/>
                <w:sz w:val="24"/>
                <w:szCs w:val="24"/>
                <w:lang w:eastAsia="en-GB"/>
              </w:rPr>
              <w:t>REGIO</w:t>
            </w:r>
            <w:r w:rsidR="005C6C36" w:rsidRPr="00EA0C5F">
              <w:rPr>
                <w:rFonts w:eastAsia="Times New Roman" w:cstheme="minorHAnsi"/>
                <w:b/>
                <w:sz w:val="24"/>
                <w:szCs w:val="24"/>
                <w:lang w:eastAsia="en-GB"/>
              </w:rPr>
              <w:t xml:space="preserve"> II</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Claudium</w:t>
            </w:r>
          </w:p>
        </w:tc>
        <w:tc>
          <w:tcPr>
            <w:tcW w:w="4251"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templum Claudii</w:t>
            </w:r>
          </w:p>
        </w:tc>
        <w:tc>
          <w:tcPr>
            <w:tcW w:w="2551" w:type="dxa"/>
            <w:noWrap/>
            <w:hideMark/>
          </w:tcPr>
          <w:p w:rsidR="005C6C36" w:rsidRPr="00EA0C5F" w:rsidRDefault="005C6C36" w:rsidP="005C6C36">
            <w:pPr>
              <w:rPr>
                <w:rFonts w:eastAsia="Times New Roman" w:cstheme="minorHAnsi"/>
                <w:sz w:val="20"/>
                <w:szCs w:val="20"/>
                <w:lang w:eastAsia="en-GB"/>
              </w:rPr>
            </w:pPr>
          </w:p>
        </w:tc>
        <w:tc>
          <w:tcPr>
            <w:tcW w:w="2670" w:type="dxa"/>
            <w:noWrap/>
            <w:hideMark/>
          </w:tcPr>
          <w:p w:rsidR="005C6C36" w:rsidRPr="00EA0C5F" w:rsidRDefault="005C6C36" w:rsidP="005C6C36">
            <w:pPr>
              <w:rPr>
                <w:rFonts w:eastAsia="Times New Roman" w:cstheme="minorHAnsi"/>
                <w:sz w:val="20"/>
                <w:szCs w:val="20"/>
                <w:lang w:eastAsia="en-GB"/>
              </w:rPr>
            </w:pPr>
            <w:r w:rsidRPr="00EA0C5F">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ludum matutinum </w:t>
            </w:r>
            <w:r w:rsidRPr="00D86111">
              <w:rPr>
                <w:rFonts w:eastAsia="Times New Roman" w:cstheme="minorHAnsi"/>
                <w:b/>
                <w:bCs/>
                <w:i/>
                <w:sz w:val="20"/>
                <w:szCs w:val="20"/>
                <w:lang w:eastAsia="en-GB"/>
              </w:rPr>
              <w:t>et Dacicum</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ludum matutinum </w:t>
            </w:r>
            <w:r w:rsidRPr="00D86111">
              <w:rPr>
                <w:rFonts w:eastAsia="Times New Roman" w:cstheme="minorHAnsi"/>
                <w:b/>
                <w:bCs/>
                <w:i/>
                <w:sz w:val="20"/>
                <w:szCs w:val="20"/>
                <w:lang w:eastAsia="en-GB"/>
              </w:rPr>
              <w:t>et Gallicum</w:t>
            </w:r>
          </w:p>
        </w:tc>
        <w:tc>
          <w:tcPr>
            <w:tcW w:w="2551" w:type="dxa"/>
            <w:noWrap/>
            <w:hideMark/>
          </w:tcPr>
          <w:p w:rsidR="005C6C36" w:rsidRPr="00EA0C5F" w:rsidRDefault="005C6C36" w:rsidP="005C6C36">
            <w:pPr>
              <w:rPr>
                <w:rFonts w:eastAsia="Times New Roman" w:cstheme="minorHAnsi"/>
                <w:sz w:val="20"/>
                <w:szCs w:val="20"/>
                <w:lang w:eastAsia="en-GB"/>
              </w:rPr>
            </w:pPr>
          </w:p>
        </w:tc>
        <w:tc>
          <w:tcPr>
            <w:tcW w:w="2670" w:type="dxa"/>
            <w:noWrap/>
            <w:hideMark/>
          </w:tcPr>
          <w:p w:rsidR="005C6C36" w:rsidRPr="00EA0C5F" w:rsidRDefault="005C6C36" w:rsidP="005C6C36">
            <w:pPr>
              <w:rPr>
                <w:rFonts w:eastAsia="Times New Roman" w:cstheme="minorHAnsi"/>
                <w:sz w:val="20"/>
                <w:szCs w:val="20"/>
                <w:lang w:eastAsia="en-GB"/>
              </w:rPr>
            </w:pPr>
            <w:r w:rsidRPr="00EA0C5F">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b/>
                <w:sz w:val="24"/>
                <w:szCs w:val="24"/>
                <w:lang w:eastAsia="en-GB"/>
              </w:rPr>
            </w:pPr>
          </w:p>
        </w:tc>
        <w:tc>
          <w:tcPr>
            <w:tcW w:w="3438" w:type="dxa"/>
            <w:noWrap/>
            <w:hideMark/>
          </w:tcPr>
          <w:p w:rsidR="005C6C36" w:rsidRPr="00EA0C5F" w:rsidRDefault="00EA0C5F" w:rsidP="005C6C36">
            <w:pPr>
              <w:rPr>
                <w:rFonts w:eastAsia="Times New Roman" w:cstheme="minorHAnsi"/>
                <w:b/>
                <w:sz w:val="24"/>
                <w:szCs w:val="24"/>
                <w:lang w:eastAsia="en-GB"/>
              </w:rPr>
            </w:pPr>
            <w:r w:rsidRPr="00EA0C5F">
              <w:rPr>
                <w:rFonts w:eastAsia="Times New Roman" w:cstheme="minorHAnsi"/>
                <w:b/>
                <w:sz w:val="24"/>
                <w:szCs w:val="24"/>
                <w:lang w:eastAsia="en-GB"/>
              </w:rPr>
              <w:t>REGIO</w:t>
            </w:r>
            <w:r w:rsidR="005C6C36" w:rsidRPr="00EA0C5F">
              <w:rPr>
                <w:rFonts w:eastAsia="Times New Roman" w:cstheme="minorHAnsi"/>
                <w:b/>
                <w:sz w:val="24"/>
                <w:szCs w:val="24"/>
                <w:lang w:eastAsia="en-GB"/>
              </w:rPr>
              <w:t xml:space="preserve"> III</w:t>
            </w:r>
          </w:p>
        </w:tc>
        <w:tc>
          <w:tcPr>
            <w:tcW w:w="4251" w:type="dxa"/>
            <w:noWrap/>
            <w:hideMark/>
          </w:tcPr>
          <w:p w:rsidR="005C6C36" w:rsidRPr="00EA0C5F" w:rsidRDefault="00EA0C5F" w:rsidP="005C6C36">
            <w:pPr>
              <w:rPr>
                <w:rFonts w:eastAsia="Times New Roman" w:cstheme="minorHAnsi"/>
                <w:b/>
                <w:sz w:val="24"/>
                <w:szCs w:val="24"/>
                <w:lang w:eastAsia="en-GB"/>
              </w:rPr>
            </w:pPr>
            <w:r w:rsidRPr="00EA0C5F">
              <w:rPr>
                <w:rFonts w:eastAsia="Times New Roman" w:cstheme="minorHAnsi"/>
                <w:b/>
                <w:sz w:val="24"/>
                <w:szCs w:val="24"/>
                <w:lang w:eastAsia="en-GB"/>
              </w:rPr>
              <w:t>REGIO</w:t>
            </w:r>
            <w:r w:rsidR="005C6C36" w:rsidRPr="00EA0C5F">
              <w:rPr>
                <w:rFonts w:eastAsia="Times New Roman" w:cstheme="minorHAnsi"/>
                <w:b/>
                <w:sz w:val="24"/>
                <w:szCs w:val="24"/>
                <w:lang w:eastAsia="en-GB"/>
              </w:rPr>
              <w:t xml:space="preserve"> III</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b/>
                <w:bCs/>
                <w:i/>
                <w:iCs/>
                <w:color w:val="000000"/>
                <w:sz w:val="20"/>
                <w:szCs w:val="20"/>
                <w:lang w:eastAsia="en-GB"/>
              </w:rPr>
            </w:pPr>
            <w:r w:rsidRPr="00D86111">
              <w:rPr>
                <w:rFonts w:eastAsia="Times New Roman" w:cstheme="minorHAnsi"/>
                <w:b/>
                <w:bCs/>
                <w:i/>
                <w:iCs/>
                <w:color w:val="000000"/>
                <w:sz w:val="20"/>
                <w:szCs w:val="20"/>
                <w:lang w:eastAsia="en-GB"/>
              </w:rPr>
              <w:t>ludum magnum</w:t>
            </w:r>
          </w:p>
        </w:tc>
        <w:tc>
          <w:tcPr>
            <w:tcW w:w="4251"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ludum matutinum </w:t>
            </w:r>
            <w:r w:rsidRPr="00D86111">
              <w:rPr>
                <w:rFonts w:eastAsia="Times New Roman" w:cstheme="minorHAnsi"/>
                <w:b/>
                <w:bCs/>
                <w:i/>
                <w:iCs/>
                <w:color w:val="000000"/>
                <w:sz w:val="20"/>
                <w:szCs w:val="20"/>
                <w:lang w:eastAsia="en-GB"/>
              </w:rPr>
              <w:t>et Dacicum</w:t>
            </w:r>
          </w:p>
        </w:tc>
        <w:tc>
          <w:tcPr>
            <w:tcW w:w="2551" w:type="dxa"/>
            <w:noWrap/>
            <w:hideMark/>
          </w:tcPr>
          <w:p w:rsidR="005C6C36" w:rsidRPr="00EA0C5F" w:rsidRDefault="005C6C36" w:rsidP="005C6C36">
            <w:pPr>
              <w:rPr>
                <w:rFonts w:eastAsia="Times New Roman" w:cstheme="minorHAnsi"/>
                <w:sz w:val="20"/>
                <w:szCs w:val="20"/>
                <w:lang w:eastAsia="en-GB"/>
              </w:rPr>
            </w:pPr>
          </w:p>
        </w:tc>
        <w:tc>
          <w:tcPr>
            <w:tcW w:w="2670" w:type="dxa"/>
            <w:noWrap/>
            <w:hideMark/>
          </w:tcPr>
          <w:p w:rsidR="005C6C36" w:rsidRPr="00EA0C5F" w:rsidRDefault="005C6C36" w:rsidP="005C6C36">
            <w:pPr>
              <w:rPr>
                <w:rFonts w:eastAsia="Times New Roman" w:cstheme="minorHAnsi"/>
                <w:sz w:val="20"/>
                <w:szCs w:val="20"/>
                <w:lang w:eastAsia="en-GB"/>
              </w:rPr>
            </w:pPr>
            <w:r w:rsidRPr="00EA0C5F">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Domos</w:t>
            </w:r>
          </w:p>
        </w:tc>
        <w:tc>
          <w:tcPr>
            <w:tcW w:w="3438" w:type="dxa"/>
            <w:noWrap/>
            <w:hideMark/>
          </w:tcPr>
          <w:p w:rsidR="005C6C36" w:rsidRPr="00EA0C5F" w:rsidRDefault="005C6C36" w:rsidP="005C6C36">
            <w:pPr>
              <w:jc w:val="right"/>
              <w:rPr>
                <w:rFonts w:eastAsia="Times New Roman" w:cstheme="minorHAnsi"/>
                <w:color w:val="000000"/>
                <w:sz w:val="20"/>
                <w:szCs w:val="20"/>
                <w:lang w:eastAsia="en-GB"/>
              </w:rPr>
            </w:pPr>
            <w:r w:rsidRPr="00EA0C5F">
              <w:rPr>
                <w:rFonts w:eastAsia="Times New Roman" w:cstheme="minorHAnsi"/>
                <w:color w:val="000000"/>
                <w:sz w:val="20"/>
                <w:szCs w:val="20"/>
                <w:lang w:eastAsia="en-GB"/>
              </w:rPr>
              <w:t>60</w:t>
            </w:r>
          </w:p>
        </w:tc>
        <w:tc>
          <w:tcPr>
            <w:tcW w:w="4251" w:type="dxa"/>
            <w:noWrap/>
            <w:hideMark/>
          </w:tcPr>
          <w:p w:rsidR="005C6C36" w:rsidRPr="00EA0C5F" w:rsidRDefault="005C6C36" w:rsidP="005C6C36">
            <w:pPr>
              <w:jc w:val="right"/>
              <w:rPr>
                <w:rFonts w:eastAsia="Times New Roman" w:cstheme="minorHAnsi"/>
                <w:color w:val="000000"/>
                <w:sz w:val="20"/>
                <w:szCs w:val="20"/>
                <w:lang w:eastAsia="en-GB"/>
              </w:rPr>
            </w:pPr>
            <w:r w:rsidRPr="00EA0C5F">
              <w:rPr>
                <w:rFonts w:eastAsia="Times New Roman" w:cstheme="minorHAnsi"/>
                <w:color w:val="000000"/>
                <w:sz w:val="20"/>
                <w:szCs w:val="20"/>
                <w:lang w:eastAsia="en-GB"/>
              </w:rPr>
              <w:t>160</w:t>
            </w:r>
          </w:p>
        </w:tc>
        <w:tc>
          <w:tcPr>
            <w:tcW w:w="2551" w:type="dxa"/>
            <w:noWrap/>
            <w:hideMark/>
          </w:tcPr>
          <w:p w:rsidR="005C6C36" w:rsidRPr="00EA0C5F" w:rsidRDefault="005C6C36" w:rsidP="005C6C36">
            <w:pPr>
              <w:rPr>
                <w:rFonts w:eastAsia="Times New Roman" w:cstheme="minorHAnsi"/>
                <w:sz w:val="20"/>
                <w:szCs w:val="20"/>
                <w:lang w:eastAsia="en-GB"/>
              </w:rPr>
            </w:pPr>
          </w:p>
        </w:tc>
        <w:tc>
          <w:tcPr>
            <w:tcW w:w="2670" w:type="dxa"/>
            <w:noWrap/>
            <w:hideMark/>
          </w:tcPr>
          <w:p w:rsidR="005C6C36" w:rsidRPr="00EA0C5F"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IV</w:t>
            </w:r>
          </w:p>
        </w:tc>
        <w:tc>
          <w:tcPr>
            <w:tcW w:w="4251" w:type="dxa"/>
            <w:noWrap/>
            <w:hideMark/>
          </w:tcPr>
          <w:p w:rsidR="005C6C36" w:rsidRPr="00EA0C5F" w:rsidRDefault="005C6C36" w:rsidP="005C6C36">
            <w:pPr>
              <w:rPr>
                <w:rFonts w:eastAsia="Times New Roman" w:cstheme="minorHAnsi"/>
                <w:b/>
                <w:bCs/>
                <w:sz w:val="24"/>
                <w:szCs w:val="24"/>
                <w:lang w:eastAsia="en-GB"/>
              </w:rPr>
            </w:pPr>
            <w:r w:rsidRPr="00EA0C5F">
              <w:rPr>
                <w:rFonts w:eastAsia="Times New Roman" w:cstheme="minorHAnsi"/>
                <w:b/>
                <w:bCs/>
                <w:sz w:val="24"/>
                <w:szCs w:val="24"/>
                <w:lang w:eastAsia="en-GB"/>
              </w:rPr>
              <w:t>REGIO IV</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aream Vulcani</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 xml:space="preserve">X (N) </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horrea chartaria</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templum Romae</w:t>
            </w:r>
          </w:p>
        </w:tc>
        <w:tc>
          <w:tcPr>
            <w:tcW w:w="4251"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templum Romae </w:t>
            </w:r>
            <w:r w:rsidRPr="00D86111">
              <w:rPr>
                <w:rFonts w:eastAsia="Times New Roman" w:cstheme="minorHAnsi"/>
                <w:b/>
                <w:bCs/>
                <w:i/>
                <w:iCs/>
                <w:color w:val="000000"/>
                <w:sz w:val="20"/>
                <w:szCs w:val="20"/>
                <w:lang w:eastAsia="en-GB"/>
              </w:rPr>
              <w:t>et Veneris</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aedem Iobis</w:t>
            </w:r>
          </w:p>
        </w:tc>
        <w:tc>
          <w:tcPr>
            <w:tcW w:w="4251" w:type="dxa"/>
            <w:noWrap/>
            <w:hideMark/>
          </w:tcPr>
          <w:p w:rsidR="005C6C36" w:rsidRPr="00D86111" w:rsidRDefault="005C6C36" w:rsidP="005C6C36">
            <w:pPr>
              <w:rPr>
                <w:rFonts w:eastAsia="Times New Roman" w:cstheme="minorHAnsi"/>
                <w:i/>
                <w:color w:val="000000"/>
                <w:sz w:val="20"/>
                <w:szCs w:val="20"/>
                <w:lang w:eastAsia="en-GB"/>
              </w:rPr>
            </w:pPr>
            <w:r w:rsidRPr="00D86111">
              <w:rPr>
                <w:rFonts w:eastAsia="Times New Roman" w:cstheme="minorHAnsi"/>
                <w:i/>
                <w:color w:val="000000"/>
                <w:sz w:val="20"/>
                <w:szCs w:val="20"/>
                <w:lang w:eastAsia="en-GB"/>
              </w:rPr>
              <w:t>aedem Iovis </w:t>
            </w:r>
            <w:r w:rsidRPr="00D86111">
              <w:rPr>
                <w:rFonts w:eastAsia="Times New Roman" w:cstheme="minorHAnsi"/>
                <w:b/>
                <w:bCs/>
                <w:i/>
                <w:iCs/>
                <w:color w:val="000000"/>
                <w:sz w:val="20"/>
                <w:szCs w:val="20"/>
                <w:lang w:eastAsia="en-GB"/>
              </w:rPr>
              <w:t>statoris</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basilicam novam et Pauli</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basilicam Constantinianam, basilicam Pauli</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b/>
                <w:bCs/>
                <w:sz w:val="20"/>
                <w:szCs w:val="20"/>
                <w:lang w:eastAsia="en-GB"/>
              </w:rPr>
            </w:pPr>
            <w:r w:rsidRPr="00D86111">
              <w:rPr>
                <w:rFonts w:eastAsia="Times New Roman" w:cstheme="minorHAnsi"/>
                <w:b/>
                <w:bCs/>
                <w:sz w:val="20"/>
                <w:szCs w:val="20"/>
                <w:lang w:eastAsia="en-GB"/>
              </w:rPr>
              <w:t>X</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Balinea</w:t>
            </w:r>
          </w:p>
        </w:tc>
        <w:tc>
          <w:tcPr>
            <w:tcW w:w="3438"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65</w:t>
            </w:r>
          </w:p>
        </w:tc>
        <w:tc>
          <w:tcPr>
            <w:tcW w:w="4251"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75</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Lacos</w:t>
            </w:r>
          </w:p>
        </w:tc>
        <w:tc>
          <w:tcPr>
            <w:tcW w:w="3438"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71</w:t>
            </w:r>
          </w:p>
        </w:tc>
        <w:tc>
          <w:tcPr>
            <w:tcW w:w="4251"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78</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V</w:t>
            </w:r>
          </w:p>
        </w:tc>
        <w:tc>
          <w:tcPr>
            <w:tcW w:w="4251"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V</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nymfeum Alexandri</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nympheum </w:t>
            </w:r>
            <w:r w:rsidRPr="00D86111">
              <w:rPr>
                <w:rFonts w:eastAsia="Times New Roman" w:cstheme="minorHAnsi"/>
                <w:b/>
                <w:bCs/>
                <w:i/>
                <w:sz w:val="20"/>
                <w:szCs w:val="20"/>
                <w:lang w:eastAsia="en-GB"/>
              </w:rPr>
              <w:t>divi</w:t>
            </w:r>
            <w:r w:rsidRPr="00D86111">
              <w:rPr>
                <w:rFonts w:eastAsia="Times New Roman" w:cstheme="minorHAnsi"/>
                <w:i/>
                <w:sz w:val="20"/>
                <w:szCs w:val="20"/>
                <w:lang w:eastAsia="en-GB"/>
              </w:rPr>
              <w:t xml:space="preserve"> Alexandri</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VI</w:t>
            </w:r>
          </w:p>
        </w:tc>
        <w:tc>
          <w:tcPr>
            <w:tcW w:w="4251" w:type="dxa"/>
            <w:noWrap/>
            <w:hideMark/>
          </w:tcPr>
          <w:p w:rsidR="005C6C36" w:rsidRPr="00EA0C5F" w:rsidRDefault="005C6C36" w:rsidP="005C6C36">
            <w:pPr>
              <w:rPr>
                <w:rFonts w:eastAsia="Times New Roman" w:cstheme="minorHAnsi"/>
                <w:b/>
                <w:bCs/>
                <w:sz w:val="24"/>
                <w:szCs w:val="24"/>
                <w:lang w:eastAsia="en-GB"/>
              </w:rPr>
            </w:pPr>
            <w:r w:rsidRPr="00EA0C5F">
              <w:rPr>
                <w:rFonts w:eastAsia="Times New Roman" w:cstheme="minorHAnsi"/>
                <w:b/>
                <w:bCs/>
                <w:sz w:val="24"/>
                <w:szCs w:val="24"/>
                <w:lang w:eastAsia="en-GB"/>
              </w:rPr>
              <w:t>REGIO VI</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Floram</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b/>
                <w:bCs/>
                <w:i/>
                <w:sz w:val="20"/>
                <w:szCs w:val="20"/>
                <w:lang w:eastAsia="en-GB"/>
              </w:rPr>
              <w:t>templum</w:t>
            </w:r>
            <w:r w:rsidRPr="00D86111">
              <w:rPr>
                <w:rFonts w:eastAsia="Times New Roman" w:cstheme="minorHAnsi"/>
                <w:i/>
                <w:sz w:val="20"/>
                <w:szCs w:val="20"/>
                <w:lang w:eastAsia="en-GB"/>
              </w:rPr>
              <w:t xml:space="preserve"> Florae</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thermas Constantinianas, thermas Diocletianas</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thermas Diocletianas et Constantinianas</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malum punicum</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castra praetoria</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aream Candidi</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VII</w:t>
            </w:r>
          </w:p>
        </w:tc>
        <w:tc>
          <w:tcPr>
            <w:tcW w:w="4251" w:type="dxa"/>
            <w:noWrap/>
            <w:hideMark/>
          </w:tcPr>
          <w:p w:rsidR="005C6C36" w:rsidRPr="00D86111" w:rsidRDefault="005C6C36" w:rsidP="005C6C36">
            <w:pPr>
              <w:rPr>
                <w:rFonts w:eastAsia="Times New Roman" w:cstheme="minorHAnsi"/>
                <w:b/>
                <w:bCs/>
                <w:sz w:val="24"/>
                <w:szCs w:val="24"/>
                <w:lang w:eastAsia="en-GB"/>
              </w:rPr>
            </w:pPr>
            <w:r w:rsidRPr="00D86111">
              <w:rPr>
                <w:rFonts w:eastAsia="Times New Roman" w:cstheme="minorHAnsi"/>
                <w:b/>
                <w:bCs/>
                <w:sz w:val="24"/>
                <w:szCs w:val="24"/>
                <w:lang w:eastAsia="en-GB"/>
              </w:rPr>
              <w:t>REGIO VII</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i/>
                <w:sz w:val="24"/>
                <w:szCs w:val="24"/>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templum duo nova Spei et Fortunae</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sz w:val="24"/>
                <w:szCs w:val="24"/>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hortos Largianos</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VIII</w:t>
            </w:r>
          </w:p>
        </w:tc>
        <w:tc>
          <w:tcPr>
            <w:tcW w:w="4251" w:type="dxa"/>
            <w:noWrap/>
            <w:hideMark/>
          </w:tcPr>
          <w:p w:rsidR="005C6C36" w:rsidRPr="00EA0C5F" w:rsidRDefault="005C6C36" w:rsidP="005C6C36">
            <w:pPr>
              <w:rPr>
                <w:rFonts w:eastAsia="Times New Roman" w:cstheme="minorHAnsi"/>
                <w:b/>
                <w:bCs/>
                <w:sz w:val="24"/>
                <w:szCs w:val="24"/>
                <w:lang w:eastAsia="en-GB"/>
              </w:rPr>
            </w:pPr>
            <w:r w:rsidRPr="00EA0C5F">
              <w:rPr>
                <w:rFonts w:eastAsia="Times New Roman" w:cstheme="minorHAnsi"/>
                <w:b/>
                <w:bCs/>
                <w:sz w:val="24"/>
                <w:szCs w:val="24"/>
                <w:lang w:eastAsia="en-GB"/>
              </w:rPr>
              <w:t>REGIO VIII</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D86111">
            <w:pPr>
              <w:ind w:firstLine="720"/>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aureum et equum Constantini</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templum Concordiae et Saturni et Vespasiani et Titi</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templum Concordiae, templum Saturni et Vespasiani et Titi</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w:t>
            </w: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iCs/>
                <w:color w:val="000000"/>
                <w:sz w:val="20"/>
                <w:szCs w:val="20"/>
                <w:lang w:eastAsia="en-GB"/>
              </w:rPr>
            </w:pPr>
            <w:r w:rsidRPr="00D86111">
              <w:rPr>
                <w:rFonts w:eastAsia="Times New Roman" w:cstheme="minorHAnsi"/>
                <w:i/>
                <w:iCs/>
                <w:color w:val="000000"/>
                <w:sz w:val="20"/>
                <w:szCs w:val="20"/>
                <w:lang w:eastAsia="en-GB"/>
              </w:rPr>
              <w:t>umbilicum Romae</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vicum iugarium</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vicum iugarium </w:t>
            </w:r>
            <w:r w:rsidRPr="00D86111">
              <w:rPr>
                <w:rFonts w:eastAsia="Times New Roman" w:cstheme="minorHAnsi"/>
                <w:b/>
                <w:bCs/>
                <w:i/>
                <w:sz w:val="20"/>
                <w:szCs w:val="20"/>
                <w:lang w:eastAsia="en-GB"/>
              </w:rPr>
              <w:t>et unguentarium</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templum Castorem</w:t>
            </w:r>
            <w:r w:rsidRPr="00D86111">
              <w:rPr>
                <w:rFonts w:eastAsia="Times New Roman" w:cstheme="minorHAnsi"/>
                <w:b/>
                <w:bCs/>
                <w:i/>
                <w:sz w:val="20"/>
                <w:szCs w:val="20"/>
                <w:lang w:eastAsia="en-GB"/>
              </w:rPr>
              <w:t xml:space="preserve"> et Minervae</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templum Castorem</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horrea Agrippiana</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horrea </w:t>
            </w:r>
            <w:r w:rsidRPr="00D86111">
              <w:rPr>
                <w:rFonts w:eastAsia="Times New Roman" w:cstheme="minorHAnsi"/>
                <w:b/>
                <w:bCs/>
                <w:i/>
                <w:sz w:val="20"/>
                <w:szCs w:val="20"/>
                <w:lang w:eastAsia="en-GB"/>
              </w:rPr>
              <w:t>Germaniciana</w:t>
            </w:r>
            <w:r w:rsidRPr="00D86111">
              <w:rPr>
                <w:rFonts w:eastAsia="Times New Roman" w:cstheme="minorHAnsi"/>
                <w:i/>
                <w:sz w:val="20"/>
                <w:szCs w:val="20"/>
                <w:lang w:eastAsia="en-GB"/>
              </w:rPr>
              <w:t xml:space="preserve"> et Agrippiana</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Balinea</w:t>
            </w:r>
          </w:p>
        </w:tc>
        <w:tc>
          <w:tcPr>
            <w:tcW w:w="3438"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86</w:t>
            </w:r>
          </w:p>
        </w:tc>
        <w:tc>
          <w:tcPr>
            <w:tcW w:w="4251"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85</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EA0C5F" w:rsidRDefault="005C6C36" w:rsidP="005C6C36">
            <w:pPr>
              <w:rPr>
                <w:rFonts w:eastAsia="Times New Roman" w:cstheme="minorHAnsi"/>
                <w:b/>
                <w:bCs/>
                <w:sz w:val="24"/>
                <w:szCs w:val="24"/>
                <w:lang w:eastAsia="en-GB"/>
              </w:rPr>
            </w:pPr>
            <w:r w:rsidRPr="00EA0C5F">
              <w:rPr>
                <w:rFonts w:eastAsia="Times New Roman" w:cstheme="minorHAnsi"/>
                <w:b/>
                <w:bCs/>
                <w:sz w:val="24"/>
                <w:szCs w:val="24"/>
                <w:lang w:eastAsia="en-GB"/>
              </w:rPr>
              <w:t>REGIO IX</w:t>
            </w:r>
          </w:p>
        </w:tc>
        <w:tc>
          <w:tcPr>
            <w:tcW w:w="4251" w:type="dxa"/>
            <w:noWrap/>
            <w:hideMark/>
          </w:tcPr>
          <w:p w:rsidR="005C6C36" w:rsidRPr="00EA0C5F" w:rsidRDefault="005C6C36" w:rsidP="005C6C36">
            <w:pPr>
              <w:rPr>
                <w:rFonts w:eastAsia="Times New Roman" w:cstheme="minorHAnsi"/>
                <w:b/>
                <w:bCs/>
                <w:sz w:val="24"/>
                <w:szCs w:val="24"/>
                <w:lang w:eastAsia="en-GB"/>
              </w:rPr>
            </w:pPr>
            <w:r w:rsidRPr="00EA0C5F">
              <w:rPr>
                <w:rFonts w:eastAsia="Times New Roman" w:cstheme="minorHAnsi"/>
                <w:b/>
                <w:bCs/>
                <w:sz w:val="24"/>
                <w:szCs w:val="24"/>
                <w:lang w:eastAsia="en-GB"/>
              </w:rPr>
              <w:t>REGIO IX</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aedes</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Minucias veterem et frumentarium</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Minucias </w:t>
            </w:r>
            <w:r w:rsidRPr="00D86111">
              <w:rPr>
                <w:rFonts w:eastAsia="Times New Roman" w:cstheme="minorHAnsi"/>
                <w:b/>
                <w:bCs/>
                <w:i/>
                <w:sz w:val="20"/>
                <w:szCs w:val="20"/>
                <w:lang w:eastAsia="en-GB"/>
              </w:rPr>
              <w:t>duas</w:t>
            </w:r>
            <w:r w:rsidRPr="00D86111">
              <w:rPr>
                <w:rFonts w:eastAsia="Times New Roman" w:cstheme="minorHAnsi"/>
                <w:i/>
                <w:sz w:val="20"/>
                <w:szCs w:val="20"/>
                <w:lang w:eastAsia="en-GB"/>
              </w:rPr>
              <w:t xml:space="preserve"> veterem et frumentarium</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basilicam </w:t>
            </w:r>
            <w:r w:rsidRPr="00D86111">
              <w:rPr>
                <w:rFonts w:eastAsia="Times New Roman" w:cstheme="minorHAnsi"/>
                <w:b/>
                <w:bCs/>
                <w:i/>
                <w:sz w:val="20"/>
                <w:szCs w:val="20"/>
                <w:lang w:eastAsia="en-GB"/>
              </w:rPr>
              <w:t>Neptuni</w:t>
            </w:r>
            <w:r w:rsidRPr="00D86111">
              <w:rPr>
                <w:rFonts w:eastAsia="Times New Roman" w:cstheme="minorHAnsi"/>
                <w:i/>
                <w:sz w:val="20"/>
                <w:szCs w:val="20"/>
                <w:lang w:eastAsia="en-GB"/>
              </w:rPr>
              <w:t xml:space="preserve"> Matidies Marciani</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basilicam Matidies et Marciani</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templum Antonini </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templum </w:t>
            </w:r>
            <w:r w:rsidRPr="00D86111">
              <w:rPr>
                <w:rFonts w:eastAsia="Times New Roman" w:cstheme="minorHAnsi"/>
                <w:b/>
                <w:bCs/>
                <w:i/>
                <w:sz w:val="20"/>
                <w:szCs w:val="20"/>
                <w:lang w:eastAsia="en-GB"/>
              </w:rPr>
              <w:t>divi</w:t>
            </w:r>
            <w:r w:rsidRPr="00D86111">
              <w:rPr>
                <w:rFonts w:eastAsia="Times New Roman" w:cstheme="minorHAnsi"/>
                <w:i/>
                <w:sz w:val="20"/>
                <w:szCs w:val="20"/>
                <w:lang w:eastAsia="en-GB"/>
              </w:rPr>
              <w:t xml:space="preserve"> Antonini</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Hadrianeum</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Minervam Calcidicam</w:t>
            </w:r>
          </w:p>
        </w:tc>
        <w:tc>
          <w:tcPr>
            <w:tcW w:w="4251" w:type="dxa"/>
            <w:noWrap/>
            <w:hideMark/>
          </w:tcPr>
          <w:p w:rsidR="005C6C36" w:rsidRPr="00D86111" w:rsidRDefault="005C6C36" w:rsidP="005C6C36">
            <w:pPr>
              <w:rPr>
                <w:rFonts w:eastAsia="Times New Roman" w:cstheme="minorHAnsi"/>
                <w:i/>
                <w:sz w:val="20"/>
                <w:szCs w:val="20"/>
                <w:lang w:eastAsia="en-GB"/>
              </w:rPr>
            </w:pP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 xml:space="preserve">X </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X</w:t>
            </w:r>
          </w:p>
        </w:tc>
        <w:tc>
          <w:tcPr>
            <w:tcW w:w="4251" w:type="dxa"/>
            <w:noWrap/>
            <w:hideMark/>
          </w:tcPr>
          <w:p w:rsidR="005C6C36" w:rsidRPr="00EA0C5F" w:rsidRDefault="005C6C36" w:rsidP="005C6C36">
            <w:pPr>
              <w:rPr>
                <w:rFonts w:eastAsia="Times New Roman" w:cstheme="minorHAnsi"/>
                <w:b/>
                <w:bCs/>
                <w:sz w:val="24"/>
                <w:szCs w:val="24"/>
                <w:lang w:eastAsia="en-GB"/>
              </w:rPr>
            </w:pPr>
            <w:r w:rsidRPr="00EA0C5F">
              <w:rPr>
                <w:rFonts w:eastAsia="Times New Roman" w:cstheme="minorHAnsi"/>
                <w:b/>
                <w:bCs/>
                <w:sz w:val="24"/>
                <w:szCs w:val="24"/>
                <w:lang w:eastAsia="en-GB"/>
              </w:rPr>
              <w:t>REGIO X</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aream Palatinam</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iCs/>
                <w:sz w:val="20"/>
                <w:szCs w:val="20"/>
                <w:lang w:eastAsia="en-GB"/>
              </w:rPr>
            </w:pPr>
            <w:r w:rsidRPr="00D86111">
              <w:rPr>
                <w:rFonts w:eastAsia="Times New Roman" w:cstheme="minorHAnsi"/>
                <w:i/>
                <w:iCs/>
                <w:sz w:val="20"/>
                <w:szCs w:val="20"/>
                <w:lang w:eastAsia="en-GB"/>
              </w:rPr>
              <w:t>Domus Dion</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aedem Iobis</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aedem Iovis </w:t>
            </w:r>
            <w:r w:rsidRPr="00D86111">
              <w:rPr>
                <w:rFonts w:eastAsia="Times New Roman" w:cstheme="minorHAnsi"/>
                <w:b/>
                <w:bCs/>
                <w:i/>
                <w:sz w:val="20"/>
                <w:szCs w:val="20"/>
                <w:lang w:eastAsia="en-GB"/>
              </w:rPr>
              <w:t>victoris</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Insulae</w:t>
            </w:r>
          </w:p>
        </w:tc>
        <w:tc>
          <w:tcPr>
            <w:tcW w:w="3438"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2742</w:t>
            </w:r>
          </w:p>
        </w:tc>
        <w:tc>
          <w:tcPr>
            <w:tcW w:w="4251" w:type="dxa"/>
            <w:noWrap/>
            <w:hideMark/>
          </w:tcPr>
          <w:p w:rsidR="005C6C36" w:rsidRPr="00D86111" w:rsidRDefault="005C6C36" w:rsidP="005C6C36">
            <w:pPr>
              <w:jc w:val="right"/>
              <w:rPr>
                <w:rFonts w:eastAsia="Times New Roman" w:cstheme="minorHAnsi"/>
                <w:color w:val="000000"/>
                <w:sz w:val="20"/>
                <w:szCs w:val="20"/>
                <w:lang w:eastAsia="en-GB"/>
              </w:rPr>
            </w:pPr>
            <w:r w:rsidRPr="00D86111">
              <w:rPr>
                <w:rFonts w:eastAsia="Times New Roman" w:cstheme="minorHAnsi"/>
                <w:color w:val="000000"/>
                <w:sz w:val="20"/>
                <w:szCs w:val="20"/>
                <w:lang w:eastAsia="en-GB"/>
              </w:rPr>
              <w:t>2642</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Lacos</w:t>
            </w:r>
          </w:p>
        </w:tc>
        <w:tc>
          <w:tcPr>
            <w:tcW w:w="3438"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90</w:t>
            </w:r>
          </w:p>
        </w:tc>
        <w:tc>
          <w:tcPr>
            <w:tcW w:w="4251" w:type="dxa"/>
            <w:noWrap/>
            <w:hideMark/>
          </w:tcPr>
          <w:p w:rsidR="005C6C36" w:rsidRPr="00D86111" w:rsidRDefault="005C6C36" w:rsidP="005C6C36">
            <w:pPr>
              <w:jc w:val="right"/>
              <w:rPr>
                <w:rFonts w:eastAsia="Times New Roman" w:cstheme="minorHAnsi"/>
                <w:color w:val="000000"/>
                <w:sz w:val="20"/>
                <w:szCs w:val="20"/>
                <w:lang w:eastAsia="en-GB"/>
              </w:rPr>
            </w:pPr>
            <w:r w:rsidRPr="00D86111">
              <w:rPr>
                <w:rFonts w:eastAsia="Times New Roman" w:cstheme="minorHAnsi"/>
                <w:color w:val="000000"/>
                <w:sz w:val="20"/>
                <w:szCs w:val="20"/>
                <w:lang w:eastAsia="en-GB"/>
              </w:rPr>
              <w:t>89</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XI</w:t>
            </w:r>
          </w:p>
        </w:tc>
        <w:tc>
          <w:tcPr>
            <w:tcW w:w="4251" w:type="dxa"/>
            <w:noWrap/>
            <w:hideMark/>
          </w:tcPr>
          <w:p w:rsidR="005C6C36" w:rsidRPr="00EA0C5F" w:rsidRDefault="005C6C36" w:rsidP="005C6C36">
            <w:pPr>
              <w:rPr>
                <w:rFonts w:eastAsia="Times New Roman" w:cstheme="minorHAnsi"/>
                <w:b/>
                <w:bCs/>
                <w:sz w:val="24"/>
                <w:szCs w:val="24"/>
                <w:lang w:eastAsia="en-GB"/>
              </w:rPr>
            </w:pPr>
            <w:r w:rsidRPr="00EA0C5F">
              <w:rPr>
                <w:rFonts w:eastAsia="Times New Roman" w:cstheme="minorHAnsi"/>
                <w:b/>
                <w:bCs/>
                <w:sz w:val="24"/>
                <w:szCs w:val="24"/>
                <w:lang w:eastAsia="en-GB"/>
              </w:rPr>
              <w:t>REGIO XI</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templum Solis et Lunae et templum Mercurii</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templum Solis et Lunae, templum Mercurii </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aedem Matris deum et Iobis</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aedem Matris deum et Iovis </w:t>
            </w:r>
            <w:r w:rsidRPr="00D86111">
              <w:rPr>
                <w:rFonts w:eastAsia="Times New Roman" w:cstheme="minorHAnsi"/>
                <w:b/>
                <w:bCs/>
                <w:i/>
                <w:sz w:val="20"/>
                <w:szCs w:val="20"/>
                <w:lang w:eastAsia="en-GB"/>
              </w:rPr>
              <w:t>arboratoris</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aedem Ditis patris</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Fortunium</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Arcum Constantini</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Arcum </w:t>
            </w:r>
            <w:r w:rsidRPr="00D86111">
              <w:rPr>
                <w:rFonts w:eastAsia="Times New Roman" w:cstheme="minorHAnsi"/>
                <w:b/>
                <w:bCs/>
                <w:i/>
                <w:sz w:val="20"/>
                <w:szCs w:val="20"/>
                <w:lang w:eastAsia="en-GB"/>
              </w:rPr>
              <w:t xml:space="preserve">divi </w:t>
            </w:r>
            <w:r w:rsidRPr="00D86111">
              <w:rPr>
                <w:rFonts w:eastAsia="Times New Roman" w:cstheme="minorHAnsi"/>
                <w:i/>
                <w:sz w:val="20"/>
                <w:szCs w:val="20"/>
                <w:lang w:eastAsia="en-GB"/>
              </w:rPr>
              <w:t>Constantini</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Domos</w:t>
            </w:r>
          </w:p>
        </w:tc>
        <w:tc>
          <w:tcPr>
            <w:tcW w:w="3438"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88</w:t>
            </w:r>
          </w:p>
        </w:tc>
        <w:tc>
          <w:tcPr>
            <w:tcW w:w="4251"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89</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b/>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XII</w:t>
            </w:r>
          </w:p>
        </w:tc>
        <w:tc>
          <w:tcPr>
            <w:tcW w:w="4251"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XII</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Lacos</w:t>
            </w:r>
          </w:p>
        </w:tc>
        <w:tc>
          <w:tcPr>
            <w:tcW w:w="3438"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80</w:t>
            </w:r>
          </w:p>
        </w:tc>
        <w:tc>
          <w:tcPr>
            <w:tcW w:w="4251"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81</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XIII</w:t>
            </w:r>
          </w:p>
        </w:tc>
        <w:tc>
          <w:tcPr>
            <w:tcW w:w="4251" w:type="dxa"/>
            <w:noWrap/>
            <w:hideMark/>
          </w:tcPr>
          <w:p w:rsidR="005C6C36" w:rsidRPr="00EA0C5F" w:rsidRDefault="005C6C36" w:rsidP="005C6C36">
            <w:pPr>
              <w:rPr>
                <w:rFonts w:eastAsia="Times New Roman" w:cstheme="minorHAnsi"/>
                <w:b/>
                <w:bCs/>
                <w:sz w:val="24"/>
                <w:szCs w:val="24"/>
                <w:lang w:eastAsia="en-GB"/>
              </w:rPr>
            </w:pPr>
            <w:r w:rsidRPr="00EA0C5F">
              <w:rPr>
                <w:rFonts w:eastAsia="Times New Roman" w:cstheme="minorHAnsi"/>
                <w:b/>
                <w:bCs/>
                <w:sz w:val="24"/>
                <w:szCs w:val="24"/>
                <w:lang w:eastAsia="en-GB"/>
              </w:rPr>
              <w:t>REGIO XIII</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Aediculae</w:t>
            </w:r>
          </w:p>
        </w:tc>
        <w:tc>
          <w:tcPr>
            <w:tcW w:w="3438"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18</w:t>
            </w:r>
          </w:p>
        </w:tc>
        <w:tc>
          <w:tcPr>
            <w:tcW w:w="4251"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17</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lastRenderedPageBreak/>
              <w:t>Balinea</w:t>
            </w:r>
          </w:p>
        </w:tc>
        <w:tc>
          <w:tcPr>
            <w:tcW w:w="3438"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44</w:t>
            </w:r>
          </w:p>
        </w:tc>
        <w:tc>
          <w:tcPr>
            <w:tcW w:w="4251" w:type="dxa"/>
            <w:noWrap/>
            <w:hideMark/>
          </w:tcPr>
          <w:p w:rsidR="005C6C36" w:rsidRPr="00D86111" w:rsidRDefault="005C6C36" w:rsidP="005C6C36">
            <w:pPr>
              <w:jc w:val="right"/>
              <w:rPr>
                <w:rFonts w:eastAsia="Times New Roman" w:cstheme="minorHAnsi"/>
                <w:sz w:val="20"/>
                <w:szCs w:val="20"/>
                <w:lang w:eastAsia="en-GB"/>
              </w:rPr>
            </w:pPr>
            <w:r w:rsidRPr="00D86111">
              <w:rPr>
                <w:rFonts w:eastAsia="Times New Roman" w:cstheme="minorHAnsi"/>
                <w:sz w:val="20"/>
                <w:szCs w:val="20"/>
                <w:lang w:eastAsia="en-GB"/>
              </w:rPr>
              <w:t>60</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sz w:val="20"/>
                <w:szCs w:val="20"/>
                <w:lang w:eastAsia="en-GB"/>
              </w:rPr>
            </w:pPr>
          </w:p>
        </w:tc>
        <w:tc>
          <w:tcPr>
            <w:tcW w:w="42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privata Traiani</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XIV</w:t>
            </w:r>
          </w:p>
        </w:tc>
        <w:tc>
          <w:tcPr>
            <w:tcW w:w="4251" w:type="dxa"/>
            <w:noWrap/>
            <w:hideMark/>
          </w:tcPr>
          <w:p w:rsidR="005C6C36" w:rsidRPr="00D86111" w:rsidRDefault="005C6C36" w:rsidP="005C6C36">
            <w:pPr>
              <w:rPr>
                <w:rFonts w:eastAsia="Times New Roman" w:cstheme="minorHAnsi"/>
                <w:b/>
                <w:sz w:val="24"/>
                <w:szCs w:val="24"/>
                <w:lang w:eastAsia="en-GB"/>
              </w:rPr>
            </w:pPr>
            <w:r w:rsidRPr="00D86111">
              <w:rPr>
                <w:rFonts w:eastAsia="Times New Roman" w:cstheme="minorHAnsi"/>
                <w:b/>
                <w:sz w:val="24"/>
                <w:szCs w:val="24"/>
                <w:lang w:eastAsia="en-GB"/>
              </w:rPr>
              <w:t>REGIO XIV</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naumachias V et Vaticanum</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naumachias V, Vaticanum</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balineum Ampelidis et Dianes</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balineum Ampelidis </w:t>
            </w:r>
            <w:r w:rsidRPr="00D86111">
              <w:rPr>
                <w:rFonts w:eastAsia="Times New Roman" w:cstheme="minorHAnsi"/>
                <w:b/>
                <w:bCs/>
                <w:i/>
                <w:sz w:val="20"/>
                <w:szCs w:val="20"/>
                <w:lang w:eastAsia="en-GB"/>
              </w:rPr>
              <w:t xml:space="preserve">Prisci </w:t>
            </w:r>
            <w:r w:rsidRPr="00D86111">
              <w:rPr>
                <w:rFonts w:eastAsia="Times New Roman" w:cstheme="minorHAnsi"/>
                <w:i/>
                <w:sz w:val="20"/>
                <w:szCs w:val="20"/>
                <w:lang w:eastAsia="en-GB"/>
              </w:rPr>
              <w:t>et Dianae</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 xml:space="preserve">Herculem </w:t>
            </w:r>
            <w:r w:rsidRPr="00D86111">
              <w:rPr>
                <w:rFonts w:eastAsia="Times New Roman" w:cstheme="minorHAnsi"/>
                <w:b/>
                <w:bCs/>
                <w:i/>
                <w:sz w:val="20"/>
                <w:szCs w:val="20"/>
                <w:lang w:eastAsia="en-GB"/>
              </w:rPr>
              <w:t xml:space="preserve">sub terram medium </w:t>
            </w:r>
            <w:r w:rsidRPr="00D86111">
              <w:rPr>
                <w:rFonts w:eastAsia="Times New Roman" w:cstheme="minorHAnsi"/>
                <w:i/>
                <w:sz w:val="20"/>
                <w:szCs w:val="20"/>
                <w:lang w:eastAsia="en-GB"/>
              </w:rPr>
              <w:t xml:space="preserve">cubantem </w:t>
            </w:r>
            <w:r w:rsidRPr="00D86111">
              <w:rPr>
                <w:rFonts w:eastAsia="Times New Roman" w:cstheme="minorHAnsi"/>
                <w:b/>
                <w:bCs/>
                <w:i/>
                <w:sz w:val="20"/>
                <w:szCs w:val="20"/>
                <w:lang w:eastAsia="en-GB"/>
              </w:rPr>
              <w:t>sub quem plurimum auri positus est.</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Herculem cubantem</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w:t>
            </w: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1F1C61" w:rsidRDefault="005C6C36" w:rsidP="005C6C36">
            <w:pPr>
              <w:rPr>
                <w:rFonts w:eastAsia="Times New Roman" w:cstheme="minorHAnsi"/>
                <w:b/>
                <w:bCs/>
                <w:sz w:val="24"/>
                <w:szCs w:val="24"/>
                <w:u w:val="single"/>
                <w:lang w:eastAsia="en-GB"/>
              </w:rPr>
            </w:pPr>
            <w:r w:rsidRPr="001F1C61">
              <w:rPr>
                <w:rFonts w:eastAsia="Times New Roman" w:cstheme="minorHAnsi"/>
                <w:b/>
                <w:bCs/>
                <w:sz w:val="24"/>
                <w:szCs w:val="24"/>
                <w:u w:val="single"/>
                <w:lang w:eastAsia="en-GB"/>
              </w:rPr>
              <w:t>APPENDIX ONE</w:t>
            </w:r>
          </w:p>
        </w:tc>
        <w:tc>
          <w:tcPr>
            <w:tcW w:w="4251" w:type="dxa"/>
            <w:noWrap/>
            <w:hideMark/>
          </w:tcPr>
          <w:p w:rsidR="005C6C36" w:rsidRPr="001F1C61" w:rsidRDefault="005C6C36" w:rsidP="005C6C36">
            <w:pPr>
              <w:rPr>
                <w:rFonts w:eastAsia="Times New Roman" w:cstheme="minorHAnsi"/>
                <w:b/>
                <w:bCs/>
                <w:sz w:val="24"/>
                <w:szCs w:val="24"/>
                <w:u w:val="single"/>
                <w:lang w:eastAsia="en-GB"/>
              </w:rPr>
            </w:pPr>
            <w:r w:rsidRPr="001F1C61">
              <w:rPr>
                <w:rFonts w:eastAsia="Times New Roman" w:cstheme="minorHAnsi"/>
                <w:b/>
                <w:bCs/>
                <w:sz w:val="24"/>
                <w:szCs w:val="24"/>
                <w:u w:val="single"/>
                <w:lang w:eastAsia="en-GB"/>
              </w:rPr>
              <w:t>APPENDIX ONE</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OBELISK: in circo maximo duo, minor habet pedes LXXXVII s. maior habet pedes CXXII s.</w:t>
            </w: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OBELISK: in circo maximo unus altus pedes LXXXVIII s.</w:t>
            </w: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w:t>
            </w: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(FORUM) suarium</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i/>
                <w:sz w:val="20"/>
                <w:szCs w:val="20"/>
                <w:lang w:eastAsia="en-GB"/>
              </w:rPr>
            </w:pPr>
          </w:p>
        </w:tc>
        <w:tc>
          <w:tcPr>
            <w:tcW w:w="4251" w:type="dxa"/>
            <w:noWrap/>
            <w:hideMark/>
          </w:tcPr>
          <w:p w:rsidR="005C6C36" w:rsidRPr="00D86111" w:rsidRDefault="005C6C36" w:rsidP="005C6C36">
            <w:pPr>
              <w:rPr>
                <w:rFonts w:eastAsia="Times New Roman" w:cstheme="minorHAnsi"/>
                <w:i/>
                <w:sz w:val="20"/>
                <w:szCs w:val="20"/>
                <w:lang w:eastAsia="en-GB"/>
              </w:rPr>
            </w:pPr>
            <w:r w:rsidRPr="00D86111">
              <w:rPr>
                <w:rFonts w:eastAsia="Times New Roman" w:cstheme="minorHAnsi"/>
                <w:i/>
                <w:sz w:val="20"/>
                <w:szCs w:val="20"/>
                <w:lang w:eastAsia="en-GB"/>
              </w:rPr>
              <w:t>(</w:t>
            </w:r>
            <w:r w:rsidR="00C43F79" w:rsidRPr="00D86111">
              <w:rPr>
                <w:rFonts w:eastAsia="Times New Roman" w:cstheme="minorHAnsi"/>
                <w:i/>
                <w:sz w:val="20"/>
                <w:szCs w:val="20"/>
                <w:lang w:eastAsia="en-GB"/>
              </w:rPr>
              <w:t>THERMAE</w:t>
            </w:r>
            <w:r w:rsidRPr="00D86111">
              <w:rPr>
                <w:rFonts w:eastAsia="Times New Roman" w:cstheme="minorHAnsi"/>
                <w:i/>
                <w:sz w:val="20"/>
                <w:szCs w:val="20"/>
                <w:lang w:eastAsia="en-GB"/>
              </w:rPr>
              <w:t>) Decianae</w:t>
            </w:r>
          </w:p>
        </w:tc>
        <w:tc>
          <w:tcPr>
            <w:tcW w:w="2551" w:type="dxa"/>
            <w:noWrap/>
            <w:hideMark/>
          </w:tcPr>
          <w:p w:rsidR="005C6C36" w:rsidRPr="00D86111" w:rsidRDefault="005C6C36" w:rsidP="005C6C36">
            <w:pPr>
              <w:rPr>
                <w:rFonts w:eastAsia="Times New Roman" w:cstheme="minorHAnsi"/>
                <w:sz w:val="20"/>
                <w:szCs w:val="20"/>
                <w:lang w:eastAsia="en-GB"/>
              </w:rPr>
            </w:pPr>
            <w:r w:rsidRPr="00D86111">
              <w:rPr>
                <w:rFonts w:eastAsia="Times New Roman" w:cstheme="minorHAnsi"/>
                <w:sz w:val="20"/>
                <w:szCs w:val="20"/>
                <w:lang w:eastAsia="en-GB"/>
              </w:rPr>
              <w:t>X (N)</w:t>
            </w: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D86111" w:rsidRDefault="005C6C36" w:rsidP="005C6C36">
            <w:pPr>
              <w:rPr>
                <w:rFonts w:eastAsia="Times New Roman" w:cstheme="minorHAnsi"/>
                <w:sz w:val="20"/>
                <w:szCs w:val="20"/>
                <w:lang w:eastAsia="en-GB"/>
              </w:rPr>
            </w:pPr>
          </w:p>
        </w:tc>
        <w:tc>
          <w:tcPr>
            <w:tcW w:w="3438" w:type="dxa"/>
            <w:noWrap/>
            <w:hideMark/>
          </w:tcPr>
          <w:p w:rsidR="005C6C36" w:rsidRPr="00D86111" w:rsidRDefault="005C6C36" w:rsidP="005C6C36">
            <w:pPr>
              <w:rPr>
                <w:rFonts w:eastAsia="Times New Roman" w:cstheme="minorHAnsi"/>
                <w:sz w:val="20"/>
                <w:szCs w:val="20"/>
                <w:lang w:eastAsia="en-GB"/>
              </w:rPr>
            </w:pPr>
          </w:p>
        </w:tc>
        <w:tc>
          <w:tcPr>
            <w:tcW w:w="4251" w:type="dxa"/>
            <w:noWrap/>
            <w:hideMark/>
          </w:tcPr>
          <w:p w:rsidR="005C6C36" w:rsidRPr="00D86111" w:rsidRDefault="005C6C36" w:rsidP="005C6C36">
            <w:pPr>
              <w:rPr>
                <w:rFonts w:eastAsia="Times New Roman" w:cstheme="minorHAnsi"/>
                <w:sz w:val="20"/>
                <w:szCs w:val="20"/>
                <w:lang w:eastAsia="en-GB"/>
              </w:rPr>
            </w:pPr>
          </w:p>
        </w:tc>
        <w:tc>
          <w:tcPr>
            <w:tcW w:w="2551" w:type="dxa"/>
            <w:noWrap/>
            <w:hideMark/>
          </w:tcPr>
          <w:p w:rsidR="005C6C36" w:rsidRPr="00D86111" w:rsidRDefault="005C6C36" w:rsidP="005C6C36">
            <w:pPr>
              <w:rPr>
                <w:rFonts w:eastAsia="Times New Roman" w:cstheme="minorHAnsi"/>
                <w:sz w:val="20"/>
                <w:szCs w:val="20"/>
                <w:lang w:eastAsia="en-GB"/>
              </w:rPr>
            </w:pPr>
          </w:p>
        </w:tc>
        <w:tc>
          <w:tcPr>
            <w:tcW w:w="2670" w:type="dxa"/>
            <w:noWrap/>
            <w:hideMark/>
          </w:tcPr>
          <w:p w:rsidR="005C6C36" w:rsidRPr="00D8611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EA0C5F" w:rsidRDefault="005C6C36" w:rsidP="005C6C36">
            <w:pPr>
              <w:rPr>
                <w:rFonts w:eastAsia="Times New Roman" w:cstheme="minorHAnsi"/>
                <w:sz w:val="24"/>
                <w:szCs w:val="24"/>
                <w:lang w:eastAsia="en-GB"/>
              </w:rPr>
            </w:pPr>
          </w:p>
        </w:tc>
        <w:tc>
          <w:tcPr>
            <w:tcW w:w="3438" w:type="dxa"/>
            <w:noWrap/>
            <w:hideMark/>
          </w:tcPr>
          <w:p w:rsidR="005C6C36" w:rsidRPr="001F1C61" w:rsidRDefault="005C6C36" w:rsidP="005C6C36">
            <w:pPr>
              <w:rPr>
                <w:rFonts w:eastAsia="Times New Roman" w:cstheme="minorHAnsi"/>
                <w:b/>
                <w:sz w:val="24"/>
                <w:szCs w:val="24"/>
                <w:u w:val="single"/>
                <w:lang w:eastAsia="en-GB"/>
              </w:rPr>
            </w:pPr>
            <w:r w:rsidRPr="001F1C61">
              <w:rPr>
                <w:rFonts w:eastAsia="Times New Roman" w:cstheme="minorHAnsi"/>
                <w:b/>
                <w:sz w:val="24"/>
                <w:szCs w:val="24"/>
                <w:u w:val="single"/>
                <w:lang w:eastAsia="en-GB"/>
              </w:rPr>
              <w:t>APPENDIX TWO: BREVIARIUM</w:t>
            </w:r>
          </w:p>
        </w:tc>
        <w:tc>
          <w:tcPr>
            <w:tcW w:w="4251" w:type="dxa"/>
            <w:noWrap/>
            <w:hideMark/>
          </w:tcPr>
          <w:p w:rsidR="005C6C36" w:rsidRPr="00EA0C5F" w:rsidRDefault="001F1C61" w:rsidP="005C6C36">
            <w:pPr>
              <w:rPr>
                <w:rFonts w:eastAsia="Times New Roman" w:cstheme="minorHAnsi"/>
                <w:sz w:val="24"/>
                <w:szCs w:val="24"/>
                <w:lang w:eastAsia="en-GB"/>
              </w:rPr>
            </w:pPr>
            <w:r w:rsidRPr="001F1C61">
              <w:rPr>
                <w:rFonts w:eastAsia="Times New Roman" w:cstheme="minorHAnsi"/>
                <w:b/>
                <w:sz w:val="24"/>
                <w:szCs w:val="24"/>
                <w:u w:val="single"/>
                <w:lang w:eastAsia="en-GB"/>
              </w:rPr>
              <w:t>APPENDIX TWO: BREVIARIUM</w:t>
            </w:r>
          </w:p>
        </w:tc>
        <w:tc>
          <w:tcPr>
            <w:tcW w:w="2551" w:type="dxa"/>
            <w:noWrap/>
            <w:hideMark/>
          </w:tcPr>
          <w:p w:rsidR="005C6C36" w:rsidRPr="00EA0C5F" w:rsidRDefault="005C6C36" w:rsidP="005C6C36">
            <w:pPr>
              <w:rPr>
                <w:rFonts w:eastAsia="Times New Roman" w:cstheme="minorHAnsi"/>
                <w:sz w:val="24"/>
                <w:szCs w:val="24"/>
                <w:lang w:eastAsia="en-GB"/>
              </w:rPr>
            </w:pPr>
          </w:p>
        </w:tc>
        <w:tc>
          <w:tcPr>
            <w:tcW w:w="2670" w:type="dxa"/>
            <w:noWrap/>
            <w:hideMark/>
          </w:tcPr>
          <w:p w:rsidR="005C6C36" w:rsidRPr="00EA0C5F" w:rsidRDefault="005C6C36" w:rsidP="005C6C36">
            <w:pPr>
              <w:rPr>
                <w:rFonts w:eastAsia="Times New Roman" w:cstheme="minorHAnsi"/>
                <w:sz w:val="24"/>
                <w:szCs w:val="24"/>
                <w:lang w:eastAsia="en-GB"/>
              </w:rPr>
            </w:pPr>
          </w:p>
        </w:tc>
      </w:tr>
      <w:tr w:rsidR="005C6C36" w:rsidRPr="00EA0C5F" w:rsidTr="00EA0C5F">
        <w:trPr>
          <w:trHeight w:val="315"/>
        </w:trPr>
        <w:tc>
          <w:tcPr>
            <w:tcW w:w="1264" w:type="dxa"/>
            <w:noWrap/>
            <w:hideMark/>
          </w:tcPr>
          <w:p w:rsidR="005C6C36" w:rsidRPr="001F1C61" w:rsidRDefault="005C6C36" w:rsidP="005C6C36">
            <w:pPr>
              <w:rPr>
                <w:rFonts w:eastAsia="Times New Roman" w:cstheme="minorHAnsi"/>
                <w:i/>
                <w:color w:val="000000"/>
                <w:sz w:val="20"/>
                <w:szCs w:val="20"/>
                <w:lang w:eastAsia="en-GB"/>
              </w:rPr>
            </w:pPr>
            <w:r w:rsidRPr="001F1C61">
              <w:rPr>
                <w:rFonts w:eastAsia="Times New Roman" w:cstheme="minorHAnsi"/>
                <w:i/>
                <w:color w:val="000000"/>
                <w:sz w:val="20"/>
                <w:szCs w:val="20"/>
                <w:lang w:eastAsia="en-GB"/>
              </w:rPr>
              <w:t>eburni</w:t>
            </w:r>
          </w:p>
        </w:tc>
        <w:tc>
          <w:tcPr>
            <w:tcW w:w="3438"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74</w:t>
            </w:r>
          </w:p>
        </w:tc>
        <w:tc>
          <w:tcPr>
            <w:tcW w:w="4251"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78</w:t>
            </w:r>
          </w:p>
        </w:tc>
        <w:tc>
          <w:tcPr>
            <w:tcW w:w="2551" w:type="dxa"/>
            <w:noWrap/>
            <w:hideMark/>
          </w:tcPr>
          <w:p w:rsidR="005C6C36" w:rsidRPr="001F1C61" w:rsidRDefault="005C6C36" w:rsidP="005C6C36">
            <w:pPr>
              <w:rPr>
                <w:rFonts w:eastAsia="Times New Roman" w:cstheme="minorHAnsi"/>
                <w:sz w:val="20"/>
                <w:szCs w:val="20"/>
                <w:lang w:eastAsia="en-GB"/>
              </w:rPr>
            </w:pPr>
          </w:p>
        </w:tc>
        <w:tc>
          <w:tcPr>
            <w:tcW w:w="2670" w:type="dxa"/>
            <w:noWrap/>
            <w:hideMark/>
          </w:tcPr>
          <w:p w:rsidR="005C6C36" w:rsidRPr="001F1C6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1F1C61" w:rsidRDefault="005C6C36" w:rsidP="005C6C36">
            <w:pPr>
              <w:rPr>
                <w:rFonts w:eastAsia="Times New Roman" w:cstheme="minorHAnsi"/>
                <w:i/>
                <w:color w:val="000000"/>
                <w:sz w:val="20"/>
                <w:szCs w:val="20"/>
                <w:lang w:eastAsia="en-GB"/>
              </w:rPr>
            </w:pPr>
            <w:r w:rsidRPr="001F1C61">
              <w:rPr>
                <w:rFonts w:eastAsia="Times New Roman" w:cstheme="minorHAnsi"/>
                <w:i/>
                <w:color w:val="000000"/>
                <w:sz w:val="20"/>
                <w:szCs w:val="20"/>
                <w:lang w:eastAsia="en-GB"/>
              </w:rPr>
              <w:t>vici</w:t>
            </w:r>
          </w:p>
        </w:tc>
        <w:tc>
          <w:tcPr>
            <w:tcW w:w="3438"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423</w:t>
            </w:r>
          </w:p>
        </w:tc>
        <w:tc>
          <w:tcPr>
            <w:tcW w:w="4251"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424</w:t>
            </w:r>
          </w:p>
        </w:tc>
        <w:tc>
          <w:tcPr>
            <w:tcW w:w="2551" w:type="dxa"/>
            <w:noWrap/>
            <w:hideMark/>
          </w:tcPr>
          <w:p w:rsidR="005C6C36" w:rsidRPr="001F1C61" w:rsidRDefault="005C6C36" w:rsidP="005C6C36">
            <w:pPr>
              <w:rPr>
                <w:rFonts w:eastAsia="Times New Roman" w:cstheme="minorHAnsi"/>
                <w:sz w:val="20"/>
                <w:szCs w:val="20"/>
                <w:lang w:eastAsia="en-GB"/>
              </w:rPr>
            </w:pPr>
          </w:p>
        </w:tc>
        <w:tc>
          <w:tcPr>
            <w:tcW w:w="2670" w:type="dxa"/>
            <w:noWrap/>
            <w:hideMark/>
          </w:tcPr>
          <w:p w:rsidR="005C6C36" w:rsidRPr="001F1C6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1F1C61" w:rsidRDefault="005C6C36" w:rsidP="005C6C36">
            <w:pPr>
              <w:rPr>
                <w:rFonts w:eastAsia="Times New Roman" w:cstheme="minorHAnsi"/>
                <w:i/>
                <w:color w:val="000000"/>
                <w:sz w:val="20"/>
                <w:szCs w:val="20"/>
                <w:lang w:eastAsia="en-GB"/>
              </w:rPr>
            </w:pPr>
            <w:r w:rsidRPr="001F1C61">
              <w:rPr>
                <w:rFonts w:eastAsia="Times New Roman" w:cstheme="minorHAnsi"/>
                <w:i/>
                <w:color w:val="000000"/>
                <w:sz w:val="20"/>
                <w:szCs w:val="20"/>
                <w:lang w:eastAsia="en-GB"/>
              </w:rPr>
              <w:t>aedes</w:t>
            </w:r>
          </w:p>
        </w:tc>
        <w:tc>
          <w:tcPr>
            <w:tcW w:w="3438"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423</w:t>
            </w:r>
          </w:p>
        </w:tc>
        <w:tc>
          <w:tcPr>
            <w:tcW w:w="4251"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424</w:t>
            </w:r>
          </w:p>
        </w:tc>
        <w:tc>
          <w:tcPr>
            <w:tcW w:w="2551" w:type="dxa"/>
            <w:noWrap/>
            <w:hideMark/>
          </w:tcPr>
          <w:p w:rsidR="005C6C36" w:rsidRPr="001F1C61" w:rsidRDefault="005C6C36" w:rsidP="005C6C36">
            <w:pPr>
              <w:rPr>
                <w:rFonts w:eastAsia="Times New Roman" w:cstheme="minorHAnsi"/>
                <w:sz w:val="20"/>
                <w:szCs w:val="20"/>
                <w:lang w:eastAsia="en-GB"/>
              </w:rPr>
            </w:pPr>
          </w:p>
        </w:tc>
        <w:tc>
          <w:tcPr>
            <w:tcW w:w="2670" w:type="dxa"/>
            <w:noWrap/>
            <w:hideMark/>
          </w:tcPr>
          <w:p w:rsidR="005C6C36" w:rsidRPr="001F1C6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1F1C61" w:rsidRDefault="005C6C36" w:rsidP="005C6C36">
            <w:pPr>
              <w:rPr>
                <w:rFonts w:eastAsia="Times New Roman" w:cstheme="minorHAnsi"/>
                <w:i/>
                <w:color w:val="000000"/>
                <w:sz w:val="20"/>
                <w:szCs w:val="20"/>
                <w:lang w:eastAsia="en-GB"/>
              </w:rPr>
            </w:pPr>
            <w:r w:rsidRPr="001F1C61">
              <w:rPr>
                <w:rFonts w:eastAsia="Times New Roman" w:cstheme="minorHAnsi"/>
                <w:i/>
                <w:color w:val="000000"/>
                <w:sz w:val="20"/>
                <w:szCs w:val="20"/>
                <w:lang w:eastAsia="en-GB"/>
              </w:rPr>
              <w:t>curatores</w:t>
            </w:r>
          </w:p>
        </w:tc>
        <w:tc>
          <w:tcPr>
            <w:tcW w:w="3438"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29</w:t>
            </w:r>
          </w:p>
        </w:tc>
        <w:tc>
          <w:tcPr>
            <w:tcW w:w="4251"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28</w:t>
            </w:r>
          </w:p>
        </w:tc>
        <w:tc>
          <w:tcPr>
            <w:tcW w:w="2551" w:type="dxa"/>
            <w:noWrap/>
            <w:hideMark/>
          </w:tcPr>
          <w:p w:rsidR="005C6C36" w:rsidRPr="001F1C61" w:rsidRDefault="005C6C36" w:rsidP="005C6C36">
            <w:pPr>
              <w:rPr>
                <w:rFonts w:eastAsia="Times New Roman" w:cstheme="minorHAnsi"/>
                <w:sz w:val="20"/>
                <w:szCs w:val="20"/>
                <w:lang w:eastAsia="en-GB"/>
              </w:rPr>
            </w:pPr>
          </w:p>
        </w:tc>
        <w:tc>
          <w:tcPr>
            <w:tcW w:w="2670" w:type="dxa"/>
            <w:noWrap/>
            <w:hideMark/>
          </w:tcPr>
          <w:p w:rsidR="005C6C36" w:rsidRPr="001F1C6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1F1C61" w:rsidRDefault="005C6C36" w:rsidP="005C6C36">
            <w:pPr>
              <w:rPr>
                <w:rFonts w:eastAsia="Times New Roman" w:cstheme="minorHAnsi"/>
                <w:i/>
                <w:color w:val="000000"/>
                <w:sz w:val="20"/>
                <w:szCs w:val="20"/>
                <w:lang w:eastAsia="en-GB"/>
              </w:rPr>
            </w:pPr>
            <w:r w:rsidRPr="001F1C61">
              <w:rPr>
                <w:rFonts w:eastAsia="Times New Roman" w:cstheme="minorHAnsi"/>
                <w:i/>
                <w:color w:val="000000"/>
                <w:sz w:val="20"/>
                <w:szCs w:val="20"/>
                <w:lang w:eastAsia="en-GB"/>
              </w:rPr>
              <w:t>lupanariae</w:t>
            </w:r>
          </w:p>
        </w:tc>
        <w:tc>
          <w:tcPr>
            <w:tcW w:w="3438"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46</w:t>
            </w:r>
          </w:p>
        </w:tc>
        <w:tc>
          <w:tcPr>
            <w:tcW w:w="4251" w:type="dxa"/>
            <w:noWrap/>
            <w:hideMark/>
          </w:tcPr>
          <w:p w:rsidR="005C6C36" w:rsidRPr="001F1C61" w:rsidRDefault="005C6C36" w:rsidP="005C6C36">
            <w:pPr>
              <w:jc w:val="right"/>
              <w:rPr>
                <w:rFonts w:eastAsia="Times New Roman" w:cstheme="minorHAnsi"/>
                <w:sz w:val="20"/>
                <w:szCs w:val="20"/>
                <w:lang w:eastAsia="en-GB"/>
              </w:rPr>
            </w:pPr>
            <w:r w:rsidRPr="001F1C61">
              <w:rPr>
                <w:rFonts w:eastAsia="Times New Roman" w:cstheme="minorHAnsi"/>
                <w:sz w:val="20"/>
                <w:szCs w:val="20"/>
                <w:lang w:eastAsia="en-GB"/>
              </w:rPr>
              <w:t>45</w:t>
            </w:r>
          </w:p>
        </w:tc>
        <w:tc>
          <w:tcPr>
            <w:tcW w:w="2551" w:type="dxa"/>
            <w:noWrap/>
            <w:hideMark/>
          </w:tcPr>
          <w:p w:rsidR="005C6C36" w:rsidRPr="001F1C61" w:rsidRDefault="005C6C36" w:rsidP="005C6C36">
            <w:pPr>
              <w:rPr>
                <w:rFonts w:eastAsia="Times New Roman" w:cstheme="minorHAnsi"/>
                <w:sz w:val="20"/>
                <w:szCs w:val="20"/>
                <w:lang w:eastAsia="en-GB"/>
              </w:rPr>
            </w:pPr>
          </w:p>
        </w:tc>
        <w:tc>
          <w:tcPr>
            <w:tcW w:w="2670" w:type="dxa"/>
            <w:noWrap/>
            <w:hideMark/>
          </w:tcPr>
          <w:p w:rsidR="005C6C36" w:rsidRPr="001F1C61" w:rsidRDefault="005C6C36" w:rsidP="005C6C36">
            <w:pPr>
              <w:rPr>
                <w:rFonts w:eastAsia="Times New Roman" w:cstheme="minorHAnsi"/>
                <w:sz w:val="20"/>
                <w:szCs w:val="20"/>
                <w:lang w:eastAsia="en-GB"/>
              </w:rPr>
            </w:pPr>
          </w:p>
        </w:tc>
      </w:tr>
      <w:tr w:rsidR="005C6C36" w:rsidRPr="00EA0C5F" w:rsidTr="00EA0C5F">
        <w:trPr>
          <w:trHeight w:val="315"/>
        </w:trPr>
        <w:tc>
          <w:tcPr>
            <w:tcW w:w="1264" w:type="dxa"/>
            <w:noWrap/>
            <w:hideMark/>
          </w:tcPr>
          <w:p w:rsidR="005C6C36" w:rsidRPr="001F1C61" w:rsidRDefault="005C6C36" w:rsidP="005C6C36">
            <w:pPr>
              <w:rPr>
                <w:rFonts w:eastAsia="Times New Roman" w:cstheme="minorHAnsi"/>
                <w:sz w:val="20"/>
                <w:szCs w:val="20"/>
                <w:lang w:eastAsia="en-GB"/>
              </w:rPr>
            </w:pPr>
          </w:p>
        </w:tc>
        <w:tc>
          <w:tcPr>
            <w:tcW w:w="3438" w:type="dxa"/>
            <w:noWrap/>
            <w:hideMark/>
          </w:tcPr>
          <w:p w:rsidR="005C6C36" w:rsidRPr="001F1C61" w:rsidRDefault="005C6C36" w:rsidP="005C6C36">
            <w:pPr>
              <w:rPr>
                <w:rFonts w:eastAsia="Times New Roman" w:cstheme="minorHAnsi"/>
                <w:i/>
                <w:sz w:val="20"/>
                <w:szCs w:val="20"/>
                <w:lang w:eastAsia="en-GB"/>
              </w:rPr>
            </w:pPr>
            <w:r w:rsidRPr="001F1C61">
              <w:rPr>
                <w:rFonts w:eastAsia="Times New Roman" w:cstheme="minorHAnsi"/>
                <w:i/>
                <w:sz w:val="20"/>
                <w:szCs w:val="20"/>
                <w:lang w:eastAsia="en-GB"/>
              </w:rPr>
              <w:t xml:space="preserve">lacos </w:t>
            </w:r>
            <w:r w:rsidRPr="001F1C61">
              <w:rPr>
                <w:rFonts w:eastAsia="Times New Roman" w:cstheme="minorHAnsi"/>
                <w:b/>
                <w:bCs/>
                <w:i/>
                <w:sz w:val="20"/>
                <w:szCs w:val="20"/>
                <w:lang w:eastAsia="en-GB"/>
              </w:rPr>
              <w:t>quod est putea</w:t>
            </w:r>
          </w:p>
        </w:tc>
        <w:tc>
          <w:tcPr>
            <w:tcW w:w="4251" w:type="dxa"/>
            <w:noWrap/>
            <w:hideMark/>
          </w:tcPr>
          <w:p w:rsidR="005C6C36" w:rsidRPr="001F1C61" w:rsidRDefault="005C6C36" w:rsidP="005C6C36">
            <w:pPr>
              <w:rPr>
                <w:rFonts w:eastAsia="Times New Roman" w:cstheme="minorHAnsi"/>
                <w:i/>
                <w:sz w:val="20"/>
                <w:szCs w:val="20"/>
                <w:lang w:eastAsia="en-GB"/>
              </w:rPr>
            </w:pPr>
            <w:r w:rsidRPr="001F1C61">
              <w:rPr>
                <w:rFonts w:eastAsia="Times New Roman" w:cstheme="minorHAnsi"/>
                <w:i/>
                <w:sz w:val="20"/>
                <w:szCs w:val="20"/>
                <w:lang w:eastAsia="en-GB"/>
              </w:rPr>
              <w:t>lacos</w:t>
            </w:r>
          </w:p>
        </w:tc>
        <w:tc>
          <w:tcPr>
            <w:tcW w:w="2551" w:type="dxa"/>
            <w:noWrap/>
            <w:hideMark/>
          </w:tcPr>
          <w:p w:rsidR="005C6C36" w:rsidRPr="001F1C61" w:rsidRDefault="005C6C36" w:rsidP="005C6C36">
            <w:pPr>
              <w:rPr>
                <w:rFonts w:eastAsia="Times New Roman" w:cstheme="minorHAnsi"/>
                <w:sz w:val="20"/>
                <w:szCs w:val="20"/>
                <w:lang w:eastAsia="en-GB"/>
              </w:rPr>
            </w:pPr>
          </w:p>
        </w:tc>
        <w:tc>
          <w:tcPr>
            <w:tcW w:w="2670" w:type="dxa"/>
            <w:noWrap/>
            <w:hideMark/>
          </w:tcPr>
          <w:p w:rsidR="005C6C36" w:rsidRPr="001F1C61" w:rsidRDefault="005C6C36" w:rsidP="005C6C36">
            <w:pPr>
              <w:rPr>
                <w:rFonts w:eastAsia="Times New Roman" w:cstheme="minorHAnsi"/>
                <w:sz w:val="20"/>
                <w:szCs w:val="20"/>
                <w:lang w:eastAsia="en-GB"/>
              </w:rPr>
            </w:pPr>
            <w:r w:rsidRPr="001F1C61">
              <w:rPr>
                <w:rFonts w:eastAsia="Times New Roman" w:cstheme="minorHAnsi"/>
                <w:sz w:val="20"/>
                <w:szCs w:val="20"/>
                <w:lang w:eastAsia="en-GB"/>
              </w:rPr>
              <w:t>X ©</w:t>
            </w:r>
          </w:p>
        </w:tc>
      </w:tr>
      <w:tr w:rsidR="005C6C36" w:rsidRPr="00EA0C5F" w:rsidTr="00EA0C5F">
        <w:trPr>
          <w:trHeight w:val="315"/>
        </w:trPr>
        <w:tc>
          <w:tcPr>
            <w:tcW w:w="1264" w:type="dxa"/>
            <w:noWrap/>
            <w:hideMark/>
          </w:tcPr>
          <w:p w:rsidR="005C6C36" w:rsidRPr="001F1C61" w:rsidRDefault="005C6C36" w:rsidP="005C6C36">
            <w:pPr>
              <w:rPr>
                <w:rFonts w:eastAsia="Times New Roman" w:cstheme="minorHAnsi"/>
                <w:sz w:val="20"/>
                <w:szCs w:val="20"/>
                <w:lang w:eastAsia="en-GB"/>
              </w:rPr>
            </w:pPr>
          </w:p>
        </w:tc>
        <w:tc>
          <w:tcPr>
            <w:tcW w:w="3438" w:type="dxa"/>
            <w:noWrap/>
            <w:hideMark/>
          </w:tcPr>
          <w:p w:rsidR="005C6C36" w:rsidRPr="001F1C61" w:rsidRDefault="005C6C36" w:rsidP="005C6C36">
            <w:pPr>
              <w:rPr>
                <w:rFonts w:eastAsia="Times New Roman" w:cstheme="minorHAnsi"/>
                <w:i/>
                <w:sz w:val="20"/>
                <w:szCs w:val="20"/>
                <w:lang w:eastAsia="en-GB"/>
              </w:rPr>
            </w:pPr>
            <w:r w:rsidRPr="001F1C61">
              <w:rPr>
                <w:rFonts w:eastAsia="Times New Roman" w:cstheme="minorHAnsi"/>
                <w:i/>
                <w:sz w:val="20"/>
                <w:szCs w:val="20"/>
                <w:lang w:eastAsia="en-GB"/>
              </w:rPr>
              <w:t xml:space="preserve">latrinae publicae </w:t>
            </w:r>
            <w:r w:rsidRPr="001F1C61">
              <w:rPr>
                <w:rFonts w:eastAsia="Times New Roman" w:cstheme="minorHAnsi"/>
                <w:b/>
                <w:bCs/>
                <w:i/>
                <w:sz w:val="20"/>
                <w:szCs w:val="20"/>
                <w:lang w:eastAsia="en-GB"/>
              </w:rPr>
              <w:t>quod est sicessos</w:t>
            </w:r>
          </w:p>
        </w:tc>
        <w:tc>
          <w:tcPr>
            <w:tcW w:w="4251" w:type="dxa"/>
            <w:noWrap/>
            <w:hideMark/>
          </w:tcPr>
          <w:p w:rsidR="005C6C36" w:rsidRPr="001F1C61" w:rsidRDefault="005C6C36" w:rsidP="005C6C36">
            <w:pPr>
              <w:rPr>
                <w:rFonts w:eastAsia="Times New Roman" w:cstheme="minorHAnsi"/>
                <w:i/>
                <w:sz w:val="20"/>
                <w:szCs w:val="20"/>
                <w:lang w:eastAsia="en-GB"/>
              </w:rPr>
            </w:pPr>
            <w:r w:rsidRPr="001F1C61">
              <w:rPr>
                <w:rFonts w:eastAsia="Times New Roman" w:cstheme="minorHAnsi"/>
                <w:i/>
                <w:sz w:val="20"/>
                <w:szCs w:val="20"/>
                <w:lang w:eastAsia="en-GB"/>
              </w:rPr>
              <w:t>latrinae publicae</w:t>
            </w:r>
          </w:p>
        </w:tc>
        <w:tc>
          <w:tcPr>
            <w:tcW w:w="2551" w:type="dxa"/>
            <w:noWrap/>
            <w:hideMark/>
          </w:tcPr>
          <w:p w:rsidR="005C6C36" w:rsidRPr="001F1C61" w:rsidRDefault="005C6C36" w:rsidP="005C6C36">
            <w:pPr>
              <w:rPr>
                <w:rFonts w:eastAsia="Times New Roman" w:cstheme="minorHAnsi"/>
                <w:sz w:val="20"/>
                <w:szCs w:val="20"/>
                <w:lang w:eastAsia="en-GB"/>
              </w:rPr>
            </w:pPr>
          </w:p>
        </w:tc>
        <w:tc>
          <w:tcPr>
            <w:tcW w:w="2670" w:type="dxa"/>
            <w:noWrap/>
            <w:hideMark/>
          </w:tcPr>
          <w:p w:rsidR="005C6C36" w:rsidRPr="001F1C61" w:rsidRDefault="005C6C36" w:rsidP="005C6C36">
            <w:pPr>
              <w:rPr>
                <w:rFonts w:eastAsia="Times New Roman" w:cstheme="minorHAnsi"/>
                <w:sz w:val="20"/>
                <w:szCs w:val="20"/>
                <w:lang w:eastAsia="en-GB"/>
              </w:rPr>
            </w:pPr>
            <w:r w:rsidRPr="001F1C61">
              <w:rPr>
                <w:rFonts w:eastAsia="Times New Roman" w:cstheme="minorHAnsi"/>
                <w:sz w:val="20"/>
                <w:szCs w:val="20"/>
                <w:lang w:eastAsia="en-GB"/>
              </w:rPr>
              <w:t>X ©</w:t>
            </w:r>
          </w:p>
        </w:tc>
      </w:tr>
      <w:tr w:rsidR="005C6C36" w:rsidRPr="00EA0C5F" w:rsidTr="00EA0C5F">
        <w:trPr>
          <w:trHeight w:val="315"/>
        </w:trPr>
        <w:tc>
          <w:tcPr>
            <w:tcW w:w="1264" w:type="dxa"/>
            <w:noWrap/>
            <w:hideMark/>
          </w:tcPr>
          <w:p w:rsidR="005C6C36" w:rsidRPr="001F1C61" w:rsidRDefault="005C6C36" w:rsidP="005C6C36">
            <w:pPr>
              <w:rPr>
                <w:rFonts w:eastAsia="Times New Roman" w:cstheme="minorHAnsi"/>
                <w:sz w:val="20"/>
                <w:szCs w:val="20"/>
                <w:lang w:eastAsia="en-GB"/>
              </w:rPr>
            </w:pPr>
          </w:p>
        </w:tc>
        <w:tc>
          <w:tcPr>
            <w:tcW w:w="3438" w:type="dxa"/>
            <w:noWrap/>
            <w:hideMark/>
          </w:tcPr>
          <w:p w:rsidR="005C6C36" w:rsidRPr="001F1C61" w:rsidRDefault="005C6C36" w:rsidP="005C6C36">
            <w:pPr>
              <w:rPr>
                <w:rFonts w:eastAsia="Times New Roman" w:cstheme="minorHAnsi"/>
                <w:sz w:val="20"/>
                <w:szCs w:val="20"/>
                <w:lang w:eastAsia="en-GB"/>
              </w:rPr>
            </w:pPr>
          </w:p>
        </w:tc>
        <w:tc>
          <w:tcPr>
            <w:tcW w:w="4251" w:type="dxa"/>
            <w:noWrap/>
            <w:hideMark/>
          </w:tcPr>
          <w:p w:rsidR="005C6C36" w:rsidRPr="001F1C61" w:rsidRDefault="005C6C36" w:rsidP="005C6C36">
            <w:pPr>
              <w:rPr>
                <w:rFonts w:eastAsia="Times New Roman" w:cstheme="minorHAnsi"/>
                <w:sz w:val="20"/>
                <w:szCs w:val="20"/>
                <w:lang w:eastAsia="en-GB"/>
              </w:rPr>
            </w:pPr>
          </w:p>
        </w:tc>
        <w:tc>
          <w:tcPr>
            <w:tcW w:w="2551" w:type="dxa"/>
            <w:noWrap/>
            <w:hideMark/>
          </w:tcPr>
          <w:p w:rsidR="005C6C36" w:rsidRPr="001F1C61" w:rsidRDefault="005C6C36" w:rsidP="005C6C36">
            <w:pPr>
              <w:rPr>
                <w:rFonts w:eastAsia="Times New Roman" w:cstheme="minorHAnsi"/>
                <w:sz w:val="20"/>
                <w:szCs w:val="20"/>
                <w:lang w:eastAsia="en-GB"/>
              </w:rPr>
            </w:pPr>
            <w:r w:rsidRPr="001F1C61">
              <w:rPr>
                <w:rFonts w:eastAsia="Times New Roman" w:cstheme="minorHAnsi"/>
                <w:sz w:val="20"/>
                <w:szCs w:val="20"/>
                <w:lang w:eastAsia="en-GB"/>
              </w:rPr>
              <w:t xml:space="preserve">18 (N) to 1 © </w:t>
            </w:r>
          </w:p>
        </w:tc>
        <w:tc>
          <w:tcPr>
            <w:tcW w:w="2670" w:type="dxa"/>
            <w:noWrap/>
            <w:hideMark/>
          </w:tcPr>
          <w:p w:rsidR="005C6C36" w:rsidRPr="001F1C61" w:rsidRDefault="005C6C36" w:rsidP="005C6C36">
            <w:pPr>
              <w:rPr>
                <w:rFonts w:eastAsia="Times New Roman" w:cstheme="minorHAnsi"/>
                <w:sz w:val="20"/>
                <w:szCs w:val="20"/>
                <w:lang w:eastAsia="en-GB"/>
              </w:rPr>
            </w:pPr>
            <w:r w:rsidRPr="001F1C61">
              <w:rPr>
                <w:rFonts w:eastAsia="Times New Roman" w:cstheme="minorHAnsi"/>
                <w:sz w:val="20"/>
                <w:szCs w:val="20"/>
                <w:lang w:eastAsia="en-GB"/>
              </w:rPr>
              <w:t>20 to 5 ©</w:t>
            </w:r>
          </w:p>
        </w:tc>
      </w:tr>
      <w:bookmarkEnd w:id="1"/>
    </w:tbl>
    <w:p w:rsidR="005C6C36" w:rsidRPr="00EA0C5F" w:rsidRDefault="005C6C36" w:rsidP="005C6C36">
      <w:pPr>
        <w:rPr>
          <w:rFonts w:cstheme="minorHAnsi"/>
          <w:sz w:val="24"/>
          <w:szCs w:val="24"/>
        </w:rPr>
        <w:sectPr w:rsidR="005C6C36" w:rsidRPr="00EA0C5F" w:rsidSect="005C6C36">
          <w:footerReference w:type="default" r:id="rId19"/>
          <w:pgSz w:w="16838" w:h="11906" w:orient="landscape"/>
          <w:pgMar w:top="1440" w:right="1440" w:bottom="1440" w:left="1440" w:header="708" w:footer="708" w:gutter="0"/>
          <w:cols w:space="708"/>
          <w:docGrid w:linePitch="360"/>
        </w:sectPr>
      </w:pPr>
    </w:p>
    <w:p w:rsidR="00551E4B" w:rsidRPr="00EA0C5F" w:rsidRDefault="00551E4B" w:rsidP="005C6C36">
      <w:pPr>
        <w:rPr>
          <w:rFonts w:cstheme="minorHAnsi"/>
          <w:sz w:val="24"/>
          <w:szCs w:val="24"/>
        </w:rPr>
        <w:sectPr w:rsidR="00551E4B" w:rsidRPr="00EA0C5F" w:rsidSect="005C6C36">
          <w:footerReference w:type="default" r:id="rId20"/>
          <w:type w:val="continuous"/>
          <w:pgSz w:w="16838" w:h="11906" w:orient="landscape"/>
          <w:pgMar w:top="1440" w:right="1440" w:bottom="1440" w:left="1440" w:header="708" w:footer="708" w:gutter="0"/>
          <w:cols w:space="708"/>
          <w:docGrid w:linePitch="360"/>
        </w:sectPr>
      </w:pPr>
    </w:p>
    <w:p w:rsidR="00FB0E26" w:rsidRDefault="002456E3" w:rsidP="00FB0E26">
      <w:pPr>
        <w:spacing w:line="480" w:lineRule="auto"/>
        <w:jc w:val="center"/>
        <w:rPr>
          <w:b/>
          <w:sz w:val="24"/>
          <w:szCs w:val="24"/>
          <w:u w:val="single"/>
        </w:rPr>
      </w:pPr>
      <w:r>
        <w:rPr>
          <w:b/>
          <w:sz w:val="24"/>
          <w:szCs w:val="24"/>
          <w:u w:val="single"/>
        </w:rPr>
        <w:lastRenderedPageBreak/>
        <w:t>Appendix Two</w:t>
      </w:r>
      <w:r w:rsidR="00FB0E26">
        <w:rPr>
          <w:b/>
          <w:sz w:val="24"/>
          <w:szCs w:val="24"/>
          <w:u w:val="single"/>
        </w:rPr>
        <w:t xml:space="preserve">: A Comparison between the </w:t>
      </w:r>
      <w:r w:rsidR="00FB0E26">
        <w:rPr>
          <w:b/>
          <w:i/>
          <w:sz w:val="24"/>
          <w:szCs w:val="24"/>
          <w:u w:val="single"/>
        </w:rPr>
        <w:t>Marble Plan</w:t>
      </w:r>
      <w:r w:rsidR="00FB0E26">
        <w:rPr>
          <w:b/>
          <w:sz w:val="24"/>
          <w:szCs w:val="24"/>
          <w:u w:val="single"/>
        </w:rPr>
        <w:t xml:space="preserve"> and the </w:t>
      </w:r>
      <w:r w:rsidR="00FB0E26">
        <w:rPr>
          <w:b/>
          <w:i/>
          <w:sz w:val="24"/>
          <w:szCs w:val="24"/>
          <w:u w:val="single"/>
        </w:rPr>
        <w:t>Regionary Catalogues</w:t>
      </w:r>
      <w:r w:rsidR="00FB0E26">
        <w:rPr>
          <w:b/>
          <w:sz w:val="24"/>
          <w:szCs w:val="24"/>
          <w:u w:val="single"/>
        </w:rPr>
        <w:t>:</w:t>
      </w:r>
    </w:p>
    <w:tbl>
      <w:tblPr>
        <w:tblStyle w:val="TableGrid"/>
        <w:tblW w:w="0" w:type="auto"/>
        <w:tblLook w:val="04A0" w:firstRow="1" w:lastRow="0" w:firstColumn="1" w:lastColumn="0" w:noHBand="0" w:noVBand="1"/>
      </w:tblPr>
      <w:tblGrid>
        <w:gridCol w:w="2099"/>
        <w:gridCol w:w="3554"/>
        <w:gridCol w:w="3589"/>
      </w:tblGrid>
      <w:tr w:rsidR="00FB0E26" w:rsidTr="006B4565">
        <w:tc>
          <w:tcPr>
            <w:tcW w:w="2099" w:type="dxa"/>
            <w:vAlign w:val="bottom"/>
          </w:tcPr>
          <w:p w:rsidR="00FB0E26" w:rsidRPr="00AC0619" w:rsidRDefault="00FB0E26">
            <w:pPr>
              <w:rPr>
                <w:b/>
                <w:bCs/>
                <w:sz w:val="24"/>
                <w:szCs w:val="24"/>
                <w:u w:val="single"/>
              </w:rPr>
            </w:pPr>
            <w:r w:rsidRPr="00AC0619">
              <w:rPr>
                <w:b/>
                <w:bCs/>
                <w:sz w:val="24"/>
                <w:szCs w:val="24"/>
                <w:u w:val="single"/>
              </w:rPr>
              <w:t>Marble Plan</w:t>
            </w:r>
          </w:p>
        </w:tc>
        <w:tc>
          <w:tcPr>
            <w:tcW w:w="3554" w:type="dxa"/>
            <w:vAlign w:val="bottom"/>
          </w:tcPr>
          <w:p w:rsidR="00FB0E26" w:rsidRPr="00AC0619" w:rsidRDefault="00FB0E26">
            <w:pPr>
              <w:rPr>
                <w:b/>
                <w:bCs/>
                <w:sz w:val="24"/>
                <w:szCs w:val="24"/>
                <w:u w:val="single"/>
              </w:rPr>
            </w:pPr>
            <w:r w:rsidRPr="00AC0619">
              <w:rPr>
                <w:b/>
                <w:bCs/>
                <w:sz w:val="24"/>
                <w:szCs w:val="24"/>
                <w:u w:val="single"/>
              </w:rPr>
              <w:t>Regionaries: Notitia</w:t>
            </w:r>
          </w:p>
        </w:tc>
        <w:tc>
          <w:tcPr>
            <w:tcW w:w="3589" w:type="dxa"/>
            <w:vAlign w:val="bottom"/>
          </w:tcPr>
          <w:p w:rsidR="00FB0E26" w:rsidRPr="00AC0619" w:rsidRDefault="00FB0E26">
            <w:pPr>
              <w:rPr>
                <w:b/>
                <w:bCs/>
                <w:sz w:val="24"/>
                <w:szCs w:val="24"/>
                <w:u w:val="single"/>
              </w:rPr>
            </w:pPr>
            <w:r w:rsidRPr="00AC0619">
              <w:rPr>
                <w:b/>
                <w:bCs/>
                <w:sz w:val="24"/>
                <w:szCs w:val="24"/>
                <w:u w:val="single"/>
              </w:rPr>
              <w:t>Regionaries: Curiosum</w:t>
            </w:r>
          </w:p>
        </w:tc>
      </w:tr>
      <w:tr w:rsidR="004C7171" w:rsidTr="006B4565">
        <w:tc>
          <w:tcPr>
            <w:tcW w:w="2099" w:type="dxa"/>
            <w:vAlign w:val="bottom"/>
          </w:tcPr>
          <w:p w:rsidR="004C7171" w:rsidRPr="00AC0619" w:rsidRDefault="004C7171">
            <w:pPr>
              <w:rPr>
                <w:i/>
                <w:iCs/>
                <w:sz w:val="24"/>
                <w:szCs w:val="24"/>
              </w:rPr>
            </w:pPr>
            <w:r w:rsidRPr="00AC0619">
              <w:rPr>
                <w:i/>
                <w:iCs/>
                <w:sz w:val="24"/>
                <w:szCs w:val="24"/>
              </w:rPr>
              <w:t>mutatorium Caesaris</w:t>
            </w:r>
          </w:p>
        </w:tc>
        <w:tc>
          <w:tcPr>
            <w:tcW w:w="3554" w:type="dxa"/>
            <w:vAlign w:val="bottom"/>
          </w:tcPr>
          <w:p w:rsidR="004C7171" w:rsidRPr="00AC0619" w:rsidRDefault="004C7171">
            <w:pPr>
              <w:rPr>
                <w:sz w:val="24"/>
                <w:szCs w:val="24"/>
              </w:rPr>
            </w:pPr>
            <w:r w:rsidRPr="00AC0619">
              <w:rPr>
                <w:sz w:val="24"/>
                <w:szCs w:val="24"/>
              </w:rPr>
              <w:t>X</w:t>
            </w:r>
          </w:p>
        </w:tc>
        <w:tc>
          <w:tcPr>
            <w:tcW w:w="3589" w:type="dxa"/>
            <w:vAlign w:val="bottom"/>
          </w:tcPr>
          <w:p w:rsidR="004C7171" w:rsidRPr="00AC0619" w:rsidRDefault="004C7171">
            <w:pPr>
              <w:rPr>
                <w:sz w:val="24"/>
                <w:szCs w:val="24"/>
              </w:rPr>
            </w:pPr>
            <w:r w:rsidRPr="00AC0619">
              <w:rPr>
                <w:sz w:val="24"/>
                <w:szCs w:val="24"/>
              </w:rPr>
              <w:t>X</w:t>
            </w:r>
          </w:p>
        </w:tc>
      </w:tr>
      <w:tr w:rsidR="004C7171" w:rsidTr="006B4565">
        <w:tc>
          <w:tcPr>
            <w:tcW w:w="2099" w:type="dxa"/>
            <w:vAlign w:val="bottom"/>
          </w:tcPr>
          <w:p w:rsidR="004C7171" w:rsidRPr="00AC0619" w:rsidRDefault="004C7171">
            <w:pPr>
              <w:rPr>
                <w:i/>
                <w:iCs/>
                <w:sz w:val="24"/>
                <w:szCs w:val="24"/>
              </w:rPr>
            </w:pPr>
            <w:r w:rsidRPr="00AC0619">
              <w:rPr>
                <w:i/>
                <w:iCs/>
                <w:sz w:val="24"/>
                <w:szCs w:val="24"/>
              </w:rPr>
              <w:t>Area Radicaria</w:t>
            </w:r>
          </w:p>
        </w:tc>
        <w:tc>
          <w:tcPr>
            <w:tcW w:w="3554" w:type="dxa"/>
            <w:vAlign w:val="bottom"/>
          </w:tcPr>
          <w:p w:rsidR="004C7171" w:rsidRPr="00AC0619" w:rsidRDefault="004C7171">
            <w:pPr>
              <w:rPr>
                <w:sz w:val="24"/>
                <w:szCs w:val="24"/>
              </w:rPr>
            </w:pPr>
            <w:r w:rsidRPr="00AC0619">
              <w:rPr>
                <w:sz w:val="24"/>
                <w:szCs w:val="24"/>
              </w:rPr>
              <w:t>X</w:t>
            </w:r>
          </w:p>
        </w:tc>
        <w:tc>
          <w:tcPr>
            <w:tcW w:w="3589" w:type="dxa"/>
            <w:vAlign w:val="bottom"/>
          </w:tcPr>
          <w:p w:rsidR="004C7171" w:rsidRPr="00AC0619" w:rsidRDefault="004C7171">
            <w:pPr>
              <w:rPr>
                <w:sz w:val="24"/>
                <w:szCs w:val="24"/>
              </w:rPr>
            </w:pPr>
            <w:r w:rsidRPr="00AC0619">
              <w:rPr>
                <w:sz w:val="24"/>
                <w:szCs w:val="24"/>
              </w:rPr>
              <w:t>X</w:t>
            </w:r>
          </w:p>
        </w:tc>
      </w:tr>
      <w:tr w:rsidR="004C7171" w:rsidTr="006B4565">
        <w:tc>
          <w:tcPr>
            <w:tcW w:w="2099" w:type="dxa"/>
            <w:vAlign w:val="bottom"/>
          </w:tcPr>
          <w:p w:rsidR="004C7171" w:rsidRPr="00AC0619" w:rsidRDefault="004C7171">
            <w:pPr>
              <w:rPr>
                <w:i/>
                <w:iCs/>
                <w:sz w:val="24"/>
                <w:szCs w:val="24"/>
              </w:rPr>
            </w:pPr>
            <w:r w:rsidRPr="00AC0619">
              <w:rPr>
                <w:i/>
                <w:iCs/>
                <w:sz w:val="24"/>
                <w:szCs w:val="24"/>
              </w:rPr>
              <w:t>Porta Capena</w:t>
            </w:r>
          </w:p>
        </w:tc>
        <w:tc>
          <w:tcPr>
            <w:tcW w:w="3554" w:type="dxa"/>
            <w:vAlign w:val="bottom"/>
          </w:tcPr>
          <w:p w:rsidR="004C7171" w:rsidRPr="00AC0619" w:rsidRDefault="004C7171">
            <w:pPr>
              <w:rPr>
                <w:sz w:val="24"/>
                <w:szCs w:val="24"/>
              </w:rPr>
            </w:pPr>
            <w:r w:rsidRPr="00AC0619">
              <w:rPr>
                <w:sz w:val="24"/>
                <w:szCs w:val="24"/>
              </w:rPr>
              <w:t>REGION TITLE</w:t>
            </w:r>
          </w:p>
        </w:tc>
        <w:tc>
          <w:tcPr>
            <w:tcW w:w="3589" w:type="dxa"/>
            <w:vAlign w:val="bottom"/>
          </w:tcPr>
          <w:p w:rsidR="004C7171" w:rsidRPr="00AC0619" w:rsidRDefault="004C7171">
            <w:pPr>
              <w:rPr>
                <w:sz w:val="24"/>
                <w:szCs w:val="24"/>
              </w:rPr>
            </w:pPr>
            <w:r w:rsidRPr="00AC0619">
              <w:rPr>
                <w:sz w:val="24"/>
                <w:szCs w:val="24"/>
              </w:rPr>
              <w:t>REGION TITLE</w:t>
            </w:r>
          </w:p>
        </w:tc>
      </w:tr>
      <w:tr w:rsidR="004C7171" w:rsidTr="006B4565">
        <w:tc>
          <w:tcPr>
            <w:tcW w:w="2099" w:type="dxa"/>
            <w:vAlign w:val="bottom"/>
          </w:tcPr>
          <w:p w:rsidR="004C7171" w:rsidRPr="001F1C61" w:rsidRDefault="004C7171">
            <w:pPr>
              <w:rPr>
                <w:i/>
                <w:sz w:val="24"/>
                <w:szCs w:val="24"/>
              </w:rPr>
            </w:pPr>
            <w:r w:rsidRPr="001F1C61">
              <w:rPr>
                <w:i/>
                <w:sz w:val="24"/>
                <w:szCs w:val="24"/>
              </w:rPr>
              <w:t>Via Appia</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1F1C61" w:rsidRDefault="004C7171">
            <w:pPr>
              <w:rPr>
                <w:i/>
                <w:sz w:val="24"/>
                <w:szCs w:val="24"/>
              </w:rPr>
            </w:pPr>
            <w:r w:rsidRPr="001F1C61">
              <w:rPr>
                <w:i/>
                <w:sz w:val="24"/>
                <w:szCs w:val="24"/>
              </w:rPr>
              <w:t>Navale Inferius</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AC0619" w:rsidRDefault="004C7171">
            <w:pPr>
              <w:rPr>
                <w:i/>
                <w:iCs/>
                <w:sz w:val="24"/>
                <w:szCs w:val="24"/>
              </w:rPr>
            </w:pPr>
            <w:r w:rsidRPr="00AC0619">
              <w:rPr>
                <w:i/>
                <w:iCs/>
                <w:sz w:val="24"/>
                <w:szCs w:val="24"/>
              </w:rPr>
              <w:t>mutatorium Caesaris</w:t>
            </w:r>
          </w:p>
        </w:tc>
        <w:tc>
          <w:tcPr>
            <w:tcW w:w="3554" w:type="dxa"/>
            <w:vAlign w:val="bottom"/>
          </w:tcPr>
          <w:p w:rsidR="004C7171" w:rsidRPr="00AC0619" w:rsidRDefault="004C7171">
            <w:pPr>
              <w:rPr>
                <w:sz w:val="24"/>
                <w:szCs w:val="24"/>
              </w:rPr>
            </w:pPr>
            <w:r w:rsidRPr="00AC0619">
              <w:rPr>
                <w:sz w:val="24"/>
                <w:szCs w:val="24"/>
              </w:rPr>
              <w:t>X</w:t>
            </w:r>
          </w:p>
        </w:tc>
        <w:tc>
          <w:tcPr>
            <w:tcW w:w="3589" w:type="dxa"/>
            <w:vAlign w:val="bottom"/>
          </w:tcPr>
          <w:p w:rsidR="004C7171" w:rsidRPr="00AC0619" w:rsidRDefault="004C7171">
            <w:pPr>
              <w:rPr>
                <w:sz w:val="24"/>
                <w:szCs w:val="24"/>
              </w:rPr>
            </w:pPr>
            <w:r w:rsidRPr="00AC0619">
              <w:rPr>
                <w:sz w:val="24"/>
                <w:szCs w:val="24"/>
              </w:rPr>
              <w:t>X</w:t>
            </w:r>
          </w:p>
        </w:tc>
      </w:tr>
      <w:tr w:rsidR="004C7171" w:rsidTr="006B4565">
        <w:tc>
          <w:tcPr>
            <w:tcW w:w="2099" w:type="dxa"/>
            <w:vAlign w:val="bottom"/>
          </w:tcPr>
          <w:p w:rsidR="004C7171" w:rsidRPr="001F1C61" w:rsidRDefault="004C7171">
            <w:pPr>
              <w:rPr>
                <w:i/>
                <w:sz w:val="24"/>
                <w:szCs w:val="24"/>
              </w:rPr>
            </w:pPr>
            <w:r w:rsidRPr="001F1C61">
              <w:rPr>
                <w:i/>
                <w:sz w:val="24"/>
                <w:szCs w:val="24"/>
              </w:rPr>
              <w:t>vicus Summi Choragi</w:t>
            </w:r>
          </w:p>
        </w:tc>
        <w:tc>
          <w:tcPr>
            <w:tcW w:w="3554" w:type="dxa"/>
            <w:vAlign w:val="bottom"/>
          </w:tcPr>
          <w:p w:rsidR="004C7171" w:rsidRPr="001F1C61" w:rsidRDefault="004C7171">
            <w:pPr>
              <w:rPr>
                <w:i/>
                <w:sz w:val="24"/>
                <w:szCs w:val="24"/>
              </w:rPr>
            </w:pPr>
            <w:r w:rsidRPr="001F1C61">
              <w:rPr>
                <w:i/>
                <w:sz w:val="24"/>
                <w:szCs w:val="24"/>
              </w:rPr>
              <w:t>summum choragum</w:t>
            </w:r>
          </w:p>
        </w:tc>
        <w:tc>
          <w:tcPr>
            <w:tcW w:w="3589" w:type="dxa"/>
            <w:vAlign w:val="bottom"/>
          </w:tcPr>
          <w:p w:rsidR="004C7171" w:rsidRPr="001F1C61" w:rsidRDefault="004C7171">
            <w:pPr>
              <w:rPr>
                <w:i/>
                <w:sz w:val="24"/>
                <w:szCs w:val="24"/>
              </w:rPr>
            </w:pPr>
            <w:r w:rsidRPr="001F1C61">
              <w:rPr>
                <w:i/>
                <w:sz w:val="24"/>
                <w:szCs w:val="24"/>
              </w:rPr>
              <w:t>summum choragum</w:t>
            </w:r>
          </w:p>
        </w:tc>
      </w:tr>
      <w:tr w:rsidR="004C7171" w:rsidTr="006B4565">
        <w:tc>
          <w:tcPr>
            <w:tcW w:w="2099" w:type="dxa"/>
            <w:vAlign w:val="bottom"/>
          </w:tcPr>
          <w:p w:rsidR="004C7171" w:rsidRPr="00AC0619" w:rsidRDefault="004C7171">
            <w:pPr>
              <w:rPr>
                <w:sz w:val="24"/>
                <w:szCs w:val="24"/>
              </w:rPr>
            </w:pPr>
            <w:r w:rsidRPr="00AC0619">
              <w:rPr>
                <w:sz w:val="24"/>
                <w:szCs w:val="24"/>
              </w:rPr>
              <w:t>House of L. Fabius Cilo (</w:t>
            </w:r>
            <w:r w:rsidRPr="001F1C61">
              <w:rPr>
                <w:i/>
                <w:sz w:val="24"/>
                <w:szCs w:val="24"/>
              </w:rPr>
              <w:t>domus Cilonis</w:t>
            </w:r>
            <w:r w:rsidRPr="00AC0619">
              <w:rPr>
                <w:sz w:val="24"/>
                <w:szCs w:val="24"/>
              </w:rPr>
              <w:t>)</w:t>
            </w:r>
          </w:p>
        </w:tc>
        <w:tc>
          <w:tcPr>
            <w:tcW w:w="3554" w:type="dxa"/>
            <w:vAlign w:val="bottom"/>
          </w:tcPr>
          <w:p w:rsidR="004C7171" w:rsidRPr="00AC0619" w:rsidRDefault="004C7171">
            <w:pPr>
              <w:rPr>
                <w:sz w:val="24"/>
                <w:szCs w:val="24"/>
              </w:rPr>
            </w:pPr>
            <w:r w:rsidRPr="00AC0619">
              <w:rPr>
                <w:sz w:val="24"/>
                <w:szCs w:val="24"/>
              </w:rPr>
              <w:t>X</w:t>
            </w:r>
          </w:p>
        </w:tc>
        <w:tc>
          <w:tcPr>
            <w:tcW w:w="3589" w:type="dxa"/>
            <w:vAlign w:val="bottom"/>
          </w:tcPr>
          <w:p w:rsidR="004C7171" w:rsidRPr="00AC0619" w:rsidRDefault="004C7171">
            <w:pPr>
              <w:rPr>
                <w:sz w:val="24"/>
                <w:szCs w:val="24"/>
              </w:rPr>
            </w:pPr>
            <w:r w:rsidRPr="00AC0619">
              <w:rPr>
                <w:sz w:val="24"/>
                <w:szCs w:val="24"/>
              </w:rPr>
              <w:t>X</w:t>
            </w:r>
          </w:p>
        </w:tc>
      </w:tr>
      <w:tr w:rsidR="004C7171" w:rsidTr="006B4565">
        <w:tc>
          <w:tcPr>
            <w:tcW w:w="2099" w:type="dxa"/>
            <w:vAlign w:val="bottom"/>
          </w:tcPr>
          <w:p w:rsidR="004C7171" w:rsidRPr="001F1C61" w:rsidRDefault="004C7171">
            <w:pPr>
              <w:rPr>
                <w:sz w:val="24"/>
                <w:szCs w:val="24"/>
              </w:rPr>
            </w:pPr>
            <w:r w:rsidRPr="00AC0619">
              <w:rPr>
                <w:sz w:val="24"/>
                <w:szCs w:val="24"/>
              </w:rPr>
              <w:t>Neronian branch of the Aqua Claudia (</w:t>
            </w:r>
            <w:r w:rsidRPr="001F1C61">
              <w:rPr>
                <w:i/>
                <w:sz w:val="24"/>
                <w:szCs w:val="24"/>
              </w:rPr>
              <w:t>arcus Neroniani</w:t>
            </w:r>
            <w:r w:rsidR="001F1C61">
              <w:rPr>
                <w:sz w:val="24"/>
                <w:szCs w:val="24"/>
              </w:rPr>
              <w:t>)</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 xml:space="preserve">Seat of the </w:t>
            </w:r>
            <w:r w:rsidRPr="001F1C61">
              <w:rPr>
                <w:i/>
                <w:sz w:val="24"/>
                <w:szCs w:val="24"/>
              </w:rPr>
              <w:t>Augustales Claudiales</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Temple to the Deified Claudius (</w:t>
            </w:r>
            <w:r w:rsidRPr="00AC0619">
              <w:rPr>
                <w:i/>
                <w:iCs/>
                <w:sz w:val="24"/>
                <w:szCs w:val="24"/>
              </w:rPr>
              <w:t>templum Divi Claudi</w:t>
            </w:r>
            <w:r w:rsidRPr="00AC0619">
              <w:rPr>
                <w:sz w:val="24"/>
                <w:szCs w:val="24"/>
              </w:rPr>
              <w:t>)</w:t>
            </w:r>
          </w:p>
        </w:tc>
        <w:tc>
          <w:tcPr>
            <w:tcW w:w="3554" w:type="dxa"/>
            <w:vAlign w:val="bottom"/>
          </w:tcPr>
          <w:p w:rsidR="004C7171" w:rsidRPr="001F1C61" w:rsidRDefault="004C7171">
            <w:pPr>
              <w:rPr>
                <w:i/>
                <w:sz w:val="24"/>
                <w:szCs w:val="24"/>
              </w:rPr>
            </w:pPr>
            <w:r w:rsidRPr="001F1C61">
              <w:rPr>
                <w:i/>
                <w:sz w:val="24"/>
                <w:szCs w:val="24"/>
              </w:rPr>
              <w:t>templum Claudii</w:t>
            </w:r>
          </w:p>
        </w:tc>
        <w:tc>
          <w:tcPr>
            <w:tcW w:w="3589" w:type="dxa"/>
            <w:vAlign w:val="bottom"/>
          </w:tcPr>
          <w:p w:rsidR="004C7171" w:rsidRPr="001F1C61" w:rsidRDefault="004C7171">
            <w:pPr>
              <w:rPr>
                <w:i/>
                <w:sz w:val="24"/>
                <w:szCs w:val="24"/>
              </w:rPr>
            </w:pPr>
            <w:r w:rsidRPr="001F1C61">
              <w:rPr>
                <w:i/>
                <w:sz w:val="24"/>
                <w:szCs w:val="24"/>
              </w:rPr>
              <w:t>templum Claudii</w:t>
            </w:r>
          </w:p>
        </w:tc>
      </w:tr>
      <w:tr w:rsidR="004C7171" w:rsidTr="006B4565">
        <w:tc>
          <w:tcPr>
            <w:tcW w:w="2099" w:type="dxa"/>
            <w:vAlign w:val="bottom"/>
          </w:tcPr>
          <w:p w:rsidR="004C7171" w:rsidRPr="001F1C61" w:rsidRDefault="004C7171">
            <w:pPr>
              <w:rPr>
                <w:i/>
                <w:sz w:val="24"/>
                <w:szCs w:val="24"/>
              </w:rPr>
            </w:pPr>
            <w:r w:rsidRPr="001F1C61">
              <w:rPr>
                <w:i/>
                <w:sz w:val="24"/>
                <w:szCs w:val="24"/>
              </w:rPr>
              <w:t>Clivus Victoriae</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1F1C61" w:rsidRDefault="004C7171">
            <w:pPr>
              <w:rPr>
                <w:i/>
                <w:sz w:val="24"/>
                <w:szCs w:val="24"/>
              </w:rPr>
            </w:pPr>
            <w:r w:rsidRPr="001F1C61">
              <w:rPr>
                <w:i/>
                <w:sz w:val="24"/>
                <w:szCs w:val="24"/>
              </w:rPr>
              <w:t>Clivus Scauri</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Barracks of the Misenum sailors (</w:t>
            </w:r>
            <w:r w:rsidRPr="00AC0619">
              <w:rPr>
                <w:i/>
                <w:iCs/>
                <w:sz w:val="24"/>
                <w:szCs w:val="24"/>
              </w:rPr>
              <w:t>castra Misenatium</w:t>
            </w:r>
            <w:r w:rsidRPr="00AC0619">
              <w:rPr>
                <w:sz w:val="24"/>
                <w:szCs w:val="24"/>
              </w:rPr>
              <w:t>)</w:t>
            </w:r>
          </w:p>
        </w:tc>
        <w:tc>
          <w:tcPr>
            <w:tcW w:w="3554" w:type="dxa"/>
            <w:vAlign w:val="bottom"/>
          </w:tcPr>
          <w:p w:rsidR="004C7171" w:rsidRPr="00AC0619" w:rsidRDefault="004C7171">
            <w:pPr>
              <w:rPr>
                <w:sz w:val="24"/>
                <w:szCs w:val="24"/>
              </w:rPr>
            </w:pPr>
            <w:r w:rsidRPr="00AC0619">
              <w:rPr>
                <w:sz w:val="24"/>
                <w:szCs w:val="24"/>
              </w:rPr>
              <w:t>X</w:t>
            </w:r>
          </w:p>
        </w:tc>
        <w:tc>
          <w:tcPr>
            <w:tcW w:w="3589" w:type="dxa"/>
            <w:vAlign w:val="bottom"/>
          </w:tcPr>
          <w:p w:rsidR="004C7171" w:rsidRPr="00AC0619" w:rsidRDefault="004C7171">
            <w:pPr>
              <w:rPr>
                <w:sz w:val="24"/>
                <w:szCs w:val="24"/>
              </w:rPr>
            </w:pPr>
            <w:r w:rsidRPr="00AC0619">
              <w:rPr>
                <w:sz w:val="24"/>
                <w:szCs w:val="24"/>
              </w:rPr>
              <w:t>X</w:t>
            </w:r>
          </w:p>
        </w:tc>
      </w:tr>
      <w:tr w:rsidR="004C7171" w:rsidTr="006B4565">
        <w:tc>
          <w:tcPr>
            <w:tcW w:w="2099" w:type="dxa"/>
            <w:vAlign w:val="bottom"/>
          </w:tcPr>
          <w:p w:rsidR="004C7171" w:rsidRPr="00AC0619" w:rsidRDefault="004C7171">
            <w:pPr>
              <w:rPr>
                <w:sz w:val="24"/>
                <w:szCs w:val="24"/>
              </w:rPr>
            </w:pPr>
            <w:r w:rsidRPr="00AC0619">
              <w:rPr>
                <w:sz w:val="24"/>
                <w:szCs w:val="24"/>
              </w:rPr>
              <w:t>Armories (</w:t>
            </w:r>
            <w:r w:rsidRPr="00AC0619">
              <w:rPr>
                <w:i/>
                <w:iCs/>
                <w:sz w:val="24"/>
                <w:szCs w:val="24"/>
              </w:rPr>
              <w:t>Armamentaria</w:t>
            </w:r>
            <w:r w:rsidRPr="00AC0619">
              <w:rPr>
                <w:sz w:val="24"/>
                <w:szCs w:val="24"/>
              </w:rPr>
              <w:t>)</w:t>
            </w:r>
          </w:p>
        </w:tc>
        <w:tc>
          <w:tcPr>
            <w:tcW w:w="3554" w:type="dxa"/>
            <w:vAlign w:val="bottom"/>
          </w:tcPr>
          <w:p w:rsidR="004C7171" w:rsidRPr="001F1C61" w:rsidRDefault="004C7171">
            <w:pPr>
              <w:rPr>
                <w:i/>
                <w:sz w:val="24"/>
                <w:szCs w:val="24"/>
              </w:rPr>
            </w:pPr>
            <w:r w:rsidRPr="001F1C61">
              <w:rPr>
                <w:i/>
                <w:sz w:val="24"/>
                <w:szCs w:val="24"/>
              </w:rPr>
              <w:t>armamentarium</w:t>
            </w:r>
          </w:p>
        </w:tc>
        <w:tc>
          <w:tcPr>
            <w:tcW w:w="3589" w:type="dxa"/>
            <w:vAlign w:val="bottom"/>
          </w:tcPr>
          <w:p w:rsidR="004C7171" w:rsidRPr="001F1C61" w:rsidRDefault="004C7171">
            <w:pPr>
              <w:rPr>
                <w:i/>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The Great Gladiatorial Training School (</w:t>
            </w:r>
            <w:r w:rsidRPr="00AC0619">
              <w:rPr>
                <w:i/>
                <w:iCs/>
                <w:sz w:val="24"/>
                <w:szCs w:val="24"/>
              </w:rPr>
              <w:t>ludus Magnus</w:t>
            </w:r>
            <w:r w:rsidRPr="00AC0619">
              <w:rPr>
                <w:sz w:val="24"/>
                <w:szCs w:val="24"/>
              </w:rPr>
              <w:t>)</w:t>
            </w:r>
          </w:p>
        </w:tc>
        <w:tc>
          <w:tcPr>
            <w:tcW w:w="3554" w:type="dxa"/>
            <w:vAlign w:val="bottom"/>
          </w:tcPr>
          <w:p w:rsidR="004C7171" w:rsidRPr="001F1C61" w:rsidRDefault="004C7171">
            <w:pPr>
              <w:rPr>
                <w:i/>
                <w:sz w:val="24"/>
                <w:szCs w:val="24"/>
              </w:rPr>
            </w:pPr>
            <w:r w:rsidRPr="001F1C61">
              <w:rPr>
                <w:i/>
                <w:sz w:val="24"/>
                <w:szCs w:val="24"/>
              </w:rPr>
              <w:t>ludum matutinum et Dacicum</w:t>
            </w:r>
          </w:p>
        </w:tc>
        <w:tc>
          <w:tcPr>
            <w:tcW w:w="3589" w:type="dxa"/>
            <w:vAlign w:val="bottom"/>
          </w:tcPr>
          <w:p w:rsidR="004C7171" w:rsidRPr="001F1C61" w:rsidRDefault="004C7171">
            <w:pPr>
              <w:rPr>
                <w:i/>
                <w:sz w:val="24"/>
                <w:szCs w:val="24"/>
              </w:rPr>
            </w:pPr>
            <w:r w:rsidRPr="001F1C61">
              <w:rPr>
                <w:i/>
                <w:sz w:val="24"/>
                <w:szCs w:val="24"/>
              </w:rPr>
              <w:t>ludum matutinum et Dacicum</w:t>
            </w:r>
          </w:p>
        </w:tc>
      </w:tr>
      <w:tr w:rsidR="004C7171" w:rsidTr="006B4565">
        <w:tc>
          <w:tcPr>
            <w:tcW w:w="2099" w:type="dxa"/>
            <w:vAlign w:val="bottom"/>
          </w:tcPr>
          <w:p w:rsidR="004C7171" w:rsidRPr="00AC0619" w:rsidRDefault="004C7171">
            <w:pPr>
              <w:rPr>
                <w:sz w:val="24"/>
                <w:szCs w:val="24"/>
              </w:rPr>
            </w:pPr>
            <w:r w:rsidRPr="00AC0619">
              <w:rPr>
                <w:sz w:val="24"/>
                <w:szCs w:val="24"/>
              </w:rPr>
              <w:t>Circus Maximus (</w:t>
            </w:r>
            <w:r w:rsidRPr="00AC0619">
              <w:rPr>
                <w:i/>
                <w:iCs/>
                <w:sz w:val="24"/>
                <w:szCs w:val="24"/>
              </w:rPr>
              <w:t>circus Maximus</w:t>
            </w:r>
            <w:r w:rsidRPr="00AC0619">
              <w:rPr>
                <w:sz w:val="24"/>
                <w:szCs w:val="24"/>
              </w:rPr>
              <w:t>)</w:t>
            </w:r>
          </w:p>
        </w:tc>
        <w:tc>
          <w:tcPr>
            <w:tcW w:w="3554" w:type="dxa"/>
            <w:vAlign w:val="bottom"/>
          </w:tcPr>
          <w:p w:rsidR="004C7171" w:rsidRPr="00AC0619" w:rsidRDefault="004C7171">
            <w:pPr>
              <w:rPr>
                <w:sz w:val="24"/>
                <w:szCs w:val="24"/>
              </w:rPr>
            </w:pPr>
            <w:r w:rsidRPr="00AC0619">
              <w:rPr>
                <w:sz w:val="24"/>
                <w:szCs w:val="24"/>
              </w:rPr>
              <w:t>X</w:t>
            </w:r>
          </w:p>
        </w:tc>
        <w:tc>
          <w:tcPr>
            <w:tcW w:w="3589" w:type="dxa"/>
            <w:vAlign w:val="bottom"/>
          </w:tcPr>
          <w:p w:rsidR="004C7171" w:rsidRPr="00AC0619" w:rsidRDefault="004C7171">
            <w:pPr>
              <w:rPr>
                <w:sz w:val="24"/>
                <w:szCs w:val="24"/>
              </w:rPr>
            </w:pPr>
            <w:r w:rsidRPr="00AC0619">
              <w:rPr>
                <w:sz w:val="24"/>
                <w:szCs w:val="24"/>
              </w:rPr>
              <w:t>X</w:t>
            </w:r>
          </w:p>
        </w:tc>
      </w:tr>
      <w:tr w:rsidR="004C7171" w:rsidTr="006B4565">
        <w:tc>
          <w:tcPr>
            <w:tcW w:w="2099" w:type="dxa"/>
            <w:vAlign w:val="bottom"/>
          </w:tcPr>
          <w:p w:rsidR="004C7171" w:rsidRPr="00AC0619" w:rsidRDefault="004C7171">
            <w:pPr>
              <w:rPr>
                <w:sz w:val="24"/>
                <w:szCs w:val="24"/>
              </w:rPr>
            </w:pPr>
            <w:r w:rsidRPr="00AC0619">
              <w:rPr>
                <w:sz w:val="24"/>
                <w:szCs w:val="24"/>
              </w:rPr>
              <w:t>Arch of Titus (</w:t>
            </w:r>
            <w:r w:rsidRPr="00AC0619">
              <w:rPr>
                <w:i/>
                <w:iCs/>
                <w:sz w:val="24"/>
                <w:szCs w:val="24"/>
              </w:rPr>
              <w:t>arcus Titi</w:t>
            </w:r>
            <w:r w:rsidRPr="00AC0619">
              <w:rPr>
                <w:sz w:val="24"/>
                <w:szCs w:val="24"/>
              </w:rPr>
              <w:t>)</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Septizodium (</w:t>
            </w:r>
            <w:r w:rsidRPr="00AC0619">
              <w:rPr>
                <w:i/>
                <w:iCs/>
                <w:sz w:val="24"/>
                <w:szCs w:val="24"/>
              </w:rPr>
              <w:t>Septizodium</w:t>
            </w:r>
            <w:r w:rsidRPr="00AC0619">
              <w:rPr>
                <w:sz w:val="24"/>
                <w:szCs w:val="24"/>
              </w:rPr>
              <w:t>)</w:t>
            </w:r>
          </w:p>
        </w:tc>
        <w:tc>
          <w:tcPr>
            <w:tcW w:w="3554" w:type="dxa"/>
            <w:vAlign w:val="bottom"/>
          </w:tcPr>
          <w:p w:rsidR="004C7171" w:rsidRPr="001F1C61" w:rsidRDefault="009C7AF1">
            <w:pPr>
              <w:rPr>
                <w:i/>
                <w:sz w:val="24"/>
                <w:szCs w:val="24"/>
              </w:rPr>
            </w:pPr>
            <w:r w:rsidRPr="001F1C61">
              <w:rPr>
                <w:i/>
                <w:sz w:val="24"/>
                <w:szCs w:val="24"/>
              </w:rPr>
              <w:t>Septizodium</w:t>
            </w:r>
            <w:r w:rsidR="004C7171" w:rsidRPr="001F1C61">
              <w:rPr>
                <w:i/>
                <w:sz w:val="24"/>
                <w:szCs w:val="24"/>
              </w:rPr>
              <w:t xml:space="preserve"> divi </w:t>
            </w:r>
            <w:r w:rsidRPr="001F1C61">
              <w:rPr>
                <w:i/>
                <w:sz w:val="24"/>
                <w:szCs w:val="24"/>
              </w:rPr>
              <w:t>Severi</w:t>
            </w:r>
          </w:p>
        </w:tc>
        <w:tc>
          <w:tcPr>
            <w:tcW w:w="3589" w:type="dxa"/>
            <w:vAlign w:val="bottom"/>
          </w:tcPr>
          <w:p w:rsidR="004C7171" w:rsidRPr="001F1C61" w:rsidRDefault="009C7AF1">
            <w:pPr>
              <w:rPr>
                <w:i/>
                <w:sz w:val="24"/>
                <w:szCs w:val="24"/>
              </w:rPr>
            </w:pPr>
            <w:r w:rsidRPr="001F1C61">
              <w:rPr>
                <w:i/>
                <w:sz w:val="24"/>
                <w:szCs w:val="24"/>
              </w:rPr>
              <w:t>Septizodium</w:t>
            </w:r>
            <w:r w:rsidR="004C7171" w:rsidRPr="001F1C61">
              <w:rPr>
                <w:i/>
                <w:sz w:val="24"/>
                <w:szCs w:val="24"/>
              </w:rPr>
              <w:t xml:space="preserve"> divi Severi</w:t>
            </w:r>
          </w:p>
        </w:tc>
      </w:tr>
      <w:tr w:rsidR="004C7171" w:rsidTr="006B4565">
        <w:tc>
          <w:tcPr>
            <w:tcW w:w="2099" w:type="dxa"/>
            <w:vAlign w:val="bottom"/>
          </w:tcPr>
          <w:p w:rsidR="004C7171" w:rsidRPr="00AC0619" w:rsidRDefault="008B44B0">
            <w:pPr>
              <w:rPr>
                <w:sz w:val="24"/>
                <w:szCs w:val="24"/>
              </w:rPr>
            </w:pPr>
            <w:r>
              <w:rPr>
                <w:sz w:val="24"/>
                <w:szCs w:val="24"/>
              </w:rPr>
              <w:t>Imperial</w:t>
            </w:r>
            <w:r w:rsidR="004C7171" w:rsidRPr="00AC0619">
              <w:rPr>
                <w:sz w:val="24"/>
                <w:szCs w:val="24"/>
              </w:rPr>
              <w:t xml:space="preserve"> Box in the </w:t>
            </w:r>
            <w:r w:rsidR="004C7171" w:rsidRPr="00AC0619">
              <w:rPr>
                <w:sz w:val="24"/>
                <w:szCs w:val="24"/>
              </w:rPr>
              <w:lastRenderedPageBreak/>
              <w:t>Circus Maximus</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FB0E26" w:rsidTr="006B4565">
        <w:tc>
          <w:tcPr>
            <w:tcW w:w="2099" w:type="dxa"/>
          </w:tcPr>
          <w:p w:rsidR="00FB0E26" w:rsidRPr="00AC0619" w:rsidRDefault="004C7171" w:rsidP="004C7171">
            <w:pPr>
              <w:rPr>
                <w:sz w:val="24"/>
                <w:szCs w:val="24"/>
              </w:rPr>
            </w:pPr>
            <w:r w:rsidRPr="00AC0619">
              <w:rPr>
                <w:sz w:val="24"/>
                <w:szCs w:val="24"/>
              </w:rPr>
              <w:lastRenderedPageBreak/>
              <w:t>Section of the Claudian Aqueduct between the Caelian and the Palatine Hill</w:t>
            </w:r>
          </w:p>
        </w:tc>
        <w:tc>
          <w:tcPr>
            <w:tcW w:w="3554" w:type="dxa"/>
          </w:tcPr>
          <w:p w:rsidR="00FB0E26" w:rsidRPr="00AC0619" w:rsidRDefault="00FB0E26" w:rsidP="00FB0E26">
            <w:pPr>
              <w:spacing w:line="480" w:lineRule="auto"/>
              <w:rPr>
                <w:b/>
                <w:sz w:val="24"/>
                <w:szCs w:val="24"/>
                <w:u w:val="single"/>
              </w:rPr>
            </w:pPr>
          </w:p>
        </w:tc>
        <w:tc>
          <w:tcPr>
            <w:tcW w:w="3589" w:type="dxa"/>
          </w:tcPr>
          <w:p w:rsidR="00FB0E26" w:rsidRPr="00AC0619" w:rsidRDefault="00FB0E26" w:rsidP="00FB0E26">
            <w:pPr>
              <w:spacing w:line="480" w:lineRule="auto"/>
              <w:rPr>
                <w:b/>
                <w:sz w:val="24"/>
                <w:szCs w:val="24"/>
                <w:u w:val="single"/>
              </w:rPr>
            </w:pPr>
          </w:p>
        </w:tc>
      </w:tr>
      <w:tr w:rsidR="004C7171" w:rsidTr="006B4565">
        <w:tc>
          <w:tcPr>
            <w:tcW w:w="2099" w:type="dxa"/>
            <w:vAlign w:val="bottom"/>
          </w:tcPr>
          <w:p w:rsidR="004C7171" w:rsidRPr="00AC0619" w:rsidRDefault="004C7171">
            <w:pPr>
              <w:rPr>
                <w:sz w:val="24"/>
                <w:szCs w:val="24"/>
              </w:rPr>
            </w:pPr>
            <w:r w:rsidRPr="00AC0619">
              <w:rPr>
                <w:sz w:val="24"/>
                <w:szCs w:val="24"/>
              </w:rPr>
              <w:t>Gardens of Maecenas (</w:t>
            </w:r>
            <w:r w:rsidRPr="00AC0619">
              <w:rPr>
                <w:i/>
                <w:iCs/>
                <w:sz w:val="24"/>
                <w:szCs w:val="24"/>
              </w:rPr>
              <w:t>horti Maecenatis</w:t>
            </w:r>
            <w:r w:rsidRPr="00AC0619">
              <w:rPr>
                <w:sz w:val="24"/>
                <w:szCs w:val="24"/>
              </w:rPr>
              <w:t>) </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Baths of Trajan (</w:t>
            </w:r>
            <w:r w:rsidR="00C43F79">
              <w:rPr>
                <w:i/>
                <w:iCs/>
                <w:sz w:val="24"/>
                <w:szCs w:val="24"/>
              </w:rPr>
              <w:t>thermae</w:t>
            </w:r>
            <w:r w:rsidRPr="00AC0619">
              <w:rPr>
                <w:i/>
                <w:iCs/>
                <w:sz w:val="24"/>
                <w:szCs w:val="24"/>
              </w:rPr>
              <w:t xml:space="preserve"> Traiani</w:t>
            </w:r>
            <w:r w:rsidRPr="00AC0619">
              <w:rPr>
                <w:sz w:val="24"/>
                <w:szCs w:val="24"/>
              </w:rPr>
              <w:t>)</w:t>
            </w:r>
          </w:p>
        </w:tc>
        <w:tc>
          <w:tcPr>
            <w:tcW w:w="3554" w:type="dxa"/>
            <w:vAlign w:val="bottom"/>
          </w:tcPr>
          <w:p w:rsidR="004C7171" w:rsidRPr="001F1C61" w:rsidRDefault="004C7171">
            <w:pPr>
              <w:rPr>
                <w:i/>
                <w:sz w:val="24"/>
                <w:szCs w:val="24"/>
              </w:rPr>
            </w:pPr>
            <w:r w:rsidRPr="001F1C61">
              <w:rPr>
                <w:i/>
                <w:sz w:val="24"/>
                <w:szCs w:val="24"/>
              </w:rPr>
              <w:t>thermas Titianas et Traianas</w:t>
            </w:r>
          </w:p>
        </w:tc>
        <w:tc>
          <w:tcPr>
            <w:tcW w:w="3589" w:type="dxa"/>
            <w:vAlign w:val="bottom"/>
          </w:tcPr>
          <w:p w:rsidR="004C7171" w:rsidRPr="001F1C61" w:rsidRDefault="004C7171">
            <w:pPr>
              <w:rPr>
                <w:i/>
                <w:sz w:val="24"/>
                <w:szCs w:val="24"/>
              </w:rPr>
            </w:pPr>
            <w:r w:rsidRPr="001F1C61">
              <w:rPr>
                <w:i/>
                <w:sz w:val="24"/>
                <w:szCs w:val="24"/>
              </w:rPr>
              <w:t>thermas Titianas et Traianas</w:t>
            </w:r>
          </w:p>
        </w:tc>
      </w:tr>
      <w:tr w:rsidR="004C7171" w:rsidTr="006B4565">
        <w:tc>
          <w:tcPr>
            <w:tcW w:w="2099" w:type="dxa"/>
            <w:vAlign w:val="bottom"/>
          </w:tcPr>
          <w:p w:rsidR="004C7171" w:rsidRPr="00AC0619" w:rsidRDefault="004C7171">
            <w:pPr>
              <w:rPr>
                <w:sz w:val="24"/>
                <w:szCs w:val="24"/>
              </w:rPr>
            </w:pPr>
            <w:r w:rsidRPr="00AC0619">
              <w:rPr>
                <w:sz w:val="24"/>
                <w:szCs w:val="24"/>
              </w:rPr>
              <w:t>the Porticus of Livia (</w:t>
            </w:r>
            <w:r w:rsidRPr="00AC0619">
              <w:rPr>
                <w:i/>
                <w:iCs/>
                <w:sz w:val="24"/>
                <w:szCs w:val="24"/>
              </w:rPr>
              <w:t>porticus Liviae</w:t>
            </w:r>
            <w:r w:rsidRPr="00AC0619">
              <w:rPr>
                <w:sz w:val="24"/>
                <w:szCs w:val="24"/>
              </w:rPr>
              <w:t>)</w:t>
            </w:r>
          </w:p>
        </w:tc>
        <w:tc>
          <w:tcPr>
            <w:tcW w:w="3554" w:type="dxa"/>
            <w:vAlign w:val="bottom"/>
          </w:tcPr>
          <w:p w:rsidR="004C7171" w:rsidRPr="001F1C61" w:rsidRDefault="00E6260C">
            <w:pPr>
              <w:rPr>
                <w:i/>
                <w:sz w:val="24"/>
                <w:szCs w:val="24"/>
              </w:rPr>
            </w:pPr>
            <w:r>
              <w:rPr>
                <w:i/>
                <w:sz w:val="24"/>
                <w:szCs w:val="24"/>
              </w:rPr>
              <w:pict w14:anchorId="7E8D4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1" o:spid="_x0000_s1050" type="#_x0000_t75" alt="[imago inanis]" style="position:absolute;margin-left:0;margin-top:0;width:7.5pt;height:.75pt;z-index:25167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ajeXDUwIAAPcEAAAfAAAAAAAAAAAAAAAA&#10;ACACAABjbGlwYm9hcmQvZHJhd2luZ3MvZHJhd2luZzEueG1sUEsBAi0AFAAGAAgAAAAhAP3BWu/O&#10;BgAAPRwAABoAAAAAAAAAAAAAAAAAsAQAAGNsaXBib2FyZC90aGVtZS90aGVtZTEueG1sUEsBAi0A&#10;FAAGAAgAAAAhAJxmRkG7AAAAJAEAACoAAAAAAAAAAAAAAAAAtgsAAGNsaXBib2FyZC9kcmF3aW5n&#10;cy9fcmVscy9kcmF3aW5nMS54bWwucmVsc1BLBQYAAAAABQAFAGcBAAC5DAAAAAA=&#10;" o:insetmode="auto">
                  <v:imagedata r:id="rId21" o:title=""/>
                </v:shape>
              </w:pict>
            </w:r>
            <w:r>
              <w:rPr>
                <w:i/>
                <w:sz w:val="24"/>
                <w:szCs w:val="24"/>
              </w:rPr>
              <w:pict w14:anchorId="0C62A838">
                <v:shape id="AutoShape 2" o:spid="_x0000_s1051" type="#_x0000_t75" alt="[imago inanis]" style="position:absolute;margin-left:8.25pt;margin-top:0;width:15pt;height:.75pt;z-index:2516725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OjQkMUwIAAPoEAAAfAAAAAAAAAAAAAAAA&#10;ACACAABjbGlwYm9hcmQvZHJhd2luZ3MvZHJhd2luZzEueG1sUEsBAi0AFAAGAAgAAAAhAP3BWu/O&#10;BgAAPRwAABoAAAAAAAAAAAAAAAAAsAQAAGNsaXBib2FyZC90aGVtZS90aGVtZTEueG1sUEsBAi0A&#10;FAAGAAgAAAAhAJxmRkG7AAAAJAEAACoAAAAAAAAAAAAAAAAAtgsAAGNsaXBib2FyZC9kcmF3aW5n&#10;cy9fcmVscy9kcmF3aW5nMS54bWwucmVsc1BLBQYAAAAABQAFAGcBAAC5DAAAAAA=&#10;" o:insetmode="auto">
                  <v:imagedata r:id="rId22" o:title=""/>
                </v:shape>
              </w:pict>
            </w:r>
          </w:p>
          <w:tbl>
            <w:tblPr>
              <w:tblW w:w="0" w:type="auto"/>
              <w:tblCellSpacing w:w="0" w:type="dxa"/>
              <w:tblCellMar>
                <w:left w:w="0" w:type="dxa"/>
                <w:right w:w="0" w:type="dxa"/>
              </w:tblCellMar>
              <w:tblLook w:val="04A0" w:firstRow="1" w:lastRow="0" w:firstColumn="1" w:lastColumn="0" w:noHBand="0" w:noVBand="1"/>
            </w:tblPr>
            <w:tblGrid>
              <w:gridCol w:w="3338"/>
            </w:tblGrid>
            <w:tr w:rsidR="00AC0619" w:rsidRPr="001F1C61">
              <w:trPr>
                <w:trHeight w:val="300"/>
                <w:tblCellSpacing w:w="0" w:type="dxa"/>
              </w:trPr>
              <w:tc>
                <w:tcPr>
                  <w:tcW w:w="3840" w:type="dxa"/>
                  <w:tcBorders>
                    <w:top w:val="nil"/>
                    <w:left w:val="nil"/>
                    <w:bottom w:val="nil"/>
                    <w:right w:val="nil"/>
                  </w:tcBorders>
                  <w:shd w:val="clear" w:color="auto" w:fill="auto"/>
                  <w:noWrap/>
                  <w:vAlign w:val="bottom"/>
                  <w:hideMark/>
                </w:tcPr>
                <w:p w:rsidR="004C7171" w:rsidRPr="001F1C61" w:rsidRDefault="004C7171">
                  <w:pPr>
                    <w:rPr>
                      <w:i/>
                      <w:sz w:val="24"/>
                      <w:szCs w:val="24"/>
                    </w:rPr>
                  </w:pPr>
                  <w:r w:rsidRPr="001F1C61">
                    <w:rPr>
                      <w:i/>
                      <w:sz w:val="24"/>
                      <w:szCs w:val="24"/>
                    </w:rPr>
                    <w:t>porticum Liviae</w:t>
                  </w:r>
                </w:p>
              </w:tc>
            </w:tr>
          </w:tbl>
          <w:p w:rsidR="004C7171" w:rsidRPr="001F1C61" w:rsidRDefault="004C7171">
            <w:pPr>
              <w:rPr>
                <w:i/>
                <w:sz w:val="24"/>
                <w:szCs w:val="24"/>
              </w:rPr>
            </w:pPr>
          </w:p>
        </w:tc>
        <w:tc>
          <w:tcPr>
            <w:tcW w:w="3589" w:type="dxa"/>
            <w:vAlign w:val="bottom"/>
          </w:tcPr>
          <w:p w:rsidR="004C7171" w:rsidRPr="001F1C61" w:rsidRDefault="004C7171">
            <w:pPr>
              <w:rPr>
                <w:i/>
                <w:sz w:val="24"/>
                <w:szCs w:val="24"/>
              </w:rPr>
            </w:pPr>
            <w:r w:rsidRPr="001F1C61">
              <w:rPr>
                <w:i/>
                <w:sz w:val="24"/>
                <w:szCs w:val="24"/>
              </w:rPr>
              <w:t>porticum Libies</w:t>
            </w:r>
          </w:p>
        </w:tc>
      </w:tr>
      <w:tr w:rsidR="00FB0E26" w:rsidTr="006B4565">
        <w:tc>
          <w:tcPr>
            <w:tcW w:w="2099" w:type="dxa"/>
          </w:tcPr>
          <w:p w:rsidR="004C7171" w:rsidRPr="00AC0619" w:rsidRDefault="004C7171" w:rsidP="004C7171">
            <w:pPr>
              <w:rPr>
                <w:sz w:val="24"/>
                <w:szCs w:val="24"/>
              </w:rPr>
            </w:pPr>
            <w:r w:rsidRPr="00AC0619">
              <w:rPr>
                <w:sz w:val="24"/>
                <w:szCs w:val="24"/>
              </w:rPr>
              <w:t>Possible headquarters (</w:t>
            </w:r>
            <w:r w:rsidRPr="001F1C61">
              <w:rPr>
                <w:i/>
                <w:sz w:val="24"/>
                <w:szCs w:val="24"/>
              </w:rPr>
              <w:t>schola</w:t>
            </w:r>
            <w:r w:rsidRPr="00AC0619">
              <w:rPr>
                <w:sz w:val="24"/>
                <w:szCs w:val="24"/>
              </w:rPr>
              <w:t>) of a professional organization (</w:t>
            </w:r>
            <w:r w:rsidRPr="001F1C61">
              <w:rPr>
                <w:i/>
                <w:sz w:val="24"/>
                <w:szCs w:val="24"/>
              </w:rPr>
              <w:t>collegium</w:t>
            </w:r>
            <w:r w:rsidRPr="00AC0619">
              <w:rPr>
                <w:sz w:val="24"/>
                <w:szCs w:val="24"/>
              </w:rPr>
              <w:t>) off the Vicus Sabuci (</w:t>
            </w:r>
            <w:r w:rsidRPr="001F1C61">
              <w:rPr>
                <w:i/>
                <w:sz w:val="24"/>
                <w:szCs w:val="24"/>
              </w:rPr>
              <w:t>vicus</w:t>
            </w:r>
            <w:r w:rsidRPr="00AC0619">
              <w:rPr>
                <w:sz w:val="24"/>
                <w:szCs w:val="24"/>
              </w:rPr>
              <w:t xml:space="preserve"> </w:t>
            </w:r>
            <w:r w:rsidRPr="001F1C61">
              <w:rPr>
                <w:i/>
                <w:sz w:val="24"/>
                <w:szCs w:val="24"/>
              </w:rPr>
              <w:t>Sabuci</w:t>
            </w:r>
            <w:r w:rsidRPr="00AC0619">
              <w:rPr>
                <w:sz w:val="24"/>
                <w:szCs w:val="24"/>
              </w:rPr>
              <w:t xml:space="preserve">) in the Subura </w:t>
            </w:r>
            <w:r w:rsidR="009C7AF1" w:rsidRPr="00AC0619">
              <w:rPr>
                <w:sz w:val="24"/>
                <w:szCs w:val="24"/>
              </w:rPr>
              <w:t>neighbourhood</w:t>
            </w:r>
            <w:r w:rsidRPr="00AC0619">
              <w:rPr>
                <w:sz w:val="24"/>
                <w:szCs w:val="24"/>
              </w:rPr>
              <w:t xml:space="preserve"> (</w:t>
            </w:r>
            <w:r w:rsidRPr="001F1C61">
              <w:rPr>
                <w:i/>
                <w:sz w:val="24"/>
                <w:szCs w:val="24"/>
              </w:rPr>
              <w:t>Subura</w:t>
            </w:r>
            <w:r w:rsidRPr="00AC0619">
              <w:rPr>
                <w:sz w:val="24"/>
                <w:szCs w:val="24"/>
              </w:rPr>
              <w:t>)</w:t>
            </w:r>
          </w:p>
          <w:p w:rsidR="00FB0E26" w:rsidRPr="00AC0619" w:rsidRDefault="00FB0E26" w:rsidP="00FB0E26">
            <w:pPr>
              <w:spacing w:line="480" w:lineRule="auto"/>
              <w:rPr>
                <w:b/>
                <w:sz w:val="24"/>
                <w:szCs w:val="24"/>
                <w:u w:val="single"/>
              </w:rPr>
            </w:pPr>
          </w:p>
        </w:tc>
        <w:tc>
          <w:tcPr>
            <w:tcW w:w="3554" w:type="dxa"/>
          </w:tcPr>
          <w:p w:rsidR="00FB0E26" w:rsidRPr="00AC0619" w:rsidRDefault="00FB0E26" w:rsidP="00FB0E26">
            <w:pPr>
              <w:spacing w:line="480" w:lineRule="auto"/>
              <w:rPr>
                <w:b/>
                <w:sz w:val="24"/>
                <w:szCs w:val="24"/>
                <w:u w:val="single"/>
              </w:rPr>
            </w:pPr>
          </w:p>
        </w:tc>
        <w:tc>
          <w:tcPr>
            <w:tcW w:w="3589" w:type="dxa"/>
          </w:tcPr>
          <w:p w:rsidR="00FB0E26" w:rsidRPr="00AC0619" w:rsidRDefault="00FB0E26" w:rsidP="00FB0E26">
            <w:pPr>
              <w:spacing w:line="480" w:lineRule="auto"/>
              <w:rPr>
                <w:b/>
                <w:sz w:val="24"/>
                <w:szCs w:val="24"/>
                <w:u w:val="single"/>
              </w:rPr>
            </w:pPr>
          </w:p>
        </w:tc>
      </w:tr>
      <w:tr w:rsidR="00FB0E26" w:rsidTr="006B4565">
        <w:tc>
          <w:tcPr>
            <w:tcW w:w="2099" w:type="dxa"/>
          </w:tcPr>
          <w:p w:rsidR="00FB0E26" w:rsidRPr="00AC0619" w:rsidRDefault="004C7171" w:rsidP="004C7171">
            <w:pPr>
              <w:jc w:val="center"/>
              <w:rPr>
                <w:sz w:val="24"/>
                <w:szCs w:val="24"/>
              </w:rPr>
            </w:pPr>
            <w:r w:rsidRPr="00AC0619">
              <w:rPr>
                <w:sz w:val="24"/>
                <w:szCs w:val="24"/>
              </w:rPr>
              <w:t>The Area Candidi?</w:t>
            </w:r>
          </w:p>
        </w:tc>
        <w:tc>
          <w:tcPr>
            <w:tcW w:w="3554" w:type="dxa"/>
          </w:tcPr>
          <w:p w:rsidR="00FB0E26" w:rsidRPr="00AC0619" w:rsidRDefault="00FB0E26" w:rsidP="00FB0E26">
            <w:pPr>
              <w:spacing w:line="480" w:lineRule="auto"/>
              <w:rPr>
                <w:b/>
                <w:sz w:val="24"/>
                <w:szCs w:val="24"/>
                <w:u w:val="single"/>
              </w:rPr>
            </w:pPr>
          </w:p>
          <w:p w:rsidR="004C7171" w:rsidRPr="00AC0619" w:rsidRDefault="004C7171" w:rsidP="00FB0E26">
            <w:pPr>
              <w:spacing w:line="480" w:lineRule="auto"/>
              <w:rPr>
                <w:b/>
                <w:sz w:val="24"/>
                <w:szCs w:val="24"/>
                <w:u w:val="single"/>
              </w:rPr>
            </w:pPr>
          </w:p>
        </w:tc>
        <w:tc>
          <w:tcPr>
            <w:tcW w:w="3589" w:type="dxa"/>
          </w:tcPr>
          <w:p w:rsidR="00FB0E26" w:rsidRPr="00AC0619" w:rsidRDefault="00FB0E26" w:rsidP="00FB0E26">
            <w:pPr>
              <w:spacing w:line="480" w:lineRule="auto"/>
              <w:rPr>
                <w:b/>
                <w:sz w:val="24"/>
                <w:szCs w:val="24"/>
                <w:u w:val="single"/>
              </w:rPr>
            </w:pPr>
          </w:p>
        </w:tc>
      </w:tr>
      <w:tr w:rsidR="004C7171" w:rsidTr="006B4565">
        <w:tc>
          <w:tcPr>
            <w:tcW w:w="2099" w:type="dxa"/>
            <w:vAlign w:val="bottom"/>
          </w:tcPr>
          <w:p w:rsidR="004C7171" w:rsidRPr="00AC0619" w:rsidRDefault="004C7171">
            <w:pPr>
              <w:rPr>
                <w:sz w:val="24"/>
                <w:szCs w:val="24"/>
              </w:rPr>
            </w:pPr>
            <w:r w:rsidRPr="00AC0619">
              <w:rPr>
                <w:sz w:val="24"/>
                <w:szCs w:val="24"/>
              </w:rPr>
              <w:t>Fountain of Orpheus (</w:t>
            </w:r>
            <w:r w:rsidRPr="00AC0619">
              <w:rPr>
                <w:i/>
                <w:iCs/>
                <w:sz w:val="24"/>
                <w:szCs w:val="24"/>
              </w:rPr>
              <w:t>lacus Orphei</w:t>
            </w:r>
            <w:r w:rsidRPr="00AC0619">
              <w:rPr>
                <w:sz w:val="24"/>
                <w:szCs w:val="24"/>
              </w:rPr>
              <w:t>)</w:t>
            </w:r>
          </w:p>
        </w:tc>
        <w:tc>
          <w:tcPr>
            <w:tcW w:w="3554" w:type="dxa"/>
            <w:vAlign w:val="bottom"/>
          </w:tcPr>
          <w:p w:rsidR="004C7171" w:rsidRPr="001F1C61" w:rsidRDefault="004C7171">
            <w:pPr>
              <w:rPr>
                <w:i/>
                <w:sz w:val="24"/>
                <w:szCs w:val="24"/>
              </w:rPr>
            </w:pPr>
            <w:r w:rsidRPr="001F1C61">
              <w:rPr>
                <w:i/>
                <w:sz w:val="24"/>
                <w:szCs w:val="24"/>
              </w:rPr>
              <w:t>lacum Orphei</w:t>
            </w:r>
          </w:p>
        </w:tc>
        <w:tc>
          <w:tcPr>
            <w:tcW w:w="3589" w:type="dxa"/>
            <w:vAlign w:val="bottom"/>
          </w:tcPr>
          <w:p w:rsidR="004C7171" w:rsidRPr="001F1C61" w:rsidRDefault="004C7171">
            <w:pPr>
              <w:rPr>
                <w:i/>
                <w:sz w:val="24"/>
                <w:szCs w:val="24"/>
              </w:rPr>
            </w:pPr>
            <w:r w:rsidRPr="001F1C61">
              <w:rPr>
                <w:i/>
                <w:sz w:val="24"/>
                <w:szCs w:val="24"/>
              </w:rPr>
              <w:t>lacum Orfei</w:t>
            </w:r>
          </w:p>
        </w:tc>
      </w:tr>
      <w:tr w:rsidR="004C7171" w:rsidTr="006B4565">
        <w:tc>
          <w:tcPr>
            <w:tcW w:w="2099" w:type="dxa"/>
            <w:vAlign w:val="bottom"/>
          </w:tcPr>
          <w:p w:rsidR="004C7171" w:rsidRPr="00AC0619" w:rsidRDefault="004C7171">
            <w:pPr>
              <w:rPr>
                <w:sz w:val="24"/>
                <w:szCs w:val="24"/>
              </w:rPr>
            </w:pPr>
            <w:r w:rsidRPr="00AC0619">
              <w:rPr>
                <w:sz w:val="24"/>
                <w:szCs w:val="24"/>
              </w:rPr>
              <w:t xml:space="preserve">Flavian </w:t>
            </w:r>
            <w:r w:rsidR="009C7AF1" w:rsidRPr="00AC0619">
              <w:rPr>
                <w:sz w:val="24"/>
                <w:szCs w:val="24"/>
              </w:rPr>
              <w:t>Amphitheatre</w:t>
            </w:r>
            <w:r w:rsidRPr="00AC0619">
              <w:rPr>
                <w:sz w:val="24"/>
                <w:szCs w:val="24"/>
              </w:rPr>
              <w:t>, Colosseum (</w:t>
            </w:r>
            <w:r w:rsidRPr="00AC0619">
              <w:rPr>
                <w:i/>
                <w:iCs/>
                <w:sz w:val="24"/>
                <w:szCs w:val="24"/>
              </w:rPr>
              <w:t>Amphitheatrum</w:t>
            </w:r>
            <w:r w:rsidRPr="00AC0619">
              <w:rPr>
                <w:sz w:val="24"/>
                <w:szCs w:val="24"/>
              </w:rPr>
              <w:t>)</w:t>
            </w:r>
          </w:p>
        </w:tc>
        <w:tc>
          <w:tcPr>
            <w:tcW w:w="3554" w:type="dxa"/>
            <w:vAlign w:val="bottom"/>
          </w:tcPr>
          <w:p w:rsidR="004C7171" w:rsidRPr="00AC0619" w:rsidRDefault="004C7171">
            <w:pPr>
              <w:rPr>
                <w:sz w:val="24"/>
                <w:szCs w:val="24"/>
              </w:rPr>
            </w:pPr>
            <w:r w:rsidRPr="00AC0619">
              <w:rPr>
                <w:sz w:val="24"/>
                <w:szCs w:val="24"/>
              </w:rPr>
              <w:t>X</w:t>
            </w:r>
          </w:p>
        </w:tc>
        <w:tc>
          <w:tcPr>
            <w:tcW w:w="3589" w:type="dxa"/>
            <w:vAlign w:val="bottom"/>
          </w:tcPr>
          <w:p w:rsidR="004C7171" w:rsidRPr="00AC0619" w:rsidRDefault="004C7171">
            <w:pPr>
              <w:rPr>
                <w:sz w:val="24"/>
                <w:szCs w:val="24"/>
              </w:rPr>
            </w:pPr>
            <w:r w:rsidRPr="00AC0619">
              <w:rPr>
                <w:sz w:val="24"/>
                <w:szCs w:val="24"/>
              </w:rPr>
              <w:t>X</w:t>
            </w:r>
          </w:p>
        </w:tc>
      </w:tr>
      <w:tr w:rsidR="004C7171" w:rsidTr="006B4565">
        <w:tc>
          <w:tcPr>
            <w:tcW w:w="2099" w:type="dxa"/>
            <w:vAlign w:val="bottom"/>
          </w:tcPr>
          <w:p w:rsidR="004C7171" w:rsidRPr="00AC0619" w:rsidRDefault="004C7171">
            <w:pPr>
              <w:rPr>
                <w:sz w:val="24"/>
                <w:szCs w:val="24"/>
              </w:rPr>
            </w:pPr>
            <w:r w:rsidRPr="00AC0619">
              <w:rPr>
                <w:sz w:val="24"/>
                <w:szCs w:val="24"/>
              </w:rPr>
              <w:t>Temple of Peace (</w:t>
            </w:r>
            <w:r w:rsidRPr="00AC0619">
              <w:rPr>
                <w:i/>
                <w:iCs/>
                <w:sz w:val="24"/>
                <w:szCs w:val="24"/>
              </w:rPr>
              <w:t>templum Pacis</w:t>
            </w:r>
          </w:p>
        </w:tc>
        <w:tc>
          <w:tcPr>
            <w:tcW w:w="3554" w:type="dxa"/>
            <w:vAlign w:val="bottom"/>
          </w:tcPr>
          <w:p w:rsidR="004C7171" w:rsidRPr="00AC0619" w:rsidRDefault="004C7171">
            <w:pPr>
              <w:rPr>
                <w:sz w:val="24"/>
                <w:szCs w:val="24"/>
              </w:rPr>
            </w:pPr>
            <w:r w:rsidRPr="00AC0619">
              <w:rPr>
                <w:sz w:val="24"/>
                <w:szCs w:val="24"/>
              </w:rPr>
              <w:t>TITLE OF REGIO IV</w:t>
            </w:r>
          </w:p>
        </w:tc>
        <w:tc>
          <w:tcPr>
            <w:tcW w:w="3589" w:type="dxa"/>
            <w:vAlign w:val="bottom"/>
          </w:tcPr>
          <w:p w:rsidR="004C7171" w:rsidRPr="00AC0619" w:rsidRDefault="004C7171">
            <w:pPr>
              <w:rPr>
                <w:sz w:val="24"/>
                <w:szCs w:val="24"/>
              </w:rPr>
            </w:pPr>
            <w:r w:rsidRPr="00AC0619">
              <w:rPr>
                <w:sz w:val="24"/>
                <w:szCs w:val="24"/>
              </w:rPr>
              <w:t>TITLE OF REGIO IV</w:t>
            </w:r>
          </w:p>
        </w:tc>
      </w:tr>
      <w:tr w:rsidR="004C7171" w:rsidTr="006B4565">
        <w:tc>
          <w:tcPr>
            <w:tcW w:w="2099" w:type="dxa"/>
            <w:vAlign w:val="bottom"/>
          </w:tcPr>
          <w:p w:rsidR="004C7171" w:rsidRPr="00AC0619" w:rsidRDefault="004C7171">
            <w:pPr>
              <w:rPr>
                <w:sz w:val="24"/>
                <w:szCs w:val="24"/>
              </w:rPr>
            </w:pPr>
            <w:r w:rsidRPr="00AC0619">
              <w:rPr>
                <w:sz w:val="24"/>
                <w:szCs w:val="24"/>
              </w:rPr>
              <w:t>The Apsidal Portico (</w:t>
            </w:r>
            <w:r w:rsidRPr="00AC0619">
              <w:rPr>
                <w:i/>
                <w:iCs/>
                <w:sz w:val="24"/>
                <w:szCs w:val="24"/>
              </w:rPr>
              <w:t>porticus Absidata</w:t>
            </w:r>
          </w:p>
        </w:tc>
        <w:tc>
          <w:tcPr>
            <w:tcW w:w="3554" w:type="dxa"/>
            <w:vAlign w:val="bottom"/>
          </w:tcPr>
          <w:p w:rsidR="004C7171" w:rsidRPr="001F1C61" w:rsidRDefault="004C7171">
            <w:pPr>
              <w:rPr>
                <w:i/>
                <w:sz w:val="24"/>
                <w:szCs w:val="24"/>
              </w:rPr>
            </w:pPr>
            <w:r w:rsidRPr="001F1C61">
              <w:rPr>
                <w:i/>
                <w:sz w:val="24"/>
                <w:szCs w:val="24"/>
              </w:rPr>
              <w:t>porticum absidatam</w:t>
            </w:r>
          </w:p>
        </w:tc>
        <w:tc>
          <w:tcPr>
            <w:tcW w:w="3589" w:type="dxa"/>
            <w:vAlign w:val="bottom"/>
          </w:tcPr>
          <w:p w:rsidR="004C7171" w:rsidRPr="001F1C61" w:rsidRDefault="004C7171">
            <w:pPr>
              <w:rPr>
                <w:i/>
                <w:sz w:val="24"/>
                <w:szCs w:val="24"/>
              </w:rPr>
            </w:pPr>
            <w:r w:rsidRPr="001F1C61">
              <w:rPr>
                <w:i/>
                <w:sz w:val="24"/>
                <w:szCs w:val="24"/>
              </w:rPr>
              <w:t>porticum absidatum</w:t>
            </w:r>
          </w:p>
        </w:tc>
      </w:tr>
      <w:tr w:rsidR="004C7171" w:rsidTr="006B4565">
        <w:tc>
          <w:tcPr>
            <w:tcW w:w="2099" w:type="dxa"/>
            <w:vAlign w:val="bottom"/>
          </w:tcPr>
          <w:p w:rsidR="004C7171" w:rsidRPr="00AC0619" w:rsidRDefault="004C7171">
            <w:pPr>
              <w:rPr>
                <w:sz w:val="24"/>
                <w:szCs w:val="24"/>
              </w:rPr>
            </w:pPr>
            <w:r w:rsidRPr="00AC0619">
              <w:rPr>
                <w:sz w:val="24"/>
                <w:szCs w:val="24"/>
              </w:rPr>
              <w:t>Forum Transitorium/of Nerva (</w:t>
            </w:r>
            <w:r w:rsidRPr="00AC0619">
              <w:rPr>
                <w:i/>
                <w:iCs/>
                <w:sz w:val="24"/>
                <w:szCs w:val="24"/>
              </w:rPr>
              <w:t>forum Transitorium</w:t>
            </w:r>
            <w:r w:rsidRPr="00AC0619">
              <w:rPr>
                <w:sz w:val="24"/>
                <w:szCs w:val="24"/>
              </w:rPr>
              <w:t>/</w:t>
            </w:r>
            <w:r w:rsidRPr="00AC0619">
              <w:rPr>
                <w:i/>
                <w:iCs/>
                <w:sz w:val="24"/>
                <w:szCs w:val="24"/>
              </w:rPr>
              <w:t>Nervae</w:t>
            </w:r>
            <w:r w:rsidRPr="00AC0619">
              <w:rPr>
                <w:sz w:val="24"/>
                <w:szCs w:val="24"/>
              </w:rPr>
              <w:t>) </w:t>
            </w:r>
          </w:p>
        </w:tc>
        <w:tc>
          <w:tcPr>
            <w:tcW w:w="3554" w:type="dxa"/>
            <w:vAlign w:val="bottom"/>
          </w:tcPr>
          <w:p w:rsidR="004C7171" w:rsidRPr="00AC0619" w:rsidRDefault="004C7171">
            <w:pPr>
              <w:rPr>
                <w:sz w:val="24"/>
                <w:szCs w:val="24"/>
              </w:rPr>
            </w:pPr>
            <w:r w:rsidRPr="00AC0619">
              <w:rPr>
                <w:sz w:val="24"/>
                <w:szCs w:val="24"/>
              </w:rPr>
              <w:t xml:space="preserve">As </w:t>
            </w:r>
            <w:r w:rsidRPr="001F1C61">
              <w:rPr>
                <w:i/>
                <w:sz w:val="24"/>
                <w:szCs w:val="24"/>
              </w:rPr>
              <w:t>forum transitorium</w:t>
            </w:r>
            <w:r w:rsidRPr="00AC0619">
              <w:rPr>
                <w:sz w:val="24"/>
                <w:szCs w:val="24"/>
              </w:rPr>
              <w:t xml:space="preserve"> and </w:t>
            </w:r>
            <w:r w:rsidRPr="001F1C61">
              <w:rPr>
                <w:i/>
                <w:sz w:val="24"/>
                <w:szCs w:val="24"/>
              </w:rPr>
              <w:t>Forum Nerva</w:t>
            </w:r>
          </w:p>
        </w:tc>
        <w:tc>
          <w:tcPr>
            <w:tcW w:w="3589" w:type="dxa"/>
            <w:vAlign w:val="bottom"/>
          </w:tcPr>
          <w:p w:rsidR="004C7171" w:rsidRPr="00AC0619" w:rsidRDefault="004C7171">
            <w:pPr>
              <w:rPr>
                <w:sz w:val="24"/>
                <w:szCs w:val="24"/>
              </w:rPr>
            </w:pPr>
            <w:r w:rsidRPr="00AC0619">
              <w:rPr>
                <w:sz w:val="24"/>
                <w:szCs w:val="24"/>
              </w:rPr>
              <w:t xml:space="preserve">As </w:t>
            </w:r>
            <w:r w:rsidRPr="001F1C61">
              <w:rPr>
                <w:i/>
                <w:sz w:val="24"/>
                <w:szCs w:val="24"/>
              </w:rPr>
              <w:t>forum transitorium</w:t>
            </w:r>
            <w:r w:rsidRPr="00AC0619">
              <w:rPr>
                <w:sz w:val="24"/>
                <w:szCs w:val="24"/>
              </w:rPr>
              <w:t xml:space="preserve"> and </w:t>
            </w:r>
            <w:r w:rsidRPr="001F1C61">
              <w:rPr>
                <w:i/>
                <w:sz w:val="24"/>
                <w:szCs w:val="24"/>
              </w:rPr>
              <w:t>Forum Nerva</w:t>
            </w:r>
          </w:p>
        </w:tc>
      </w:tr>
      <w:tr w:rsidR="004C7171" w:rsidTr="006B4565">
        <w:tc>
          <w:tcPr>
            <w:tcW w:w="2099" w:type="dxa"/>
            <w:vAlign w:val="bottom"/>
          </w:tcPr>
          <w:p w:rsidR="004C7171" w:rsidRPr="00AC0619" w:rsidRDefault="004C7171">
            <w:pPr>
              <w:rPr>
                <w:sz w:val="24"/>
                <w:szCs w:val="24"/>
              </w:rPr>
            </w:pPr>
            <w:r w:rsidRPr="00AC0619">
              <w:rPr>
                <w:sz w:val="24"/>
                <w:szCs w:val="24"/>
              </w:rPr>
              <w:lastRenderedPageBreak/>
              <w:t>Temple of Minerva</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Forum of Augustus (</w:t>
            </w:r>
            <w:r w:rsidRPr="00AC0619">
              <w:rPr>
                <w:i/>
                <w:iCs/>
                <w:sz w:val="24"/>
                <w:szCs w:val="24"/>
              </w:rPr>
              <w:t>forum Augustum</w:t>
            </w:r>
            <w:r w:rsidRPr="00AC0619">
              <w:rPr>
                <w:sz w:val="24"/>
                <w:szCs w:val="24"/>
              </w:rPr>
              <w:t>/</w:t>
            </w:r>
            <w:r w:rsidRPr="00AC0619">
              <w:rPr>
                <w:i/>
                <w:iCs/>
                <w:sz w:val="24"/>
                <w:szCs w:val="24"/>
              </w:rPr>
              <w:t>Augusti</w:t>
            </w:r>
            <w:r w:rsidRPr="00AC0619">
              <w:rPr>
                <w:sz w:val="24"/>
                <w:szCs w:val="24"/>
              </w:rPr>
              <w:t>)</w:t>
            </w:r>
          </w:p>
        </w:tc>
        <w:tc>
          <w:tcPr>
            <w:tcW w:w="3554" w:type="dxa"/>
            <w:vAlign w:val="bottom"/>
          </w:tcPr>
          <w:p w:rsidR="004C7171" w:rsidRPr="00AC0619" w:rsidRDefault="004C7171">
            <w:pPr>
              <w:rPr>
                <w:sz w:val="24"/>
                <w:szCs w:val="24"/>
              </w:rPr>
            </w:pPr>
            <w:r w:rsidRPr="00AC0619">
              <w:rPr>
                <w:sz w:val="24"/>
                <w:szCs w:val="24"/>
              </w:rPr>
              <w:t>X</w:t>
            </w:r>
          </w:p>
        </w:tc>
        <w:tc>
          <w:tcPr>
            <w:tcW w:w="3589" w:type="dxa"/>
            <w:vAlign w:val="bottom"/>
          </w:tcPr>
          <w:p w:rsidR="004C7171" w:rsidRPr="00AC0619" w:rsidRDefault="004C7171">
            <w:pPr>
              <w:rPr>
                <w:sz w:val="24"/>
                <w:szCs w:val="24"/>
              </w:rPr>
            </w:pPr>
            <w:r w:rsidRPr="00AC0619">
              <w:rPr>
                <w:sz w:val="24"/>
                <w:szCs w:val="24"/>
              </w:rPr>
              <w:t>X</w:t>
            </w:r>
          </w:p>
        </w:tc>
      </w:tr>
      <w:tr w:rsidR="004C7171" w:rsidTr="006B4565">
        <w:tc>
          <w:tcPr>
            <w:tcW w:w="2099" w:type="dxa"/>
            <w:vAlign w:val="bottom"/>
          </w:tcPr>
          <w:p w:rsidR="004C7171" w:rsidRPr="00AC0619" w:rsidRDefault="004C7171">
            <w:pPr>
              <w:rPr>
                <w:sz w:val="24"/>
                <w:szCs w:val="24"/>
              </w:rPr>
            </w:pPr>
            <w:r w:rsidRPr="00AC0619">
              <w:rPr>
                <w:sz w:val="24"/>
                <w:szCs w:val="24"/>
              </w:rPr>
              <w:t>he Temple to Mars Ultor (</w:t>
            </w:r>
            <w:r w:rsidRPr="00AC0619">
              <w:rPr>
                <w:i/>
                <w:iCs/>
                <w:sz w:val="24"/>
                <w:szCs w:val="24"/>
              </w:rPr>
              <w:t>aedes</w:t>
            </w:r>
            <w:r w:rsidRPr="00AC0619">
              <w:rPr>
                <w:sz w:val="24"/>
                <w:szCs w:val="24"/>
              </w:rPr>
              <w:t>/</w:t>
            </w:r>
            <w:r w:rsidRPr="00AC0619">
              <w:rPr>
                <w:i/>
                <w:iCs/>
                <w:sz w:val="24"/>
                <w:szCs w:val="24"/>
              </w:rPr>
              <w:t>templum Martis Ultoris</w:t>
            </w:r>
            <w:r w:rsidRPr="00AC0619">
              <w:rPr>
                <w:sz w:val="24"/>
                <w:szCs w:val="24"/>
              </w:rPr>
              <w:t>)</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Basilica Paul(l)i (</w:t>
            </w:r>
            <w:r w:rsidRPr="00AC0619">
              <w:rPr>
                <w:i/>
                <w:iCs/>
                <w:sz w:val="24"/>
                <w:szCs w:val="24"/>
              </w:rPr>
              <w:t>basilica Paul</w:t>
            </w:r>
            <w:r w:rsidRPr="00AC0619">
              <w:rPr>
                <w:sz w:val="24"/>
                <w:szCs w:val="24"/>
              </w:rPr>
              <w:t>[</w:t>
            </w:r>
            <w:r w:rsidRPr="00AC0619">
              <w:rPr>
                <w:i/>
                <w:iCs/>
                <w:sz w:val="24"/>
                <w:szCs w:val="24"/>
              </w:rPr>
              <w:t>l</w:t>
            </w:r>
            <w:r w:rsidRPr="00AC0619">
              <w:rPr>
                <w:sz w:val="24"/>
                <w:szCs w:val="24"/>
              </w:rPr>
              <w:t>]</w:t>
            </w:r>
            <w:r w:rsidRPr="00AC0619">
              <w:rPr>
                <w:i/>
                <w:iCs/>
                <w:sz w:val="24"/>
                <w:szCs w:val="24"/>
              </w:rPr>
              <w:t>i</w:t>
            </w:r>
            <w:r w:rsidRPr="00AC0619">
              <w:rPr>
                <w:sz w:val="24"/>
                <w:szCs w:val="24"/>
              </w:rPr>
              <w:t>)</w:t>
            </w:r>
          </w:p>
        </w:tc>
        <w:tc>
          <w:tcPr>
            <w:tcW w:w="3554" w:type="dxa"/>
            <w:vAlign w:val="bottom"/>
          </w:tcPr>
          <w:p w:rsidR="004C7171" w:rsidRPr="001F1C61" w:rsidRDefault="004C7171">
            <w:pPr>
              <w:rPr>
                <w:i/>
                <w:sz w:val="24"/>
                <w:szCs w:val="24"/>
              </w:rPr>
            </w:pPr>
            <w:r w:rsidRPr="001F1C61">
              <w:rPr>
                <w:i/>
                <w:sz w:val="24"/>
                <w:szCs w:val="24"/>
              </w:rPr>
              <w:t>basilicam Pauli</w:t>
            </w:r>
          </w:p>
        </w:tc>
        <w:tc>
          <w:tcPr>
            <w:tcW w:w="3589" w:type="dxa"/>
            <w:vAlign w:val="bottom"/>
          </w:tcPr>
          <w:p w:rsidR="004C7171" w:rsidRPr="001F1C61" w:rsidRDefault="00E6260C">
            <w:pPr>
              <w:rPr>
                <w:i/>
                <w:sz w:val="24"/>
                <w:szCs w:val="24"/>
              </w:rPr>
            </w:pPr>
            <w:hyperlink r:id="rId23" w:history="1">
              <w:r w:rsidR="004C7171" w:rsidRPr="001F1C61">
                <w:rPr>
                  <w:rStyle w:val="Hyperlink"/>
                  <w:i/>
                  <w:color w:val="auto"/>
                  <w:sz w:val="24"/>
                  <w:szCs w:val="24"/>
                  <w:u w:val="none"/>
                </w:rPr>
                <w:t>basilicam novam et Pauli</w:t>
              </w:r>
            </w:hyperlink>
          </w:p>
        </w:tc>
      </w:tr>
      <w:tr w:rsidR="004C7171" w:rsidTr="006B4565">
        <w:tc>
          <w:tcPr>
            <w:tcW w:w="2099" w:type="dxa"/>
            <w:vAlign w:val="bottom"/>
          </w:tcPr>
          <w:p w:rsidR="004C7171" w:rsidRPr="00AC0619" w:rsidRDefault="004C7171">
            <w:pPr>
              <w:rPr>
                <w:i/>
                <w:iCs/>
                <w:sz w:val="24"/>
                <w:szCs w:val="24"/>
              </w:rPr>
            </w:pPr>
            <w:proofErr w:type="gramStart"/>
            <w:r w:rsidRPr="00AC0619">
              <w:rPr>
                <w:i/>
                <w:iCs/>
                <w:sz w:val="24"/>
                <w:szCs w:val="24"/>
              </w:rPr>
              <w:t>horrea</w:t>
            </w:r>
            <w:proofErr w:type="gramEnd"/>
            <w:r w:rsidRPr="00AC0619">
              <w:rPr>
                <w:i/>
                <w:iCs/>
                <w:sz w:val="24"/>
                <w:szCs w:val="24"/>
              </w:rPr>
              <w:t xml:space="preserve"> Vespasiani</w:t>
            </w:r>
            <w:r w:rsidRPr="00AC0619">
              <w:rPr>
                <w:sz w:val="24"/>
                <w:szCs w:val="24"/>
              </w:rPr>
              <w:t>?</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E6260C">
            <w:pPr>
              <w:rPr>
                <w:sz w:val="24"/>
                <w:szCs w:val="24"/>
              </w:rPr>
            </w:pPr>
            <w:r>
              <w:rPr>
                <w:sz w:val="24"/>
                <w:szCs w:val="24"/>
              </w:rPr>
              <w:pict w14:anchorId="1AE28547">
                <v:shape id="AutoShape 3" o:spid="_x0000_s1052" type="#_x0000_t75" alt="[imago inanis]" style="position:absolute;margin-left:0;margin-top:0;width:7.5pt;height:.75pt;z-index:2516746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GU85ZBSAgAA9wQAAB8AAAAAAAAAAAAAAAAA&#10;IAIAAGNsaXBib2FyZC9kcmF3aW5ncy9kcmF3aW5nMS54bWxQSwECLQAUAAYACAAAACEA/cFa784G&#10;AAA9HAAAGgAAAAAAAAAAAAAAAACvBAAAY2xpcGJvYXJkL3RoZW1lL3RoZW1lMS54bWxQSwECLQAU&#10;AAYACAAAACEAnGZGQbsAAAAkAQAAKgAAAAAAAAAAAAAAAAC1CwAAY2xpcGJvYXJkL2RyYXdpbmdz&#10;L19yZWxzL2RyYXdpbmcxLnhtbC5yZWxzUEsFBgAAAAAFAAUAZwEAALgMAAAAAA==&#10;" o:insetmode="auto">
                  <v:imagedata r:id="rId21" o:title=""/>
                </v:shape>
              </w:pict>
            </w:r>
          </w:p>
        </w:tc>
      </w:tr>
      <w:tr w:rsidR="004C7171" w:rsidTr="006B4565">
        <w:tc>
          <w:tcPr>
            <w:tcW w:w="2099" w:type="dxa"/>
            <w:vAlign w:val="bottom"/>
          </w:tcPr>
          <w:p w:rsidR="004C7171" w:rsidRPr="00AC0619" w:rsidRDefault="004C7171">
            <w:pPr>
              <w:rPr>
                <w:sz w:val="24"/>
                <w:szCs w:val="24"/>
              </w:rPr>
            </w:pPr>
            <w:r w:rsidRPr="00AC0619">
              <w:rPr>
                <w:sz w:val="24"/>
                <w:szCs w:val="24"/>
              </w:rPr>
              <w:t>Fountain of Iuturna (</w:t>
            </w:r>
            <w:r w:rsidRPr="00AC0619">
              <w:rPr>
                <w:i/>
                <w:iCs/>
                <w:sz w:val="24"/>
                <w:szCs w:val="24"/>
              </w:rPr>
              <w:t>lacus Iuturnae</w:t>
            </w:r>
            <w:r w:rsidRPr="00AC0619">
              <w:rPr>
                <w:sz w:val="24"/>
                <w:szCs w:val="24"/>
              </w:rPr>
              <w:t>),</w:t>
            </w:r>
          </w:p>
        </w:tc>
        <w:tc>
          <w:tcPr>
            <w:tcW w:w="3554" w:type="dxa"/>
            <w:vAlign w:val="bottom"/>
          </w:tcPr>
          <w:p w:rsidR="004C7171" w:rsidRPr="00AC0619" w:rsidRDefault="004C7171">
            <w:pPr>
              <w:rPr>
                <w:sz w:val="24"/>
                <w:szCs w:val="24"/>
              </w:rPr>
            </w:pPr>
          </w:p>
        </w:tc>
        <w:tc>
          <w:tcPr>
            <w:tcW w:w="3589" w:type="dxa"/>
            <w:vAlign w:val="bottom"/>
          </w:tcPr>
          <w:p w:rsidR="004C7171" w:rsidRPr="00AC0619" w:rsidRDefault="004C7171">
            <w:pPr>
              <w:rPr>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Temple of Castor (</w:t>
            </w:r>
            <w:r w:rsidRPr="00AC0619">
              <w:rPr>
                <w:i/>
                <w:iCs/>
                <w:sz w:val="24"/>
                <w:szCs w:val="24"/>
              </w:rPr>
              <w:t>aedes Castoris</w:t>
            </w:r>
            <w:r w:rsidRPr="00AC0619">
              <w:rPr>
                <w:sz w:val="24"/>
                <w:szCs w:val="24"/>
              </w:rPr>
              <w:t>)</w:t>
            </w:r>
          </w:p>
        </w:tc>
        <w:tc>
          <w:tcPr>
            <w:tcW w:w="3554" w:type="dxa"/>
            <w:vAlign w:val="bottom"/>
          </w:tcPr>
          <w:p w:rsidR="004C7171" w:rsidRPr="001F1C61" w:rsidRDefault="004C7171">
            <w:pPr>
              <w:rPr>
                <w:i/>
                <w:sz w:val="24"/>
                <w:szCs w:val="24"/>
              </w:rPr>
            </w:pPr>
            <w:r w:rsidRPr="001F1C61">
              <w:rPr>
                <w:i/>
                <w:sz w:val="24"/>
                <w:szCs w:val="24"/>
              </w:rPr>
              <w:t>templum Castorum</w:t>
            </w:r>
          </w:p>
        </w:tc>
        <w:tc>
          <w:tcPr>
            <w:tcW w:w="3589" w:type="dxa"/>
            <w:vAlign w:val="bottom"/>
          </w:tcPr>
          <w:p w:rsidR="004C7171" w:rsidRPr="001F1C61" w:rsidRDefault="00AC0619">
            <w:pPr>
              <w:rPr>
                <w:i/>
                <w:sz w:val="24"/>
                <w:szCs w:val="24"/>
              </w:rPr>
            </w:pPr>
            <w:r w:rsidRPr="001F1C61">
              <w:rPr>
                <w:i/>
                <w:sz w:val="24"/>
                <w:szCs w:val="24"/>
              </w:rPr>
              <w:t>templum Castorum et Minervae</w:t>
            </w:r>
          </w:p>
        </w:tc>
      </w:tr>
      <w:tr w:rsidR="004C7171" w:rsidTr="006B4565">
        <w:tc>
          <w:tcPr>
            <w:tcW w:w="2099" w:type="dxa"/>
            <w:vAlign w:val="bottom"/>
          </w:tcPr>
          <w:p w:rsidR="004C7171" w:rsidRPr="00AC0619" w:rsidRDefault="004C7171">
            <w:pPr>
              <w:rPr>
                <w:sz w:val="24"/>
                <w:szCs w:val="24"/>
              </w:rPr>
            </w:pPr>
            <w:r w:rsidRPr="00AC0619">
              <w:rPr>
                <w:sz w:val="24"/>
                <w:szCs w:val="24"/>
              </w:rPr>
              <w:t>Roman Forum (</w:t>
            </w:r>
            <w:r w:rsidRPr="00AC0619">
              <w:rPr>
                <w:i/>
                <w:iCs/>
                <w:sz w:val="24"/>
                <w:szCs w:val="24"/>
              </w:rPr>
              <w:t>forum Romanum</w:t>
            </w:r>
            <w:r w:rsidRPr="00AC0619">
              <w:rPr>
                <w:sz w:val="24"/>
                <w:szCs w:val="24"/>
              </w:rPr>
              <w:t>) </w:t>
            </w:r>
          </w:p>
        </w:tc>
        <w:tc>
          <w:tcPr>
            <w:tcW w:w="3554" w:type="dxa"/>
            <w:vAlign w:val="bottom"/>
          </w:tcPr>
          <w:p w:rsidR="004C7171" w:rsidRPr="00AC0619" w:rsidRDefault="004C7171">
            <w:pPr>
              <w:rPr>
                <w:sz w:val="24"/>
                <w:szCs w:val="24"/>
              </w:rPr>
            </w:pPr>
            <w:r w:rsidRPr="00AC0619">
              <w:rPr>
                <w:sz w:val="24"/>
                <w:szCs w:val="24"/>
              </w:rPr>
              <w:t>Part of title of REGIO VIII</w:t>
            </w:r>
          </w:p>
        </w:tc>
        <w:tc>
          <w:tcPr>
            <w:tcW w:w="3589" w:type="dxa"/>
            <w:vAlign w:val="bottom"/>
          </w:tcPr>
          <w:p w:rsidR="004C7171" w:rsidRPr="00AC0619" w:rsidRDefault="00E6260C">
            <w:pPr>
              <w:rPr>
                <w:sz w:val="24"/>
                <w:szCs w:val="24"/>
              </w:rPr>
            </w:pPr>
            <w:r>
              <w:rPr>
                <w:sz w:val="24"/>
                <w:szCs w:val="24"/>
              </w:rPr>
              <w:pict w14:anchorId="4EC1C5BC">
                <v:shape id="AutoShape 4" o:spid="_x0000_s1053" type="#_x0000_t75" alt="[imago inanis]" style="position:absolute;margin-left:0;margin-top:0;width:7.5pt;height:.75pt;z-index:2516756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" o:insetmode="auto">
                  <v:imagedata r:id="rId24" o:title=""/>
                </v:shape>
              </w:pict>
            </w:r>
          </w:p>
          <w:tbl>
            <w:tblPr>
              <w:tblW w:w="0" w:type="auto"/>
              <w:tblCellSpacing w:w="0" w:type="dxa"/>
              <w:tblCellMar>
                <w:left w:w="0" w:type="dxa"/>
                <w:right w:w="0" w:type="dxa"/>
              </w:tblCellMar>
              <w:tblLook w:val="04A0" w:firstRow="1" w:lastRow="0" w:firstColumn="1" w:lastColumn="0" w:noHBand="0" w:noVBand="1"/>
            </w:tblPr>
            <w:tblGrid>
              <w:gridCol w:w="3373"/>
            </w:tblGrid>
            <w:tr w:rsidR="00AC0619" w:rsidRPr="00AC0619">
              <w:trPr>
                <w:trHeight w:val="300"/>
                <w:tblCellSpacing w:w="0" w:type="dxa"/>
              </w:trPr>
              <w:tc>
                <w:tcPr>
                  <w:tcW w:w="3880" w:type="dxa"/>
                  <w:tcBorders>
                    <w:top w:val="nil"/>
                    <w:left w:val="nil"/>
                    <w:bottom w:val="nil"/>
                    <w:right w:val="nil"/>
                  </w:tcBorders>
                  <w:shd w:val="clear" w:color="auto" w:fill="auto"/>
                  <w:noWrap/>
                  <w:vAlign w:val="bottom"/>
                  <w:hideMark/>
                </w:tcPr>
                <w:p w:rsidR="004C7171" w:rsidRPr="00AC0619" w:rsidRDefault="004C7171">
                  <w:pPr>
                    <w:rPr>
                      <w:sz w:val="24"/>
                      <w:szCs w:val="24"/>
                    </w:rPr>
                  </w:pPr>
                  <w:r w:rsidRPr="00AC0619">
                    <w:rPr>
                      <w:sz w:val="24"/>
                      <w:szCs w:val="24"/>
                    </w:rPr>
                    <w:t>Part of title of REGIO VIII</w:t>
                  </w:r>
                </w:p>
              </w:tc>
            </w:tr>
          </w:tbl>
          <w:p w:rsidR="004C7171" w:rsidRPr="00AC0619" w:rsidRDefault="004C7171">
            <w:pPr>
              <w:rPr>
                <w:sz w:val="24"/>
                <w:szCs w:val="24"/>
              </w:rPr>
            </w:pPr>
          </w:p>
        </w:tc>
      </w:tr>
      <w:tr w:rsidR="004C7171" w:rsidTr="006B4565">
        <w:tc>
          <w:tcPr>
            <w:tcW w:w="2099" w:type="dxa"/>
            <w:vAlign w:val="bottom"/>
          </w:tcPr>
          <w:p w:rsidR="004C7171" w:rsidRPr="00AC0619" w:rsidRDefault="004C7171">
            <w:pPr>
              <w:rPr>
                <w:sz w:val="24"/>
                <w:szCs w:val="24"/>
              </w:rPr>
            </w:pPr>
            <w:r w:rsidRPr="00AC0619">
              <w:rPr>
                <w:sz w:val="24"/>
                <w:szCs w:val="24"/>
              </w:rPr>
              <w:t>the Basilica Julia (</w:t>
            </w:r>
            <w:r w:rsidRPr="00AC0619">
              <w:rPr>
                <w:i/>
                <w:iCs/>
                <w:sz w:val="24"/>
                <w:szCs w:val="24"/>
              </w:rPr>
              <w:t>basilica Iulia</w:t>
            </w:r>
            <w:r w:rsidRPr="00AC0619">
              <w:rPr>
                <w:sz w:val="24"/>
                <w:szCs w:val="24"/>
              </w:rPr>
              <w:t>),</w:t>
            </w:r>
          </w:p>
        </w:tc>
        <w:tc>
          <w:tcPr>
            <w:tcW w:w="3554" w:type="dxa"/>
            <w:vAlign w:val="bottom"/>
          </w:tcPr>
          <w:p w:rsidR="004C7171" w:rsidRPr="001F1C61" w:rsidRDefault="009C7AF1">
            <w:pPr>
              <w:rPr>
                <w:i/>
                <w:sz w:val="24"/>
                <w:szCs w:val="24"/>
              </w:rPr>
            </w:pPr>
            <w:r w:rsidRPr="001F1C61">
              <w:rPr>
                <w:i/>
                <w:sz w:val="24"/>
                <w:szCs w:val="24"/>
              </w:rPr>
              <w:t>basilicam i</w:t>
            </w:r>
            <w:r w:rsidR="004C7171" w:rsidRPr="001F1C61">
              <w:rPr>
                <w:i/>
                <w:sz w:val="24"/>
                <w:szCs w:val="24"/>
              </w:rPr>
              <w:t>uliam</w:t>
            </w:r>
          </w:p>
        </w:tc>
        <w:tc>
          <w:tcPr>
            <w:tcW w:w="3589" w:type="dxa"/>
            <w:vAlign w:val="bottom"/>
          </w:tcPr>
          <w:p w:rsidR="004C7171" w:rsidRPr="001F1C61" w:rsidRDefault="004C7171">
            <w:pPr>
              <w:rPr>
                <w:i/>
                <w:sz w:val="24"/>
                <w:szCs w:val="24"/>
              </w:rPr>
            </w:pPr>
            <w:r w:rsidRPr="001F1C61">
              <w:rPr>
                <w:i/>
                <w:sz w:val="24"/>
                <w:szCs w:val="24"/>
              </w:rPr>
              <w:t>basilicam Iuliam</w:t>
            </w:r>
          </w:p>
        </w:tc>
      </w:tr>
      <w:tr w:rsidR="00AC0619" w:rsidTr="006B4565">
        <w:tc>
          <w:tcPr>
            <w:tcW w:w="2099" w:type="dxa"/>
            <w:vAlign w:val="bottom"/>
          </w:tcPr>
          <w:p w:rsidR="00AC0619" w:rsidRPr="00AC0619" w:rsidRDefault="00AC0619">
            <w:pPr>
              <w:rPr>
                <w:sz w:val="24"/>
                <w:szCs w:val="24"/>
              </w:rPr>
            </w:pPr>
            <w:r w:rsidRPr="00AC0619">
              <w:rPr>
                <w:sz w:val="24"/>
                <w:szCs w:val="24"/>
              </w:rPr>
              <w:t>Temple of Saturn (</w:t>
            </w:r>
            <w:r w:rsidRPr="00AC0619">
              <w:rPr>
                <w:i/>
                <w:iCs/>
                <w:sz w:val="24"/>
                <w:szCs w:val="24"/>
              </w:rPr>
              <w:t>Aedis Saturni</w:t>
            </w:r>
            <w:r w:rsidRPr="00AC0619">
              <w:rPr>
                <w:sz w:val="24"/>
                <w:szCs w:val="24"/>
              </w:rPr>
              <w:t>), </w:t>
            </w:r>
          </w:p>
        </w:tc>
        <w:tc>
          <w:tcPr>
            <w:tcW w:w="3554" w:type="dxa"/>
            <w:vAlign w:val="bottom"/>
          </w:tcPr>
          <w:p w:rsidR="00AC0619" w:rsidRPr="001F1C61" w:rsidRDefault="00E6260C">
            <w:pPr>
              <w:rPr>
                <w:i/>
                <w:sz w:val="24"/>
                <w:szCs w:val="24"/>
              </w:rPr>
            </w:pPr>
            <w:hyperlink r:id="rId25" w:history="1">
              <w:r w:rsidR="00AC0619" w:rsidRPr="001F1C61">
                <w:rPr>
                  <w:rStyle w:val="Hyperlink"/>
                  <w:i/>
                  <w:color w:val="auto"/>
                  <w:sz w:val="24"/>
                  <w:szCs w:val="24"/>
                  <w:u w:val="none"/>
                </w:rPr>
                <w:t>templum Saturni </w:t>
              </w:r>
            </w:hyperlink>
          </w:p>
        </w:tc>
        <w:tc>
          <w:tcPr>
            <w:tcW w:w="3589" w:type="dxa"/>
            <w:vAlign w:val="bottom"/>
          </w:tcPr>
          <w:p w:rsidR="00AC0619" w:rsidRPr="001F1C61" w:rsidRDefault="00E6260C" w:rsidP="00EC0E96">
            <w:pPr>
              <w:rPr>
                <w:i/>
                <w:sz w:val="24"/>
                <w:szCs w:val="24"/>
              </w:rPr>
            </w:pPr>
            <w:hyperlink r:id="rId26" w:history="1">
              <w:r w:rsidR="00AC0619" w:rsidRPr="001F1C61">
                <w:rPr>
                  <w:rStyle w:val="Hyperlink"/>
                  <w:i/>
                  <w:color w:val="auto"/>
                  <w:sz w:val="24"/>
                  <w:szCs w:val="24"/>
                  <w:u w:val="none"/>
                </w:rPr>
                <w:t>templum Saturni </w:t>
              </w:r>
            </w:hyperlink>
          </w:p>
        </w:tc>
      </w:tr>
      <w:tr w:rsidR="00AC0619" w:rsidTr="006B4565">
        <w:tc>
          <w:tcPr>
            <w:tcW w:w="2099" w:type="dxa"/>
            <w:vAlign w:val="bottom"/>
          </w:tcPr>
          <w:p w:rsidR="00AC0619" w:rsidRPr="00AC0619" w:rsidRDefault="00AC0619">
            <w:pPr>
              <w:rPr>
                <w:sz w:val="24"/>
                <w:szCs w:val="24"/>
              </w:rPr>
            </w:pPr>
            <w:r w:rsidRPr="00AC0619">
              <w:rPr>
                <w:sz w:val="24"/>
                <w:szCs w:val="24"/>
              </w:rPr>
              <w:t>Graecostadium (</w:t>
            </w:r>
            <w:r w:rsidRPr="00AC0619">
              <w:rPr>
                <w:i/>
                <w:iCs/>
                <w:sz w:val="24"/>
                <w:szCs w:val="24"/>
              </w:rPr>
              <w:t>Graecostadium</w:t>
            </w:r>
            <w:r w:rsidRPr="00AC0619">
              <w:rPr>
                <w:sz w:val="24"/>
                <w:szCs w:val="24"/>
              </w:rPr>
              <w:t>)</w:t>
            </w:r>
          </w:p>
        </w:tc>
        <w:tc>
          <w:tcPr>
            <w:tcW w:w="3554" w:type="dxa"/>
            <w:vAlign w:val="bottom"/>
          </w:tcPr>
          <w:p w:rsidR="00AC0619" w:rsidRPr="001F1C61" w:rsidRDefault="00E6260C">
            <w:pPr>
              <w:rPr>
                <w:i/>
                <w:sz w:val="24"/>
                <w:szCs w:val="24"/>
              </w:rPr>
            </w:pPr>
            <w:hyperlink r:id="rId27" w:history="1">
              <w:r w:rsidR="00AC0619" w:rsidRPr="001F1C61">
                <w:rPr>
                  <w:rStyle w:val="Hyperlink"/>
                  <w:i/>
                  <w:color w:val="auto"/>
                  <w:sz w:val="24"/>
                  <w:szCs w:val="24"/>
                  <w:u w:val="none"/>
                </w:rPr>
                <w:t>Graecostadium</w:t>
              </w:r>
            </w:hyperlink>
          </w:p>
        </w:tc>
        <w:tc>
          <w:tcPr>
            <w:tcW w:w="3589" w:type="dxa"/>
            <w:vAlign w:val="bottom"/>
          </w:tcPr>
          <w:p w:rsidR="00AC0619" w:rsidRPr="001F1C61" w:rsidRDefault="00AC0619">
            <w:pPr>
              <w:rPr>
                <w:i/>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the New Temple to the Deified Augustus (</w:t>
            </w:r>
            <w:r w:rsidRPr="00AC0619">
              <w:rPr>
                <w:i/>
                <w:iCs/>
                <w:sz w:val="24"/>
                <w:szCs w:val="24"/>
              </w:rPr>
              <w:t>templum novum Divi Augusti</w:t>
            </w:r>
            <w:r w:rsidRPr="00AC0619">
              <w:rPr>
                <w:sz w:val="24"/>
                <w:szCs w:val="24"/>
              </w:rPr>
              <w:t>)</w:t>
            </w:r>
          </w:p>
        </w:tc>
        <w:tc>
          <w:tcPr>
            <w:tcW w:w="3554" w:type="dxa"/>
            <w:vAlign w:val="bottom"/>
          </w:tcPr>
          <w:p w:rsidR="00AC0619" w:rsidRPr="001F1C61" w:rsidRDefault="00AC0619">
            <w:pPr>
              <w:rPr>
                <w:i/>
                <w:sz w:val="24"/>
                <w:szCs w:val="24"/>
              </w:rPr>
            </w:pPr>
          </w:p>
        </w:tc>
        <w:tc>
          <w:tcPr>
            <w:tcW w:w="3589" w:type="dxa"/>
            <w:vAlign w:val="bottom"/>
          </w:tcPr>
          <w:p w:rsidR="00AC0619" w:rsidRPr="001F1C61" w:rsidRDefault="00AC0619">
            <w:pPr>
              <w:rPr>
                <w:i/>
                <w:sz w:val="24"/>
                <w:szCs w:val="24"/>
              </w:rPr>
            </w:pPr>
          </w:p>
        </w:tc>
      </w:tr>
      <w:tr w:rsidR="00AC0619" w:rsidTr="006B4565">
        <w:tc>
          <w:tcPr>
            <w:tcW w:w="2099" w:type="dxa"/>
            <w:vAlign w:val="bottom"/>
          </w:tcPr>
          <w:p w:rsidR="00AC0619" w:rsidRPr="00AC0619" w:rsidRDefault="009C7AF1">
            <w:pPr>
              <w:rPr>
                <w:sz w:val="24"/>
                <w:szCs w:val="24"/>
              </w:rPr>
            </w:pPr>
            <w:r w:rsidRPr="00AC0619">
              <w:rPr>
                <w:sz w:val="24"/>
                <w:szCs w:val="24"/>
              </w:rPr>
              <w:t>Concordia</w:t>
            </w:r>
            <w:r w:rsidR="00AC0619" w:rsidRPr="00AC0619">
              <w:rPr>
                <w:sz w:val="24"/>
                <w:szCs w:val="24"/>
              </w:rPr>
              <w:t xml:space="preserve"> (</w:t>
            </w:r>
            <w:r w:rsidR="00AC0619" w:rsidRPr="00AC0619">
              <w:rPr>
                <w:i/>
                <w:iCs/>
                <w:sz w:val="24"/>
                <w:szCs w:val="24"/>
              </w:rPr>
              <w:t>aedes Concordiae</w:t>
            </w:r>
            <w:r w:rsidR="00AC0619" w:rsidRPr="00AC0619">
              <w:rPr>
                <w:sz w:val="24"/>
                <w:szCs w:val="24"/>
              </w:rPr>
              <w:t>)</w:t>
            </w:r>
          </w:p>
        </w:tc>
        <w:tc>
          <w:tcPr>
            <w:tcW w:w="3554" w:type="dxa"/>
            <w:vAlign w:val="bottom"/>
          </w:tcPr>
          <w:p w:rsidR="00AC0619" w:rsidRPr="001F1C61" w:rsidRDefault="00E6260C">
            <w:pPr>
              <w:rPr>
                <w:i/>
                <w:sz w:val="24"/>
                <w:szCs w:val="24"/>
              </w:rPr>
            </w:pPr>
            <w:hyperlink r:id="rId28" w:history="1">
              <w:r w:rsidR="00AC0619" w:rsidRPr="001F1C61">
                <w:rPr>
                  <w:rStyle w:val="Hyperlink"/>
                  <w:i/>
                  <w:color w:val="auto"/>
                  <w:sz w:val="24"/>
                  <w:szCs w:val="24"/>
                  <w:u w:val="none"/>
                </w:rPr>
                <w:t>templum Concordiae</w:t>
              </w:r>
            </w:hyperlink>
          </w:p>
        </w:tc>
        <w:tc>
          <w:tcPr>
            <w:tcW w:w="3589" w:type="dxa"/>
            <w:vAlign w:val="bottom"/>
          </w:tcPr>
          <w:p w:rsidR="00AC0619" w:rsidRPr="001F1C61" w:rsidRDefault="00AC0619">
            <w:pPr>
              <w:rPr>
                <w:i/>
                <w:sz w:val="24"/>
                <w:szCs w:val="24"/>
              </w:rPr>
            </w:pPr>
            <w:r w:rsidRPr="001F1C61">
              <w:rPr>
                <w:i/>
                <w:sz w:val="24"/>
                <w:szCs w:val="24"/>
              </w:rPr>
              <w:t>templum Concordiae</w:t>
            </w:r>
          </w:p>
        </w:tc>
      </w:tr>
      <w:tr w:rsidR="00AC0619" w:rsidTr="006B4565">
        <w:tc>
          <w:tcPr>
            <w:tcW w:w="2099" w:type="dxa"/>
            <w:vAlign w:val="bottom"/>
          </w:tcPr>
          <w:p w:rsidR="00AC0619" w:rsidRPr="00AC0619" w:rsidRDefault="00AC0619">
            <w:pPr>
              <w:rPr>
                <w:sz w:val="24"/>
                <w:szCs w:val="24"/>
              </w:rPr>
            </w:pPr>
            <w:r w:rsidRPr="00AC0619">
              <w:rPr>
                <w:sz w:val="24"/>
                <w:szCs w:val="24"/>
              </w:rPr>
              <w:t>the Deified Vespasian (</w:t>
            </w:r>
            <w:r w:rsidRPr="00AC0619">
              <w:rPr>
                <w:i/>
                <w:iCs/>
                <w:sz w:val="24"/>
                <w:szCs w:val="24"/>
              </w:rPr>
              <w:t>templum Divi Vespasiani</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t>templum Vespasiani et Titi</w:t>
            </w:r>
          </w:p>
        </w:tc>
        <w:tc>
          <w:tcPr>
            <w:tcW w:w="3589" w:type="dxa"/>
            <w:vAlign w:val="bottom"/>
          </w:tcPr>
          <w:p w:rsidR="00AC0619" w:rsidRPr="001F1C61" w:rsidRDefault="00AC0619">
            <w:pPr>
              <w:rPr>
                <w:i/>
                <w:sz w:val="24"/>
                <w:szCs w:val="24"/>
              </w:rPr>
            </w:pPr>
            <w:r w:rsidRPr="001F1C61">
              <w:rPr>
                <w:i/>
                <w:sz w:val="24"/>
                <w:szCs w:val="24"/>
              </w:rPr>
              <w:t>templum Vespasiani et Titi</w:t>
            </w:r>
          </w:p>
        </w:tc>
      </w:tr>
      <w:tr w:rsidR="00AC0619" w:rsidTr="006B4565">
        <w:tc>
          <w:tcPr>
            <w:tcW w:w="2099" w:type="dxa"/>
            <w:vAlign w:val="bottom"/>
          </w:tcPr>
          <w:p w:rsidR="00AC0619" w:rsidRPr="00AC0619" w:rsidRDefault="00AC0619">
            <w:pPr>
              <w:rPr>
                <w:i/>
                <w:iCs/>
                <w:sz w:val="24"/>
                <w:szCs w:val="24"/>
              </w:rPr>
            </w:pPr>
            <w:r w:rsidRPr="00AC0619">
              <w:rPr>
                <w:i/>
                <w:iCs/>
                <w:sz w:val="24"/>
                <w:szCs w:val="24"/>
              </w:rPr>
              <w:t>Palatium</w:t>
            </w:r>
            <w:r w:rsidRPr="00AC0619">
              <w:rPr>
                <w:sz w:val="24"/>
                <w:szCs w:val="24"/>
              </w:rPr>
              <w:t>,</w:t>
            </w:r>
            <w:r w:rsidR="009C7AF1">
              <w:rPr>
                <w:sz w:val="24"/>
                <w:szCs w:val="24"/>
              </w:rPr>
              <w:t xml:space="preserve"> </w:t>
            </w:r>
            <w:r w:rsidRPr="00AC0619">
              <w:rPr>
                <w:i/>
                <w:iCs/>
                <w:sz w:val="24"/>
                <w:szCs w:val="24"/>
              </w:rPr>
              <w:t>domus Palatina</w:t>
            </w:r>
            <w:r w:rsidRPr="00AC0619">
              <w:rPr>
                <w:sz w:val="24"/>
                <w:szCs w:val="24"/>
              </w:rPr>
              <w:t>/</w:t>
            </w:r>
            <w:r w:rsidRPr="00AC0619">
              <w:rPr>
                <w:i/>
                <w:iCs/>
                <w:sz w:val="24"/>
                <w:szCs w:val="24"/>
              </w:rPr>
              <w:t>Palatinae</w:t>
            </w:r>
          </w:p>
        </w:tc>
        <w:tc>
          <w:tcPr>
            <w:tcW w:w="3554" w:type="dxa"/>
            <w:vAlign w:val="bottom"/>
          </w:tcPr>
          <w:p w:rsidR="00AC0619" w:rsidRPr="001F1C61" w:rsidRDefault="00AC0619">
            <w:pPr>
              <w:rPr>
                <w:i/>
                <w:sz w:val="24"/>
                <w:szCs w:val="24"/>
              </w:rPr>
            </w:pPr>
            <w:r w:rsidRPr="001F1C61">
              <w:rPr>
                <w:i/>
                <w:sz w:val="24"/>
                <w:szCs w:val="24"/>
              </w:rPr>
              <w:t>domum Augustianam et Tiberianam</w:t>
            </w:r>
          </w:p>
        </w:tc>
        <w:tc>
          <w:tcPr>
            <w:tcW w:w="3589" w:type="dxa"/>
            <w:vAlign w:val="bottom"/>
          </w:tcPr>
          <w:p w:rsidR="00AC0619" w:rsidRPr="001F1C61" w:rsidRDefault="00AC0619">
            <w:pPr>
              <w:rPr>
                <w:i/>
                <w:sz w:val="24"/>
                <w:szCs w:val="24"/>
              </w:rPr>
            </w:pPr>
            <w:r w:rsidRPr="001F1C61">
              <w:rPr>
                <w:i/>
                <w:sz w:val="24"/>
                <w:szCs w:val="24"/>
              </w:rPr>
              <w:t>domum Augustianam et Tiberianam</w:t>
            </w:r>
          </w:p>
        </w:tc>
      </w:tr>
      <w:tr w:rsidR="00AC0619" w:rsidTr="006B4565">
        <w:tc>
          <w:tcPr>
            <w:tcW w:w="2099" w:type="dxa"/>
            <w:vAlign w:val="bottom"/>
          </w:tcPr>
          <w:p w:rsidR="00AC0619" w:rsidRPr="00AC0619" w:rsidRDefault="00AC0619">
            <w:pPr>
              <w:rPr>
                <w:sz w:val="24"/>
                <w:szCs w:val="24"/>
              </w:rPr>
            </w:pPr>
            <w:r w:rsidRPr="00AC0619">
              <w:rPr>
                <w:sz w:val="24"/>
                <w:szCs w:val="24"/>
              </w:rPr>
              <w:t>the </w:t>
            </w:r>
            <w:r w:rsidRPr="00AC0619">
              <w:rPr>
                <w:i/>
                <w:iCs/>
                <w:sz w:val="24"/>
                <w:szCs w:val="24"/>
              </w:rPr>
              <w:t>Roma Quadrata</w:t>
            </w:r>
          </w:p>
        </w:tc>
        <w:tc>
          <w:tcPr>
            <w:tcW w:w="3554" w:type="dxa"/>
            <w:vAlign w:val="bottom"/>
          </w:tcPr>
          <w:p w:rsidR="00AC0619" w:rsidRPr="001F1C61" w:rsidRDefault="00E6260C">
            <w:pPr>
              <w:rPr>
                <w:i/>
                <w:sz w:val="24"/>
                <w:szCs w:val="24"/>
              </w:rPr>
            </w:pPr>
            <w:r>
              <w:rPr>
                <w:i/>
                <w:sz w:val="24"/>
                <w:szCs w:val="24"/>
              </w:rPr>
              <w:pict w14:anchorId="7A926B6B">
                <v:shape id="AutoShape 5" o:spid="_x0000_s1062" type="#_x0000_t75" alt="[imago inanis]" style="position:absolute;margin-left:0;margin-top:0;width:7.5pt;height:.75pt;z-index:2516889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VwpmWUwIAAPcEAAAfAAAAAAAAAAAAAAAA&#10;ACACAABjbGlwYm9hcmQvZHJhd2luZ3MvZHJhd2luZzEueG1sUEsBAi0AFAAGAAgAAAAhAP3BWu/O&#10;BgAAPRwAABoAAAAAAAAAAAAAAAAAsAQAAGNsaXBib2FyZC90aGVtZS90aGVtZTEueG1sUEsBAi0A&#10;FAAGAAgAAAAhAJxmRkG7AAAAJAEAACoAAAAAAAAAAAAAAAAAtgsAAGNsaXBib2FyZC9kcmF3aW5n&#10;cy9fcmVscy9kcmF3aW5nMS54bWwucmVsc1BLBQYAAAAABQAFAGcBAAC5DAAAAAA=&#10;" o:insetmode="auto">
                  <v:imagedata r:id="rId24" o:title=""/>
                </v:shape>
              </w:pict>
            </w:r>
            <w:r>
              <w:rPr>
                <w:i/>
                <w:sz w:val="24"/>
                <w:szCs w:val="24"/>
              </w:rPr>
              <w:pict w14:anchorId="5E2FF269">
                <v:shape id="AutoShape 6" o:spid="_x0000_s1063" type="#_x0000_t75" alt="[imago inanis]" style="position:absolute;margin-left:8.25pt;margin-top:0;width:15pt;height:.75pt;z-index:2516899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PK2zxNPAgAA+gQAAB8AAAAAAAAAAAAAAAAAIAIA&#10;AGNsaXBib2FyZC9kcmF3aW5ncy9kcmF3aW5nMS54bWxQSwECLQAUAAYACAAAACEA/cFa784GAAA9&#10;HAAAGgAAAAAAAAAAAAAAAACsBAAAY2xpcGJvYXJkL3RoZW1lL3RoZW1lMS54bWxQSwECLQAUAAYA&#10;CAAAACEAnGZGQbsAAAAkAQAAKgAAAAAAAAAAAAAAAACyCwAAY2xpcGJvYXJkL2RyYXdpbmdzL19y&#10;ZWxzL2RyYXdpbmcxLnhtbC5yZWxzUEsFBgAAAAAFAAUAZwEAALUMAAAAAA==&#10;" o:insetmode="auto">
                  <v:imagedata r:id="rId29" o:title=""/>
                </v:shape>
              </w:pict>
            </w:r>
          </w:p>
        </w:tc>
        <w:tc>
          <w:tcPr>
            <w:tcW w:w="3589" w:type="dxa"/>
            <w:vAlign w:val="bottom"/>
          </w:tcPr>
          <w:p w:rsidR="00AC0619" w:rsidRPr="001F1C61" w:rsidRDefault="00E6260C">
            <w:pPr>
              <w:rPr>
                <w:i/>
                <w:sz w:val="24"/>
                <w:szCs w:val="24"/>
              </w:rPr>
            </w:pPr>
            <w:r>
              <w:rPr>
                <w:i/>
                <w:sz w:val="24"/>
                <w:szCs w:val="24"/>
              </w:rPr>
              <w:pict w14:anchorId="7073A0CD">
                <v:shape id="AutoShape 7" o:spid="_x0000_s1064" type="#_x0000_t75" alt="[imago inanis]" style="position:absolute;margin-left:0;margin-top:0;width:7.5pt;height:.75pt;z-index:2516910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L51r5UwIAAPcEAAAfAAAAAAAAAAAAAAAA&#10;ACACAABjbGlwYm9hcmQvZHJhd2luZ3MvZHJhd2luZzEueG1sUEsBAi0AFAAGAAgAAAAhAP3BWu/O&#10;BgAAPRwAABoAAAAAAAAAAAAAAAAAsAQAAGNsaXBib2FyZC90aGVtZS90aGVtZTEueG1sUEsBAi0A&#10;FAAGAAgAAAAhAJxmRkG7AAAAJAEAACoAAAAAAAAAAAAAAAAAtgsAAGNsaXBib2FyZC9kcmF3aW5n&#10;cy9fcmVscy9kcmF3aW5nMS54bWwucmVsc1BLBQYAAAAABQAFAGcBAAC5DAAAAAA=&#10;" o:insetmode="auto">
                  <v:imagedata r:id="rId24" o:title=""/>
                </v:shape>
              </w:pict>
            </w:r>
            <w:r>
              <w:rPr>
                <w:i/>
                <w:sz w:val="24"/>
                <w:szCs w:val="24"/>
              </w:rPr>
              <w:pict w14:anchorId="1EECBF94">
                <v:shape id="AutoShape 8" o:spid="_x0000_s1065" type="#_x0000_t75" alt="[imago inanis]" style="position:absolute;margin-left:8.25pt;margin-top:0;width:15pt;height:.75pt;z-index:2516920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DGB0zIUAIAAPoEAAAfAAAAAAAAAAAAAAAAACAC&#10;AABjbGlwYm9hcmQvZHJhd2luZ3MvZHJhd2luZzEueG1sUEsBAi0AFAAGAAgAAAAhAP3BWu/OBgAA&#10;PRwAABoAAAAAAAAAAAAAAAAArQQAAGNsaXBib2FyZC90aGVtZS90aGVtZTEueG1sUEsBAi0AFAAG&#10;AAgAAAAhAJxmRkG7AAAAJAEAACoAAAAAAAAAAAAAAAAAswsAAGNsaXBib2FyZC9kcmF3aW5ncy9f&#10;cmVscy9kcmF3aW5nMS54bWwucmVsc1BLBQYAAAAABQAFAGcBAAC2DAAAAAA=&#10;" o:insetmode="auto">
                  <v:imagedata r:id="rId29" o:title=""/>
                </v:shape>
              </w:pict>
            </w:r>
          </w:p>
        </w:tc>
      </w:tr>
      <w:tr w:rsidR="00AC0619" w:rsidTr="006B4565">
        <w:tc>
          <w:tcPr>
            <w:tcW w:w="2099" w:type="dxa"/>
            <w:vAlign w:val="bottom"/>
          </w:tcPr>
          <w:p w:rsidR="00AC0619" w:rsidRPr="00AC0619" w:rsidRDefault="00AC0619">
            <w:pPr>
              <w:rPr>
                <w:i/>
                <w:iCs/>
                <w:sz w:val="24"/>
                <w:szCs w:val="24"/>
              </w:rPr>
            </w:pPr>
            <w:r w:rsidRPr="00AC0619">
              <w:rPr>
                <w:i/>
                <w:iCs/>
                <w:sz w:val="24"/>
                <w:szCs w:val="24"/>
              </w:rPr>
              <w:t>area Apollinis</w:t>
            </w:r>
          </w:p>
        </w:tc>
        <w:tc>
          <w:tcPr>
            <w:tcW w:w="3554" w:type="dxa"/>
            <w:vAlign w:val="bottom"/>
          </w:tcPr>
          <w:p w:rsidR="00AC0619" w:rsidRPr="001F1C61" w:rsidRDefault="00AC0619">
            <w:pPr>
              <w:rPr>
                <w:i/>
                <w:sz w:val="24"/>
                <w:szCs w:val="24"/>
              </w:rPr>
            </w:pPr>
            <w:r w:rsidRPr="001F1C61">
              <w:rPr>
                <w:i/>
                <w:sz w:val="24"/>
                <w:szCs w:val="24"/>
              </w:rPr>
              <w:t>aream Apollinis et Splenis</w:t>
            </w:r>
          </w:p>
        </w:tc>
        <w:tc>
          <w:tcPr>
            <w:tcW w:w="3589" w:type="dxa"/>
            <w:vAlign w:val="bottom"/>
          </w:tcPr>
          <w:p w:rsidR="00AC0619" w:rsidRPr="001F1C61" w:rsidRDefault="00AC0619">
            <w:pPr>
              <w:rPr>
                <w:i/>
                <w:sz w:val="24"/>
                <w:szCs w:val="24"/>
              </w:rPr>
            </w:pPr>
            <w:r w:rsidRPr="001F1C61">
              <w:rPr>
                <w:i/>
                <w:sz w:val="24"/>
                <w:szCs w:val="24"/>
              </w:rPr>
              <w:t>aream Apollinis et Splenis et Calles</w:t>
            </w:r>
          </w:p>
        </w:tc>
      </w:tr>
      <w:tr w:rsidR="00AC0619" w:rsidTr="006B4565">
        <w:tc>
          <w:tcPr>
            <w:tcW w:w="2099" w:type="dxa"/>
            <w:vAlign w:val="bottom"/>
          </w:tcPr>
          <w:p w:rsidR="00AC0619" w:rsidRPr="00AC0619" w:rsidRDefault="00AC0619">
            <w:pPr>
              <w:rPr>
                <w:sz w:val="24"/>
                <w:szCs w:val="24"/>
              </w:rPr>
            </w:pPr>
            <w:r w:rsidRPr="00AC0619">
              <w:rPr>
                <w:sz w:val="24"/>
                <w:szCs w:val="24"/>
              </w:rPr>
              <w:t>Baths of L. Licinius Sura (</w:t>
            </w:r>
            <w:r w:rsidRPr="00AC0619">
              <w:rPr>
                <w:i/>
                <w:iCs/>
                <w:sz w:val="24"/>
                <w:szCs w:val="24"/>
              </w:rPr>
              <w:t>balneum</w:t>
            </w:r>
            <w:r w:rsidRPr="00AC0619">
              <w:rPr>
                <w:sz w:val="24"/>
                <w:szCs w:val="24"/>
              </w:rPr>
              <w:t>/</w:t>
            </w:r>
            <w:r w:rsidR="00C43F79">
              <w:rPr>
                <w:i/>
                <w:iCs/>
                <w:sz w:val="24"/>
                <w:szCs w:val="24"/>
              </w:rPr>
              <w:t>thermae</w:t>
            </w:r>
            <w:r w:rsidRPr="00AC0619">
              <w:rPr>
                <w:i/>
                <w:iCs/>
                <w:sz w:val="24"/>
                <w:szCs w:val="24"/>
              </w:rPr>
              <w:t xml:space="preserve"> Surae</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t>thermas Surae</w:t>
            </w:r>
          </w:p>
        </w:tc>
        <w:tc>
          <w:tcPr>
            <w:tcW w:w="3589" w:type="dxa"/>
            <w:vAlign w:val="bottom"/>
          </w:tcPr>
          <w:p w:rsidR="00AC0619" w:rsidRPr="001F1C61" w:rsidRDefault="00AC0619">
            <w:pPr>
              <w:rPr>
                <w:i/>
                <w:sz w:val="24"/>
                <w:szCs w:val="24"/>
              </w:rPr>
            </w:pPr>
            <w:r w:rsidRPr="001F1C61">
              <w:rPr>
                <w:i/>
                <w:sz w:val="24"/>
                <w:szCs w:val="24"/>
              </w:rPr>
              <w:t>thermas Syres</w:t>
            </w:r>
          </w:p>
        </w:tc>
      </w:tr>
      <w:tr w:rsidR="00AC0619" w:rsidTr="006B4565">
        <w:tc>
          <w:tcPr>
            <w:tcW w:w="2099" w:type="dxa"/>
            <w:vAlign w:val="bottom"/>
          </w:tcPr>
          <w:p w:rsidR="00AC0619" w:rsidRPr="00AC0619" w:rsidRDefault="00AC0619">
            <w:pPr>
              <w:rPr>
                <w:sz w:val="24"/>
                <w:szCs w:val="24"/>
              </w:rPr>
            </w:pPr>
            <w:r w:rsidRPr="00AC0619">
              <w:rPr>
                <w:sz w:val="24"/>
                <w:szCs w:val="24"/>
              </w:rPr>
              <w:lastRenderedPageBreak/>
              <w:t>Temple of Aventine Diana (</w:t>
            </w:r>
            <w:r w:rsidRPr="00AC0619">
              <w:rPr>
                <w:i/>
                <w:iCs/>
                <w:sz w:val="24"/>
                <w:szCs w:val="24"/>
              </w:rPr>
              <w:t>aedes Dianae Aventina</w:t>
            </w:r>
            <w:r w:rsidRPr="00AC0619">
              <w:rPr>
                <w:sz w:val="24"/>
                <w:szCs w:val="24"/>
              </w:rPr>
              <w:t>)</w:t>
            </w:r>
          </w:p>
        </w:tc>
        <w:tc>
          <w:tcPr>
            <w:tcW w:w="3554" w:type="dxa"/>
            <w:vAlign w:val="bottom"/>
          </w:tcPr>
          <w:p w:rsidR="00AC0619" w:rsidRPr="001F1C61" w:rsidRDefault="00E6260C">
            <w:pPr>
              <w:rPr>
                <w:i/>
                <w:sz w:val="24"/>
                <w:szCs w:val="24"/>
              </w:rPr>
            </w:pPr>
            <w:r>
              <w:rPr>
                <w:i/>
                <w:sz w:val="24"/>
                <w:szCs w:val="24"/>
              </w:rPr>
              <w:pict w14:anchorId="5630A6FD">
                <v:shape id="AutoShape 9" o:spid="_x0000_s1066" type="#_x0000_t75" alt="[imago inanis]" style="position:absolute;margin-left:0;margin-top:0;width:15pt;height:.75pt;z-index:2516930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AW/+jNVAgAA/QQAAB8AAAAAAAAAAAAA&#10;AAAAIAIAAGNsaXBib2FyZC9kcmF3aW5ncy9kcmF3aW5nMS54bWxQSwECLQAUAAYACAAAACEA/cFa&#10;784GAAA9HAAAGgAAAAAAAAAAAAAAAACyBAAAY2xpcGJvYXJkL3RoZW1lL3RoZW1lMS54bWxQSwEC&#10;LQAUAAYACAAAACEAnGZGQbsAAAAkAQAAKgAAAAAAAAAAAAAAAAC4CwAAY2xpcGJvYXJkL2RyYXdp&#10;bmdzL19yZWxzL2RyYXdpbmcxLnhtbC5yZWxzUEsFBgAAAAAFAAUAZwEAALsMAAAAAA==&#10;" o:insetmode="auto">
                  <v:imagedata r:id="rId30" o:title=""/>
                </v:shape>
              </w:pict>
            </w:r>
          </w:p>
          <w:tbl>
            <w:tblPr>
              <w:tblW w:w="0" w:type="auto"/>
              <w:tblCellSpacing w:w="0" w:type="dxa"/>
              <w:tblCellMar>
                <w:left w:w="0" w:type="dxa"/>
                <w:right w:w="0" w:type="dxa"/>
              </w:tblCellMar>
              <w:tblLook w:val="04A0" w:firstRow="1" w:lastRow="0" w:firstColumn="1" w:lastColumn="0" w:noHBand="0" w:noVBand="1"/>
            </w:tblPr>
            <w:tblGrid>
              <w:gridCol w:w="3338"/>
            </w:tblGrid>
            <w:tr w:rsidR="00AC0619" w:rsidRPr="001F1C61">
              <w:trPr>
                <w:trHeight w:val="300"/>
                <w:tblCellSpacing w:w="0" w:type="dxa"/>
              </w:trPr>
              <w:tc>
                <w:tcPr>
                  <w:tcW w:w="3840" w:type="dxa"/>
                  <w:tcBorders>
                    <w:top w:val="nil"/>
                    <w:left w:val="nil"/>
                    <w:bottom w:val="nil"/>
                    <w:right w:val="nil"/>
                  </w:tcBorders>
                  <w:shd w:val="clear" w:color="auto" w:fill="auto"/>
                  <w:noWrap/>
                  <w:vAlign w:val="bottom"/>
                  <w:hideMark/>
                </w:tcPr>
                <w:p w:rsidR="00AC0619" w:rsidRPr="001F1C61" w:rsidRDefault="00AC0619">
                  <w:pPr>
                    <w:rPr>
                      <w:i/>
                      <w:sz w:val="24"/>
                      <w:szCs w:val="24"/>
                    </w:rPr>
                  </w:pPr>
                  <w:r w:rsidRPr="001F1C61">
                    <w:rPr>
                      <w:i/>
                      <w:sz w:val="24"/>
                      <w:szCs w:val="24"/>
                    </w:rPr>
                    <w:t>templum Dianae</w:t>
                  </w:r>
                </w:p>
              </w:tc>
            </w:tr>
          </w:tbl>
          <w:p w:rsidR="00AC0619" w:rsidRPr="001F1C61" w:rsidRDefault="00AC0619">
            <w:pPr>
              <w:rPr>
                <w:i/>
                <w:sz w:val="24"/>
                <w:szCs w:val="24"/>
              </w:rPr>
            </w:pPr>
          </w:p>
        </w:tc>
        <w:tc>
          <w:tcPr>
            <w:tcW w:w="3589" w:type="dxa"/>
            <w:vAlign w:val="bottom"/>
          </w:tcPr>
          <w:p w:rsidR="00AC0619" w:rsidRPr="001F1C61" w:rsidRDefault="00AC0619">
            <w:pPr>
              <w:rPr>
                <w:i/>
                <w:sz w:val="24"/>
                <w:szCs w:val="24"/>
              </w:rPr>
            </w:pPr>
            <w:r w:rsidRPr="001F1C61">
              <w:rPr>
                <w:i/>
                <w:sz w:val="24"/>
                <w:szCs w:val="24"/>
              </w:rPr>
              <w:t>templum Dianae</w:t>
            </w:r>
          </w:p>
        </w:tc>
      </w:tr>
      <w:tr w:rsidR="00AC0619" w:rsidTr="006B4565">
        <w:tc>
          <w:tcPr>
            <w:tcW w:w="2099" w:type="dxa"/>
            <w:vAlign w:val="bottom"/>
          </w:tcPr>
          <w:p w:rsidR="00AC0619" w:rsidRPr="00AC0619" w:rsidRDefault="00AC0619">
            <w:pPr>
              <w:rPr>
                <w:sz w:val="24"/>
                <w:szCs w:val="24"/>
              </w:rPr>
            </w:pPr>
            <w:r w:rsidRPr="00AC0619">
              <w:rPr>
                <w:sz w:val="24"/>
                <w:szCs w:val="24"/>
              </w:rPr>
              <w:t>Temple of Minerva (</w:t>
            </w:r>
            <w:r w:rsidRPr="00AC0619">
              <w:rPr>
                <w:i/>
                <w:iCs/>
                <w:sz w:val="24"/>
                <w:szCs w:val="24"/>
              </w:rPr>
              <w:t>aedes Minervae</w:t>
            </w:r>
            <w:r w:rsidRPr="00AC0619">
              <w:rPr>
                <w:sz w:val="24"/>
                <w:szCs w:val="24"/>
              </w:rPr>
              <w:t>) (AVENTINE)</w:t>
            </w:r>
          </w:p>
        </w:tc>
        <w:tc>
          <w:tcPr>
            <w:tcW w:w="3554" w:type="dxa"/>
            <w:vAlign w:val="bottom"/>
          </w:tcPr>
          <w:p w:rsidR="00AC0619" w:rsidRPr="001F1C61" w:rsidRDefault="00AC0619">
            <w:pPr>
              <w:rPr>
                <w:i/>
                <w:sz w:val="24"/>
                <w:szCs w:val="24"/>
              </w:rPr>
            </w:pPr>
            <w:r w:rsidRPr="001F1C61">
              <w:rPr>
                <w:i/>
                <w:sz w:val="24"/>
                <w:szCs w:val="24"/>
              </w:rPr>
              <w:t>templum Minervae</w:t>
            </w:r>
          </w:p>
        </w:tc>
        <w:tc>
          <w:tcPr>
            <w:tcW w:w="3589" w:type="dxa"/>
            <w:vAlign w:val="bottom"/>
          </w:tcPr>
          <w:p w:rsidR="00AC0619" w:rsidRPr="001F1C61" w:rsidRDefault="00AC0619">
            <w:pPr>
              <w:rPr>
                <w:i/>
                <w:sz w:val="24"/>
                <w:szCs w:val="24"/>
              </w:rPr>
            </w:pPr>
            <w:r w:rsidRPr="001F1C61">
              <w:rPr>
                <w:i/>
                <w:sz w:val="24"/>
                <w:szCs w:val="24"/>
              </w:rPr>
              <w:t>templum Minervae</w:t>
            </w:r>
          </w:p>
        </w:tc>
      </w:tr>
      <w:tr w:rsidR="00AC0619" w:rsidTr="006B4565">
        <w:tc>
          <w:tcPr>
            <w:tcW w:w="2099" w:type="dxa"/>
            <w:vAlign w:val="bottom"/>
          </w:tcPr>
          <w:p w:rsidR="00AC0619" w:rsidRPr="00AC0619" w:rsidRDefault="00AC0619">
            <w:pPr>
              <w:rPr>
                <w:sz w:val="24"/>
                <w:szCs w:val="24"/>
              </w:rPr>
            </w:pPr>
            <w:r w:rsidRPr="00AC0619">
              <w:rPr>
                <w:sz w:val="24"/>
                <w:szCs w:val="24"/>
              </w:rPr>
              <w:t>Porticus Aemilia (</w:t>
            </w:r>
            <w:r w:rsidRPr="00AC0619">
              <w:rPr>
                <w:i/>
                <w:iCs/>
                <w:sz w:val="24"/>
                <w:szCs w:val="24"/>
              </w:rPr>
              <w:t>porticus Aemilia</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A section of the Estate and Warehouses of Galba (</w:t>
            </w:r>
            <w:r w:rsidRPr="00AC0619">
              <w:rPr>
                <w:i/>
                <w:iCs/>
                <w:sz w:val="24"/>
                <w:szCs w:val="24"/>
              </w:rPr>
              <w:t>praedia et horrea Galbana</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t>horrea Galbes</w:t>
            </w:r>
          </w:p>
        </w:tc>
        <w:tc>
          <w:tcPr>
            <w:tcW w:w="3589" w:type="dxa"/>
            <w:vAlign w:val="bottom"/>
          </w:tcPr>
          <w:p w:rsidR="00AC0619" w:rsidRPr="001F1C61" w:rsidRDefault="00AC0619">
            <w:pPr>
              <w:rPr>
                <w:i/>
                <w:sz w:val="24"/>
                <w:szCs w:val="24"/>
              </w:rPr>
            </w:pPr>
            <w:r w:rsidRPr="001F1C61">
              <w:rPr>
                <w:i/>
                <w:sz w:val="24"/>
                <w:szCs w:val="24"/>
              </w:rPr>
              <w:t>horrea Galbes</w:t>
            </w:r>
          </w:p>
        </w:tc>
      </w:tr>
      <w:tr w:rsidR="00AC0619" w:rsidTr="006B4565">
        <w:tc>
          <w:tcPr>
            <w:tcW w:w="2099" w:type="dxa"/>
            <w:vAlign w:val="bottom"/>
          </w:tcPr>
          <w:p w:rsidR="00AC0619" w:rsidRPr="00AC0619" w:rsidRDefault="00AC0619">
            <w:pPr>
              <w:rPr>
                <w:sz w:val="24"/>
                <w:szCs w:val="24"/>
              </w:rPr>
            </w:pPr>
            <w:r w:rsidRPr="00AC0619">
              <w:rPr>
                <w:sz w:val="24"/>
                <w:szCs w:val="24"/>
              </w:rPr>
              <w:t>Funerary monument of Ser. Sulpicius Galba</w:t>
            </w:r>
          </w:p>
        </w:tc>
        <w:tc>
          <w:tcPr>
            <w:tcW w:w="3554" w:type="dxa"/>
            <w:vAlign w:val="bottom"/>
          </w:tcPr>
          <w:p w:rsidR="00AC0619" w:rsidRPr="001F1C61" w:rsidRDefault="00AC0619">
            <w:pPr>
              <w:rPr>
                <w:i/>
                <w:sz w:val="24"/>
                <w:szCs w:val="24"/>
              </w:rPr>
            </w:pPr>
          </w:p>
        </w:tc>
        <w:tc>
          <w:tcPr>
            <w:tcW w:w="3589" w:type="dxa"/>
            <w:vAlign w:val="bottom"/>
          </w:tcPr>
          <w:p w:rsidR="00AC0619" w:rsidRPr="001F1C61" w:rsidRDefault="00AC0619">
            <w:pPr>
              <w:rPr>
                <w:i/>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The Lollian Warehouses (</w:t>
            </w:r>
            <w:r w:rsidRPr="00AC0619">
              <w:rPr>
                <w:i/>
                <w:iCs/>
                <w:sz w:val="24"/>
                <w:szCs w:val="24"/>
              </w:rPr>
              <w:t>horrea Lolliana</w:t>
            </w:r>
            <w:r w:rsidRPr="00AC0619">
              <w:rPr>
                <w:sz w:val="24"/>
                <w:szCs w:val="24"/>
              </w:rPr>
              <w:t>)</w:t>
            </w:r>
          </w:p>
        </w:tc>
        <w:tc>
          <w:tcPr>
            <w:tcW w:w="3554" w:type="dxa"/>
            <w:vAlign w:val="bottom"/>
          </w:tcPr>
          <w:p w:rsidR="00AC0619" w:rsidRPr="001F1C61" w:rsidRDefault="00AC0619">
            <w:pPr>
              <w:rPr>
                <w:i/>
                <w:sz w:val="24"/>
                <w:szCs w:val="24"/>
              </w:rPr>
            </w:pPr>
          </w:p>
        </w:tc>
        <w:tc>
          <w:tcPr>
            <w:tcW w:w="3589" w:type="dxa"/>
            <w:vAlign w:val="bottom"/>
          </w:tcPr>
          <w:p w:rsidR="00AC0619" w:rsidRPr="001F1C61" w:rsidRDefault="00AC0619">
            <w:pPr>
              <w:rPr>
                <w:i/>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Temple of </w:t>
            </w:r>
            <w:r w:rsidRPr="00AC0619">
              <w:rPr>
                <w:i/>
                <w:iCs/>
                <w:sz w:val="24"/>
                <w:szCs w:val="24"/>
              </w:rPr>
              <w:t>Fors Fortuna</w:t>
            </w:r>
          </w:p>
        </w:tc>
        <w:tc>
          <w:tcPr>
            <w:tcW w:w="3554" w:type="dxa"/>
            <w:vAlign w:val="bottom"/>
          </w:tcPr>
          <w:p w:rsidR="00AC0619" w:rsidRPr="001F1C61" w:rsidRDefault="00AC0619">
            <w:pPr>
              <w:rPr>
                <w:i/>
                <w:sz w:val="24"/>
                <w:szCs w:val="24"/>
              </w:rPr>
            </w:pPr>
            <w:r w:rsidRPr="001F1C61">
              <w:rPr>
                <w:i/>
                <w:sz w:val="24"/>
                <w:szCs w:val="24"/>
              </w:rPr>
              <w:t>Fortis Fortuna</w:t>
            </w:r>
          </w:p>
        </w:tc>
        <w:tc>
          <w:tcPr>
            <w:tcW w:w="3589" w:type="dxa"/>
            <w:vAlign w:val="bottom"/>
          </w:tcPr>
          <w:p w:rsidR="00AC0619" w:rsidRPr="001F1C61" w:rsidRDefault="00AC0619">
            <w:pPr>
              <w:rPr>
                <w:i/>
                <w:sz w:val="24"/>
                <w:szCs w:val="24"/>
              </w:rPr>
            </w:pPr>
            <w:r w:rsidRPr="001F1C61">
              <w:rPr>
                <w:i/>
                <w:sz w:val="24"/>
                <w:szCs w:val="24"/>
              </w:rPr>
              <w:t>Fortis Fortuna</w:t>
            </w:r>
          </w:p>
        </w:tc>
      </w:tr>
      <w:tr w:rsidR="00AC0619" w:rsidTr="006B4565">
        <w:tc>
          <w:tcPr>
            <w:tcW w:w="2099" w:type="dxa"/>
            <w:vAlign w:val="bottom"/>
          </w:tcPr>
          <w:p w:rsidR="00AC0619" w:rsidRPr="00AC0619" w:rsidRDefault="00AC0619">
            <w:pPr>
              <w:rPr>
                <w:sz w:val="24"/>
                <w:szCs w:val="24"/>
              </w:rPr>
            </w:pPr>
            <w:r w:rsidRPr="00AC0619">
              <w:rPr>
                <w:sz w:val="24"/>
                <w:szCs w:val="24"/>
              </w:rPr>
              <w:t>Naumachia Augusti</w:t>
            </w:r>
          </w:p>
        </w:tc>
        <w:tc>
          <w:tcPr>
            <w:tcW w:w="3554" w:type="dxa"/>
            <w:vAlign w:val="bottom"/>
          </w:tcPr>
          <w:p w:rsidR="00AC0619" w:rsidRPr="00AC0619" w:rsidRDefault="00AC0619">
            <w:pPr>
              <w:rPr>
                <w:sz w:val="24"/>
                <w:szCs w:val="24"/>
              </w:rPr>
            </w:pPr>
            <w:r w:rsidRPr="001F1C61">
              <w:rPr>
                <w:i/>
                <w:sz w:val="24"/>
                <w:szCs w:val="24"/>
              </w:rPr>
              <w:t>naumachias V</w:t>
            </w:r>
            <w:r w:rsidRPr="00AC0619">
              <w:rPr>
                <w:sz w:val="24"/>
                <w:szCs w:val="24"/>
              </w:rPr>
              <w:t xml:space="preserve"> in REGIO XIV</w:t>
            </w:r>
          </w:p>
        </w:tc>
        <w:tc>
          <w:tcPr>
            <w:tcW w:w="3589" w:type="dxa"/>
            <w:vAlign w:val="bottom"/>
          </w:tcPr>
          <w:p w:rsidR="00AC0619" w:rsidRPr="00AC0619" w:rsidRDefault="00AC0619">
            <w:pPr>
              <w:rPr>
                <w:sz w:val="24"/>
                <w:szCs w:val="24"/>
              </w:rPr>
            </w:pPr>
            <w:r w:rsidRPr="001F1C61">
              <w:rPr>
                <w:i/>
                <w:sz w:val="24"/>
                <w:szCs w:val="24"/>
              </w:rPr>
              <w:t>naumachias V</w:t>
            </w:r>
            <w:r w:rsidRPr="00AC0619">
              <w:rPr>
                <w:sz w:val="24"/>
                <w:szCs w:val="24"/>
              </w:rPr>
              <w:t xml:space="preserve"> in REGIO XIV</w:t>
            </w:r>
          </w:p>
        </w:tc>
      </w:tr>
      <w:tr w:rsidR="00AC0619" w:rsidTr="006B4565">
        <w:tc>
          <w:tcPr>
            <w:tcW w:w="2099" w:type="dxa"/>
            <w:vAlign w:val="bottom"/>
          </w:tcPr>
          <w:p w:rsidR="00AC0619" w:rsidRPr="00AC0619" w:rsidRDefault="00AC0619">
            <w:pPr>
              <w:rPr>
                <w:sz w:val="24"/>
                <w:szCs w:val="24"/>
              </w:rPr>
            </w:pPr>
            <w:r w:rsidRPr="00AC0619">
              <w:rPr>
                <w:sz w:val="24"/>
                <w:szCs w:val="24"/>
              </w:rPr>
              <w:t>Naumachia Transtiberina</w:t>
            </w:r>
          </w:p>
        </w:tc>
        <w:tc>
          <w:tcPr>
            <w:tcW w:w="3554" w:type="dxa"/>
            <w:vAlign w:val="bottom"/>
          </w:tcPr>
          <w:p w:rsidR="00AC0619" w:rsidRPr="00AC0619" w:rsidRDefault="00AC0619">
            <w:pPr>
              <w:rPr>
                <w:sz w:val="24"/>
                <w:szCs w:val="24"/>
              </w:rPr>
            </w:pPr>
            <w:r w:rsidRPr="001F1C61">
              <w:rPr>
                <w:i/>
                <w:sz w:val="24"/>
                <w:szCs w:val="24"/>
              </w:rPr>
              <w:t>naumachias V</w:t>
            </w:r>
            <w:r w:rsidRPr="00AC0619">
              <w:rPr>
                <w:sz w:val="24"/>
                <w:szCs w:val="24"/>
              </w:rPr>
              <w:t xml:space="preserve"> in REGIO XIV</w:t>
            </w:r>
          </w:p>
        </w:tc>
        <w:tc>
          <w:tcPr>
            <w:tcW w:w="3589" w:type="dxa"/>
            <w:vAlign w:val="bottom"/>
          </w:tcPr>
          <w:p w:rsidR="00AC0619" w:rsidRPr="00AC0619" w:rsidRDefault="00AC0619">
            <w:pPr>
              <w:rPr>
                <w:sz w:val="24"/>
                <w:szCs w:val="24"/>
              </w:rPr>
            </w:pPr>
            <w:r w:rsidRPr="001F1C61">
              <w:rPr>
                <w:i/>
                <w:sz w:val="24"/>
                <w:szCs w:val="24"/>
              </w:rPr>
              <w:t>naumachias V</w:t>
            </w:r>
            <w:r w:rsidRPr="00AC0619">
              <w:rPr>
                <w:sz w:val="24"/>
                <w:szCs w:val="24"/>
              </w:rPr>
              <w:t xml:space="preserve"> in REGIO XIV</w:t>
            </w:r>
          </w:p>
        </w:tc>
      </w:tr>
      <w:tr w:rsidR="00AC0619" w:rsidTr="006B4565">
        <w:tc>
          <w:tcPr>
            <w:tcW w:w="2099" w:type="dxa"/>
            <w:vAlign w:val="bottom"/>
          </w:tcPr>
          <w:p w:rsidR="00AC0619" w:rsidRPr="00AC0619" w:rsidRDefault="00AC0619">
            <w:pPr>
              <w:rPr>
                <w:sz w:val="24"/>
                <w:szCs w:val="24"/>
              </w:rPr>
            </w:pPr>
            <w:r w:rsidRPr="00AC0619">
              <w:rPr>
                <w:sz w:val="24"/>
                <w:szCs w:val="24"/>
              </w:rPr>
              <w:t>Basilica Ulpia (</w:t>
            </w:r>
            <w:r w:rsidRPr="00AC0619">
              <w:rPr>
                <w:i/>
                <w:iCs/>
                <w:sz w:val="24"/>
                <w:szCs w:val="24"/>
              </w:rPr>
              <w:t>basilica Ulpia</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Forum of Trajan (</w:t>
            </w:r>
            <w:r w:rsidRPr="00AC0619">
              <w:rPr>
                <w:i/>
                <w:iCs/>
                <w:sz w:val="24"/>
                <w:szCs w:val="24"/>
              </w:rPr>
              <w:t>forum Traiani</w:t>
            </w:r>
            <w:r w:rsidRPr="00AC0619">
              <w:rPr>
                <w:sz w:val="24"/>
                <w:szCs w:val="24"/>
              </w:rPr>
              <w:t>)</w:t>
            </w:r>
          </w:p>
        </w:tc>
        <w:tc>
          <w:tcPr>
            <w:tcW w:w="3554" w:type="dxa"/>
            <w:vAlign w:val="bottom"/>
          </w:tcPr>
          <w:p w:rsidR="00AC0619" w:rsidRPr="00AC0619" w:rsidRDefault="00AC0619">
            <w:pPr>
              <w:rPr>
                <w:sz w:val="24"/>
                <w:szCs w:val="24"/>
              </w:rPr>
            </w:pPr>
            <w:r w:rsidRPr="00AC0619">
              <w:rPr>
                <w:sz w:val="24"/>
                <w:szCs w:val="24"/>
              </w:rPr>
              <w:t>X</w:t>
            </w:r>
          </w:p>
        </w:tc>
        <w:tc>
          <w:tcPr>
            <w:tcW w:w="3589" w:type="dxa"/>
            <w:vAlign w:val="bottom"/>
          </w:tcPr>
          <w:p w:rsidR="00AC0619" w:rsidRPr="00AC0619" w:rsidRDefault="00AC0619">
            <w:pPr>
              <w:rPr>
                <w:sz w:val="24"/>
                <w:szCs w:val="24"/>
              </w:rPr>
            </w:pPr>
            <w:r w:rsidRPr="00AC0619">
              <w:rPr>
                <w:sz w:val="24"/>
                <w:szCs w:val="24"/>
              </w:rPr>
              <w:t>X</w:t>
            </w:r>
          </w:p>
        </w:tc>
      </w:tr>
      <w:tr w:rsidR="00AC0619" w:rsidTr="006B4565">
        <w:tc>
          <w:tcPr>
            <w:tcW w:w="2099" w:type="dxa"/>
            <w:vAlign w:val="bottom"/>
          </w:tcPr>
          <w:p w:rsidR="00AC0619" w:rsidRPr="00AC0619" w:rsidRDefault="00AC0619">
            <w:pPr>
              <w:rPr>
                <w:sz w:val="24"/>
                <w:szCs w:val="24"/>
              </w:rPr>
            </w:pPr>
            <w:r w:rsidRPr="00AC0619">
              <w:rPr>
                <w:sz w:val="24"/>
                <w:szCs w:val="24"/>
              </w:rPr>
              <w:t>Theater and Cryptoporticus of Balbus (</w:t>
            </w:r>
            <w:r w:rsidRPr="00AC0619">
              <w:rPr>
                <w:i/>
                <w:iCs/>
                <w:sz w:val="24"/>
                <w:szCs w:val="24"/>
              </w:rPr>
              <w:t>theatrum et crypta Balbi</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t xml:space="preserve">cryptam Balbi </w:t>
            </w:r>
          </w:p>
          <w:p w:rsidR="00AC0619" w:rsidRPr="001F1C61" w:rsidRDefault="00AC0619">
            <w:pPr>
              <w:rPr>
                <w:i/>
                <w:sz w:val="24"/>
                <w:szCs w:val="24"/>
              </w:rPr>
            </w:pPr>
            <w:r w:rsidRPr="001F1C61">
              <w:rPr>
                <w:i/>
                <w:sz w:val="24"/>
                <w:szCs w:val="24"/>
              </w:rPr>
              <w:t>theatra III inprimis Balbi</w:t>
            </w:r>
          </w:p>
        </w:tc>
        <w:tc>
          <w:tcPr>
            <w:tcW w:w="3589" w:type="dxa"/>
            <w:vAlign w:val="bottom"/>
          </w:tcPr>
          <w:p w:rsidR="00AC0619" w:rsidRPr="001F1C61" w:rsidRDefault="00AC0619" w:rsidP="00AC0619">
            <w:pPr>
              <w:rPr>
                <w:i/>
                <w:sz w:val="24"/>
                <w:szCs w:val="24"/>
              </w:rPr>
            </w:pPr>
            <w:r w:rsidRPr="001F1C61">
              <w:rPr>
                <w:i/>
                <w:sz w:val="24"/>
                <w:szCs w:val="24"/>
              </w:rPr>
              <w:t xml:space="preserve">cryptam Balbi </w:t>
            </w:r>
          </w:p>
          <w:p w:rsidR="00AC0619" w:rsidRPr="001F1C61" w:rsidRDefault="00AC0619" w:rsidP="00AC0619">
            <w:pPr>
              <w:rPr>
                <w:i/>
                <w:sz w:val="24"/>
                <w:szCs w:val="24"/>
              </w:rPr>
            </w:pPr>
            <w:r w:rsidRPr="001F1C61">
              <w:rPr>
                <w:i/>
                <w:sz w:val="24"/>
                <w:szCs w:val="24"/>
              </w:rPr>
              <w:t>theatra III inprimis Balbi</w:t>
            </w:r>
          </w:p>
        </w:tc>
      </w:tr>
      <w:tr w:rsidR="00AC0619" w:rsidTr="006B4565">
        <w:tc>
          <w:tcPr>
            <w:tcW w:w="2099" w:type="dxa"/>
            <w:vAlign w:val="bottom"/>
          </w:tcPr>
          <w:p w:rsidR="00AC0619" w:rsidRPr="00AC0619" w:rsidRDefault="00AC0619">
            <w:pPr>
              <w:rPr>
                <w:sz w:val="24"/>
                <w:szCs w:val="24"/>
              </w:rPr>
            </w:pPr>
            <w:r w:rsidRPr="00AC0619">
              <w:rPr>
                <w:sz w:val="24"/>
                <w:szCs w:val="24"/>
              </w:rPr>
              <w:t>Porticus of Octavia and Philippus (</w:t>
            </w:r>
            <w:r w:rsidRPr="00AC0619">
              <w:rPr>
                <w:i/>
                <w:iCs/>
                <w:sz w:val="24"/>
                <w:szCs w:val="24"/>
              </w:rPr>
              <w:t>porticus Octaviae et Philippi</w:t>
            </w:r>
            <w:r w:rsidRPr="00AC0619">
              <w:rPr>
                <w:sz w:val="24"/>
                <w:szCs w:val="24"/>
              </w:rPr>
              <w:t>)</w:t>
            </w:r>
          </w:p>
        </w:tc>
        <w:tc>
          <w:tcPr>
            <w:tcW w:w="3554" w:type="dxa"/>
            <w:vAlign w:val="bottom"/>
          </w:tcPr>
          <w:p w:rsidR="00AC0619" w:rsidRPr="001F1C61" w:rsidRDefault="00AC0619">
            <w:pPr>
              <w:rPr>
                <w:i/>
                <w:sz w:val="24"/>
                <w:szCs w:val="24"/>
                <w:u w:val="single"/>
              </w:rPr>
            </w:pPr>
            <w:r w:rsidRPr="001F1C61">
              <w:rPr>
                <w:i/>
                <w:sz w:val="24"/>
                <w:szCs w:val="24"/>
              </w:rPr>
              <w:t>porticum Philippi</w:t>
            </w:r>
          </w:p>
        </w:tc>
        <w:tc>
          <w:tcPr>
            <w:tcW w:w="3589" w:type="dxa"/>
            <w:vAlign w:val="bottom"/>
          </w:tcPr>
          <w:p w:rsidR="00AC0619" w:rsidRPr="001F1C61" w:rsidRDefault="00E6260C">
            <w:pPr>
              <w:rPr>
                <w:i/>
                <w:sz w:val="24"/>
                <w:szCs w:val="24"/>
                <w:u w:val="single"/>
              </w:rPr>
            </w:pPr>
            <w:hyperlink r:id="rId31" w:anchor="Philippi" w:history="1">
              <w:r w:rsidR="00AC0619" w:rsidRPr="001F1C61">
                <w:rPr>
                  <w:rStyle w:val="Hyperlink"/>
                  <w:i/>
                  <w:color w:val="auto"/>
                  <w:sz w:val="24"/>
                  <w:szCs w:val="24"/>
                  <w:u w:val="none"/>
                </w:rPr>
                <w:t>porticum Philippi</w:t>
              </w:r>
            </w:hyperlink>
          </w:p>
        </w:tc>
      </w:tr>
      <w:tr w:rsidR="00AC0619" w:rsidTr="006B4565">
        <w:tc>
          <w:tcPr>
            <w:tcW w:w="2099" w:type="dxa"/>
            <w:vAlign w:val="bottom"/>
          </w:tcPr>
          <w:p w:rsidR="00AC0619" w:rsidRPr="00AC0619" w:rsidRDefault="00AC0619">
            <w:pPr>
              <w:rPr>
                <w:sz w:val="24"/>
                <w:szCs w:val="24"/>
              </w:rPr>
            </w:pPr>
            <w:r w:rsidRPr="00AC0619">
              <w:rPr>
                <w:sz w:val="24"/>
                <w:szCs w:val="24"/>
              </w:rPr>
              <w:t>Temple of Iuno Regina (</w:t>
            </w:r>
            <w:r w:rsidRPr="00AC0619">
              <w:rPr>
                <w:i/>
                <w:iCs/>
                <w:sz w:val="24"/>
                <w:szCs w:val="24"/>
              </w:rPr>
              <w:t>aedis Iunonis Reginae</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Temple to Hercules of the Muses (</w:t>
            </w:r>
            <w:r w:rsidRPr="00AC0619">
              <w:rPr>
                <w:i/>
                <w:iCs/>
                <w:sz w:val="24"/>
                <w:szCs w:val="24"/>
              </w:rPr>
              <w:t>aedis Hercules Musarum</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proofErr w:type="gramStart"/>
            <w:r w:rsidRPr="00AC0619">
              <w:rPr>
                <w:sz w:val="24"/>
                <w:szCs w:val="24"/>
              </w:rPr>
              <w:lastRenderedPageBreak/>
              <w:t>the</w:t>
            </w:r>
            <w:proofErr w:type="gramEnd"/>
            <w:r w:rsidRPr="00AC0619">
              <w:rPr>
                <w:sz w:val="24"/>
                <w:szCs w:val="24"/>
              </w:rPr>
              <w:t xml:space="preserve"> One Hundred Steps (centum gradus)?</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Temple of Bellona (</w:t>
            </w:r>
            <w:r w:rsidRPr="00AC0619">
              <w:rPr>
                <w:i/>
                <w:iCs/>
                <w:sz w:val="24"/>
                <w:szCs w:val="24"/>
              </w:rPr>
              <w:t>aedes Bellonae</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Theater of Marcellus (</w:t>
            </w:r>
            <w:r w:rsidRPr="00AC0619">
              <w:rPr>
                <w:i/>
                <w:iCs/>
                <w:sz w:val="24"/>
                <w:szCs w:val="24"/>
              </w:rPr>
              <w:t>theatrum Marcelli</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t>Marcelli capit loca XX. D</w:t>
            </w:r>
          </w:p>
        </w:tc>
        <w:tc>
          <w:tcPr>
            <w:tcW w:w="3589" w:type="dxa"/>
            <w:vAlign w:val="bottom"/>
          </w:tcPr>
          <w:p w:rsidR="00AC0619" w:rsidRPr="001F1C61" w:rsidRDefault="00AC0619">
            <w:pPr>
              <w:rPr>
                <w:i/>
                <w:sz w:val="24"/>
                <w:szCs w:val="24"/>
              </w:rPr>
            </w:pPr>
            <w:r w:rsidRPr="001F1C61">
              <w:rPr>
                <w:i/>
                <w:sz w:val="24"/>
                <w:szCs w:val="24"/>
              </w:rPr>
              <w:t>Marcelli capit loca XX. D</w:t>
            </w:r>
          </w:p>
        </w:tc>
      </w:tr>
      <w:tr w:rsidR="00AC0619" w:rsidTr="006B4565">
        <w:tc>
          <w:tcPr>
            <w:tcW w:w="2099" w:type="dxa"/>
            <w:vAlign w:val="bottom"/>
          </w:tcPr>
          <w:p w:rsidR="00AC0619" w:rsidRPr="00AC0619" w:rsidRDefault="00AC0619">
            <w:pPr>
              <w:rPr>
                <w:sz w:val="24"/>
                <w:szCs w:val="24"/>
              </w:rPr>
            </w:pPr>
            <w:r w:rsidRPr="00AC0619">
              <w:rPr>
                <w:sz w:val="24"/>
                <w:szCs w:val="24"/>
              </w:rPr>
              <w:t>Temple of Apollo (</w:t>
            </w:r>
            <w:r w:rsidRPr="00AC0619">
              <w:rPr>
                <w:i/>
                <w:iCs/>
                <w:sz w:val="24"/>
                <w:szCs w:val="24"/>
              </w:rPr>
              <w:t>aedes Apollinis</w:t>
            </w:r>
            <w:r w:rsidRPr="00AC0619">
              <w:rPr>
                <w:sz w:val="24"/>
                <w:szCs w:val="24"/>
              </w:rPr>
              <w:t>)</w:t>
            </w:r>
          </w:p>
        </w:tc>
        <w:tc>
          <w:tcPr>
            <w:tcW w:w="3554" w:type="dxa"/>
            <w:vAlign w:val="bottom"/>
          </w:tcPr>
          <w:p w:rsidR="00AC0619" w:rsidRPr="001F1C61" w:rsidRDefault="00AC0619">
            <w:pPr>
              <w:rPr>
                <w:i/>
                <w:sz w:val="24"/>
                <w:szCs w:val="24"/>
              </w:rPr>
            </w:pPr>
          </w:p>
        </w:tc>
        <w:tc>
          <w:tcPr>
            <w:tcW w:w="3589" w:type="dxa"/>
            <w:vAlign w:val="bottom"/>
          </w:tcPr>
          <w:p w:rsidR="00AC0619" w:rsidRPr="001F1C61" w:rsidRDefault="00AC0619">
            <w:pPr>
              <w:rPr>
                <w:i/>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Two temples in the Vegetable Market (</w:t>
            </w:r>
            <w:r w:rsidRPr="00AC0619">
              <w:rPr>
                <w:i/>
                <w:iCs/>
                <w:sz w:val="24"/>
                <w:szCs w:val="24"/>
              </w:rPr>
              <w:t>forum Holitorium</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Temple of Ianus (</w:t>
            </w:r>
            <w:r w:rsidRPr="00AC0619">
              <w:rPr>
                <w:i/>
                <w:iCs/>
                <w:sz w:val="24"/>
                <w:szCs w:val="24"/>
              </w:rPr>
              <w:t>aedes Iani</w:t>
            </w:r>
            <w:r w:rsidRPr="00AC0619">
              <w:rPr>
                <w:sz w:val="24"/>
                <w:szCs w:val="24"/>
              </w:rPr>
              <w:t>) </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the Temple of Iuno Sospita (</w:t>
            </w:r>
            <w:r w:rsidRPr="00AC0619">
              <w:rPr>
                <w:i/>
                <w:iCs/>
                <w:sz w:val="24"/>
                <w:szCs w:val="24"/>
              </w:rPr>
              <w:t>aedes Iunonis Sospitae</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Circus Flaminius (</w:t>
            </w:r>
            <w:r w:rsidRPr="00AC0619">
              <w:rPr>
                <w:i/>
                <w:iCs/>
                <w:sz w:val="24"/>
                <w:szCs w:val="24"/>
              </w:rPr>
              <w:t>circus Flaminius</w:t>
            </w:r>
            <w:r w:rsidRPr="00AC0619">
              <w:rPr>
                <w:sz w:val="24"/>
                <w:szCs w:val="24"/>
              </w:rPr>
              <w:t>)</w:t>
            </w:r>
          </w:p>
        </w:tc>
        <w:tc>
          <w:tcPr>
            <w:tcW w:w="3554" w:type="dxa"/>
            <w:vAlign w:val="bottom"/>
          </w:tcPr>
          <w:p w:rsidR="00AC0619" w:rsidRPr="00AC0619" w:rsidRDefault="00AC0619">
            <w:pPr>
              <w:rPr>
                <w:sz w:val="24"/>
                <w:szCs w:val="24"/>
              </w:rPr>
            </w:pPr>
            <w:r w:rsidRPr="00AC0619">
              <w:rPr>
                <w:sz w:val="24"/>
                <w:szCs w:val="24"/>
              </w:rPr>
              <w:t>TITLE OF REGIO IX</w:t>
            </w:r>
          </w:p>
        </w:tc>
        <w:tc>
          <w:tcPr>
            <w:tcW w:w="3589" w:type="dxa"/>
            <w:vAlign w:val="bottom"/>
          </w:tcPr>
          <w:p w:rsidR="00AC0619" w:rsidRPr="00AC0619" w:rsidRDefault="00AC0619">
            <w:pPr>
              <w:rPr>
                <w:sz w:val="24"/>
                <w:szCs w:val="24"/>
              </w:rPr>
            </w:pPr>
            <w:r w:rsidRPr="00AC0619">
              <w:rPr>
                <w:sz w:val="24"/>
                <w:szCs w:val="24"/>
              </w:rPr>
              <w:t>TITLE OF REGIO IX</w:t>
            </w:r>
          </w:p>
        </w:tc>
      </w:tr>
      <w:tr w:rsidR="00AC0619" w:rsidTr="006B4565">
        <w:trPr>
          <w:trHeight w:val="602"/>
        </w:trPr>
        <w:tc>
          <w:tcPr>
            <w:tcW w:w="2099" w:type="dxa"/>
            <w:vAlign w:val="bottom"/>
          </w:tcPr>
          <w:p w:rsidR="00AC0619" w:rsidRPr="00AC0619" w:rsidRDefault="00AC0619">
            <w:pPr>
              <w:rPr>
                <w:sz w:val="24"/>
                <w:szCs w:val="24"/>
              </w:rPr>
            </w:pPr>
            <w:r w:rsidRPr="00AC0619">
              <w:rPr>
                <w:sz w:val="24"/>
                <w:szCs w:val="24"/>
              </w:rPr>
              <w:t>the Temple of Iuppiter Stator (</w:t>
            </w:r>
            <w:r w:rsidRPr="00AC0619">
              <w:rPr>
                <w:i/>
                <w:iCs/>
                <w:sz w:val="24"/>
                <w:szCs w:val="24"/>
              </w:rPr>
              <w:t>aedis Iovis Statoris</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t>aedem Iovis statoris</w:t>
            </w:r>
          </w:p>
        </w:tc>
        <w:tc>
          <w:tcPr>
            <w:tcW w:w="3589" w:type="dxa"/>
            <w:vAlign w:val="bottom"/>
          </w:tcPr>
          <w:p w:rsidR="00AC0619" w:rsidRPr="001F1C61" w:rsidRDefault="00AC0619">
            <w:pPr>
              <w:rPr>
                <w:i/>
                <w:sz w:val="24"/>
                <w:szCs w:val="24"/>
              </w:rPr>
            </w:pPr>
            <w:r w:rsidRPr="001F1C61">
              <w:rPr>
                <w:i/>
                <w:sz w:val="24"/>
                <w:szCs w:val="24"/>
              </w:rPr>
              <w:t>aedem Iobis</w:t>
            </w:r>
          </w:p>
        </w:tc>
      </w:tr>
      <w:tr w:rsidR="00AC0619" w:rsidTr="006B4565">
        <w:tc>
          <w:tcPr>
            <w:tcW w:w="2099" w:type="dxa"/>
            <w:vAlign w:val="bottom"/>
          </w:tcPr>
          <w:p w:rsidR="00AC0619" w:rsidRPr="00AC0619" w:rsidRDefault="00AC0619">
            <w:pPr>
              <w:rPr>
                <w:sz w:val="24"/>
                <w:szCs w:val="24"/>
              </w:rPr>
            </w:pPr>
            <w:r w:rsidRPr="00AC0619">
              <w:rPr>
                <w:sz w:val="24"/>
                <w:szCs w:val="24"/>
              </w:rPr>
              <w:t>the Arch of Germanicus (</w:t>
            </w:r>
            <w:r w:rsidRPr="00AC0619">
              <w:rPr>
                <w:i/>
                <w:iCs/>
                <w:sz w:val="24"/>
                <w:szCs w:val="24"/>
              </w:rPr>
              <w:t>arcus Germanici</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t>Victoriam Germanianam (?)</w:t>
            </w:r>
          </w:p>
        </w:tc>
        <w:tc>
          <w:tcPr>
            <w:tcW w:w="3589" w:type="dxa"/>
            <w:vAlign w:val="bottom"/>
          </w:tcPr>
          <w:p w:rsidR="00AC0619" w:rsidRPr="001F1C61" w:rsidRDefault="00AC0619">
            <w:pPr>
              <w:rPr>
                <w:i/>
                <w:sz w:val="24"/>
                <w:szCs w:val="24"/>
              </w:rPr>
            </w:pPr>
            <w:r w:rsidRPr="001F1C61">
              <w:rPr>
                <w:i/>
                <w:sz w:val="24"/>
                <w:szCs w:val="24"/>
              </w:rPr>
              <w:t>Victoriam Germanianam (?)</w:t>
            </w:r>
          </w:p>
        </w:tc>
      </w:tr>
      <w:tr w:rsidR="00AC0619" w:rsidTr="006B4565">
        <w:tc>
          <w:tcPr>
            <w:tcW w:w="2099" w:type="dxa"/>
            <w:vAlign w:val="bottom"/>
          </w:tcPr>
          <w:p w:rsidR="00AC0619" w:rsidRPr="00AC0619" w:rsidRDefault="00AC0619">
            <w:pPr>
              <w:rPr>
                <w:sz w:val="24"/>
                <w:szCs w:val="24"/>
              </w:rPr>
            </w:pPr>
            <w:r w:rsidRPr="00AC0619">
              <w:rPr>
                <w:sz w:val="24"/>
                <w:szCs w:val="24"/>
              </w:rPr>
              <w:t>Porticus Divorum</w:t>
            </w:r>
          </w:p>
        </w:tc>
        <w:tc>
          <w:tcPr>
            <w:tcW w:w="3554" w:type="dxa"/>
            <w:vAlign w:val="bottom"/>
          </w:tcPr>
          <w:p w:rsidR="00AC0619" w:rsidRPr="001F1C61" w:rsidRDefault="00AC0619">
            <w:pPr>
              <w:rPr>
                <w:i/>
                <w:sz w:val="24"/>
                <w:szCs w:val="24"/>
              </w:rPr>
            </w:pPr>
            <w:r w:rsidRPr="001F1C61">
              <w:rPr>
                <w:i/>
                <w:sz w:val="24"/>
                <w:szCs w:val="24"/>
              </w:rPr>
              <w:t>Divorum</w:t>
            </w:r>
          </w:p>
        </w:tc>
        <w:tc>
          <w:tcPr>
            <w:tcW w:w="3589" w:type="dxa"/>
            <w:vAlign w:val="bottom"/>
          </w:tcPr>
          <w:p w:rsidR="00AC0619" w:rsidRPr="001F1C61" w:rsidRDefault="00AC0619">
            <w:pPr>
              <w:rPr>
                <w:i/>
                <w:sz w:val="24"/>
                <w:szCs w:val="24"/>
              </w:rPr>
            </w:pPr>
            <w:r w:rsidRPr="001F1C61">
              <w:rPr>
                <w:i/>
                <w:sz w:val="24"/>
                <w:szCs w:val="24"/>
              </w:rPr>
              <w:t>Divorum</w:t>
            </w:r>
          </w:p>
        </w:tc>
      </w:tr>
      <w:tr w:rsidR="00AC0619" w:rsidTr="006B4565">
        <w:tc>
          <w:tcPr>
            <w:tcW w:w="2099" w:type="dxa"/>
            <w:vAlign w:val="bottom"/>
          </w:tcPr>
          <w:p w:rsidR="00AC0619" w:rsidRPr="00AC0619" w:rsidRDefault="00AC0619">
            <w:pPr>
              <w:rPr>
                <w:sz w:val="24"/>
                <w:szCs w:val="24"/>
              </w:rPr>
            </w:pPr>
            <w:r w:rsidRPr="00AC0619">
              <w:rPr>
                <w:sz w:val="24"/>
                <w:szCs w:val="24"/>
              </w:rPr>
              <w:t>Saepta Iulia (</w:t>
            </w:r>
            <w:r w:rsidRPr="00AC0619">
              <w:rPr>
                <w:i/>
                <w:iCs/>
                <w:sz w:val="24"/>
                <w:szCs w:val="24"/>
              </w:rPr>
              <w:t>Saepta Iulia</w:t>
            </w:r>
            <w:r w:rsidRPr="00AC0619">
              <w:rPr>
                <w:sz w:val="24"/>
                <w:szCs w:val="24"/>
              </w:rPr>
              <w:t>)</w:t>
            </w:r>
          </w:p>
        </w:tc>
        <w:tc>
          <w:tcPr>
            <w:tcW w:w="3554" w:type="dxa"/>
            <w:vAlign w:val="bottom"/>
          </w:tcPr>
          <w:p w:rsidR="00AC0619" w:rsidRPr="001F1C61" w:rsidRDefault="00AC0619">
            <w:pPr>
              <w:rPr>
                <w:i/>
                <w:sz w:val="24"/>
                <w:szCs w:val="24"/>
              </w:rPr>
            </w:pPr>
          </w:p>
        </w:tc>
        <w:tc>
          <w:tcPr>
            <w:tcW w:w="3589" w:type="dxa"/>
            <w:vAlign w:val="bottom"/>
          </w:tcPr>
          <w:p w:rsidR="00AC0619" w:rsidRPr="001F1C61" w:rsidRDefault="00AC0619">
            <w:pPr>
              <w:rPr>
                <w:i/>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Porticus Minucia (</w:t>
            </w:r>
            <w:r w:rsidRPr="00AC0619">
              <w:rPr>
                <w:i/>
                <w:iCs/>
                <w:sz w:val="24"/>
                <w:szCs w:val="24"/>
              </w:rPr>
              <w:t>porticus Minucia</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t>Minuciam veterem et frumentariam</w:t>
            </w:r>
          </w:p>
        </w:tc>
        <w:tc>
          <w:tcPr>
            <w:tcW w:w="3589" w:type="dxa"/>
            <w:vAlign w:val="bottom"/>
          </w:tcPr>
          <w:p w:rsidR="00AC0619" w:rsidRPr="001F1C61" w:rsidRDefault="00AC0619">
            <w:pPr>
              <w:rPr>
                <w:i/>
                <w:sz w:val="24"/>
                <w:szCs w:val="24"/>
              </w:rPr>
            </w:pPr>
            <w:r w:rsidRPr="001F1C61">
              <w:rPr>
                <w:i/>
                <w:sz w:val="24"/>
                <w:szCs w:val="24"/>
              </w:rPr>
              <w:t>Minuciam veterem et frumentariam</w:t>
            </w:r>
          </w:p>
        </w:tc>
      </w:tr>
      <w:tr w:rsidR="00AC0619" w:rsidTr="006B4565">
        <w:tc>
          <w:tcPr>
            <w:tcW w:w="2099" w:type="dxa"/>
            <w:vAlign w:val="bottom"/>
          </w:tcPr>
          <w:p w:rsidR="00AC0619" w:rsidRPr="00AC0619" w:rsidRDefault="00AC0619">
            <w:pPr>
              <w:rPr>
                <w:sz w:val="24"/>
                <w:szCs w:val="24"/>
              </w:rPr>
            </w:pPr>
            <w:r w:rsidRPr="00AC0619">
              <w:rPr>
                <w:sz w:val="24"/>
                <w:szCs w:val="24"/>
              </w:rPr>
              <w:t>Diribitorium (</w:t>
            </w:r>
            <w:r w:rsidRPr="00AC0619">
              <w:rPr>
                <w:i/>
                <w:iCs/>
                <w:sz w:val="24"/>
                <w:szCs w:val="24"/>
              </w:rPr>
              <w:t>Diribitorium</w:t>
            </w:r>
            <w:r w:rsidRPr="00AC0619">
              <w:rPr>
                <w:sz w:val="24"/>
                <w:szCs w:val="24"/>
              </w:rPr>
              <w:t>)</w:t>
            </w:r>
          </w:p>
        </w:tc>
        <w:tc>
          <w:tcPr>
            <w:tcW w:w="3554" w:type="dxa"/>
            <w:vAlign w:val="bottom"/>
          </w:tcPr>
          <w:p w:rsidR="00AC0619" w:rsidRPr="001F1C61" w:rsidRDefault="00AC0619">
            <w:pPr>
              <w:rPr>
                <w:i/>
                <w:sz w:val="24"/>
                <w:szCs w:val="24"/>
              </w:rPr>
            </w:pPr>
          </w:p>
        </w:tc>
        <w:tc>
          <w:tcPr>
            <w:tcW w:w="3589" w:type="dxa"/>
            <w:vAlign w:val="bottom"/>
          </w:tcPr>
          <w:p w:rsidR="00AC0619" w:rsidRPr="001F1C61" w:rsidRDefault="00AC0619">
            <w:pPr>
              <w:rPr>
                <w:i/>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Portico of the Argonauts (</w:t>
            </w:r>
            <w:r w:rsidRPr="00AC0619">
              <w:rPr>
                <w:i/>
                <w:iCs/>
                <w:sz w:val="24"/>
                <w:szCs w:val="24"/>
              </w:rPr>
              <w:t>porticus Argonautarum</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t>X</w:t>
            </w:r>
          </w:p>
        </w:tc>
        <w:tc>
          <w:tcPr>
            <w:tcW w:w="3589" w:type="dxa"/>
            <w:vAlign w:val="bottom"/>
          </w:tcPr>
          <w:p w:rsidR="00AC0619" w:rsidRPr="001F1C61" w:rsidRDefault="00AC0619">
            <w:pPr>
              <w:rPr>
                <w:i/>
                <w:sz w:val="24"/>
                <w:szCs w:val="24"/>
              </w:rPr>
            </w:pPr>
            <w:r w:rsidRPr="001F1C61">
              <w:rPr>
                <w:i/>
                <w:sz w:val="24"/>
                <w:szCs w:val="24"/>
              </w:rPr>
              <w:t>X</w:t>
            </w:r>
          </w:p>
        </w:tc>
      </w:tr>
      <w:tr w:rsidR="00AC0619" w:rsidTr="006B4565">
        <w:tc>
          <w:tcPr>
            <w:tcW w:w="2099" w:type="dxa"/>
            <w:vAlign w:val="bottom"/>
          </w:tcPr>
          <w:p w:rsidR="00AC0619" w:rsidRPr="006B4565" w:rsidRDefault="00AC0619">
            <w:pPr>
              <w:rPr>
                <w:i/>
                <w:sz w:val="24"/>
                <w:szCs w:val="24"/>
              </w:rPr>
            </w:pPr>
            <w:r w:rsidRPr="006B4565">
              <w:rPr>
                <w:i/>
                <w:sz w:val="24"/>
                <w:szCs w:val="24"/>
              </w:rPr>
              <w:t>Minerva Chalcidica</w:t>
            </w:r>
          </w:p>
        </w:tc>
        <w:tc>
          <w:tcPr>
            <w:tcW w:w="3554" w:type="dxa"/>
            <w:vAlign w:val="bottom"/>
          </w:tcPr>
          <w:p w:rsidR="00AC0619" w:rsidRPr="001F1C61" w:rsidRDefault="00AC0619">
            <w:pPr>
              <w:rPr>
                <w:i/>
                <w:sz w:val="24"/>
                <w:szCs w:val="24"/>
              </w:rPr>
            </w:pPr>
            <w:r w:rsidRPr="001F1C61">
              <w:rPr>
                <w:i/>
                <w:sz w:val="24"/>
                <w:szCs w:val="24"/>
              </w:rPr>
              <w:t>X</w:t>
            </w:r>
          </w:p>
        </w:tc>
        <w:tc>
          <w:tcPr>
            <w:tcW w:w="3589" w:type="dxa"/>
            <w:vAlign w:val="bottom"/>
          </w:tcPr>
          <w:p w:rsidR="00AC0619" w:rsidRPr="001F1C61" w:rsidRDefault="00AC0619">
            <w:pPr>
              <w:rPr>
                <w:i/>
                <w:sz w:val="24"/>
                <w:szCs w:val="24"/>
              </w:rPr>
            </w:pPr>
            <w:r w:rsidRPr="001F1C61">
              <w:rPr>
                <w:i/>
                <w:sz w:val="24"/>
                <w:szCs w:val="24"/>
              </w:rPr>
              <w:t>X</w:t>
            </w:r>
          </w:p>
        </w:tc>
      </w:tr>
      <w:tr w:rsidR="00AC0619" w:rsidTr="006B4565">
        <w:tc>
          <w:tcPr>
            <w:tcW w:w="2099" w:type="dxa"/>
            <w:vAlign w:val="bottom"/>
          </w:tcPr>
          <w:p w:rsidR="00AC0619" w:rsidRPr="006B4565" w:rsidRDefault="00AC0619">
            <w:pPr>
              <w:rPr>
                <w:i/>
                <w:sz w:val="24"/>
                <w:szCs w:val="24"/>
              </w:rPr>
            </w:pPr>
            <w:r w:rsidRPr="006B4565">
              <w:rPr>
                <w:i/>
                <w:sz w:val="24"/>
                <w:szCs w:val="24"/>
              </w:rPr>
              <w:t>Serapeum</w:t>
            </w:r>
          </w:p>
        </w:tc>
        <w:tc>
          <w:tcPr>
            <w:tcW w:w="3554" w:type="dxa"/>
            <w:vAlign w:val="bottom"/>
          </w:tcPr>
          <w:p w:rsidR="00AC0619" w:rsidRPr="001F1C61" w:rsidRDefault="00AC0619">
            <w:pPr>
              <w:rPr>
                <w:i/>
                <w:sz w:val="24"/>
                <w:szCs w:val="24"/>
              </w:rPr>
            </w:pPr>
            <w:r w:rsidRPr="001F1C61">
              <w:rPr>
                <w:i/>
                <w:sz w:val="24"/>
                <w:szCs w:val="24"/>
              </w:rPr>
              <w:t>Iseum et Serapeum</w:t>
            </w:r>
          </w:p>
        </w:tc>
        <w:tc>
          <w:tcPr>
            <w:tcW w:w="3589" w:type="dxa"/>
            <w:vAlign w:val="bottom"/>
          </w:tcPr>
          <w:p w:rsidR="00AC0619" w:rsidRPr="001F1C61" w:rsidRDefault="00AC0619">
            <w:pPr>
              <w:rPr>
                <w:i/>
                <w:sz w:val="24"/>
                <w:szCs w:val="24"/>
              </w:rPr>
            </w:pPr>
            <w:r w:rsidRPr="001F1C61">
              <w:rPr>
                <w:i/>
                <w:sz w:val="24"/>
                <w:szCs w:val="24"/>
              </w:rPr>
              <w:t>Iseum et Serapeum</w:t>
            </w:r>
          </w:p>
        </w:tc>
      </w:tr>
      <w:tr w:rsidR="00AC0619" w:rsidTr="006B4565">
        <w:tc>
          <w:tcPr>
            <w:tcW w:w="2099" w:type="dxa"/>
            <w:vAlign w:val="bottom"/>
          </w:tcPr>
          <w:p w:rsidR="00AC0619" w:rsidRPr="006B4565" w:rsidRDefault="00AC0619">
            <w:pPr>
              <w:rPr>
                <w:i/>
                <w:sz w:val="24"/>
                <w:szCs w:val="24"/>
              </w:rPr>
            </w:pPr>
            <w:r w:rsidRPr="006B4565">
              <w:rPr>
                <w:i/>
                <w:sz w:val="24"/>
                <w:szCs w:val="24"/>
              </w:rPr>
              <w:t>Templum Matidiae</w:t>
            </w:r>
          </w:p>
        </w:tc>
        <w:tc>
          <w:tcPr>
            <w:tcW w:w="3554" w:type="dxa"/>
            <w:vAlign w:val="bottom"/>
          </w:tcPr>
          <w:p w:rsidR="00AC0619" w:rsidRPr="001F1C61" w:rsidRDefault="00AC0619">
            <w:pPr>
              <w:rPr>
                <w:i/>
                <w:sz w:val="24"/>
                <w:szCs w:val="24"/>
              </w:rPr>
            </w:pPr>
            <w:r w:rsidRPr="001F1C61">
              <w:rPr>
                <w:i/>
                <w:sz w:val="24"/>
                <w:szCs w:val="24"/>
              </w:rPr>
              <w:t>basilicam Matidies et Marcianes</w:t>
            </w:r>
          </w:p>
        </w:tc>
        <w:tc>
          <w:tcPr>
            <w:tcW w:w="3589" w:type="dxa"/>
            <w:vAlign w:val="bottom"/>
          </w:tcPr>
          <w:p w:rsidR="00AC0619" w:rsidRPr="001F1C61" w:rsidRDefault="00E6260C">
            <w:pPr>
              <w:rPr>
                <w:i/>
                <w:sz w:val="24"/>
                <w:szCs w:val="24"/>
              </w:rPr>
            </w:pPr>
            <w:r>
              <w:rPr>
                <w:i/>
                <w:sz w:val="24"/>
                <w:szCs w:val="24"/>
              </w:rPr>
              <w:pict w14:anchorId="2F7614A3">
                <v:shape id="AutoShape 12" o:spid="_x0000_s1067" type="#_x0000_t75" alt="[imago inanis]" style="position:absolute;margin-left:0;margin-top:0;width:7.5pt;height:.75pt;z-index:2516940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" o:insetmode="auto">
                  <v:imagedata r:id="rId24" o:title=""/>
                </v:shape>
              </w:pict>
            </w:r>
          </w:p>
          <w:tbl>
            <w:tblPr>
              <w:tblW w:w="0" w:type="auto"/>
              <w:tblCellSpacing w:w="0" w:type="dxa"/>
              <w:tblCellMar>
                <w:left w:w="0" w:type="dxa"/>
                <w:right w:w="0" w:type="dxa"/>
              </w:tblCellMar>
              <w:tblLook w:val="04A0" w:firstRow="1" w:lastRow="0" w:firstColumn="1" w:lastColumn="0" w:noHBand="0" w:noVBand="1"/>
            </w:tblPr>
            <w:tblGrid>
              <w:gridCol w:w="3373"/>
            </w:tblGrid>
            <w:tr w:rsidR="00AC0619" w:rsidRPr="001F1C61">
              <w:trPr>
                <w:trHeight w:val="300"/>
                <w:tblCellSpacing w:w="0" w:type="dxa"/>
              </w:trPr>
              <w:tc>
                <w:tcPr>
                  <w:tcW w:w="3880" w:type="dxa"/>
                  <w:tcBorders>
                    <w:top w:val="nil"/>
                    <w:left w:val="nil"/>
                    <w:bottom w:val="nil"/>
                    <w:right w:val="nil"/>
                  </w:tcBorders>
                  <w:shd w:val="clear" w:color="auto" w:fill="auto"/>
                  <w:noWrap/>
                  <w:vAlign w:val="bottom"/>
                  <w:hideMark/>
                </w:tcPr>
                <w:p w:rsidR="00AC0619" w:rsidRPr="001F1C61" w:rsidRDefault="00AC0619">
                  <w:pPr>
                    <w:rPr>
                      <w:i/>
                      <w:sz w:val="24"/>
                      <w:szCs w:val="24"/>
                    </w:rPr>
                  </w:pPr>
                  <w:r w:rsidRPr="001F1C61">
                    <w:rPr>
                      <w:i/>
                      <w:sz w:val="24"/>
                      <w:szCs w:val="24"/>
                    </w:rPr>
                    <w:t>Basilicam Neptuni Matidies</w:t>
                  </w:r>
                </w:p>
              </w:tc>
            </w:tr>
          </w:tbl>
          <w:p w:rsidR="00AC0619" w:rsidRPr="001F1C61" w:rsidRDefault="00AC0619">
            <w:pPr>
              <w:rPr>
                <w:i/>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Porticus of Pompey (</w:t>
            </w:r>
            <w:r w:rsidRPr="00AC0619">
              <w:rPr>
                <w:i/>
                <w:iCs/>
                <w:sz w:val="24"/>
                <w:szCs w:val="24"/>
              </w:rPr>
              <w:t xml:space="preserve">porticus </w:t>
            </w:r>
            <w:r w:rsidRPr="00AC0619">
              <w:rPr>
                <w:i/>
                <w:iCs/>
                <w:sz w:val="24"/>
                <w:szCs w:val="24"/>
              </w:rPr>
              <w:lastRenderedPageBreak/>
              <w:t>Pompeianae</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E6260C">
            <w:pPr>
              <w:rPr>
                <w:sz w:val="24"/>
                <w:szCs w:val="24"/>
                <w:u w:val="single"/>
              </w:rPr>
            </w:pPr>
            <w:r>
              <w:rPr>
                <w:sz w:val="24"/>
                <w:szCs w:val="24"/>
              </w:rPr>
              <w:pict w14:anchorId="525A8630">
                <v:shape id="AutoShape 13" o:spid="_x0000_s1068" type="#_x0000_t75" alt="[imago inanis]" style="position:absolute;margin-left:0;margin-top:0;width:7.5pt;height:.75pt;z-index:2516951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PDARYZVAgAA+wQAAB8AAAAAAAAAAAAA&#10;AAAAIAIAAGNsaXBib2FyZC9kcmF3aW5ncy9kcmF3aW5nMS54bWxQSwECLQAUAAYACAAAACEA/cFa&#10;784GAAA9HAAAGgAAAAAAAAAAAAAAAACyBAAAY2xpcGJvYXJkL3RoZW1lL3RoZW1lMS54bWxQSwEC&#10;LQAUAAYACAAAACEAnGZGQbsAAAAkAQAAKgAAAAAAAAAAAAAAAAC4CwAAY2xpcGJvYXJkL2RyYXdp&#10;bmdzL19yZWxzL2RyYXdpbmcxLnhtbC5yZWxzUEsFBgAAAAAFAAUAZwEAALsMAAAAAA==&#10;" o:insetmode="auto">
                  <v:imagedata r:id="rId24" o:title=""/>
                </v:shape>
              </w:pict>
            </w:r>
            <w:r>
              <w:rPr>
                <w:sz w:val="24"/>
                <w:szCs w:val="24"/>
              </w:rPr>
              <w:pict w14:anchorId="75DAC8C9">
                <v:shape id="AutoShape 14" o:spid="_x0000_s1069" type="#_x0000_t75" alt="[imago inanis]" style="position:absolute;margin-left:8.25pt;margin-top:0;width:15pt;height:.75pt;z-index:2516961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" o:insetmode="auto">
                  <v:imagedata r:id="rId29" o:title=""/>
                </v:shape>
              </w:pict>
            </w:r>
          </w:p>
        </w:tc>
      </w:tr>
      <w:tr w:rsidR="00AC0619" w:rsidTr="006B4565">
        <w:tc>
          <w:tcPr>
            <w:tcW w:w="2099" w:type="dxa"/>
            <w:vAlign w:val="bottom"/>
          </w:tcPr>
          <w:p w:rsidR="00AC0619" w:rsidRPr="00AC0619" w:rsidRDefault="00AC0619">
            <w:pPr>
              <w:rPr>
                <w:sz w:val="24"/>
                <w:szCs w:val="24"/>
              </w:rPr>
            </w:pPr>
            <w:r w:rsidRPr="00AC0619">
              <w:rPr>
                <w:sz w:val="24"/>
                <w:szCs w:val="24"/>
              </w:rPr>
              <w:lastRenderedPageBreak/>
              <w:t>Hecatostylum (</w:t>
            </w:r>
            <w:r w:rsidRPr="00AC0619">
              <w:rPr>
                <w:i/>
                <w:iCs/>
                <w:sz w:val="24"/>
                <w:szCs w:val="24"/>
              </w:rPr>
              <w:t>Hecatostylum</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the Curia of Pompey (</w:t>
            </w:r>
            <w:r w:rsidRPr="00AC0619">
              <w:rPr>
                <w:i/>
                <w:iCs/>
                <w:sz w:val="24"/>
                <w:szCs w:val="24"/>
              </w:rPr>
              <w:t>curia Pompeiana</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b/>
                <w:bCs/>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Baths of Agrippa (</w:t>
            </w:r>
            <w:r w:rsidR="00C43F79">
              <w:rPr>
                <w:i/>
                <w:iCs/>
                <w:sz w:val="24"/>
                <w:szCs w:val="24"/>
              </w:rPr>
              <w:t>thermae</w:t>
            </w:r>
            <w:r w:rsidRPr="00AC0619">
              <w:rPr>
                <w:i/>
                <w:iCs/>
                <w:sz w:val="24"/>
                <w:szCs w:val="24"/>
              </w:rPr>
              <w:t xml:space="preserve"> Agrippae</w:t>
            </w:r>
            <w:r w:rsidRPr="00AC0619">
              <w:rPr>
                <w:sz w:val="24"/>
                <w:szCs w:val="24"/>
              </w:rPr>
              <w:t>)</w:t>
            </w:r>
          </w:p>
        </w:tc>
        <w:tc>
          <w:tcPr>
            <w:tcW w:w="3554" w:type="dxa"/>
            <w:vAlign w:val="bottom"/>
          </w:tcPr>
          <w:p w:rsidR="00AC0619" w:rsidRPr="00AC0619" w:rsidRDefault="00AC0619">
            <w:pPr>
              <w:rPr>
                <w:sz w:val="24"/>
                <w:szCs w:val="24"/>
              </w:rPr>
            </w:pPr>
            <w:r w:rsidRPr="00AC0619">
              <w:rPr>
                <w:sz w:val="24"/>
                <w:szCs w:val="24"/>
              </w:rPr>
              <w:t>X</w:t>
            </w:r>
          </w:p>
        </w:tc>
        <w:tc>
          <w:tcPr>
            <w:tcW w:w="3589" w:type="dxa"/>
            <w:vAlign w:val="bottom"/>
          </w:tcPr>
          <w:p w:rsidR="00AC0619" w:rsidRPr="00AC0619" w:rsidRDefault="00AC0619">
            <w:pPr>
              <w:rPr>
                <w:sz w:val="24"/>
                <w:szCs w:val="24"/>
              </w:rPr>
            </w:pPr>
            <w:r w:rsidRPr="00AC0619">
              <w:rPr>
                <w:sz w:val="24"/>
                <w:szCs w:val="24"/>
              </w:rPr>
              <w:t>X</w:t>
            </w:r>
          </w:p>
        </w:tc>
      </w:tr>
      <w:tr w:rsidR="00AC0619" w:rsidTr="006B4565">
        <w:tc>
          <w:tcPr>
            <w:tcW w:w="2099" w:type="dxa"/>
            <w:vAlign w:val="bottom"/>
          </w:tcPr>
          <w:p w:rsidR="00AC0619" w:rsidRPr="00AC0619" w:rsidRDefault="00AC0619">
            <w:pPr>
              <w:rPr>
                <w:sz w:val="24"/>
                <w:szCs w:val="24"/>
              </w:rPr>
            </w:pPr>
            <w:r w:rsidRPr="00AC0619">
              <w:rPr>
                <w:sz w:val="24"/>
                <w:szCs w:val="24"/>
              </w:rPr>
              <w:t>Temple of Venus Victrix (</w:t>
            </w:r>
            <w:r w:rsidRPr="00AC0619">
              <w:rPr>
                <w:i/>
                <w:iCs/>
                <w:sz w:val="24"/>
                <w:szCs w:val="24"/>
              </w:rPr>
              <w:t>aedes Veneris Victricis</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AC0619" w:rsidRDefault="00AC0619">
            <w:pPr>
              <w:rPr>
                <w:sz w:val="24"/>
                <w:szCs w:val="24"/>
              </w:rPr>
            </w:pPr>
            <w:r w:rsidRPr="00AC0619">
              <w:rPr>
                <w:sz w:val="24"/>
                <w:szCs w:val="24"/>
              </w:rPr>
              <w:t>Mausoleum of Hadrian (</w:t>
            </w:r>
            <w:r w:rsidRPr="00AC0619">
              <w:rPr>
                <w:i/>
                <w:iCs/>
                <w:sz w:val="24"/>
                <w:szCs w:val="24"/>
              </w:rPr>
              <w:t>mausoleum Hadriani</w:t>
            </w:r>
            <w:r w:rsidRPr="00AC0619">
              <w:rPr>
                <w:sz w:val="24"/>
                <w:szCs w:val="24"/>
              </w:rPr>
              <w:t>)</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vAlign w:val="bottom"/>
          </w:tcPr>
          <w:p w:rsidR="00AC0619" w:rsidRPr="006B4565" w:rsidRDefault="00AC0619">
            <w:pPr>
              <w:rPr>
                <w:i/>
                <w:sz w:val="24"/>
                <w:szCs w:val="24"/>
              </w:rPr>
            </w:pPr>
            <w:r w:rsidRPr="006B4565">
              <w:rPr>
                <w:i/>
                <w:sz w:val="24"/>
                <w:szCs w:val="24"/>
              </w:rPr>
              <w:t>Horrea Graminaria</w:t>
            </w:r>
          </w:p>
        </w:tc>
        <w:tc>
          <w:tcPr>
            <w:tcW w:w="3554" w:type="dxa"/>
            <w:vAlign w:val="bottom"/>
          </w:tcPr>
          <w:p w:rsidR="00AC0619" w:rsidRPr="00AC0619" w:rsidRDefault="00AC0619">
            <w:pPr>
              <w:rPr>
                <w:sz w:val="24"/>
                <w:szCs w:val="24"/>
              </w:rPr>
            </w:pPr>
          </w:p>
        </w:tc>
        <w:tc>
          <w:tcPr>
            <w:tcW w:w="3589" w:type="dxa"/>
            <w:vAlign w:val="bottom"/>
          </w:tcPr>
          <w:p w:rsidR="00AC0619" w:rsidRPr="00AC0619" w:rsidRDefault="00AC0619">
            <w:pPr>
              <w:rPr>
                <w:sz w:val="24"/>
                <w:szCs w:val="24"/>
              </w:rPr>
            </w:pPr>
          </w:p>
        </w:tc>
      </w:tr>
      <w:tr w:rsidR="00AC0619" w:rsidTr="006B4565">
        <w:tc>
          <w:tcPr>
            <w:tcW w:w="2099" w:type="dxa"/>
          </w:tcPr>
          <w:p w:rsidR="00AC0619" w:rsidRPr="00AC0619" w:rsidRDefault="00AC0619" w:rsidP="004C7171">
            <w:pPr>
              <w:jc w:val="center"/>
              <w:rPr>
                <w:sz w:val="24"/>
                <w:szCs w:val="24"/>
              </w:rPr>
            </w:pPr>
            <w:r w:rsidRPr="00AC0619">
              <w:rPr>
                <w:sz w:val="24"/>
                <w:szCs w:val="24"/>
              </w:rPr>
              <w:t>Baths of Caesar (</w:t>
            </w:r>
            <w:r w:rsidRPr="00AC0619">
              <w:rPr>
                <w:i/>
                <w:iCs/>
                <w:sz w:val="24"/>
                <w:szCs w:val="24"/>
              </w:rPr>
              <w:t>balneum Caesaris</w:t>
            </w:r>
            <w:r w:rsidRPr="00AC0619">
              <w:rPr>
                <w:sz w:val="24"/>
                <w:szCs w:val="24"/>
              </w:rPr>
              <w:t>)</w:t>
            </w:r>
          </w:p>
          <w:p w:rsidR="00AC0619" w:rsidRPr="00AC0619" w:rsidRDefault="00AC0619" w:rsidP="004C7171">
            <w:pPr>
              <w:spacing w:line="480" w:lineRule="auto"/>
              <w:jc w:val="center"/>
              <w:rPr>
                <w:b/>
                <w:sz w:val="24"/>
                <w:szCs w:val="24"/>
                <w:u w:val="single"/>
              </w:rPr>
            </w:pP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tcPr>
          <w:p w:rsidR="00AC0619" w:rsidRPr="00AC0619" w:rsidRDefault="00AC0619" w:rsidP="004C7171">
            <w:pPr>
              <w:jc w:val="center"/>
              <w:rPr>
                <w:sz w:val="24"/>
                <w:szCs w:val="24"/>
              </w:rPr>
            </w:pPr>
            <w:r w:rsidRPr="00AC0619">
              <w:rPr>
                <w:sz w:val="24"/>
                <w:szCs w:val="24"/>
              </w:rPr>
              <w:t>Lighting warehouse (</w:t>
            </w:r>
            <w:r w:rsidRPr="00AC0619">
              <w:rPr>
                <w:i/>
                <w:iCs/>
                <w:sz w:val="24"/>
                <w:szCs w:val="24"/>
              </w:rPr>
              <w:t>horrea Candelaria</w:t>
            </w:r>
            <w:r w:rsidRPr="00AC0619">
              <w:rPr>
                <w:sz w:val="24"/>
                <w:szCs w:val="24"/>
              </w:rPr>
              <w:t>)</w:t>
            </w:r>
          </w:p>
          <w:p w:rsidR="00AC0619" w:rsidRPr="00AC0619" w:rsidRDefault="00AC0619" w:rsidP="004C7171">
            <w:pPr>
              <w:spacing w:line="480" w:lineRule="auto"/>
              <w:jc w:val="center"/>
              <w:rPr>
                <w:b/>
                <w:sz w:val="24"/>
                <w:szCs w:val="24"/>
                <w:u w:val="single"/>
              </w:rPr>
            </w:pP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The Gardens of Celonia (Ceionia) Fabia (</w:t>
            </w:r>
            <w:r w:rsidRPr="00AC0619">
              <w:rPr>
                <w:i/>
                <w:iCs/>
                <w:sz w:val="24"/>
                <w:szCs w:val="24"/>
              </w:rPr>
              <w:t>horti Celoniae [Ceioniae] Fabiae</w:t>
            </w:r>
            <w:r w:rsidRPr="00AC0619">
              <w:rPr>
                <w:sz w:val="24"/>
                <w:szCs w:val="24"/>
              </w:rPr>
              <w:t>)</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Gardens of Pallas (</w:t>
            </w:r>
            <w:r w:rsidRPr="006B4565">
              <w:rPr>
                <w:i/>
                <w:sz w:val="24"/>
                <w:szCs w:val="24"/>
              </w:rPr>
              <w:t>horti Pallantiani</w:t>
            </w:r>
            <w:r w:rsidRPr="00AC0619">
              <w:rPr>
                <w:sz w:val="24"/>
                <w:szCs w:val="24"/>
              </w:rPr>
              <w:t>) or of Pompey (</w:t>
            </w:r>
            <w:r w:rsidRPr="006B4565">
              <w:rPr>
                <w:i/>
                <w:sz w:val="24"/>
                <w:szCs w:val="24"/>
              </w:rPr>
              <w:t>horti Pompeiani</w:t>
            </w:r>
            <w:r w:rsidRPr="00AC0619">
              <w:rPr>
                <w:sz w:val="24"/>
                <w:szCs w:val="24"/>
              </w:rPr>
              <w:t>)?</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Temple of Faustina (</w:t>
            </w:r>
            <w:r w:rsidRPr="00AC0619">
              <w:rPr>
                <w:i/>
                <w:iCs/>
                <w:sz w:val="24"/>
                <w:szCs w:val="24"/>
              </w:rPr>
              <w:t>aedes Faustinae</w:t>
            </w:r>
            <w:r w:rsidRPr="00AC0619">
              <w:rPr>
                <w:sz w:val="24"/>
                <w:szCs w:val="24"/>
              </w:rPr>
              <w:t>) on the Palatine Hill (</w:t>
            </w:r>
            <w:r w:rsidRPr="00AC0619">
              <w:rPr>
                <w:i/>
                <w:iCs/>
                <w:sz w:val="24"/>
                <w:szCs w:val="24"/>
              </w:rPr>
              <w:t>Palatium</w:t>
            </w:r>
            <w:r w:rsidRPr="00AC0619">
              <w:rPr>
                <w:sz w:val="24"/>
                <w:szCs w:val="24"/>
              </w:rPr>
              <w:t>)</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Baths of Titus (</w:t>
            </w:r>
            <w:r w:rsidR="00C43F79">
              <w:rPr>
                <w:i/>
                <w:iCs/>
                <w:sz w:val="24"/>
                <w:szCs w:val="24"/>
              </w:rPr>
              <w:t>thermae</w:t>
            </w:r>
            <w:r w:rsidRPr="00AC0619">
              <w:rPr>
                <w:i/>
                <w:iCs/>
                <w:sz w:val="24"/>
                <w:szCs w:val="24"/>
              </w:rPr>
              <w:t xml:space="preserve"> Titi</w:t>
            </w:r>
            <w:r w:rsidRPr="00AC0619">
              <w:rPr>
                <w:sz w:val="24"/>
                <w:szCs w:val="24"/>
              </w:rPr>
              <w:t>)?</w:t>
            </w:r>
          </w:p>
        </w:tc>
        <w:tc>
          <w:tcPr>
            <w:tcW w:w="3554" w:type="dxa"/>
            <w:vAlign w:val="bottom"/>
          </w:tcPr>
          <w:p w:rsidR="00AC0619" w:rsidRPr="00AC0619" w:rsidRDefault="00AC0619">
            <w:pPr>
              <w:rPr>
                <w:sz w:val="24"/>
                <w:szCs w:val="24"/>
              </w:rPr>
            </w:pPr>
            <w:r w:rsidRPr="00AC0619">
              <w:rPr>
                <w:sz w:val="24"/>
                <w:szCs w:val="24"/>
              </w:rPr>
              <w:t>X</w:t>
            </w:r>
          </w:p>
        </w:tc>
        <w:tc>
          <w:tcPr>
            <w:tcW w:w="3589" w:type="dxa"/>
            <w:vAlign w:val="bottom"/>
          </w:tcPr>
          <w:p w:rsidR="00AC0619" w:rsidRPr="00AC0619" w:rsidRDefault="00AC0619">
            <w:pPr>
              <w:rPr>
                <w:sz w:val="24"/>
                <w:szCs w:val="24"/>
              </w:rPr>
            </w:pPr>
            <w:r w:rsidRPr="00AC0619">
              <w:rPr>
                <w:sz w:val="24"/>
                <w:szCs w:val="24"/>
              </w:rPr>
              <w:t>X</w:t>
            </w:r>
          </w:p>
        </w:tc>
      </w:tr>
      <w:tr w:rsidR="00AC0619" w:rsidTr="006B4565">
        <w:tc>
          <w:tcPr>
            <w:tcW w:w="2099" w:type="dxa"/>
            <w:vAlign w:val="bottom"/>
          </w:tcPr>
          <w:p w:rsidR="00AC0619" w:rsidRPr="00AC0619" w:rsidRDefault="00AC0619">
            <w:pPr>
              <w:rPr>
                <w:sz w:val="24"/>
                <w:szCs w:val="24"/>
              </w:rPr>
            </w:pPr>
            <w:r w:rsidRPr="00AC0619">
              <w:rPr>
                <w:sz w:val="24"/>
                <w:szCs w:val="24"/>
              </w:rPr>
              <w:t>Baths of Trajan (</w:t>
            </w:r>
            <w:r w:rsidR="00C43F79">
              <w:rPr>
                <w:i/>
                <w:iCs/>
                <w:sz w:val="24"/>
                <w:szCs w:val="24"/>
              </w:rPr>
              <w:t>thermae</w:t>
            </w:r>
            <w:r w:rsidRPr="00AC0619">
              <w:rPr>
                <w:i/>
                <w:iCs/>
                <w:sz w:val="24"/>
                <w:szCs w:val="24"/>
              </w:rPr>
              <w:t xml:space="preserve"> Traiani</w:t>
            </w:r>
            <w:r w:rsidRPr="00AC0619">
              <w:rPr>
                <w:sz w:val="24"/>
                <w:szCs w:val="24"/>
              </w:rPr>
              <w:t>)</w:t>
            </w:r>
          </w:p>
        </w:tc>
        <w:tc>
          <w:tcPr>
            <w:tcW w:w="3554" w:type="dxa"/>
            <w:vAlign w:val="bottom"/>
          </w:tcPr>
          <w:p w:rsidR="00AC0619" w:rsidRPr="00AC0619" w:rsidRDefault="00AC0619">
            <w:pPr>
              <w:rPr>
                <w:sz w:val="24"/>
                <w:szCs w:val="24"/>
              </w:rPr>
            </w:pPr>
            <w:r w:rsidRPr="00AC0619">
              <w:rPr>
                <w:sz w:val="24"/>
                <w:szCs w:val="24"/>
              </w:rPr>
              <w:t>X</w:t>
            </w:r>
          </w:p>
        </w:tc>
        <w:tc>
          <w:tcPr>
            <w:tcW w:w="3589" w:type="dxa"/>
            <w:vAlign w:val="bottom"/>
          </w:tcPr>
          <w:p w:rsidR="00AC0619" w:rsidRPr="00AC0619" w:rsidRDefault="00AC0619">
            <w:pPr>
              <w:rPr>
                <w:sz w:val="24"/>
                <w:szCs w:val="24"/>
              </w:rPr>
            </w:pPr>
            <w:r w:rsidRPr="00AC0619">
              <w:rPr>
                <w:sz w:val="24"/>
                <w:szCs w:val="24"/>
              </w:rPr>
              <w:t>X</w:t>
            </w:r>
          </w:p>
        </w:tc>
      </w:tr>
      <w:tr w:rsidR="00AC0619" w:rsidTr="006B4565">
        <w:tc>
          <w:tcPr>
            <w:tcW w:w="2099" w:type="dxa"/>
            <w:vAlign w:val="bottom"/>
          </w:tcPr>
          <w:p w:rsidR="00AC0619" w:rsidRPr="00AC0619" w:rsidRDefault="00AC0619">
            <w:pPr>
              <w:rPr>
                <w:sz w:val="24"/>
                <w:szCs w:val="24"/>
              </w:rPr>
            </w:pPr>
            <w:r w:rsidRPr="00AC0619">
              <w:rPr>
                <w:sz w:val="24"/>
                <w:szCs w:val="24"/>
              </w:rPr>
              <w:t>The Market of Livia (</w:t>
            </w:r>
            <w:r w:rsidRPr="00AC0619">
              <w:rPr>
                <w:i/>
                <w:iCs/>
                <w:sz w:val="24"/>
                <w:szCs w:val="24"/>
              </w:rPr>
              <w:t>macellum Liviae</w:t>
            </w:r>
            <w:r w:rsidRPr="00AC0619">
              <w:rPr>
                <w:sz w:val="24"/>
                <w:szCs w:val="24"/>
              </w:rPr>
              <w:t xml:space="preserve">) or the Great </w:t>
            </w:r>
            <w:r w:rsidRPr="00AC0619">
              <w:rPr>
                <w:sz w:val="24"/>
                <w:szCs w:val="24"/>
              </w:rPr>
              <w:lastRenderedPageBreak/>
              <w:t>Market (</w:t>
            </w:r>
            <w:r w:rsidRPr="00AC0619">
              <w:rPr>
                <w:i/>
                <w:iCs/>
                <w:sz w:val="24"/>
                <w:szCs w:val="24"/>
              </w:rPr>
              <w:t>macellum Magnum</w:t>
            </w:r>
            <w:r w:rsidRPr="00AC0619">
              <w:rPr>
                <w:sz w:val="24"/>
                <w:szCs w:val="24"/>
              </w:rPr>
              <w:t>)?</w:t>
            </w:r>
          </w:p>
        </w:tc>
        <w:tc>
          <w:tcPr>
            <w:tcW w:w="3554" w:type="dxa"/>
            <w:vAlign w:val="bottom"/>
          </w:tcPr>
          <w:p w:rsidR="00AC0619" w:rsidRPr="001F1C61" w:rsidRDefault="00AC0619">
            <w:pPr>
              <w:rPr>
                <w:i/>
                <w:sz w:val="24"/>
                <w:szCs w:val="24"/>
              </w:rPr>
            </w:pPr>
            <w:r w:rsidRPr="001F1C61">
              <w:rPr>
                <w:i/>
                <w:sz w:val="24"/>
                <w:szCs w:val="24"/>
              </w:rPr>
              <w:lastRenderedPageBreak/>
              <w:t>Livia Regio V and Macellum Magnum Regio II</w:t>
            </w:r>
          </w:p>
        </w:tc>
        <w:tc>
          <w:tcPr>
            <w:tcW w:w="3589" w:type="dxa"/>
            <w:vAlign w:val="bottom"/>
          </w:tcPr>
          <w:p w:rsidR="00AC0619" w:rsidRPr="001F1C61" w:rsidRDefault="00AC0619">
            <w:pPr>
              <w:rPr>
                <w:i/>
                <w:sz w:val="24"/>
                <w:szCs w:val="24"/>
              </w:rPr>
            </w:pPr>
            <w:r w:rsidRPr="001F1C61">
              <w:rPr>
                <w:i/>
                <w:sz w:val="24"/>
                <w:szCs w:val="24"/>
              </w:rPr>
              <w:t>Livia Regio V and Macellum Magnum Regio II</w:t>
            </w:r>
          </w:p>
        </w:tc>
      </w:tr>
      <w:tr w:rsidR="00AC0619" w:rsidTr="006B4565">
        <w:tc>
          <w:tcPr>
            <w:tcW w:w="2099" w:type="dxa"/>
            <w:vAlign w:val="bottom"/>
          </w:tcPr>
          <w:p w:rsidR="00AC0619" w:rsidRPr="00AC0619" w:rsidRDefault="00AC0619">
            <w:pPr>
              <w:rPr>
                <w:sz w:val="24"/>
                <w:szCs w:val="24"/>
              </w:rPr>
            </w:pPr>
            <w:r w:rsidRPr="00AC0619">
              <w:rPr>
                <w:sz w:val="24"/>
                <w:szCs w:val="24"/>
              </w:rPr>
              <w:lastRenderedPageBreak/>
              <w:t>Temple of Janus, Roman Forum?</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Temple to Jupiter Fulgur (</w:t>
            </w:r>
            <w:r w:rsidRPr="00AC0619">
              <w:rPr>
                <w:i/>
                <w:iCs/>
                <w:sz w:val="24"/>
                <w:szCs w:val="24"/>
              </w:rPr>
              <w:t>aedificium Iovi Fulguri</w:t>
            </w:r>
            <w:r w:rsidRPr="00AC0619">
              <w:rPr>
                <w:sz w:val="24"/>
                <w:szCs w:val="24"/>
              </w:rPr>
              <w:t>)?</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Temple of Mars (</w:t>
            </w:r>
            <w:r w:rsidRPr="00AC0619">
              <w:rPr>
                <w:i/>
                <w:iCs/>
                <w:sz w:val="24"/>
                <w:szCs w:val="24"/>
              </w:rPr>
              <w:t>aedis Martis in circo</w:t>
            </w:r>
            <w:r w:rsidRPr="00AC0619">
              <w:rPr>
                <w:sz w:val="24"/>
                <w:szCs w:val="24"/>
              </w:rPr>
              <w:t>)?</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Area of the) Four Baths (</w:t>
            </w:r>
            <w:r w:rsidRPr="00AC0619">
              <w:rPr>
                <w:i/>
                <w:iCs/>
                <w:sz w:val="24"/>
                <w:szCs w:val="24"/>
              </w:rPr>
              <w:t>balnea quattuor</w:t>
            </w:r>
            <w:r w:rsidRPr="00AC0619">
              <w:rPr>
                <w:sz w:val="24"/>
                <w:szCs w:val="24"/>
              </w:rPr>
              <w:t>)</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Section of large </w:t>
            </w:r>
            <w:r w:rsidRPr="00AC0619">
              <w:rPr>
                <w:i/>
                <w:iCs/>
                <w:sz w:val="24"/>
                <w:szCs w:val="24"/>
              </w:rPr>
              <w:t>porticus</w:t>
            </w:r>
            <w:r w:rsidR="009C7AF1">
              <w:rPr>
                <w:i/>
                <w:iCs/>
                <w:sz w:val="24"/>
                <w:szCs w:val="24"/>
              </w:rPr>
              <w:t xml:space="preserve"> </w:t>
            </w:r>
            <w:r w:rsidRPr="00AC0619">
              <w:rPr>
                <w:sz w:val="24"/>
                <w:szCs w:val="24"/>
              </w:rPr>
              <w:t>flanked by shops (</w:t>
            </w:r>
            <w:r w:rsidRPr="00AC0619">
              <w:rPr>
                <w:i/>
                <w:iCs/>
                <w:sz w:val="24"/>
                <w:szCs w:val="24"/>
              </w:rPr>
              <w:t>tabernae</w:t>
            </w:r>
            <w:r w:rsidRPr="00AC0619">
              <w:rPr>
                <w:sz w:val="24"/>
                <w:szCs w:val="24"/>
              </w:rPr>
              <w:t>) and arcades (</w:t>
            </w:r>
            <w:r w:rsidRPr="00AC0619">
              <w:rPr>
                <w:i/>
                <w:iCs/>
                <w:sz w:val="24"/>
                <w:szCs w:val="24"/>
              </w:rPr>
              <w:t>porticus Vipsania?)</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proofErr w:type="gramStart"/>
            <w:r w:rsidRPr="00AC0619">
              <w:rPr>
                <w:sz w:val="24"/>
                <w:szCs w:val="24"/>
              </w:rPr>
              <w:t>the</w:t>
            </w:r>
            <w:proofErr w:type="gramEnd"/>
            <w:r w:rsidRPr="00AC0619">
              <w:rPr>
                <w:sz w:val="24"/>
                <w:szCs w:val="24"/>
              </w:rPr>
              <w:t xml:space="preserve"> Temple of Fides (</w:t>
            </w:r>
            <w:r w:rsidRPr="00AC0619">
              <w:rPr>
                <w:i/>
                <w:iCs/>
                <w:sz w:val="24"/>
                <w:szCs w:val="24"/>
              </w:rPr>
              <w:t>aedes Fidei</w:t>
            </w:r>
            <w:r w:rsidRPr="00AC0619">
              <w:rPr>
                <w:sz w:val="24"/>
                <w:szCs w:val="24"/>
              </w:rPr>
              <w:t xml:space="preserve">)? </w:t>
            </w:r>
            <w:proofErr w:type="gramStart"/>
            <w:r w:rsidRPr="00AC0619">
              <w:rPr>
                <w:sz w:val="24"/>
                <w:szCs w:val="24"/>
              </w:rPr>
              <w:t>and</w:t>
            </w:r>
            <w:proofErr w:type="gramEnd"/>
            <w:r w:rsidRPr="00AC0619">
              <w:rPr>
                <w:sz w:val="24"/>
                <w:szCs w:val="24"/>
              </w:rPr>
              <w:t xml:space="preserve"> the One Hundred Steps (</w:t>
            </w:r>
            <w:r w:rsidRPr="00AC0619">
              <w:rPr>
                <w:i/>
                <w:iCs/>
                <w:sz w:val="24"/>
                <w:szCs w:val="24"/>
              </w:rPr>
              <w:t>centum gradus</w:t>
            </w:r>
            <w:r w:rsidRPr="00AC0619">
              <w:rPr>
                <w:sz w:val="24"/>
                <w:szCs w:val="24"/>
              </w:rPr>
              <w:t>)?</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 xml:space="preserve">Arch of Septimius </w:t>
            </w:r>
            <w:r w:rsidR="009C7AF1" w:rsidRPr="00AC0619">
              <w:rPr>
                <w:sz w:val="24"/>
                <w:szCs w:val="24"/>
              </w:rPr>
              <w:t>Severus</w:t>
            </w:r>
            <w:r w:rsidRPr="00AC0619">
              <w:rPr>
                <w:sz w:val="24"/>
                <w:szCs w:val="24"/>
              </w:rPr>
              <w:t xml:space="preserve"> (</w:t>
            </w:r>
            <w:r w:rsidRPr="00AC0619">
              <w:rPr>
                <w:i/>
                <w:iCs/>
                <w:sz w:val="24"/>
                <w:szCs w:val="24"/>
              </w:rPr>
              <w:t>arcus Severianus</w:t>
            </w:r>
            <w:r w:rsidRPr="00AC0619">
              <w:rPr>
                <w:sz w:val="24"/>
                <w:szCs w:val="24"/>
              </w:rPr>
              <w:t>)</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r w:rsidR="00AC0619" w:rsidTr="006B4565">
        <w:tc>
          <w:tcPr>
            <w:tcW w:w="2099" w:type="dxa"/>
            <w:vAlign w:val="bottom"/>
          </w:tcPr>
          <w:p w:rsidR="00AC0619" w:rsidRPr="00AC0619" w:rsidRDefault="00AC0619">
            <w:pPr>
              <w:rPr>
                <w:sz w:val="24"/>
                <w:szCs w:val="24"/>
              </w:rPr>
            </w:pPr>
            <w:r w:rsidRPr="00AC0619">
              <w:rPr>
                <w:sz w:val="24"/>
                <w:szCs w:val="24"/>
              </w:rPr>
              <w:t>Pons Aemilius (</w:t>
            </w:r>
            <w:r w:rsidRPr="006B4565">
              <w:rPr>
                <w:i/>
                <w:sz w:val="24"/>
                <w:szCs w:val="24"/>
              </w:rPr>
              <w:t>pons Aemilius</w:t>
            </w:r>
            <w:r w:rsidRPr="00AC0619">
              <w:rPr>
                <w:sz w:val="24"/>
                <w:szCs w:val="24"/>
              </w:rPr>
              <w:t>)?</w:t>
            </w:r>
          </w:p>
        </w:tc>
        <w:tc>
          <w:tcPr>
            <w:tcW w:w="3554" w:type="dxa"/>
          </w:tcPr>
          <w:p w:rsidR="00AC0619" w:rsidRPr="00AC0619" w:rsidRDefault="00AC0619" w:rsidP="00FB0E26">
            <w:pPr>
              <w:spacing w:line="480" w:lineRule="auto"/>
              <w:rPr>
                <w:b/>
                <w:sz w:val="24"/>
                <w:szCs w:val="24"/>
                <w:u w:val="single"/>
              </w:rPr>
            </w:pPr>
          </w:p>
        </w:tc>
        <w:tc>
          <w:tcPr>
            <w:tcW w:w="3589" w:type="dxa"/>
          </w:tcPr>
          <w:p w:rsidR="00AC0619" w:rsidRPr="00AC0619" w:rsidRDefault="00AC0619" w:rsidP="00FB0E26">
            <w:pPr>
              <w:spacing w:line="480" w:lineRule="auto"/>
              <w:rPr>
                <w:b/>
                <w:sz w:val="24"/>
                <w:szCs w:val="24"/>
                <w:u w:val="single"/>
              </w:rPr>
            </w:pPr>
          </w:p>
        </w:tc>
      </w:tr>
    </w:tbl>
    <w:p w:rsidR="00FB0E26" w:rsidRPr="00FB0E26" w:rsidRDefault="00FB0E26" w:rsidP="00FB0E26">
      <w:pPr>
        <w:spacing w:line="480" w:lineRule="auto"/>
        <w:rPr>
          <w:b/>
          <w:sz w:val="24"/>
          <w:szCs w:val="24"/>
          <w:u w:val="single"/>
        </w:rPr>
      </w:pPr>
      <w:r w:rsidRPr="00FB0E26">
        <w:rPr>
          <w:b/>
          <w:sz w:val="24"/>
          <w:szCs w:val="24"/>
          <w:u w:val="single"/>
        </w:rPr>
        <w:br w:type="page"/>
      </w:r>
    </w:p>
    <w:p w:rsidR="002456E3" w:rsidRDefault="002456E3" w:rsidP="00551E4B">
      <w:pPr>
        <w:jc w:val="center"/>
        <w:rPr>
          <w:b/>
          <w:sz w:val="24"/>
          <w:szCs w:val="24"/>
          <w:u w:val="single"/>
        </w:rPr>
        <w:sectPr w:rsidR="002456E3" w:rsidSect="00AB606C">
          <w:footerReference w:type="default" r:id="rId32"/>
          <w:pgSz w:w="11906" w:h="16838"/>
          <w:pgMar w:top="1440" w:right="1440" w:bottom="1440" w:left="1440" w:header="708" w:footer="708" w:gutter="0"/>
          <w:cols w:space="708"/>
          <w:docGrid w:linePitch="360"/>
        </w:sectPr>
      </w:pPr>
    </w:p>
    <w:p w:rsidR="00551E4B" w:rsidRPr="00F36F7D" w:rsidRDefault="00551E4B" w:rsidP="00551E4B">
      <w:pPr>
        <w:jc w:val="center"/>
        <w:rPr>
          <w:sz w:val="24"/>
          <w:szCs w:val="24"/>
          <w:u w:val="single"/>
        </w:rPr>
      </w:pPr>
      <w:r w:rsidRPr="00F36F7D">
        <w:rPr>
          <w:b/>
          <w:sz w:val="24"/>
          <w:szCs w:val="24"/>
          <w:u w:val="single"/>
        </w:rPr>
        <w:lastRenderedPageBreak/>
        <w:t>Bibliography:</w:t>
      </w:r>
    </w:p>
    <w:p w:rsidR="00551E4B" w:rsidRPr="00F36F7D" w:rsidRDefault="00551E4B" w:rsidP="00551E4B">
      <w:pPr>
        <w:rPr>
          <w:sz w:val="24"/>
          <w:szCs w:val="24"/>
          <w:u w:val="single"/>
        </w:rPr>
      </w:pPr>
      <w:r w:rsidRPr="00F36F7D">
        <w:rPr>
          <w:sz w:val="24"/>
          <w:szCs w:val="24"/>
          <w:u w:val="single"/>
        </w:rPr>
        <w:t>Primary Sources:</w:t>
      </w:r>
    </w:p>
    <w:p w:rsidR="00551E4B" w:rsidRPr="00F36F7D" w:rsidRDefault="00551E4B" w:rsidP="00551E4B">
      <w:pPr>
        <w:rPr>
          <w:sz w:val="24"/>
          <w:szCs w:val="24"/>
        </w:rPr>
      </w:pPr>
      <w:r w:rsidRPr="00F36F7D">
        <w:rPr>
          <w:sz w:val="24"/>
          <w:szCs w:val="24"/>
        </w:rPr>
        <w:t xml:space="preserve">Ammianus Marcellinus, </w:t>
      </w:r>
      <w:r w:rsidRPr="00F36F7D">
        <w:rPr>
          <w:i/>
          <w:sz w:val="24"/>
          <w:szCs w:val="24"/>
        </w:rPr>
        <w:t>Roman History,</w:t>
      </w:r>
      <w:r w:rsidRPr="00F36F7D">
        <w:rPr>
          <w:sz w:val="24"/>
          <w:szCs w:val="24"/>
        </w:rPr>
        <w:t xml:space="preserve"> trans. John Rolfe (London, 1939)</w:t>
      </w:r>
    </w:p>
    <w:p w:rsidR="00551E4B" w:rsidRPr="00F36F7D" w:rsidRDefault="00551E4B" w:rsidP="00551E4B">
      <w:pPr>
        <w:rPr>
          <w:sz w:val="24"/>
          <w:szCs w:val="24"/>
        </w:rPr>
      </w:pPr>
      <w:r w:rsidRPr="00F36F7D">
        <w:rPr>
          <w:sz w:val="24"/>
          <w:szCs w:val="24"/>
        </w:rPr>
        <w:t xml:space="preserve">Aristotle, </w:t>
      </w:r>
      <w:r w:rsidRPr="00F36F7D">
        <w:rPr>
          <w:i/>
          <w:iCs/>
          <w:sz w:val="24"/>
          <w:szCs w:val="24"/>
        </w:rPr>
        <w:t>Politics,</w:t>
      </w:r>
      <w:r w:rsidRPr="00F36F7D">
        <w:rPr>
          <w:sz w:val="24"/>
          <w:szCs w:val="24"/>
        </w:rPr>
        <w:t xml:space="preserve"> trans. Jowett, D., (Kitchener, 1999)</w:t>
      </w:r>
    </w:p>
    <w:p w:rsidR="00551E4B" w:rsidRPr="00F36F7D" w:rsidRDefault="00551E4B" w:rsidP="00551E4B">
      <w:pPr>
        <w:rPr>
          <w:sz w:val="24"/>
          <w:szCs w:val="24"/>
        </w:rPr>
      </w:pPr>
      <w:r w:rsidRPr="00F36F7D">
        <w:rPr>
          <w:sz w:val="24"/>
          <w:szCs w:val="24"/>
        </w:rPr>
        <w:t xml:space="preserve">Aurelius Victor, </w:t>
      </w:r>
      <w:r w:rsidRPr="00F36F7D">
        <w:rPr>
          <w:i/>
          <w:sz w:val="24"/>
          <w:szCs w:val="24"/>
        </w:rPr>
        <w:t>Liber de Caesaribus</w:t>
      </w:r>
      <w:r w:rsidRPr="00F36F7D">
        <w:rPr>
          <w:sz w:val="24"/>
          <w:szCs w:val="24"/>
        </w:rPr>
        <w:t>, trans. Bird, H.W.,</w:t>
      </w:r>
      <w:r w:rsidRPr="00F36F7D">
        <w:rPr>
          <w:i/>
          <w:sz w:val="24"/>
          <w:szCs w:val="24"/>
        </w:rPr>
        <w:t xml:space="preserve"> </w:t>
      </w:r>
      <w:r w:rsidRPr="00F36F7D">
        <w:rPr>
          <w:sz w:val="24"/>
          <w:szCs w:val="24"/>
        </w:rPr>
        <w:t>(Liverpool, 1994)</w:t>
      </w:r>
    </w:p>
    <w:p w:rsidR="00551E4B" w:rsidRPr="00F36F7D" w:rsidRDefault="00551E4B" w:rsidP="00551E4B">
      <w:pPr>
        <w:rPr>
          <w:sz w:val="24"/>
          <w:szCs w:val="24"/>
        </w:rPr>
      </w:pPr>
      <w:r w:rsidRPr="00F36F7D">
        <w:rPr>
          <w:sz w:val="24"/>
          <w:szCs w:val="24"/>
        </w:rPr>
        <w:t xml:space="preserve">Cassius Dio, </w:t>
      </w:r>
      <w:r w:rsidRPr="00F36F7D">
        <w:rPr>
          <w:i/>
          <w:sz w:val="24"/>
          <w:szCs w:val="24"/>
        </w:rPr>
        <w:t>Roman History</w:t>
      </w:r>
      <w:r w:rsidRPr="00F36F7D">
        <w:rPr>
          <w:sz w:val="24"/>
          <w:szCs w:val="24"/>
        </w:rPr>
        <w:t>, trans. Cary, E., (Oxford, 1927)</w:t>
      </w:r>
    </w:p>
    <w:p w:rsidR="00551E4B" w:rsidRPr="00F36F7D" w:rsidRDefault="00551E4B" w:rsidP="00551E4B">
      <w:pPr>
        <w:rPr>
          <w:i/>
          <w:sz w:val="24"/>
          <w:szCs w:val="24"/>
        </w:rPr>
      </w:pPr>
      <w:r w:rsidRPr="00F36F7D">
        <w:rPr>
          <w:i/>
          <w:sz w:val="24"/>
          <w:szCs w:val="24"/>
        </w:rPr>
        <w:t>Codex Carolinus</w:t>
      </w:r>
      <w:r w:rsidRPr="00F36F7D">
        <w:rPr>
          <w:sz w:val="24"/>
          <w:szCs w:val="24"/>
        </w:rPr>
        <w:t>, Gundlach, W (ed.), (Berlin, 1892)</w:t>
      </w:r>
    </w:p>
    <w:p w:rsidR="00551E4B" w:rsidRPr="00F36F7D" w:rsidRDefault="00551E4B" w:rsidP="00551E4B">
      <w:pPr>
        <w:rPr>
          <w:sz w:val="24"/>
          <w:szCs w:val="24"/>
        </w:rPr>
      </w:pPr>
      <w:r w:rsidRPr="00F36F7D">
        <w:rPr>
          <w:i/>
          <w:sz w:val="24"/>
          <w:szCs w:val="24"/>
        </w:rPr>
        <w:t>Codex Theodosianus</w:t>
      </w:r>
      <w:r w:rsidRPr="00F36F7D">
        <w:rPr>
          <w:sz w:val="24"/>
          <w:szCs w:val="24"/>
        </w:rPr>
        <w:t>, trans. Pharr, C., Davidson, T.S., and Pharr, M.B. (</w:t>
      </w:r>
      <w:proofErr w:type="gramStart"/>
      <w:r w:rsidRPr="00F36F7D">
        <w:rPr>
          <w:sz w:val="24"/>
          <w:szCs w:val="24"/>
        </w:rPr>
        <w:t>eds</w:t>
      </w:r>
      <w:proofErr w:type="gramEnd"/>
      <w:r w:rsidRPr="00F36F7D">
        <w:rPr>
          <w:sz w:val="24"/>
          <w:szCs w:val="24"/>
        </w:rPr>
        <w:t>), (Union NJ, 2001)</w:t>
      </w:r>
    </w:p>
    <w:p w:rsidR="00551E4B" w:rsidRPr="00F36F7D" w:rsidRDefault="00551E4B" w:rsidP="00551E4B">
      <w:pPr>
        <w:rPr>
          <w:sz w:val="24"/>
          <w:szCs w:val="24"/>
        </w:rPr>
      </w:pPr>
      <w:r w:rsidRPr="00F36F7D">
        <w:rPr>
          <w:i/>
          <w:sz w:val="24"/>
          <w:szCs w:val="24"/>
        </w:rPr>
        <w:t>Corpus Iuris Civilis</w:t>
      </w:r>
      <w:r w:rsidRPr="00F36F7D">
        <w:rPr>
          <w:sz w:val="24"/>
          <w:szCs w:val="24"/>
        </w:rPr>
        <w:t>, trans. Scott, S.P., (New York, 1973)</w:t>
      </w:r>
    </w:p>
    <w:p w:rsidR="00551E4B" w:rsidRPr="00F36F7D" w:rsidRDefault="00551E4B" w:rsidP="00551E4B">
      <w:pPr>
        <w:spacing w:line="360" w:lineRule="auto"/>
        <w:jc w:val="both"/>
        <w:rPr>
          <w:i/>
          <w:sz w:val="24"/>
          <w:szCs w:val="24"/>
        </w:rPr>
      </w:pPr>
      <w:r w:rsidRPr="00F36F7D">
        <w:rPr>
          <w:i/>
          <w:sz w:val="24"/>
          <w:szCs w:val="24"/>
        </w:rPr>
        <w:t>Corpus Inscriptionum Latinarum</w:t>
      </w:r>
    </w:p>
    <w:p w:rsidR="00551E4B" w:rsidRPr="00F36F7D" w:rsidRDefault="00551E4B" w:rsidP="00551E4B">
      <w:pPr>
        <w:rPr>
          <w:sz w:val="24"/>
          <w:szCs w:val="24"/>
        </w:rPr>
      </w:pPr>
      <w:r w:rsidRPr="00F36F7D">
        <w:rPr>
          <w:sz w:val="24"/>
          <w:szCs w:val="24"/>
        </w:rPr>
        <w:t xml:space="preserve">Eutropius, </w:t>
      </w:r>
      <w:r w:rsidRPr="00F36F7D">
        <w:rPr>
          <w:i/>
          <w:sz w:val="24"/>
          <w:szCs w:val="24"/>
        </w:rPr>
        <w:t>Breviarium</w:t>
      </w:r>
      <w:r w:rsidRPr="00F36F7D">
        <w:rPr>
          <w:sz w:val="24"/>
          <w:szCs w:val="24"/>
        </w:rPr>
        <w:t>, trans. Bird, H.W. (Liverpool, 1993)</w:t>
      </w:r>
    </w:p>
    <w:p w:rsidR="00551E4B" w:rsidRPr="00122F69" w:rsidRDefault="00551E4B" w:rsidP="00551E4B">
      <w:pPr>
        <w:rPr>
          <w:sz w:val="24"/>
          <w:szCs w:val="24"/>
        </w:rPr>
      </w:pPr>
      <w:r w:rsidRPr="00122F69">
        <w:rPr>
          <w:sz w:val="24"/>
          <w:szCs w:val="24"/>
        </w:rPr>
        <w:t xml:space="preserve">Filocalus, </w:t>
      </w:r>
      <w:proofErr w:type="gramStart"/>
      <w:r w:rsidRPr="00122F69">
        <w:rPr>
          <w:i/>
          <w:sz w:val="24"/>
          <w:szCs w:val="24"/>
        </w:rPr>
        <w:t>The</w:t>
      </w:r>
      <w:proofErr w:type="gramEnd"/>
      <w:r w:rsidRPr="00122F69">
        <w:rPr>
          <w:i/>
          <w:sz w:val="24"/>
          <w:szCs w:val="24"/>
        </w:rPr>
        <w:t xml:space="preserve"> Chronography of 354</w:t>
      </w:r>
    </w:p>
    <w:p w:rsidR="00551E4B" w:rsidRPr="00122F69" w:rsidRDefault="00551E4B" w:rsidP="00551E4B">
      <w:pPr>
        <w:rPr>
          <w:sz w:val="24"/>
          <w:szCs w:val="24"/>
        </w:rPr>
      </w:pPr>
      <w:r w:rsidRPr="00122F69">
        <w:rPr>
          <w:sz w:val="24"/>
          <w:szCs w:val="24"/>
        </w:rPr>
        <w:t xml:space="preserve">Frontinus, </w:t>
      </w:r>
      <w:r w:rsidRPr="00122F69">
        <w:rPr>
          <w:i/>
          <w:sz w:val="24"/>
          <w:szCs w:val="24"/>
        </w:rPr>
        <w:t>De Aquaticibus Urbis Romae</w:t>
      </w:r>
      <w:r w:rsidRPr="00122F69">
        <w:rPr>
          <w:sz w:val="24"/>
          <w:szCs w:val="24"/>
        </w:rPr>
        <w:t>, Book 1:2 (Oxford, 1925)</w:t>
      </w:r>
    </w:p>
    <w:p w:rsidR="00122F69" w:rsidRPr="00122F69" w:rsidRDefault="00122F69" w:rsidP="00551E4B">
      <w:pPr>
        <w:rPr>
          <w:sz w:val="24"/>
          <w:szCs w:val="24"/>
        </w:rPr>
      </w:pPr>
      <w:r w:rsidRPr="00122F69">
        <w:rPr>
          <w:rStyle w:val="apple-converted-space"/>
          <w:rFonts w:cstheme="minorHAnsi"/>
          <w:sz w:val="24"/>
          <w:szCs w:val="24"/>
          <w:shd w:val="clear" w:color="auto" w:fill="FFFFE4"/>
        </w:rPr>
        <w:t xml:space="preserve">John Malalas, </w:t>
      </w:r>
      <w:r w:rsidRPr="00122F69">
        <w:rPr>
          <w:rStyle w:val="apple-converted-space"/>
          <w:rFonts w:cstheme="minorHAnsi"/>
          <w:i/>
          <w:sz w:val="24"/>
          <w:szCs w:val="24"/>
          <w:shd w:val="clear" w:color="auto" w:fill="FFFFE4"/>
        </w:rPr>
        <w:t>Chronographia 12.30</w:t>
      </w:r>
      <w:r w:rsidRPr="00122F69">
        <w:rPr>
          <w:rStyle w:val="apple-converted-space"/>
          <w:rFonts w:cstheme="minorHAnsi"/>
          <w:sz w:val="24"/>
          <w:szCs w:val="24"/>
          <w:shd w:val="clear" w:color="auto" w:fill="FFFFE4"/>
        </w:rPr>
        <w:t>, ed.Ioannes Thurn (Berlin, 2000)</w:t>
      </w:r>
    </w:p>
    <w:p w:rsidR="00551E4B" w:rsidRPr="00122F69" w:rsidRDefault="00551E4B" w:rsidP="00551E4B">
      <w:pPr>
        <w:spacing w:line="360" w:lineRule="auto"/>
        <w:jc w:val="both"/>
        <w:rPr>
          <w:sz w:val="24"/>
          <w:szCs w:val="24"/>
        </w:rPr>
      </w:pPr>
      <w:r w:rsidRPr="00122F69">
        <w:rPr>
          <w:i/>
          <w:sz w:val="24"/>
          <w:szCs w:val="24"/>
        </w:rPr>
        <w:t>Justinian’s Institutes</w:t>
      </w:r>
      <w:r w:rsidRPr="00122F69">
        <w:rPr>
          <w:sz w:val="24"/>
          <w:szCs w:val="24"/>
        </w:rPr>
        <w:t>, Birks, P., McLeod, G., Krueger, P. (</w:t>
      </w:r>
      <w:proofErr w:type="gramStart"/>
      <w:r w:rsidRPr="00122F69">
        <w:rPr>
          <w:sz w:val="24"/>
          <w:szCs w:val="24"/>
        </w:rPr>
        <w:t>eds</w:t>
      </w:r>
      <w:proofErr w:type="gramEnd"/>
      <w:r w:rsidRPr="00122F69">
        <w:rPr>
          <w:sz w:val="24"/>
          <w:szCs w:val="24"/>
        </w:rPr>
        <w:t>), (London, 1987)</w:t>
      </w:r>
    </w:p>
    <w:p w:rsidR="00551E4B" w:rsidRPr="00122F69" w:rsidRDefault="00551E4B" w:rsidP="00551E4B">
      <w:pPr>
        <w:rPr>
          <w:sz w:val="24"/>
          <w:szCs w:val="24"/>
        </w:rPr>
      </w:pPr>
      <w:r w:rsidRPr="00122F69">
        <w:rPr>
          <w:sz w:val="24"/>
          <w:szCs w:val="24"/>
        </w:rPr>
        <w:t xml:space="preserve">Livy, </w:t>
      </w:r>
      <w:proofErr w:type="gramStart"/>
      <w:r w:rsidRPr="00122F69">
        <w:rPr>
          <w:i/>
          <w:sz w:val="24"/>
          <w:szCs w:val="24"/>
        </w:rPr>
        <w:t>The</w:t>
      </w:r>
      <w:proofErr w:type="gramEnd"/>
      <w:r w:rsidRPr="00122F69">
        <w:rPr>
          <w:i/>
          <w:sz w:val="24"/>
          <w:szCs w:val="24"/>
        </w:rPr>
        <w:t xml:space="preserve"> History of Rome</w:t>
      </w:r>
      <w:r w:rsidRPr="00122F69">
        <w:rPr>
          <w:sz w:val="24"/>
          <w:szCs w:val="24"/>
        </w:rPr>
        <w:t xml:space="preserve"> 4.20.7, trans. Foster, B.O., (London, 1926)</w:t>
      </w:r>
    </w:p>
    <w:p w:rsidR="00551E4B" w:rsidRPr="00122F69" w:rsidRDefault="00551E4B" w:rsidP="00551E4B">
      <w:pPr>
        <w:spacing w:line="360" w:lineRule="auto"/>
        <w:jc w:val="both"/>
        <w:rPr>
          <w:i/>
          <w:sz w:val="24"/>
          <w:szCs w:val="24"/>
        </w:rPr>
      </w:pPr>
      <w:r w:rsidRPr="00122F69">
        <w:rPr>
          <w:i/>
          <w:sz w:val="24"/>
          <w:szCs w:val="24"/>
        </w:rPr>
        <w:t xml:space="preserve">Monumenta Germaniae Historica </w:t>
      </w:r>
    </w:p>
    <w:p w:rsidR="00551E4B" w:rsidRPr="00F36F7D" w:rsidRDefault="00551E4B" w:rsidP="00551E4B">
      <w:pPr>
        <w:spacing w:line="360" w:lineRule="auto"/>
        <w:jc w:val="both"/>
        <w:rPr>
          <w:sz w:val="24"/>
          <w:szCs w:val="24"/>
        </w:rPr>
      </w:pPr>
      <w:r w:rsidRPr="00F36F7D">
        <w:rPr>
          <w:i/>
          <w:sz w:val="24"/>
          <w:szCs w:val="24"/>
        </w:rPr>
        <w:t xml:space="preserve">Notitia Dignitatum: Accedunt Notitia urbis Constantinopolitanae </w:t>
      </w:r>
      <w:proofErr w:type="gramStart"/>
      <w:r w:rsidRPr="00F36F7D">
        <w:rPr>
          <w:i/>
          <w:sz w:val="24"/>
          <w:szCs w:val="24"/>
        </w:rPr>
        <w:t>et</w:t>
      </w:r>
      <w:proofErr w:type="gramEnd"/>
      <w:r w:rsidRPr="00F36F7D">
        <w:rPr>
          <w:i/>
          <w:sz w:val="24"/>
          <w:szCs w:val="24"/>
        </w:rPr>
        <w:t xml:space="preserve"> latercula provinciarum</w:t>
      </w:r>
      <w:r w:rsidRPr="00F36F7D">
        <w:rPr>
          <w:sz w:val="24"/>
          <w:szCs w:val="24"/>
        </w:rPr>
        <w:t>, Otto Seeck (ed.) (Franfurt am Main, 1962)</w:t>
      </w:r>
    </w:p>
    <w:p w:rsidR="00551E4B" w:rsidRPr="00F36F7D" w:rsidRDefault="00551E4B" w:rsidP="00551E4B">
      <w:pPr>
        <w:rPr>
          <w:sz w:val="24"/>
          <w:szCs w:val="24"/>
        </w:rPr>
      </w:pPr>
      <w:r w:rsidRPr="00F36F7D">
        <w:rPr>
          <w:sz w:val="24"/>
          <w:szCs w:val="24"/>
        </w:rPr>
        <w:t xml:space="preserve">Procopius, </w:t>
      </w:r>
      <w:r w:rsidRPr="00F36F7D">
        <w:rPr>
          <w:i/>
          <w:sz w:val="24"/>
          <w:szCs w:val="24"/>
        </w:rPr>
        <w:t>Wars of Justinian Vols. 1-7</w:t>
      </w:r>
      <w:r w:rsidRPr="00F36F7D">
        <w:rPr>
          <w:sz w:val="24"/>
          <w:szCs w:val="24"/>
        </w:rPr>
        <w:t>, trans. Dewing, D.B (ed.), (London, 1928)</w:t>
      </w:r>
    </w:p>
    <w:p w:rsidR="00551E4B" w:rsidRPr="00F36F7D" w:rsidRDefault="00551E4B" w:rsidP="00551E4B">
      <w:pPr>
        <w:rPr>
          <w:sz w:val="24"/>
          <w:szCs w:val="24"/>
        </w:rPr>
      </w:pPr>
      <w:r w:rsidRPr="00F36F7D">
        <w:rPr>
          <w:sz w:val="24"/>
          <w:szCs w:val="24"/>
        </w:rPr>
        <w:t xml:space="preserve">Suetonius, </w:t>
      </w:r>
      <w:proofErr w:type="gramStart"/>
      <w:r w:rsidRPr="00F36F7D">
        <w:rPr>
          <w:i/>
          <w:sz w:val="24"/>
          <w:szCs w:val="24"/>
        </w:rPr>
        <w:t>The</w:t>
      </w:r>
      <w:proofErr w:type="gramEnd"/>
      <w:r w:rsidRPr="00F36F7D">
        <w:rPr>
          <w:i/>
          <w:sz w:val="24"/>
          <w:szCs w:val="24"/>
        </w:rPr>
        <w:t xml:space="preserve"> Lives of the Twelves Caesars,</w:t>
      </w:r>
      <w:r w:rsidRPr="00F36F7D">
        <w:rPr>
          <w:sz w:val="24"/>
          <w:szCs w:val="24"/>
        </w:rPr>
        <w:t xml:space="preserve"> trans. Rolfe, J.C.</w:t>
      </w:r>
      <w:r w:rsidRPr="00F36F7D">
        <w:rPr>
          <w:i/>
          <w:sz w:val="24"/>
          <w:szCs w:val="24"/>
        </w:rPr>
        <w:t xml:space="preserve"> </w:t>
      </w:r>
      <w:r w:rsidRPr="00F36F7D">
        <w:rPr>
          <w:sz w:val="24"/>
          <w:szCs w:val="24"/>
        </w:rPr>
        <w:t>(Oxford, 1913)</w:t>
      </w:r>
    </w:p>
    <w:p w:rsidR="00551E4B" w:rsidRPr="00F36F7D" w:rsidRDefault="00551E4B" w:rsidP="00551E4B">
      <w:pPr>
        <w:rPr>
          <w:i/>
          <w:sz w:val="24"/>
          <w:szCs w:val="24"/>
        </w:rPr>
      </w:pPr>
      <w:r w:rsidRPr="00F36F7D">
        <w:rPr>
          <w:sz w:val="24"/>
          <w:szCs w:val="24"/>
        </w:rPr>
        <w:t xml:space="preserve">Suetonius, </w:t>
      </w:r>
      <w:r w:rsidRPr="00F36F7D">
        <w:rPr>
          <w:i/>
          <w:sz w:val="24"/>
          <w:szCs w:val="24"/>
        </w:rPr>
        <w:t>On Rhetoricians</w:t>
      </w:r>
      <w:r w:rsidRPr="00F36F7D">
        <w:rPr>
          <w:sz w:val="24"/>
          <w:szCs w:val="24"/>
        </w:rPr>
        <w:t>, trans. Rolfe, J.C. (London, 1914)</w:t>
      </w:r>
    </w:p>
    <w:p w:rsidR="00551E4B" w:rsidRPr="00F36F7D" w:rsidRDefault="00551E4B" w:rsidP="00551E4B">
      <w:pPr>
        <w:rPr>
          <w:sz w:val="24"/>
          <w:szCs w:val="24"/>
        </w:rPr>
      </w:pPr>
      <w:r w:rsidRPr="00F36F7D">
        <w:rPr>
          <w:i/>
          <w:sz w:val="24"/>
          <w:szCs w:val="24"/>
        </w:rPr>
        <w:t>The Scriptores Historia Augusta</w:t>
      </w:r>
      <w:r w:rsidRPr="00F36F7D">
        <w:rPr>
          <w:sz w:val="24"/>
          <w:szCs w:val="24"/>
        </w:rPr>
        <w:t>, trans. David Magie (London, 1932)</w:t>
      </w:r>
    </w:p>
    <w:p w:rsidR="00551E4B" w:rsidRPr="00F36F7D" w:rsidRDefault="00551E4B" w:rsidP="00551E4B">
      <w:pPr>
        <w:rPr>
          <w:sz w:val="24"/>
          <w:szCs w:val="24"/>
        </w:rPr>
      </w:pPr>
      <w:r w:rsidRPr="00F36F7D">
        <w:rPr>
          <w:sz w:val="24"/>
          <w:szCs w:val="24"/>
        </w:rPr>
        <w:t xml:space="preserve">Valerius Maximus, </w:t>
      </w:r>
      <w:r w:rsidRPr="00F36F7D">
        <w:rPr>
          <w:i/>
          <w:iCs/>
          <w:sz w:val="24"/>
          <w:szCs w:val="24"/>
        </w:rPr>
        <w:t>Memorable Deeds and Sayings</w:t>
      </w:r>
      <w:r w:rsidRPr="00F36F7D">
        <w:rPr>
          <w:sz w:val="24"/>
          <w:szCs w:val="24"/>
        </w:rPr>
        <w:t>, trans. Walker, H.J., (Indianapolis, 2004)</w:t>
      </w:r>
    </w:p>
    <w:p w:rsidR="00551E4B" w:rsidRPr="00F36F7D" w:rsidRDefault="00551E4B" w:rsidP="00551E4B">
      <w:pPr>
        <w:rPr>
          <w:sz w:val="24"/>
          <w:szCs w:val="24"/>
        </w:rPr>
      </w:pPr>
      <w:r w:rsidRPr="00F36F7D">
        <w:rPr>
          <w:sz w:val="24"/>
          <w:szCs w:val="24"/>
        </w:rPr>
        <w:t xml:space="preserve">Virgil, </w:t>
      </w:r>
      <w:proofErr w:type="gramStart"/>
      <w:r w:rsidRPr="00F36F7D">
        <w:rPr>
          <w:i/>
          <w:sz w:val="24"/>
          <w:szCs w:val="24"/>
        </w:rPr>
        <w:t>The</w:t>
      </w:r>
      <w:proofErr w:type="gramEnd"/>
      <w:r w:rsidRPr="00F36F7D">
        <w:rPr>
          <w:i/>
          <w:sz w:val="24"/>
          <w:szCs w:val="24"/>
        </w:rPr>
        <w:t xml:space="preserve"> Aeneid</w:t>
      </w:r>
      <w:r w:rsidRPr="00F36F7D">
        <w:rPr>
          <w:sz w:val="24"/>
          <w:szCs w:val="24"/>
        </w:rPr>
        <w:t>,</w:t>
      </w:r>
      <w:r w:rsidRPr="00F36F7D">
        <w:rPr>
          <w:i/>
          <w:sz w:val="24"/>
          <w:szCs w:val="24"/>
        </w:rPr>
        <w:t xml:space="preserve"> </w:t>
      </w:r>
      <w:r w:rsidRPr="00F36F7D">
        <w:rPr>
          <w:sz w:val="24"/>
          <w:szCs w:val="24"/>
        </w:rPr>
        <w:t>trans. Fairclough, H.R., (London, 1967)</w:t>
      </w:r>
    </w:p>
    <w:p w:rsidR="00551E4B" w:rsidRPr="00F36F7D" w:rsidRDefault="00551E4B" w:rsidP="00551E4B">
      <w:pPr>
        <w:rPr>
          <w:sz w:val="24"/>
          <w:szCs w:val="24"/>
        </w:rPr>
      </w:pPr>
    </w:p>
    <w:p w:rsidR="00551E4B" w:rsidRPr="002F6F13" w:rsidRDefault="00551E4B" w:rsidP="00551E4B">
      <w:pPr>
        <w:rPr>
          <w:sz w:val="24"/>
          <w:szCs w:val="24"/>
          <w:u w:val="single"/>
        </w:rPr>
      </w:pPr>
      <w:r w:rsidRPr="002F6F13">
        <w:rPr>
          <w:sz w:val="24"/>
          <w:szCs w:val="24"/>
          <w:u w:val="single"/>
        </w:rPr>
        <w:t>Secondary Sources: Books</w:t>
      </w:r>
    </w:p>
    <w:p w:rsidR="00551E4B" w:rsidRPr="002F6F13" w:rsidRDefault="00551E4B" w:rsidP="00551E4B">
      <w:pPr>
        <w:rPr>
          <w:sz w:val="24"/>
          <w:szCs w:val="24"/>
        </w:rPr>
      </w:pPr>
      <w:r w:rsidRPr="002F6F13">
        <w:rPr>
          <w:sz w:val="24"/>
          <w:szCs w:val="24"/>
        </w:rPr>
        <w:t xml:space="preserve">Abbott, F.F., </w:t>
      </w:r>
      <w:r w:rsidRPr="002F6F13">
        <w:rPr>
          <w:i/>
          <w:iCs/>
          <w:sz w:val="24"/>
          <w:szCs w:val="24"/>
        </w:rPr>
        <w:t>A History and Description of Roman Political Institutions</w:t>
      </w:r>
      <w:r w:rsidRPr="002F6F13">
        <w:rPr>
          <w:sz w:val="24"/>
          <w:szCs w:val="24"/>
        </w:rPr>
        <w:t xml:space="preserve"> (London, 1901)</w:t>
      </w:r>
    </w:p>
    <w:p w:rsidR="00551E4B" w:rsidRDefault="00551E4B" w:rsidP="00551E4B">
      <w:pPr>
        <w:jc w:val="both"/>
        <w:rPr>
          <w:sz w:val="24"/>
          <w:szCs w:val="24"/>
        </w:rPr>
      </w:pPr>
      <w:r w:rsidRPr="00DE49ED">
        <w:rPr>
          <w:sz w:val="24"/>
          <w:szCs w:val="24"/>
        </w:rPr>
        <w:t xml:space="preserve">Adam, J.P., </w:t>
      </w:r>
      <w:r w:rsidRPr="00DE49ED">
        <w:rPr>
          <w:i/>
          <w:sz w:val="24"/>
          <w:szCs w:val="24"/>
        </w:rPr>
        <w:t>Roman Building Materials and Techniques</w:t>
      </w:r>
      <w:r w:rsidRPr="00DE49ED">
        <w:rPr>
          <w:sz w:val="24"/>
          <w:szCs w:val="24"/>
        </w:rPr>
        <w:t>, trans. Mathews, A., (London, 19</w:t>
      </w:r>
      <w:r>
        <w:rPr>
          <w:sz w:val="24"/>
          <w:szCs w:val="24"/>
        </w:rPr>
        <w:t>94)</w:t>
      </w:r>
    </w:p>
    <w:p w:rsidR="00551E4B" w:rsidRDefault="00551E4B" w:rsidP="00551E4B">
      <w:pPr>
        <w:rPr>
          <w:sz w:val="24"/>
          <w:szCs w:val="24"/>
        </w:rPr>
      </w:pPr>
      <w:r w:rsidRPr="002F6F13">
        <w:rPr>
          <w:sz w:val="24"/>
          <w:szCs w:val="24"/>
        </w:rPr>
        <w:t xml:space="preserve">Anderson Jr., J.C., </w:t>
      </w:r>
      <w:proofErr w:type="gramStart"/>
      <w:r w:rsidRPr="002F6F13">
        <w:rPr>
          <w:i/>
          <w:sz w:val="24"/>
          <w:szCs w:val="24"/>
        </w:rPr>
        <w:t>The</w:t>
      </w:r>
      <w:proofErr w:type="gramEnd"/>
      <w:r w:rsidRPr="002F6F13">
        <w:rPr>
          <w:i/>
          <w:sz w:val="24"/>
          <w:szCs w:val="24"/>
        </w:rPr>
        <w:t xml:space="preserve"> Historical Topography of the </w:t>
      </w:r>
      <w:r w:rsidR="008B44B0">
        <w:rPr>
          <w:i/>
          <w:sz w:val="24"/>
          <w:szCs w:val="24"/>
        </w:rPr>
        <w:t>Imperial</w:t>
      </w:r>
      <w:r w:rsidRPr="002F6F13">
        <w:rPr>
          <w:i/>
          <w:sz w:val="24"/>
          <w:szCs w:val="24"/>
        </w:rPr>
        <w:t xml:space="preserve"> Fora</w:t>
      </w:r>
      <w:r w:rsidRPr="002F6F13">
        <w:rPr>
          <w:sz w:val="24"/>
          <w:szCs w:val="24"/>
        </w:rPr>
        <w:t xml:space="preserve"> (Bruxelles, 1984)</w:t>
      </w:r>
    </w:p>
    <w:p w:rsidR="00551E4B" w:rsidRPr="002F6F13" w:rsidRDefault="00551E4B" w:rsidP="00551E4B">
      <w:pPr>
        <w:rPr>
          <w:sz w:val="24"/>
          <w:szCs w:val="24"/>
        </w:rPr>
      </w:pPr>
      <w:r>
        <w:rPr>
          <w:i/>
          <w:iCs/>
          <w:sz w:val="24"/>
          <w:szCs w:val="24"/>
        </w:rPr>
        <w:t xml:space="preserve">                                </w:t>
      </w:r>
      <w:r w:rsidRPr="00DE49ED">
        <w:rPr>
          <w:i/>
          <w:iCs/>
          <w:sz w:val="24"/>
          <w:szCs w:val="24"/>
        </w:rPr>
        <w:t>Roman Architecture and Society</w:t>
      </w:r>
      <w:r w:rsidRPr="00DE49ED">
        <w:rPr>
          <w:sz w:val="24"/>
          <w:szCs w:val="24"/>
        </w:rPr>
        <w:t xml:space="preserve"> (London, 1997)</w:t>
      </w:r>
    </w:p>
    <w:p w:rsidR="00551E4B" w:rsidRPr="002F6F13" w:rsidRDefault="00551E4B" w:rsidP="00551E4B">
      <w:pPr>
        <w:rPr>
          <w:sz w:val="24"/>
          <w:szCs w:val="24"/>
        </w:rPr>
      </w:pPr>
      <w:r w:rsidRPr="002F6F13">
        <w:rPr>
          <w:sz w:val="24"/>
          <w:szCs w:val="24"/>
        </w:rPr>
        <w:t xml:space="preserve">Ando, C., </w:t>
      </w:r>
      <w:r w:rsidR="008B44B0">
        <w:rPr>
          <w:i/>
          <w:sz w:val="24"/>
          <w:szCs w:val="24"/>
        </w:rPr>
        <w:t>Imperial</w:t>
      </w:r>
      <w:r w:rsidRPr="002F6F13">
        <w:rPr>
          <w:i/>
          <w:sz w:val="24"/>
          <w:szCs w:val="24"/>
        </w:rPr>
        <w:t xml:space="preserve"> Ideology and Provincial Loyalty in the Roman </w:t>
      </w:r>
      <w:r w:rsidRPr="002F6F13">
        <w:rPr>
          <w:sz w:val="24"/>
          <w:szCs w:val="24"/>
        </w:rPr>
        <w:t>Empire (London, 2000)</w:t>
      </w:r>
    </w:p>
    <w:p w:rsidR="00551E4B" w:rsidRPr="002F6F13" w:rsidRDefault="00551E4B" w:rsidP="00551E4B">
      <w:pPr>
        <w:rPr>
          <w:sz w:val="24"/>
          <w:szCs w:val="24"/>
        </w:rPr>
      </w:pPr>
      <w:r w:rsidRPr="002F6F13">
        <w:rPr>
          <w:i/>
          <w:sz w:val="24"/>
          <w:szCs w:val="24"/>
        </w:rPr>
        <w:t xml:space="preserve">                 </w:t>
      </w:r>
      <w:r w:rsidR="008B44B0">
        <w:rPr>
          <w:i/>
          <w:sz w:val="24"/>
          <w:szCs w:val="24"/>
        </w:rPr>
        <w:t>Imperial</w:t>
      </w:r>
      <w:r w:rsidRPr="002F6F13">
        <w:rPr>
          <w:i/>
          <w:sz w:val="24"/>
          <w:szCs w:val="24"/>
        </w:rPr>
        <w:t xml:space="preserve"> Rome AD 193 to 284 </w:t>
      </w:r>
      <w:proofErr w:type="gramStart"/>
      <w:r w:rsidRPr="002F6F13">
        <w:rPr>
          <w:i/>
          <w:sz w:val="24"/>
          <w:szCs w:val="24"/>
        </w:rPr>
        <w:t>The</w:t>
      </w:r>
      <w:proofErr w:type="gramEnd"/>
      <w:r w:rsidRPr="002F6F13">
        <w:rPr>
          <w:i/>
          <w:sz w:val="24"/>
          <w:szCs w:val="24"/>
        </w:rPr>
        <w:t xml:space="preserve"> Critical Century</w:t>
      </w:r>
      <w:r w:rsidRPr="002F6F13">
        <w:rPr>
          <w:sz w:val="24"/>
          <w:szCs w:val="24"/>
        </w:rPr>
        <w:t xml:space="preserve"> (Edinburgh, 2012)</w:t>
      </w:r>
    </w:p>
    <w:p w:rsidR="00551E4B" w:rsidRPr="002F6F13" w:rsidRDefault="00551E4B" w:rsidP="00551E4B">
      <w:pPr>
        <w:rPr>
          <w:bCs/>
          <w:sz w:val="24"/>
          <w:szCs w:val="24"/>
          <w:lang w:eastAsia="zh-TW"/>
        </w:rPr>
      </w:pPr>
      <w:r w:rsidRPr="002F6F13">
        <w:rPr>
          <w:bCs/>
          <w:sz w:val="24"/>
          <w:szCs w:val="24"/>
          <w:lang w:eastAsia="zh-TW"/>
        </w:rPr>
        <w:t xml:space="preserve">                 </w:t>
      </w:r>
      <w:r w:rsidRPr="002F6F13">
        <w:rPr>
          <w:bCs/>
          <w:i/>
          <w:iCs/>
          <w:sz w:val="24"/>
          <w:szCs w:val="24"/>
          <w:lang w:eastAsia="zh-TW"/>
        </w:rPr>
        <w:t>Roman Religion</w:t>
      </w:r>
      <w:r w:rsidRPr="002F6F13">
        <w:rPr>
          <w:bCs/>
          <w:sz w:val="24"/>
          <w:szCs w:val="24"/>
          <w:lang w:eastAsia="zh-TW"/>
        </w:rPr>
        <w:t xml:space="preserve"> (Edinburgh, 2011)</w:t>
      </w:r>
    </w:p>
    <w:p w:rsidR="00551E4B" w:rsidRPr="002F6F13" w:rsidRDefault="00551E4B" w:rsidP="00551E4B">
      <w:pPr>
        <w:rPr>
          <w:sz w:val="24"/>
          <w:szCs w:val="24"/>
        </w:rPr>
      </w:pPr>
      <w:r w:rsidRPr="002F6F13">
        <w:rPr>
          <w:i/>
          <w:iCs/>
          <w:sz w:val="24"/>
          <w:szCs w:val="24"/>
        </w:rPr>
        <w:t xml:space="preserve">                 The Matter of the Gods Religion and the Roman Empire</w:t>
      </w:r>
      <w:r w:rsidRPr="002F6F13">
        <w:rPr>
          <w:sz w:val="24"/>
          <w:szCs w:val="24"/>
        </w:rPr>
        <w:t xml:space="preserve"> (London, 2009)</w:t>
      </w:r>
    </w:p>
    <w:p w:rsidR="00551E4B" w:rsidRPr="002F6F13" w:rsidRDefault="00551E4B" w:rsidP="00551E4B">
      <w:pPr>
        <w:rPr>
          <w:sz w:val="24"/>
          <w:szCs w:val="24"/>
        </w:rPr>
      </w:pPr>
      <w:r w:rsidRPr="002F6F13">
        <w:rPr>
          <w:sz w:val="24"/>
          <w:szCs w:val="24"/>
        </w:rPr>
        <w:t xml:space="preserve">Arnheim, M.T.W., </w:t>
      </w:r>
      <w:r w:rsidR="008B44B0">
        <w:rPr>
          <w:i/>
          <w:sz w:val="24"/>
          <w:szCs w:val="24"/>
        </w:rPr>
        <w:t>Senatorial</w:t>
      </w:r>
      <w:r w:rsidRPr="002F6F13">
        <w:rPr>
          <w:i/>
          <w:sz w:val="24"/>
          <w:szCs w:val="24"/>
        </w:rPr>
        <w:t xml:space="preserve"> Aristocracy in the Later Roman Empire</w:t>
      </w:r>
      <w:r w:rsidRPr="002F6F13">
        <w:rPr>
          <w:sz w:val="24"/>
          <w:szCs w:val="24"/>
        </w:rPr>
        <w:t xml:space="preserve"> (Oxford, 1972)</w:t>
      </w:r>
    </w:p>
    <w:p w:rsidR="00551E4B" w:rsidRPr="002F6F13" w:rsidRDefault="00551E4B" w:rsidP="00551E4B">
      <w:pPr>
        <w:rPr>
          <w:sz w:val="24"/>
          <w:szCs w:val="24"/>
        </w:rPr>
      </w:pPr>
      <w:r w:rsidRPr="002F6F13">
        <w:rPr>
          <w:sz w:val="24"/>
          <w:szCs w:val="24"/>
        </w:rPr>
        <w:t xml:space="preserve">Auguet, R., </w:t>
      </w:r>
      <w:r w:rsidRPr="002F6F13">
        <w:rPr>
          <w:i/>
          <w:sz w:val="24"/>
          <w:szCs w:val="24"/>
        </w:rPr>
        <w:t>Cruelty and Civilization: The Roman Games</w:t>
      </w:r>
      <w:r w:rsidRPr="002F6F13">
        <w:rPr>
          <w:sz w:val="24"/>
          <w:szCs w:val="24"/>
        </w:rPr>
        <w:t xml:space="preserve"> (London, 1994)</w:t>
      </w:r>
    </w:p>
    <w:p w:rsidR="00551E4B" w:rsidRPr="002F6F13" w:rsidRDefault="00551E4B" w:rsidP="00551E4B">
      <w:pPr>
        <w:rPr>
          <w:sz w:val="24"/>
          <w:szCs w:val="24"/>
        </w:rPr>
      </w:pPr>
      <w:r w:rsidRPr="002F6F13">
        <w:rPr>
          <w:sz w:val="24"/>
          <w:szCs w:val="24"/>
        </w:rPr>
        <w:t xml:space="preserve">Bachrach, B.S., </w:t>
      </w:r>
      <w:r w:rsidRPr="002F6F13">
        <w:rPr>
          <w:i/>
          <w:sz w:val="24"/>
          <w:szCs w:val="24"/>
        </w:rPr>
        <w:t>Early Carolingian Warfare Prelude to Empire</w:t>
      </w:r>
      <w:r w:rsidRPr="002F6F13">
        <w:rPr>
          <w:sz w:val="24"/>
          <w:szCs w:val="24"/>
        </w:rPr>
        <w:t xml:space="preserve"> (Philadelphia, 2001)</w:t>
      </w:r>
    </w:p>
    <w:p w:rsidR="00551E4B" w:rsidRPr="002F6F13" w:rsidRDefault="00551E4B" w:rsidP="00551E4B">
      <w:pPr>
        <w:rPr>
          <w:rFonts w:cstheme="minorHAnsi"/>
          <w:sz w:val="24"/>
          <w:szCs w:val="24"/>
        </w:rPr>
      </w:pPr>
      <w:r w:rsidRPr="002F6F13">
        <w:rPr>
          <w:rFonts w:cstheme="minorHAnsi"/>
          <w:sz w:val="24"/>
          <w:szCs w:val="24"/>
        </w:rPr>
        <w:t xml:space="preserve">Ball, W., </w:t>
      </w:r>
      <w:r w:rsidRPr="002F6F13">
        <w:rPr>
          <w:i/>
          <w:sz w:val="24"/>
          <w:szCs w:val="24"/>
        </w:rPr>
        <w:t>Rome in the East: The Transformation of an Empire</w:t>
      </w:r>
      <w:r w:rsidRPr="002F6F13">
        <w:rPr>
          <w:sz w:val="24"/>
          <w:szCs w:val="24"/>
        </w:rPr>
        <w:t xml:space="preserve"> (London, 2000)</w:t>
      </w:r>
    </w:p>
    <w:p w:rsidR="00551E4B" w:rsidRPr="002F6F13" w:rsidRDefault="00551E4B" w:rsidP="00551E4B">
      <w:pPr>
        <w:rPr>
          <w:rFonts w:cs="SabonLTPro-Roman"/>
          <w:sz w:val="24"/>
          <w:szCs w:val="24"/>
        </w:rPr>
      </w:pPr>
      <w:r w:rsidRPr="002F6F13">
        <w:rPr>
          <w:sz w:val="24"/>
          <w:szCs w:val="24"/>
        </w:rPr>
        <w:t xml:space="preserve">Barnes, T.D., </w:t>
      </w:r>
      <w:r w:rsidRPr="002F6F13">
        <w:rPr>
          <w:i/>
          <w:sz w:val="24"/>
          <w:szCs w:val="24"/>
        </w:rPr>
        <w:t xml:space="preserve">Eusebius and Constantine </w:t>
      </w:r>
      <w:r w:rsidRPr="002F6F13">
        <w:rPr>
          <w:sz w:val="24"/>
          <w:szCs w:val="24"/>
        </w:rPr>
        <w:t>(London, 1981)</w:t>
      </w:r>
    </w:p>
    <w:p w:rsidR="00551E4B" w:rsidRDefault="00551E4B" w:rsidP="00551E4B">
      <w:pPr>
        <w:tabs>
          <w:tab w:val="left" w:pos="6945"/>
        </w:tabs>
        <w:jc w:val="both"/>
        <w:rPr>
          <w:sz w:val="24"/>
          <w:szCs w:val="24"/>
        </w:rPr>
      </w:pPr>
      <w:r>
        <w:rPr>
          <w:sz w:val="24"/>
          <w:szCs w:val="24"/>
        </w:rPr>
        <w:t xml:space="preserve">                     </w:t>
      </w:r>
      <w:r w:rsidRPr="00DE49ED">
        <w:rPr>
          <w:i/>
          <w:sz w:val="24"/>
          <w:szCs w:val="24"/>
        </w:rPr>
        <w:t>The New Empire and Diocletian and Constantine</w:t>
      </w:r>
      <w:r>
        <w:rPr>
          <w:sz w:val="24"/>
          <w:szCs w:val="24"/>
        </w:rPr>
        <w:t xml:space="preserve"> (London, 1982)</w:t>
      </w:r>
    </w:p>
    <w:p w:rsidR="00551E4B" w:rsidRDefault="00551E4B" w:rsidP="00551E4B">
      <w:pPr>
        <w:tabs>
          <w:tab w:val="left" w:pos="6945"/>
        </w:tabs>
        <w:jc w:val="both"/>
        <w:rPr>
          <w:sz w:val="24"/>
          <w:szCs w:val="24"/>
        </w:rPr>
      </w:pPr>
      <w:r>
        <w:rPr>
          <w:i/>
          <w:sz w:val="24"/>
          <w:szCs w:val="24"/>
        </w:rPr>
        <w:t xml:space="preserve">                     </w:t>
      </w:r>
      <w:r w:rsidRPr="00DE49ED">
        <w:rPr>
          <w:i/>
          <w:sz w:val="24"/>
          <w:szCs w:val="24"/>
        </w:rPr>
        <w:t>The Sources of the Historia Augusta</w:t>
      </w:r>
      <w:r w:rsidRPr="00DE49ED">
        <w:rPr>
          <w:sz w:val="24"/>
          <w:szCs w:val="24"/>
        </w:rPr>
        <w:t xml:space="preserve"> (Bruxelles, 1978)</w:t>
      </w:r>
    </w:p>
    <w:p w:rsidR="00551E4B" w:rsidRDefault="00551E4B" w:rsidP="00551E4B">
      <w:pPr>
        <w:tabs>
          <w:tab w:val="left" w:pos="6945"/>
        </w:tabs>
        <w:jc w:val="both"/>
        <w:rPr>
          <w:sz w:val="24"/>
          <w:szCs w:val="24"/>
        </w:rPr>
      </w:pPr>
      <w:r w:rsidRPr="00DE49ED">
        <w:rPr>
          <w:sz w:val="24"/>
          <w:szCs w:val="24"/>
        </w:rPr>
        <w:t xml:space="preserve">Bassett, S., </w:t>
      </w:r>
      <w:proofErr w:type="gramStart"/>
      <w:r w:rsidRPr="00DE49ED">
        <w:rPr>
          <w:i/>
          <w:sz w:val="24"/>
          <w:szCs w:val="24"/>
        </w:rPr>
        <w:t>The</w:t>
      </w:r>
      <w:proofErr w:type="gramEnd"/>
      <w:r w:rsidRPr="00DE49ED">
        <w:rPr>
          <w:i/>
          <w:sz w:val="24"/>
          <w:szCs w:val="24"/>
        </w:rPr>
        <w:t xml:space="preserve"> Urban Image of Late Antique Constantinople</w:t>
      </w:r>
      <w:r w:rsidRPr="00DE49ED">
        <w:rPr>
          <w:sz w:val="24"/>
          <w:szCs w:val="24"/>
        </w:rPr>
        <w:t xml:space="preserve"> (Cambridge, 2004)</w:t>
      </w:r>
    </w:p>
    <w:p w:rsidR="00551E4B" w:rsidRPr="002F6F13" w:rsidRDefault="00551E4B" w:rsidP="00551E4B">
      <w:pPr>
        <w:rPr>
          <w:rFonts w:cs="SabonLTPro-Roman"/>
          <w:sz w:val="24"/>
          <w:szCs w:val="24"/>
        </w:rPr>
      </w:pPr>
      <w:r w:rsidRPr="002F6F13">
        <w:rPr>
          <w:sz w:val="24"/>
          <w:szCs w:val="24"/>
        </w:rPr>
        <w:t xml:space="preserve">Baynes, N., </w:t>
      </w:r>
      <w:proofErr w:type="gramStart"/>
      <w:r w:rsidRPr="002F6F13">
        <w:rPr>
          <w:i/>
          <w:sz w:val="24"/>
          <w:szCs w:val="24"/>
        </w:rPr>
        <w:t>The</w:t>
      </w:r>
      <w:proofErr w:type="gramEnd"/>
      <w:r w:rsidRPr="002F6F13">
        <w:rPr>
          <w:i/>
          <w:sz w:val="24"/>
          <w:szCs w:val="24"/>
        </w:rPr>
        <w:t xml:space="preserve"> Historia Augusta Its Date and Purpose</w:t>
      </w:r>
      <w:r w:rsidRPr="002F6F13">
        <w:rPr>
          <w:sz w:val="24"/>
          <w:szCs w:val="24"/>
        </w:rPr>
        <w:t xml:space="preserve"> (Oxford, 1926)</w:t>
      </w:r>
    </w:p>
    <w:p w:rsidR="00551E4B" w:rsidRPr="002F6F13" w:rsidRDefault="00551E4B" w:rsidP="00551E4B">
      <w:pPr>
        <w:rPr>
          <w:rFonts w:cs="SabonLTPro-Roman"/>
          <w:sz w:val="24"/>
          <w:szCs w:val="24"/>
        </w:rPr>
      </w:pPr>
      <w:r w:rsidRPr="002F6F13">
        <w:rPr>
          <w:sz w:val="24"/>
          <w:szCs w:val="24"/>
        </w:rPr>
        <w:t xml:space="preserve">Beard, M., North, S., and Price, S., </w:t>
      </w:r>
      <w:r w:rsidRPr="002F6F13">
        <w:rPr>
          <w:i/>
          <w:sz w:val="24"/>
          <w:szCs w:val="24"/>
        </w:rPr>
        <w:t>Religions of Rome Vol. 2</w:t>
      </w:r>
      <w:r w:rsidRPr="002F6F13">
        <w:rPr>
          <w:sz w:val="24"/>
          <w:szCs w:val="24"/>
        </w:rPr>
        <w:t xml:space="preserve"> (Cambridge, 1998)</w:t>
      </w:r>
    </w:p>
    <w:p w:rsidR="00551E4B" w:rsidRPr="002F6F13" w:rsidRDefault="00551E4B" w:rsidP="00551E4B">
      <w:pPr>
        <w:rPr>
          <w:rFonts w:cs="SabonLTPro-Roman"/>
          <w:sz w:val="24"/>
          <w:szCs w:val="24"/>
        </w:rPr>
      </w:pPr>
      <w:r w:rsidRPr="002F6F13">
        <w:rPr>
          <w:rFonts w:cs="SabonLTPro-Roman"/>
          <w:sz w:val="24"/>
          <w:szCs w:val="24"/>
        </w:rPr>
        <w:t xml:space="preserve">Behrwald, R., </w:t>
      </w:r>
      <w:r w:rsidRPr="002F6F13">
        <w:rPr>
          <w:rFonts w:cs="SabonLTPro-Italic"/>
          <w:i/>
          <w:iCs/>
          <w:sz w:val="24"/>
          <w:szCs w:val="24"/>
        </w:rPr>
        <w:t xml:space="preserve">Die Stadt </w:t>
      </w:r>
      <w:proofErr w:type="gramStart"/>
      <w:r w:rsidRPr="002F6F13">
        <w:rPr>
          <w:rFonts w:cs="SabonLTPro-Italic"/>
          <w:i/>
          <w:iCs/>
          <w:sz w:val="24"/>
          <w:szCs w:val="24"/>
        </w:rPr>
        <w:t>als</w:t>
      </w:r>
      <w:proofErr w:type="gramEnd"/>
      <w:r w:rsidRPr="002F6F13">
        <w:rPr>
          <w:rFonts w:cs="SabonLTPro-Italic"/>
          <w:i/>
          <w:iCs/>
          <w:sz w:val="24"/>
          <w:szCs w:val="24"/>
        </w:rPr>
        <w:t xml:space="preserve"> Museum? Die Wahrnehmung der Monumente Roms in der Spätantike (</w:t>
      </w:r>
      <w:r w:rsidRPr="002F6F13">
        <w:rPr>
          <w:rFonts w:cs="SabonLTPro-Roman"/>
          <w:sz w:val="24"/>
          <w:szCs w:val="24"/>
        </w:rPr>
        <w:t>Berlin, 2009)</w:t>
      </w:r>
    </w:p>
    <w:p w:rsidR="00551E4B" w:rsidRPr="002F6F13" w:rsidRDefault="00551E4B" w:rsidP="00551E4B">
      <w:pPr>
        <w:rPr>
          <w:sz w:val="24"/>
          <w:szCs w:val="24"/>
        </w:rPr>
      </w:pPr>
      <w:r w:rsidRPr="002F6F13">
        <w:rPr>
          <w:sz w:val="24"/>
          <w:szCs w:val="24"/>
        </w:rPr>
        <w:t xml:space="preserve">Bell, A., </w:t>
      </w:r>
      <w:r w:rsidRPr="002F6F13">
        <w:rPr>
          <w:i/>
          <w:sz w:val="24"/>
          <w:szCs w:val="24"/>
        </w:rPr>
        <w:t>Spectacular Power in the Greek and Roman City</w:t>
      </w:r>
      <w:r w:rsidRPr="002F6F13">
        <w:rPr>
          <w:sz w:val="24"/>
          <w:szCs w:val="24"/>
        </w:rPr>
        <w:t xml:space="preserve"> (Oxford, 2006)</w:t>
      </w:r>
    </w:p>
    <w:p w:rsidR="00551E4B" w:rsidRPr="002F6F13" w:rsidRDefault="00551E4B" w:rsidP="00551E4B">
      <w:pPr>
        <w:rPr>
          <w:sz w:val="24"/>
          <w:szCs w:val="24"/>
        </w:rPr>
      </w:pPr>
      <w:r w:rsidRPr="002F6F13">
        <w:rPr>
          <w:sz w:val="24"/>
          <w:szCs w:val="24"/>
        </w:rPr>
        <w:t xml:space="preserve">Bingham, S., </w:t>
      </w:r>
      <w:proofErr w:type="gramStart"/>
      <w:r w:rsidRPr="002F6F13">
        <w:rPr>
          <w:i/>
          <w:sz w:val="24"/>
          <w:szCs w:val="24"/>
        </w:rPr>
        <w:t>The</w:t>
      </w:r>
      <w:proofErr w:type="gramEnd"/>
      <w:r w:rsidRPr="002F6F13">
        <w:rPr>
          <w:i/>
          <w:sz w:val="24"/>
          <w:szCs w:val="24"/>
        </w:rPr>
        <w:t xml:space="preserve"> Praetorian Guard A History of Rome’s Elite Special Forces </w:t>
      </w:r>
      <w:r w:rsidRPr="002F6F13">
        <w:rPr>
          <w:sz w:val="24"/>
          <w:szCs w:val="24"/>
        </w:rPr>
        <w:t>(Padstow, 1988)</w:t>
      </w:r>
    </w:p>
    <w:p w:rsidR="00551E4B" w:rsidRPr="002F6F13" w:rsidRDefault="00551E4B" w:rsidP="00551E4B">
      <w:pPr>
        <w:rPr>
          <w:sz w:val="24"/>
          <w:szCs w:val="24"/>
        </w:rPr>
      </w:pPr>
      <w:r w:rsidRPr="002F6F13">
        <w:rPr>
          <w:sz w:val="24"/>
          <w:szCs w:val="24"/>
        </w:rPr>
        <w:t xml:space="preserve">Bischoff, B., </w:t>
      </w:r>
      <w:r w:rsidRPr="002F6F13">
        <w:rPr>
          <w:i/>
          <w:sz w:val="24"/>
          <w:szCs w:val="24"/>
        </w:rPr>
        <w:t>Manuscripts and Libraries in the Age of Charlemagne</w:t>
      </w:r>
      <w:r w:rsidRPr="002F6F13">
        <w:rPr>
          <w:sz w:val="24"/>
          <w:szCs w:val="24"/>
        </w:rPr>
        <w:t>, trans. and ed. by Michael Gorman (Cambridge, 1995)</w:t>
      </w:r>
    </w:p>
    <w:p w:rsidR="00551E4B" w:rsidRDefault="00551E4B" w:rsidP="00551E4B">
      <w:pPr>
        <w:autoSpaceDE w:val="0"/>
        <w:autoSpaceDN w:val="0"/>
        <w:adjustRightInd w:val="0"/>
        <w:spacing w:after="0" w:line="240" w:lineRule="auto"/>
        <w:rPr>
          <w:rFonts w:cs="Times New Roman"/>
          <w:sz w:val="24"/>
          <w:szCs w:val="24"/>
        </w:rPr>
      </w:pPr>
      <w:r w:rsidRPr="00DE49ED">
        <w:rPr>
          <w:rFonts w:cs="Times New Roman"/>
          <w:sz w:val="24"/>
          <w:szCs w:val="24"/>
        </w:rPr>
        <w:t xml:space="preserve">Boussard, J., </w:t>
      </w:r>
      <w:proofErr w:type="gramStart"/>
      <w:r w:rsidRPr="00DE49ED">
        <w:rPr>
          <w:rFonts w:cs="Times New Roman"/>
          <w:i/>
          <w:sz w:val="24"/>
          <w:szCs w:val="24"/>
        </w:rPr>
        <w:t>The</w:t>
      </w:r>
      <w:proofErr w:type="gramEnd"/>
      <w:r w:rsidRPr="00DE49ED">
        <w:rPr>
          <w:rFonts w:cs="Times New Roman"/>
          <w:i/>
          <w:sz w:val="24"/>
          <w:szCs w:val="24"/>
        </w:rPr>
        <w:t xml:space="preserve"> Civilisation of Charlemagne</w:t>
      </w:r>
      <w:r w:rsidRPr="00DE49ED">
        <w:rPr>
          <w:rFonts w:cs="Times New Roman"/>
          <w:sz w:val="24"/>
          <w:szCs w:val="24"/>
        </w:rPr>
        <w:t>, trans. F</w:t>
      </w:r>
      <w:r>
        <w:rPr>
          <w:rFonts w:cs="Times New Roman"/>
          <w:sz w:val="24"/>
          <w:szCs w:val="24"/>
        </w:rPr>
        <w:t>rances Partridge (London, 1968)</w:t>
      </w:r>
    </w:p>
    <w:p w:rsidR="00551E4B" w:rsidRPr="002F6F13" w:rsidRDefault="00551E4B" w:rsidP="00551E4B">
      <w:pPr>
        <w:autoSpaceDE w:val="0"/>
        <w:autoSpaceDN w:val="0"/>
        <w:adjustRightInd w:val="0"/>
        <w:spacing w:after="0" w:line="240" w:lineRule="auto"/>
        <w:rPr>
          <w:rFonts w:cs="Times New Roman"/>
          <w:sz w:val="24"/>
          <w:szCs w:val="24"/>
        </w:rPr>
      </w:pPr>
    </w:p>
    <w:p w:rsidR="00551E4B" w:rsidRDefault="00551E4B" w:rsidP="00551E4B">
      <w:pPr>
        <w:rPr>
          <w:sz w:val="24"/>
          <w:szCs w:val="24"/>
        </w:rPr>
      </w:pPr>
      <w:r w:rsidRPr="002F6F13">
        <w:rPr>
          <w:sz w:val="24"/>
          <w:szCs w:val="24"/>
        </w:rPr>
        <w:t xml:space="preserve">Brown, P., </w:t>
      </w:r>
      <w:r w:rsidRPr="002F6F13">
        <w:rPr>
          <w:i/>
          <w:sz w:val="24"/>
          <w:szCs w:val="24"/>
        </w:rPr>
        <w:t>Power and Persuasion in Late Antiquity towards a Christian Empire</w:t>
      </w:r>
      <w:r w:rsidRPr="002F6F13">
        <w:rPr>
          <w:sz w:val="24"/>
          <w:szCs w:val="24"/>
        </w:rPr>
        <w:t xml:space="preserve"> (London, 1992)</w:t>
      </w:r>
    </w:p>
    <w:p w:rsidR="00551E4B" w:rsidRPr="002F6F13" w:rsidRDefault="00551E4B" w:rsidP="00551E4B">
      <w:pPr>
        <w:tabs>
          <w:tab w:val="left" w:pos="6945"/>
        </w:tabs>
        <w:jc w:val="both"/>
        <w:rPr>
          <w:sz w:val="24"/>
          <w:szCs w:val="24"/>
        </w:rPr>
      </w:pPr>
      <w:r>
        <w:rPr>
          <w:i/>
          <w:iCs/>
          <w:sz w:val="24"/>
          <w:szCs w:val="24"/>
        </w:rPr>
        <w:t xml:space="preserve">                 </w:t>
      </w:r>
      <w:r w:rsidRPr="00DE49ED">
        <w:rPr>
          <w:i/>
          <w:iCs/>
          <w:sz w:val="24"/>
          <w:szCs w:val="24"/>
        </w:rPr>
        <w:t>The World of Late Antiquity</w:t>
      </w:r>
      <w:r>
        <w:rPr>
          <w:sz w:val="24"/>
          <w:szCs w:val="24"/>
        </w:rPr>
        <w:t xml:space="preserve"> (London, 1999)</w:t>
      </w:r>
    </w:p>
    <w:p w:rsidR="00551E4B" w:rsidRDefault="00551E4B" w:rsidP="00551E4B">
      <w:pPr>
        <w:rPr>
          <w:sz w:val="24"/>
          <w:szCs w:val="24"/>
        </w:rPr>
      </w:pPr>
      <w:r w:rsidRPr="002F6F13">
        <w:rPr>
          <w:sz w:val="24"/>
          <w:szCs w:val="24"/>
        </w:rPr>
        <w:t xml:space="preserve">Cameron, A., </w:t>
      </w:r>
      <w:r w:rsidRPr="002F6F13">
        <w:rPr>
          <w:i/>
          <w:iCs/>
          <w:sz w:val="24"/>
          <w:szCs w:val="24"/>
        </w:rPr>
        <w:t>Circus Factions Blues and Greens at Rome and Byzantium</w:t>
      </w:r>
      <w:r w:rsidRPr="002F6F13">
        <w:rPr>
          <w:sz w:val="24"/>
          <w:szCs w:val="24"/>
        </w:rPr>
        <w:t xml:space="preserve"> (Oxford, 1976)</w:t>
      </w:r>
    </w:p>
    <w:p w:rsidR="00551E4B" w:rsidRPr="002F6F13" w:rsidRDefault="00551E4B" w:rsidP="00551E4B">
      <w:pPr>
        <w:rPr>
          <w:sz w:val="24"/>
          <w:szCs w:val="24"/>
        </w:rPr>
      </w:pPr>
      <w:r>
        <w:rPr>
          <w:i/>
          <w:sz w:val="24"/>
          <w:szCs w:val="24"/>
        </w:rPr>
        <w:t xml:space="preserve">                        </w:t>
      </w:r>
      <w:r w:rsidRPr="00DE49ED">
        <w:rPr>
          <w:i/>
          <w:sz w:val="24"/>
          <w:szCs w:val="24"/>
        </w:rPr>
        <w:t>The Last Pagans of Rome</w:t>
      </w:r>
      <w:r w:rsidRPr="00DE49ED">
        <w:rPr>
          <w:sz w:val="24"/>
          <w:szCs w:val="24"/>
        </w:rPr>
        <w:t xml:space="preserve"> (Oxford, 2011)</w:t>
      </w:r>
    </w:p>
    <w:p w:rsidR="00551E4B" w:rsidRPr="002F6F13" w:rsidRDefault="00551E4B" w:rsidP="00551E4B">
      <w:pPr>
        <w:rPr>
          <w:sz w:val="24"/>
          <w:szCs w:val="24"/>
        </w:rPr>
      </w:pPr>
      <w:r w:rsidRPr="002F6F13">
        <w:rPr>
          <w:sz w:val="24"/>
          <w:szCs w:val="24"/>
        </w:rPr>
        <w:t xml:space="preserve">Campbell, J.B., </w:t>
      </w:r>
      <w:proofErr w:type="gramStart"/>
      <w:r w:rsidRPr="002F6F13">
        <w:rPr>
          <w:i/>
          <w:sz w:val="24"/>
          <w:szCs w:val="24"/>
        </w:rPr>
        <w:t>The</w:t>
      </w:r>
      <w:proofErr w:type="gramEnd"/>
      <w:r w:rsidRPr="002F6F13">
        <w:rPr>
          <w:i/>
          <w:sz w:val="24"/>
          <w:szCs w:val="24"/>
        </w:rPr>
        <w:t xml:space="preserve"> </w:t>
      </w:r>
      <w:r w:rsidR="008B44B0">
        <w:rPr>
          <w:i/>
          <w:sz w:val="24"/>
          <w:szCs w:val="24"/>
        </w:rPr>
        <w:t>Emperor</w:t>
      </w:r>
      <w:r w:rsidRPr="002F6F13">
        <w:rPr>
          <w:i/>
          <w:sz w:val="24"/>
          <w:szCs w:val="24"/>
        </w:rPr>
        <w:t xml:space="preserve"> and the Roman Army </w:t>
      </w:r>
      <w:r w:rsidRPr="002F6F13">
        <w:rPr>
          <w:sz w:val="24"/>
          <w:szCs w:val="24"/>
        </w:rPr>
        <w:t>(Oxford, 1984)</w:t>
      </w:r>
    </w:p>
    <w:p w:rsidR="00551E4B" w:rsidRPr="002F6F13" w:rsidRDefault="00551E4B" w:rsidP="00551E4B">
      <w:pPr>
        <w:rPr>
          <w:sz w:val="24"/>
          <w:szCs w:val="24"/>
        </w:rPr>
      </w:pPr>
      <w:r w:rsidRPr="002F6F13">
        <w:rPr>
          <w:sz w:val="24"/>
          <w:szCs w:val="24"/>
        </w:rPr>
        <w:t xml:space="preserve">Carettoni, G., Colini, A., Cozza, L., and Gatti, G., </w:t>
      </w:r>
      <w:r w:rsidRPr="002F6F13">
        <w:rPr>
          <w:i/>
          <w:sz w:val="24"/>
          <w:szCs w:val="24"/>
        </w:rPr>
        <w:t>La pianta marmoreal di Roma antica</w:t>
      </w:r>
      <w:r w:rsidRPr="002F6F13">
        <w:rPr>
          <w:sz w:val="24"/>
          <w:szCs w:val="24"/>
        </w:rPr>
        <w:t xml:space="preserve"> </w:t>
      </w:r>
      <w:r w:rsidRPr="002F6F13">
        <w:rPr>
          <w:i/>
          <w:sz w:val="24"/>
          <w:szCs w:val="24"/>
        </w:rPr>
        <w:t>Forma Urbais Romae</w:t>
      </w:r>
      <w:r w:rsidRPr="002F6F13">
        <w:rPr>
          <w:sz w:val="24"/>
          <w:szCs w:val="24"/>
        </w:rPr>
        <w:t xml:space="preserve"> </w:t>
      </w:r>
      <w:r w:rsidRPr="002F6F13">
        <w:rPr>
          <w:i/>
          <w:sz w:val="24"/>
          <w:szCs w:val="24"/>
        </w:rPr>
        <w:t>Vols. 1&amp;2</w:t>
      </w:r>
      <w:r w:rsidRPr="002F6F13">
        <w:rPr>
          <w:sz w:val="24"/>
          <w:szCs w:val="24"/>
        </w:rPr>
        <w:t xml:space="preserve"> (Rome, 1960)</w:t>
      </w:r>
    </w:p>
    <w:p w:rsidR="00551E4B" w:rsidRDefault="00551E4B" w:rsidP="00551E4B">
      <w:pPr>
        <w:rPr>
          <w:bCs/>
          <w:iCs/>
          <w:sz w:val="24"/>
          <w:szCs w:val="24"/>
          <w:lang w:val="fr-FR"/>
        </w:rPr>
      </w:pPr>
      <w:r w:rsidRPr="002F6F13">
        <w:rPr>
          <w:sz w:val="24"/>
          <w:szCs w:val="24"/>
        </w:rPr>
        <w:t xml:space="preserve">Chastagnol, A., </w:t>
      </w:r>
      <w:r w:rsidRPr="002F6F13">
        <w:rPr>
          <w:bCs/>
          <w:i/>
          <w:iCs/>
          <w:sz w:val="24"/>
          <w:szCs w:val="24"/>
          <w:lang w:val="fr-FR"/>
        </w:rPr>
        <w:t>La préfecture urbaine à Rome sous le Bas-Empire</w:t>
      </w:r>
      <w:r w:rsidRPr="002F6F13">
        <w:rPr>
          <w:bCs/>
          <w:iCs/>
          <w:sz w:val="24"/>
          <w:szCs w:val="24"/>
          <w:lang w:val="fr-FR"/>
        </w:rPr>
        <w:t xml:space="preserve"> (Paris, 1960)</w:t>
      </w:r>
    </w:p>
    <w:p w:rsidR="00551E4B" w:rsidRPr="00D83D02" w:rsidRDefault="00551E4B" w:rsidP="00551E4B">
      <w:pPr>
        <w:tabs>
          <w:tab w:val="left" w:pos="7785"/>
        </w:tabs>
        <w:jc w:val="both"/>
        <w:rPr>
          <w:sz w:val="24"/>
          <w:szCs w:val="24"/>
        </w:rPr>
      </w:pPr>
      <w:r w:rsidRPr="00DE49ED">
        <w:rPr>
          <w:sz w:val="24"/>
          <w:szCs w:val="24"/>
        </w:rPr>
        <w:t xml:space="preserve">Claridge, </w:t>
      </w:r>
      <w:proofErr w:type="gramStart"/>
      <w:r w:rsidRPr="00DE49ED">
        <w:rPr>
          <w:sz w:val="24"/>
          <w:szCs w:val="24"/>
        </w:rPr>
        <w:t>Amanda.,</w:t>
      </w:r>
      <w:proofErr w:type="gramEnd"/>
      <w:r w:rsidRPr="00DE49ED">
        <w:rPr>
          <w:sz w:val="24"/>
          <w:szCs w:val="24"/>
        </w:rPr>
        <w:t xml:space="preserve"> </w:t>
      </w:r>
      <w:r w:rsidRPr="00DE49ED">
        <w:rPr>
          <w:i/>
          <w:iCs/>
          <w:sz w:val="24"/>
          <w:szCs w:val="24"/>
        </w:rPr>
        <w:t>Rome An Oxford Archaeological Guide</w:t>
      </w:r>
      <w:r w:rsidRPr="00DE49ED">
        <w:rPr>
          <w:sz w:val="24"/>
          <w:szCs w:val="24"/>
        </w:rPr>
        <w:t xml:space="preserve"> (Oxford, 1998)</w:t>
      </w:r>
    </w:p>
    <w:p w:rsidR="00551E4B" w:rsidRPr="002F6F13" w:rsidRDefault="00551E4B" w:rsidP="00551E4B">
      <w:pPr>
        <w:rPr>
          <w:sz w:val="24"/>
          <w:szCs w:val="24"/>
        </w:rPr>
      </w:pPr>
      <w:r w:rsidRPr="002F6F13">
        <w:rPr>
          <w:sz w:val="24"/>
          <w:szCs w:val="24"/>
        </w:rPr>
        <w:t xml:space="preserve">Contreni, J.J., </w:t>
      </w:r>
      <w:r w:rsidRPr="002F6F13">
        <w:rPr>
          <w:i/>
          <w:sz w:val="24"/>
          <w:szCs w:val="24"/>
        </w:rPr>
        <w:t>Carolingian Learning, Masters and Manuscripts</w:t>
      </w:r>
      <w:r w:rsidRPr="002F6F13">
        <w:rPr>
          <w:sz w:val="24"/>
          <w:szCs w:val="24"/>
        </w:rPr>
        <w:t xml:space="preserve"> (Croft Road, 1992)</w:t>
      </w:r>
    </w:p>
    <w:p w:rsidR="00551E4B" w:rsidRPr="002F6F13" w:rsidRDefault="00551E4B" w:rsidP="00551E4B">
      <w:pPr>
        <w:rPr>
          <w:sz w:val="24"/>
          <w:szCs w:val="24"/>
        </w:rPr>
      </w:pPr>
      <w:r w:rsidRPr="002F6F13">
        <w:rPr>
          <w:sz w:val="24"/>
          <w:szCs w:val="24"/>
        </w:rPr>
        <w:t>Corcoran,</w:t>
      </w:r>
      <w:r w:rsidRPr="002F6F13">
        <w:rPr>
          <w:i/>
          <w:sz w:val="24"/>
          <w:szCs w:val="24"/>
        </w:rPr>
        <w:t xml:space="preserve"> </w:t>
      </w:r>
      <w:proofErr w:type="gramStart"/>
      <w:r w:rsidRPr="002F6F13">
        <w:rPr>
          <w:i/>
          <w:iCs/>
          <w:sz w:val="24"/>
          <w:szCs w:val="24"/>
        </w:rPr>
        <w:t>The</w:t>
      </w:r>
      <w:proofErr w:type="gramEnd"/>
      <w:r w:rsidRPr="002F6F13">
        <w:rPr>
          <w:i/>
          <w:iCs/>
          <w:sz w:val="24"/>
          <w:szCs w:val="24"/>
        </w:rPr>
        <w:t xml:space="preserve"> Empire of the Tetrarchs </w:t>
      </w:r>
      <w:r w:rsidR="008B44B0">
        <w:rPr>
          <w:i/>
          <w:iCs/>
          <w:sz w:val="24"/>
          <w:szCs w:val="24"/>
        </w:rPr>
        <w:t>Imperial</w:t>
      </w:r>
      <w:r w:rsidRPr="002F6F13">
        <w:rPr>
          <w:i/>
          <w:iCs/>
          <w:sz w:val="24"/>
          <w:szCs w:val="24"/>
        </w:rPr>
        <w:t xml:space="preserve"> Pronouncements and Government Revised Edition AD 284-324</w:t>
      </w:r>
      <w:r w:rsidRPr="002F6F13">
        <w:rPr>
          <w:sz w:val="24"/>
          <w:szCs w:val="24"/>
        </w:rPr>
        <w:t xml:space="preserve"> (Oxford, 2007)</w:t>
      </w:r>
    </w:p>
    <w:p w:rsidR="00551E4B" w:rsidRDefault="00551E4B" w:rsidP="00551E4B">
      <w:pPr>
        <w:rPr>
          <w:sz w:val="24"/>
          <w:szCs w:val="24"/>
        </w:rPr>
      </w:pPr>
      <w:r w:rsidRPr="002F6F13">
        <w:rPr>
          <w:sz w:val="24"/>
          <w:szCs w:val="24"/>
        </w:rPr>
        <w:t xml:space="preserve">Cosenza, M.E., </w:t>
      </w:r>
      <w:r w:rsidRPr="002F6F13">
        <w:rPr>
          <w:i/>
          <w:sz w:val="24"/>
          <w:szCs w:val="24"/>
        </w:rPr>
        <w:t>Official Positions after the time of Constantine</w:t>
      </w:r>
      <w:r w:rsidRPr="002F6F13">
        <w:rPr>
          <w:sz w:val="24"/>
          <w:szCs w:val="24"/>
        </w:rPr>
        <w:t xml:space="preserve"> (Lancaster PA, 1905)</w:t>
      </w:r>
    </w:p>
    <w:p w:rsidR="00551E4B" w:rsidRDefault="00551E4B" w:rsidP="00551E4B">
      <w:pPr>
        <w:jc w:val="both"/>
        <w:rPr>
          <w:sz w:val="24"/>
          <w:szCs w:val="24"/>
        </w:rPr>
      </w:pPr>
      <w:r w:rsidRPr="00DE49ED">
        <w:rPr>
          <w:sz w:val="24"/>
          <w:szCs w:val="24"/>
        </w:rPr>
        <w:t xml:space="preserve">Crees, J.H.E., </w:t>
      </w:r>
      <w:proofErr w:type="gramStart"/>
      <w:r w:rsidRPr="00DE49ED">
        <w:rPr>
          <w:i/>
          <w:iCs/>
          <w:sz w:val="24"/>
          <w:szCs w:val="24"/>
        </w:rPr>
        <w:t>The</w:t>
      </w:r>
      <w:proofErr w:type="gramEnd"/>
      <w:r w:rsidRPr="00DE49ED">
        <w:rPr>
          <w:i/>
          <w:iCs/>
          <w:sz w:val="24"/>
          <w:szCs w:val="24"/>
        </w:rPr>
        <w:t xml:space="preserve"> Reign of the </w:t>
      </w:r>
      <w:r w:rsidR="008B44B0">
        <w:rPr>
          <w:i/>
          <w:iCs/>
          <w:sz w:val="24"/>
          <w:szCs w:val="24"/>
        </w:rPr>
        <w:t>Emperor</w:t>
      </w:r>
      <w:r w:rsidRPr="00DE49ED">
        <w:rPr>
          <w:i/>
          <w:iCs/>
          <w:sz w:val="24"/>
          <w:szCs w:val="24"/>
        </w:rPr>
        <w:t xml:space="preserve"> Probus</w:t>
      </w:r>
      <w:r>
        <w:rPr>
          <w:sz w:val="24"/>
          <w:szCs w:val="24"/>
        </w:rPr>
        <w:t xml:space="preserve"> (London, 1911)</w:t>
      </w:r>
    </w:p>
    <w:p w:rsidR="00551E4B" w:rsidRPr="00D83D02" w:rsidRDefault="00551E4B" w:rsidP="00551E4B">
      <w:pPr>
        <w:rPr>
          <w:sz w:val="24"/>
          <w:szCs w:val="24"/>
        </w:rPr>
      </w:pPr>
      <w:r w:rsidRPr="00DE49ED">
        <w:rPr>
          <w:sz w:val="24"/>
          <w:szCs w:val="24"/>
        </w:rPr>
        <w:t xml:space="preserve">Cullhed, M., </w:t>
      </w:r>
      <w:r w:rsidRPr="00DE49ED">
        <w:rPr>
          <w:i/>
          <w:sz w:val="24"/>
          <w:szCs w:val="24"/>
        </w:rPr>
        <w:t xml:space="preserve">Conservator Urbis Suae: Studies in the politics and propaganda of the </w:t>
      </w:r>
      <w:r w:rsidR="008B44B0">
        <w:rPr>
          <w:i/>
          <w:sz w:val="24"/>
          <w:szCs w:val="24"/>
        </w:rPr>
        <w:t>emperor</w:t>
      </w:r>
      <w:r w:rsidRPr="00DE49ED">
        <w:rPr>
          <w:i/>
          <w:sz w:val="24"/>
          <w:szCs w:val="24"/>
        </w:rPr>
        <w:t xml:space="preserve"> Maxentius</w:t>
      </w:r>
      <w:r>
        <w:rPr>
          <w:sz w:val="24"/>
          <w:szCs w:val="24"/>
        </w:rPr>
        <w:t xml:space="preserve"> (London, 1978)</w:t>
      </w:r>
    </w:p>
    <w:p w:rsidR="00551E4B" w:rsidRDefault="00551E4B" w:rsidP="00551E4B">
      <w:pPr>
        <w:rPr>
          <w:sz w:val="24"/>
          <w:szCs w:val="24"/>
        </w:rPr>
      </w:pPr>
      <w:r w:rsidRPr="002F6F13">
        <w:rPr>
          <w:sz w:val="24"/>
          <w:szCs w:val="24"/>
        </w:rPr>
        <w:t xml:space="preserve">Dawson, C., </w:t>
      </w:r>
      <w:r w:rsidRPr="002F6F13">
        <w:rPr>
          <w:i/>
          <w:sz w:val="24"/>
          <w:szCs w:val="24"/>
        </w:rPr>
        <w:t>Religion and the Rise of Western Culture: Clifford Lectures delivered in the University of Edinburgh 1948-1949</w:t>
      </w:r>
      <w:r w:rsidRPr="002F6F13">
        <w:rPr>
          <w:sz w:val="24"/>
          <w:szCs w:val="24"/>
        </w:rPr>
        <w:t xml:space="preserve"> (London, 1950)</w:t>
      </w:r>
    </w:p>
    <w:p w:rsidR="00551E4B" w:rsidRPr="002F6F13" w:rsidRDefault="00551E4B" w:rsidP="00551E4B">
      <w:pPr>
        <w:tabs>
          <w:tab w:val="left" w:pos="6945"/>
        </w:tabs>
        <w:jc w:val="both"/>
        <w:rPr>
          <w:sz w:val="24"/>
          <w:szCs w:val="24"/>
        </w:rPr>
      </w:pPr>
      <w:r w:rsidRPr="00DE49ED">
        <w:rPr>
          <w:sz w:val="24"/>
          <w:szCs w:val="24"/>
        </w:rPr>
        <w:t xml:space="preserve">DeLaine, J., </w:t>
      </w:r>
      <w:proofErr w:type="gramStart"/>
      <w:r w:rsidRPr="00DE49ED">
        <w:rPr>
          <w:i/>
          <w:sz w:val="24"/>
          <w:szCs w:val="24"/>
        </w:rPr>
        <w:t>The</w:t>
      </w:r>
      <w:proofErr w:type="gramEnd"/>
      <w:r w:rsidRPr="00DE49ED">
        <w:rPr>
          <w:i/>
          <w:sz w:val="24"/>
          <w:szCs w:val="24"/>
        </w:rPr>
        <w:t xml:space="preserve"> Baths of Caracalla A Study in the Design, Construction, and Economics of Large-Scale Building Projects in </w:t>
      </w:r>
      <w:r w:rsidR="008B44B0">
        <w:rPr>
          <w:i/>
          <w:sz w:val="24"/>
          <w:szCs w:val="24"/>
        </w:rPr>
        <w:t>Imperial</w:t>
      </w:r>
      <w:r w:rsidRPr="00DE49ED">
        <w:rPr>
          <w:i/>
          <w:sz w:val="24"/>
          <w:szCs w:val="24"/>
        </w:rPr>
        <w:t xml:space="preserve"> Rome</w:t>
      </w:r>
      <w:r>
        <w:rPr>
          <w:sz w:val="24"/>
          <w:szCs w:val="24"/>
        </w:rPr>
        <w:t xml:space="preserve"> (Portsmouth, 1997)</w:t>
      </w:r>
    </w:p>
    <w:p w:rsidR="00551E4B" w:rsidRDefault="00551E4B" w:rsidP="00551E4B">
      <w:pPr>
        <w:rPr>
          <w:sz w:val="24"/>
          <w:szCs w:val="24"/>
        </w:rPr>
      </w:pPr>
      <w:r w:rsidRPr="002F6F13">
        <w:rPr>
          <w:sz w:val="24"/>
          <w:szCs w:val="24"/>
        </w:rPr>
        <w:t xml:space="preserve">Dey, H., </w:t>
      </w:r>
      <w:proofErr w:type="gramStart"/>
      <w:r w:rsidRPr="002F6F13">
        <w:rPr>
          <w:i/>
          <w:sz w:val="24"/>
          <w:szCs w:val="24"/>
        </w:rPr>
        <w:t>The</w:t>
      </w:r>
      <w:proofErr w:type="gramEnd"/>
      <w:r w:rsidRPr="002F6F13">
        <w:rPr>
          <w:i/>
          <w:sz w:val="24"/>
          <w:szCs w:val="24"/>
        </w:rPr>
        <w:t xml:space="preserve"> Aurelian Wall and the Refashioning of </w:t>
      </w:r>
      <w:r w:rsidR="008B44B0">
        <w:rPr>
          <w:i/>
          <w:sz w:val="24"/>
          <w:szCs w:val="24"/>
        </w:rPr>
        <w:t>Imperial</w:t>
      </w:r>
      <w:r w:rsidRPr="002F6F13">
        <w:rPr>
          <w:i/>
          <w:sz w:val="24"/>
          <w:szCs w:val="24"/>
        </w:rPr>
        <w:t xml:space="preserve"> Rome, AD 271-855</w:t>
      </w:r>
      <w:r w:rsidRPr="002F6F13">
        <w:rPr>
          <w:sz w:val="24"/>
          <w:szCs w:val="24"/>
        </w:rPr>
        <w:t xml:space="preserve"> (Cambridge, 2011)</w:t>
      </w:r>
    </w:p>
    <w:p w:rsidR="00551E4B" w:rsidRDefault="00551E4B" w:rsidP="00551E4B">
      <w:pPr>
        <w:tabs>
          <w:tab w:val="left" w:pos="6945"/>
        </w:tabs>
        <w:jc w:val="both"/>
        <w:rPr>
          <w:bCs/>
          <w:sz w:val="24"/>
          <w:szCs w:val="24"/>
        </w:rPr>
      </w:pPr>
      <w:r w:rsidRPr="00DE49ED">
        <w:rPr>
          <w:bCs/>
          <w:sz w:val="24"/>
          <w:szCs w:val="24"/>
        </w:rPr>
        <w:t xml:space="preserve">Dilke, O.A.W., </w:t>
      </w:r>
      <w:r w:rsidRPr="00DE49ED">
        <w:rPr>
          <w:bCs/>
          <w:i/>
          <w:sz w:val="24"/>
          <w:szCs w:val="24"/>
        </w:rPr>
        <w:t>Greek and Roman Maps</w:t>
      </w:r>
      <w:r>
        <w:rPr>
          <w:bCs/>
          <w:sz w:val="24"/>
          <w:szCs w:val="24"/>
        </w:rPr>
        <w:t xml:space="preserve"> (London, 1998)</w:t>
      </w:r>
    </w:p>
    <w:p w:rsidR="00551E4B" w:rsidRPr="00D83D02" w:rsidRDefault="00551E4B" w:rsidP="00551E4B">
      <w:pPr>
        <w:tabs>
          <w:tab w:val="left" w:pos="6945"/>
        </w:tabs>
        <w:jc w:val="both"/>
        <w:rPr>
          <w:bCs/>
          <w:sz w:val="24"/>
          <w:szCs w:val="24"/>
        </w:rPr>
      </w:pPr>
      <w:r w:rsidRPr="00DE49ED">
        <w:rPr>
          <w:bCs/>
          <w:sz w:val="24"/>
          <w:szCs w:val="24"/>
        </w:rPr>
        <w:t xml:space="preserve">Dillon, J.N. </w:t>
      </w:r>
      <w:r w:rsidRPr="00DE49ED">
        <w:rPr>
          <w:bCs/>
          <w:i/>
          <w:sz w:val="24"/>
          <w:szCs w:val="24"/>
        </w:rPr>
        <w:t>The Justice of Constantine Law, Communication, and Control</w:t>
      </w:r>
      <w:r w:rsidRPr="00DE49ED">
        <w:rPr>
          <w:bCs/>
          <w:sz w:val="24"/>
          <w:szCs w:val="24"/>
        </w:rPr>
        <w:t xml:space="preserve"> (Ann Arbor, 2012) </w:t>
      </w:r>
    </w:p>
    <w:p w:rsidR="00551E4B" w:rsidRDefault="00551E4B" w:rsidP="00551E4B">
      <w:pPr>
        <w:rPr>
          <w:sz w:val="24"/>
          <w:szCs w:val="24"/>
        </w:rPr>
      </w:pPr>
      <w:r w:rsidRPr="002F6F13">
        <w:rPr>
          <w:sz w:val="24"/>
          <w:szCs w:val="24"/>
        </w:rPr>
        <w:t xml:space="preserve">Duncan-Jones, R., </w:t>
      </w:r>
      <w:r w:rsidRPr="002F6F13">
        <w:rPr>
          <w:i/>
          <w:sz w:val="24"/>
          <w:szCs w:val="24"/>
        </w:rPr>
        <w:t>Money and Government in the Roman Empire</w:t>
      </w:r>
      <w:r w:rsidRPr="002F6F13">
        <w:rPr>
          <w:sz w:val="24"/>
          <w:szCs w:val="24"/>
        </w:rPr>
        <w:t xml:space="preserve"> (Cambridge, 1998)</w:t>
      </w:r>
    </w:p>
    <w:p w:rsidR="00551E4B" w:rsidRPr="00D83D02" w:rsidRDefault="00551E4B" w:rsidP="00551E4B">
      <w:pPr>
        <w:tabs>
          <w:tab w:val="left" w:pos="6945"/>
        </w:tabs>
        <w:jc w:val="both"/>
        <w:rPr>
          <w:bCs/>
          <w:sz w:val="24"/>
          <w:szCs w:val="24"/>
        </w:rPr>
      </w:pPr>
      <w:r w:rsidRPr="00DE49ED">
        <w:rPr>
          <w:bCs/>
          <w:sz w:val="24"/>
          <w:szCs w:val="24"/>
        </w:rPr>
        <w:t xml:space="preserve">Dyer, T.H., </w:t>
      </w:r>
      <w:proofErr w:type="gramStart"/>
      <w:r w:rsidRPr="00DE49ED">
        <w:rPr>
          <w:bCs/>
          <w:i/>
          <w:sz w:val="24"/>
          <w:szCs w:val="24"/>
        </w:rPr>
        <w:t>The</w:t>
      </w:r>
      <w:proofErr w:type="gramEnd"/>
      <w:r w:rsidRPr="00DE49ED">
        <w:rPr>
          <w:bCs/>
          <w:i/>
          <w:sz w:val="24"/>
          <w:szCs w:val="24"/>
        </w:rPr>
        <w:t xml:space="preserve"> City of Rome Its Vicissitudes and Monuments</w:t>
      </w:r>
      <w:r w:rsidRPr="00DE49ED">
        <w:rPr>
          <w:bCs/>
          <w:sz w:val="24"/>
          <w:szCs w:val="24"/>
        </w:rPr>
        <w:t xml:space="preserve"> (London, 1893)</w:t>
      </w:r>
    </w:p>
    <w:p w:rsidR="00551E4B" w:rsidRDefault="00551E4B" w:rsidP="00551E4B">
      <w:pPr>
        <w:rPr>
          <w:sz w:val="24"/>
          <w:szCs w:val="24"/>
        </w:rPr>
      </w:pPr>
      <w:r w:rsidRPr="002F6F13">
        <w:rPr>
          <w:sz w:val="24"/>
          <w:szCs w:val="24"/>
        </w:rPr>
        <w:t xml:space="preserve">Dyson, S.L., </w:t>
      </w:r>
      <w:r w:rsidRPr="002F6F13">
        <w:rPr>
          <w:i/>
          <w:sz w:val="24"/>
          <w:szCs w:val="24"/>
        </w:rPr>
        <w:t>Rome A Living Portrait of an Ancient City</w:t>
      </w:r>
      <w:r w:rsidRPr="002F6F13">
        <w:rPr>
          <w:sz w:val="24"/>
          <w:szCs w:val="24"/>
        </w:rPr>
        <w:t xml:space="preserve"> (Baltimore, 2010)</w:t>
      </w:r>
    </w:p>
    <w:p w:rsidR="00551E4B" w:rsidRPr="00DE49ED" w:rsidRDefault="00551E4B" w:rsidP="00551E4B">
      <w:pPr>
        <w:tabs>
          <w:tab w:val="left" w:pos="6945"/>
        </w:tabs>
        <w:jc w:val="both"/>
        <w:rPr>
          <w:bCs/>
          <w:sz w:val="24"/>
          <w:szCs w:val="24"/>
        </w:rPr>
      </w:pPr>
      <w:r w:rsidRPr="00DE49ED">
        <w:rPr>
          <w:bCs/>
          <w:sz w:val="24"/>
          <w:szCs w:val="24"/>
        </w:rPr>
        <w:lastRenderedPageBreak/>
        <w:t xml:space="preserve">Edward, C., </w:t>
      </w:r>
      <w:r w:rsidRPr="00DE49ED">
        <w:rPr>
          <w:bCs/>
          <w:i/>
          <w:sz w:val="24"/>
          <w:szCs w:val="24"/>
        </w:rPr>
        <w:t>Writing Rome Textual Approaches to the city</w:t>
      </w:r>
      <w:r w:rsidRPr="00DE49ED">
        <w:rPr>
          <w:bCs/>
          <w:sz w:val="24"/>
          <w:szCs w:val="24"/>
        </w:rPr>
        <w:t xml:space="preserve"> (Cambridge, 1996)</w:t>
      </w:r>
    </w:p>
    <w:p w:rsidR="00551E4B" w:rsidRPr="00D83D02" w:rsidRDefault="00551E4B" w:rsidP="00551E4B">
      <w:pPr>
        <w:rPr>
          <w:sz w:val="24"/>
          <w:szCs w:val="24"/>
        </w:rPr>
      </w:pPr>
      <w:r w:rsidRPr="00DE49ED">
        <w:rPr>
          <w:sz w:val="24"/>
          <w:szCs w:val="24"/>
        </w:rPr>
        <w:t xml:space="preserve">Errington, R.M., </w:t>
      </w:r>
      <w:r w:rsidRPr="00DE49ED">
        <w:rPr>
          <w:i/>
          <w:sz w:val="24"/>
          <w:szCs w:val="24"/>
        </w:rPr>
        <w:t xml:space="preserve">Roman </w:t>
      </w:r>
      <w:r w:rsidR="008B44B0">
        <w:rPr>
          <w:i/>
          <w:sz w:val="24"/>
          <w:szCs w:val="24"/>
        </w:rPr>
        <w:t>Imperial</w:t>
      </w:r>
      <w:r w:rsidRPr="00DE49ED">
        <w:rPr>
          <w:i/>
          <w:sz w:val="24"/>
          <w:szCs w:val="24"/>
        </w:rPr>
        <w:t xml:space="preserve"> Policy from Julian to Theodosius</w:t>
      </w:r>
      <w:r w:rsidRPr="00DE49ED">
        <w:rPr>
          <w:sz w:val="24"/>
          <w:szCs w:val="24"/>
        </w:rPr>
        <w:t xml:space="preserve"> (University of North Car</w:t>
      </w:r>
      <w:r>
        <w:rPr>
          <w:sz w:val="24"/>
          <w:szCs w:val="24"/>
        </w:rPr>
        <w:t>olina Press, Chapel Hill, 2006)</w:t>
      </w:r>
    </w:p>
    <w:p w:rsidR="00551E4B" w:rsidRDefault="00551E4B" w:rsidP="00551E4B">
      <w:pPr>
        <w:tabs>
          <w:tab w:val="left" w:pos="6945"/>
        </w:tabs>
        <w:jc w:val="both"/>
        <w:rPr>
          <w:bCs/>
          <w:sz w:val="24"/>
          <w:szCs w:val="24"/>
        </w:rPr>
      </w:pPr>
      <w:r w:rsidRPr="00DE49ED">
        <w:rPr>
          <w:bCs/>
          <w:sz w:val="24"/>
          <w:szCs w:val="24"/>
        </w:rPr>
        <w:t xml:space="preserve">Evans, H.B., </w:t>
      </w:r>
      <w:r w:rsidRPr="00DE49ED">
        <w:rPr>
          <w:bCs/>
          <w:i/>
          <w:iCs/>
          <w:sz w:val="24"/>
          <w:szCs w:val="24"/>
        </w:rPr>
        <w:t xml:space="preserve">Water Distribution in Ancient Rome </w:t>
      </w:r>
      <w:proofErr w:type="gramStart"/>
      <w:r w:rsidRPr="00DE49ED">
        <w:rPr>
          <w:bCs/>
          <w:i/>
          <w:iCs/>
          <w:sz w:val="24"/>
          <w:szCs w:val="24"/>
        </w:rPr>
        <w:t>The</w:t>
      </w:r>
      <w:proofErr w:type="gramEnd"/>
      <w:r w:rsidRPr="00DE49ED">
        <w:rPr>
          <w:bCs/>
          <w:i/>
          <w:iCs/>
          <w:sz w:val="24"/>
          <w:szCs w:val="24"/>
        </w:rPr>
        <w:t xml:space="preserve"> Evidence of Frontinus</w:t>
      </w:r>
      <w:r>
        <w:rPr>
          <w:bCs/>
          <w:sz w:val="24"/>
          <w:szCs w:val="24"/>
        </w:rPr>
        <w:t xml:space="preserve"> (Ann Arbor, 1994)</w:t>
      </w:r>
    </w:p>
    <w:p w:rsidR="00551E4B" w:rsidRPr="00D83D02" w:rsidRDefault="00551E4B" w:rsidP="00551E4B">
      <w:pPr>
        <w:tabs>
          <w:tab w:val="left" w:pos="6945"/>
        </w:tabs>
        <w:jc w:val="both"/>
        <w:rPr>
          <w:bCs/>
          <w:i/>
          <w:iCs/>
          <w:sz w:val="24"/>
          <w:szCs w:val="24"/>
        </w:rPr>
      </w:pPr>
      <w:r w:rsidRPr="00DE49ED">
        <w:rPr>
          <w:bCs/>
          <w:sz w:val="24"/>
          <w:szCs w:val="24"/>
        </w:rPr>
        <w:t>Ewald, B.C., and Noreña, C.F. (</w:t>
      </w:r>
      <w:proofErr w:type="gramStart"/>
      <w:r w:rsidRPr="00DE49ED">
        <w:rPr>
          <w:bCs/>
          <w:sz w:val="24"/>
          <w:szCs w:val="24"/>
        </w:rPr>
        <w:t>eds</w:t>
      </w:r>
      <w:proofErr w:type="gramEnd"/>
      <w:r w:rsidRPr="00DE49ED">
        <w:rPr>
          <w:bCs/>
          <w:sz w:val="24"/>
          <w:szCs w:val="24"/>
        </w:rPr>
        <w:t xml:space="preserve">), </w:t>
      </w:r>
      <w:r w:rsidRPr="00DE49ED">
        <w:rPr>
          <w:bCs/>
          <w:i/>
          <w:iCs/>
          <w:sz w:val="24"/>
          <w:szCs w:val="24"/>
        </w:rPr>
        <w:t xml:space="preserve">The </w:t>
      </w:r>
      <w:r w:rsidR="008B44B0">
        <w:rPr>
          <w:bCs/>
          <w:i/>
          <w:iCs/>
          <w:sz w:val="24"/>
          <w:szCs w:val="24"/>
        </w:rPr>
        <w:t>Emperor</w:t>
      </w:r>
      <w:r w:rsidRPr="00DE49ED">
        <w:rPr>
          <w:bCs/>
          <w:i/>
          <w:iCs/>
          <w:sz w:val="24"/>
          <w:szCs w:val="24"/>
        </w:rPr>
        <w:t xml:space="preserve"> and Rome Space, Representation, and Ritual</w:t>
      </w:r>
      <w:r w:rsidRPr="00DE49ED">
        <w:rPr>
          <w:bCs/>
          <w:sz w:val="24"/>
          <w:szCs w:val="24"/>
        </w:rPr>
        <w:t xml:space="preserve"> (Cambridge, 2011)</w:t>
      </w:r>
      <w:r>
        <w:rPr>
          <w:bCs/>
          <w:i/>
          <w:iCs/>
          <w:sz w:val="24"/>
          <w:szCs w:val="24"/>
        </w:rPr>
        <w:t xml:space="preserve"> </w:t>
      </w:r>
    </w:p>
    <w:p w:rsidR="00551E4B" w:rsidRPr="002F6F13" w:rsidRDefault="00551E4B" w:rsidP="00551E4B">
      <w:pPr>
        <w:rPr>
          <w:sz w:val="24"/>
          <w:szCs w:val="24"/>
        </w:rPr>
      </w:pPr>
      <w:r w:rsidRPr="002F6F13">
        <w:rPr>
          <w:sz w:val="24"/>
          <w:szCs w:val="24"/>
        </w:rPr>
        <w:t xml:space="preserve">Foucault, M., </w:t>
      </w:r>
      <w:r w:rsidRPr="002F6F13">
        <w:rPr>
          <w:i/>
          <w:sz w:val="24"/>
          <w:szCs w:val="24"/>
        </w:rPr>
        <w:t>Madness and Civilization: A History of Insanity in the Age of Reason</w:t>
      </w:r>
      <w:r w:rsidRPr="002F6F13">
        <w:rPr>
          <w:sz w:val="24"/>
          <w:szCs w:val="24"/>
        </w:rPr>
        <w:t xml:space="preserve">, </w:t>
      </w:r>
      <w:r w:rsidR="009C7AF1" w:rsidRPr="002F6F13">
        <w:rPr>
          <w:sz w:val="24"/>
          <w:szCs w:val="24"/>
        </w:rPr>
        <w:t xml:space="preserve">trans. </w:t>
      </w:r>
      <w:r w:rsidRPr="002F6F13">
        <w:rPr>
          <w:sz w:val="24"/>
          <w:szCs w:val="24"/>
        </w:rPr>
        <w:t>Richard Howard (London, 2001)</w:t>
      </w:r>
    </w:p>
    <w:p w:rsidR="00551E4B" w:rsidRPr="002F6F13" w:rsidRDefault="00551E4B" w:rsidP="00551E4B">
      <w:pPr>
        <w:rPr>
          <w:sz w:val="24"/>
          <w:szCs w:val="24"/>
        </w:rPr>
      </w:pPr>
      <w:r w:rsidRPr="002F6F13">
        <w:rPr>
          <w:sz w:val="24"/>
          <w:szCs w:val="24"/>
        </w:rPr>
        <w:t xml:space="preserve">                         </w:t>
      </w:r>
      <w:r w:rsidRPr="002F6F13">
        <w:rPr>
          <w:i/>
          <w:sz w:val="24"/>
          <w:szCs w:val="24"/>
        </w:rPr>
        <w:t>Archaeology of Knowledge</w:t>
      </w:r>
      <w:r w:rsidRPr="002F6F13">
        <w:rPr>
          <w:sz w:val="24"/>
          <w:szCs w:val="24"/>
        </w:rPr>
        <w:t>, trans. A.M. Sheridan Smith (London, 1989)</w:t>
      </w:r>
    </w:p>
    <w:p w:rsidR="00551E4B" w:rsidRPr="002F6F13" w:rsidRDefault="00551E4B" w:rsidP="00551E4B">
      <w:pPr>
        <w:rPr>
          <w:sz w:val="24"/>
          <w:szCs w:val="24"/>
        </w:rPr>
      </w:pPr>
      <w:r w:rsidRPr="002F6F13">
        <w:rPr>
          <w:bCs/>
          <w:sz w:val="24"/>
          <w:szCs w:val="24"/>
        </w:rPr>
        <w:t xml:space="preserve">Fuhrmann, C.J., </w:t>
      </w:r>
      <w:r w:rsidRPr="002F6F13">
        <w:rPr>
          <w:bCs/>
          <w:i/>
          <w:iCs/>
          <w:sz w:val="24"/>
          <w:szCs w:val="24"/>
        </w:rPr>
        <w:t>Policing the Roman Empire Soldiers, Administration, and Public Order</w:t>
      </w:r>
      <w:r w:rsidRPr="002F6F13">
        <w:rPr>
          <w:bCs/>
          <w:sz w:val="24"/>
          <w:szCs w:val="24"/>
        </w:rPr>
        <w:t xml:space="preserve"> (Oxford, 2012)</w:t>
      </w:r>
    </w:p>
    <w:p w:rsidR="00551E4B" w:rsidRPr="002F6F13" w:rsidRDefault="00551E4B" w:rsidP="00551E4B">
      <w:pPr>
        <w:rPr>
          <w:sz w:val="24"/>
          <w:szCs w:val="24"/>
        </w:rPr>
      </w:pPr>
      <w:r w:rsidRPr="002F6F13">
        <w:rPr>
          <w:sz w:val="24"/>
          <w:szCs w:val="24"/>
        </w:rPr>
        <w:t xml:space="preserve">Garipzanov, I.H., </w:t>
      </w:r>
      <w:proofErr w:type="gramStart"/>
      <w:r w:rsidRPr="002F6F13">
        <w:rPr>
          <w:i/>
          <w:sz w:val="24"/>
          <w:szCs w:val="24"/>
        </w:rPr>
        <w:t>The</w:t>
      </w:r>
      <w:proofErr w:type="gramEnd"/>
      <w:r w:rsidRPr="002F6F13">
        <w:rPr>
          <w:i/>
          <w:sz w:val="24"/>
          <w:szCs w:val="24"/>
        </w:rPr>
        <w:t xml:space="preserve"> Symbolic Language of Authority in the Carolingian World (c. 751-877)</w:t>
      </w:r>
      <w:r w:rsidRPr="002F6F13">
        <w:rPr>
          <w:sz w:val="24"/>
          <w:szCs w:val="24"/>
        </w:rPr>
        <w:t xml:space="preserve"> (Boston, 2008)</w:t>
      </w:r>
    </w:p>
    <w:p w:rsidR="00551E4B" w:rsidRDefault="00551E4B" w:rsidP="00551E4B">
      <w:pPr>
        <w:rPr>
          <w:sz w:val="24"/>
          <w:szCs w:val="24"/>
        </w:rPr>
      </w:pPr>
      <w:r w:rsidRPr="002F6F13">
        <w:rPr>
          <w:sz w:val="24"/>
          <w:szCs w:val="24"/>
        </w:rPr>
        <w:t xml:space="preserve">Garnsey, P., </w:t>
      </w:r>
      <w:r w:rsidRPr="002F6F13">
        <w:rPr>
          <w:i/>
          <w:sz w:val="24"/>
          <w:szCs w:val="24"/>
        </w:rPr>
        <w:t>Famine and Food Supply in the Graeco-Roman World: Responses to Risk and Crisis</w:t>
      </w:r>
      <w:r w:rsidRPr="002F6F13">
        <w:rPr>
          <w:sz w:val="24"/>
          <w:szCs w:val="24"/>
        </w:rPr>
        <w:t xml:space="preserve"> (Cambridge, 1988)</w:t>
      </w:r>
    </w:p>
    <w:p w:rsidR="00551E4B" w:rsidRDefault="00551E4B" w:rsidP="00551E4B">
      <w:pPr>
        <w:rPr>
          <w:sz w:val="24"/>
          <w:szCs w:val="24"/>
        </w:rPr>
      </w:pPr>
      <w:r>
        <w:rPr>
          <w:i/>
          <w:iCs/>
          <w:sz w:val="24"/>
          <w:szCs w:val="24"/>
        </w:rPr>
        <w:t xml:space="preserve">                      </w:t>
      </w:r>
      <w:r w:rsidRPr="00DE49ED">
        <w:rPr>
          <w:i/>
          <w:iCs/>
          <w:sz w:val="24"/>
          <w:szCs w:val="24"/>
        </w:rPr>
        <w:t>Social Status and Legal Privilege in the Roman Empire</w:t>
      </w:r>
      <w:r w:rsidRPr="00DE49ED">
        <w:rPr>
          <w:sz w:val="24"/>
          <w:szCs w:val="24"/>
        </w:rPr>
        <w:t xml:space="preserve"> (Oxford, 1970)</w:t>
      </w:r>
    </w:p>
    <w:p w:rsidR="00551E4B" w:rsidRPr="002F6F13" w:rsidRDefault="00551E4B" w:rsidP="00551E4B">
      <w:pPr>
        <w:tabs>
          <w:tab w:val="left" w:pos="6945"/>
        </w:tabs>
        <w:jc w:val="both"/>
        <w:rPr>
          <w:sz w:val="24"/>
          <w:szCs w:val="24"/>
        </w:rPr>
      </w:pPr>
      <w:r w:rsidRPr="00DE49ED">
        <w:rPr>
          <w:sz w:val="24"/>
          <w:szCs w:val="24"/>
        </w:rPr>
        <w:t xml:space="preserve">Garnsey, P., and Humfress, C., </w:t>
      </w:r>
      <w:proofErr w:type="gramStart"/>
      <w:r w:rsidRPr="00DE49ED">
        <w:rPr>
          <w:i/>
          <w:sz w:val="24"/>
          <w:szCs w:val="24"/>
        </w:rPr>
        <w:t>The</w:t>
      </w:r>
      <w:proofErr w:type="gramEnd"/>
      <w:r w:rsidRPr="00DE49ED">
        <w:rPr>
          <w:i/>
          <w:sz w:val="24"/>
          <w:szCs w:val="24"/>
        </w:rPr>
        <w:t xml:space="preserve"> Evolution of the Late Antique World</w:t>
      </w:r>
      <w:r>
        <w:rPr>
          <w:sz w:val="24"/>
          <w:szCs w:val="24"/>
        </w:rPr>
        <w:t xml:space="preserve"> (Cambridge, 2001)</w:t>
      </w:r>
    </w:p>
    <w:p w:rsidR="00551E4B" w:rsidRDefault="00551E4B" w:rsidP="00551E4B">
      <w:pPr>
        <w:rPr>
          <w:sz w:val="24"/>
          <w:szCs w:val="24"/>
        </w:rPr>
      </w:pPr>
      <w:r w:rsidRPr="002F6F13">
        <w:rPr>
          <w:sz w:val="24"/>
          <w:szCs w:val="24"/>
        </w:rPr>
        <w:t xml:space="preserve">Gibbon, E., </w:t>
      </w:r>
      <w:proofErr w:type="gramStart"/>
      <w:r w:rsidRPr="002F6F13">
        <w:rPr>
          <w:i/>
          <w:sz w:val="24"/>
          <w:szCs w:val="24"/>
        </w:rPr>
        <w:t>The</w:t>
      </w:r>
      <w:proofErr w:type="gramEnd"/>
      <w:r w:rsidRPr="002F6F13">
        <w:rPr>
          <w:i/>
          <w:sz w:val="24"/>
          <w:szCs w:val="24"/>
        </w:rPr>
        <w:t xml:space="preserve"> History of the Decline and Fall of the Roman Empire Vols. 1-6</w:t>
      </w:r>
      <w:r w:rsidRPr="002F6F13">
        <w:rPr>
          <w:sz w:val="24"/>
          <w:szCs w:val="24"/>
        </w:rPr>
        <w:t>, ed. Womersley, D. (London, 1994)</w:t>
      </w:r>
    </w:p>
    <w:p w:rsidR="00551E4B" w:rsidRDefault="00551E4B" w:rsidP="00551E4B">
      <w:pPr>
        <w:tabs>
          <w:tab w:val="left" w:pos="6945"/>
        </w:tabs>
        <w:jc w:val="both"/>
        <w:rPr>
          <w:sz w:val="24"/>
          <w:szCs w:val="24"/>
        </w:rPr>
      </w:pPr>
      <w:r w:rsidRPr="00DE49ED">
        <w:rPr>
          <w:sz w:val="24"/>
          <w:szCs w:val="24"/>
        </w:rPr>
        <w:t xml:space="preserve">Goffart, W., </w:t>
      </w:r>
      <w:r w:rsidRPr="00DE49ED">
        <w:rPr>
          <w:i/>
          <w:iCs/>
          <w:sz w:val="24"/>
          <w:szCs w:val="24"/>
        </w:rPr>
        <w:t>Caput and Colonate: Towards a History of Late Roman Taxation</w:t>
      </w:r>
      <w:r>
        <w:rPr>
          <w:sz w:val="24"/>
          <w:szCs w:val="24"/>
        </w:rPr>
        <w:t xml:space="preserve"> (Toronto, 1974)</w:t>
      </w:r>
    </w:p>
    <w:p w:rsidR="00551E4B" w:rsidRPr="00DF7469" w:rsidRDefault="00551E4B" w:rsidP="00551E4B">
      <w:pPr>
        <w:tabs>
          <w:tab w:val="left" w:pos="6945"/>
        </w:tabs>
        <w:jc w:val="both"/>
        <w:rPr>
          <w:sz w:val="24"/>
          <w:szCs w:val="24"/>
        </w:rPr>
      </w:pPr>
      <w:r>
        <w:rPr>
          <w:sz w:val="24"/>
          <w:szCs w:val="24"/>
        </w:rPr>
        <w:t xml:space="preserve">Goldsworthy, A., </w:t>
      </w:r>
      <w:proofErr w:type="gramStart"/>
      <w:r>
        <w:rPr>
          <w:i/>
          <w:sz w:val="24"/>
          <w:szCs w:val="24"/>
        </w:rPr>
        <w:t>The</w:t>
      </w:r>
      <w:proofErr w:type="gramEnd"/>
      <w:r>
        <w:rPr>
          <w:i/>
          <w:sz w:val="24"/>
          <w:szCs w:val="24"/>
        </w:rPr>
        <w:t xml:space="preserve"> Fall of the West: The Death of the Roman Superpower</w:t>
      </w:r>
      <w:r>
        <w:rPr>
          <w:sz w:val="24"/>
          <w:szCs w:val="24"/>
        </w:rPr>
        <w:t xml:space="preserve"> (London, 2009)</w:t>
      </w:r>
    </w:p>
    <w:p w:rsidR="00551E4B" w:rsidRDefault="00551E4B" w:rsidP="00551E4B">
      <w:pPr>
        <w:tabs>
          <w:tab w:val="left" w:pos="6945"/>
        </w:tabs>
        <w:jc w:val="both"/>
        <w:rPr>
          <w:sz w:val="24"/>
          <w:szCs w:val="24"/>
        </w:rPr>
      </w:pPr>
      <w:r w:rsidRPr="00DE49ED">
        <w:rPr>
          <w:sz w:val="24"/>
          <w:szCs w:val="24"/>
        </w:rPr>
        <w:t xml:space="preserve">Goodman, P.J., </w:t>
      </w:r>
      <w:proofErr w:type="gramStart"/>
      <w:r w:rsidRPr="00DE49ED">
        <w:rPr>
          <w:i/>
          <w:iCs/>
          <w:sz w:val="24"/>
          <w:szCs w:val="24"/>
        </w:rPr>
        <w:t>The</w:t>
      </w:r>
      <w:proofErr w:type="gramEnd"/>
      <w:r w:rsidRPr="00DE49ED">
        <w:rPr>
          <w:i/>
          <w:iCs/>
          <w:sz w:val="24"/>
          <w:szCs w:val="24"/>
        </w:rPr>
        <w:t xml:space="preserve"> Roman City and its Periphery from Rome to Gaul </w:t>
      </w:r>
      <w:r>
        <w:rPr>
          <w:sz w:val="24"/>
          <w:szCs w:val="24"/>
        </w:rPr>
        <w:t>(Routledge, 2007)</w:t>
      </w:r>
    </w:p>
    <w:p w:rsidR="00551E4B" w:rsidRPr="00D83D02" w:rsidRDefault="00551E4B" w:rsidP="00551E4B">
      <w:pPr>
        <w:tabs>
          <w:tab w:val="left" w:pos="6945"/>
        </w:tabs>
        <w:jc w:val="both"/>
        <w:rPr>
          <w:bCs/>
          <w:sz w:val="24"/>
          <w:szCs w:val="24"/>
        </w:rPr>
      </w:pPr>
      <w:r w:rsidRPr="00DE49ED">
        <w:rPr>
          <w:bCs/>
          <w:sz w:val="24"/>
          <w:szCs w:val="24"/>
        </w:rPr>
        <w:t xml:space="preserve">Gowing, A.M., </w:t>
      </w:r>
      <w:r w:rsidRPr="00DE49ED">
        <w:rPr>
          <w:bCs/>
          <w:i/>
          <w:sz w:val="24"/>
          <w:szCs w:val="24"/>
        </w:rPr>
        <w:t xml:space="preserve">Empire and Memory </w:t>
      </w:r>
      <w:proofErr w:type="gramStart"/>
      <w:r w:rsidRPr="00DE49ED">
        <w:rPr>
          <w:bCs/>
          <w:i/>
          <w:sz w:val="24"/>
          <w:szCs w:val="24"/>
        </w:rPr>
        <w:t>The</w:t>
      </w:r>
      <w:proofErr w:type="gramEnd"/>
      <w:r w:rsidRPr="00DE49ED">
        <w:rPr>
          <w:bCs/>
          <w:i/>
          <w:sz w:val="24"/>
          <w:szCs w:val="24"/>
        </w:rPr>
        <w:t xml:space="preserve"> Representation of the Roman Republic in </w:t>
      </w:r>
      <w:r w:rsidR="008B44B0">
        <w:rPr>
          <w:bCs/>
          <w:i/>
          <w:sz w:val="24"/>
          <w:szCs w:val="24"/>
        </w:rPr>
        <w:t>Imperial</w:t>
      </w:r>
      <w:r w:rsidRPr="00DE49ED">
        <w:rPr>
          <w:bCs/>
          <w:i/>
          <w:sz w:val="24"/>
          <w:szCs w:val="24"/>
        </w:rPr>
        <w:t xml:space="preserve"> Culture</w:t>
      </w:r>
      <w:r w:rsidRPr="00DE49ED">
        <w:rPr>
          <w:bCs/>
          <w:sz w:val="24"/>
          <w:szCs w:val="24"/>
        </w:rPr>
        <w:t xml:space="preserve"> (Cambridge, 2005)</w:t>
      </w:r>
    </w:p>
    <w:p w:rsidR="00551E4B" w:rsidRPr="002F6F13" w:rsidRDefault="00551E4B" w:rsidP="00551E4B">
      <w:pPr>
        <w:rPr>
          <w:sz w:val="24"/>
          <w:szCs w:val="24"/>
        </w:rPr>
      </w:pPr>
      <w:r w:rsidRPr="002F6F13">
        <w:rPr>
          <w:sz w:val="24"/>
          <w:szCs w:val="24"/>
        </w:rPr>
        <w:t>Grig, L., and Kelly, G. (</w:t>
      </w:r>
      <w:proofErr w:type="gramStart"/>
      <w:r w:rsidRPr="002F6F13">
        <w:rPr>
          <w:sz w:val="24"/>
          <w:szCs w:val="24"/>
        </w:rPr>
        <w:t>eds</w:t>
      </w:r>
      <w:proofErr w:type="gramEnd"/>
      <w:r w:rsidRPr="002F6F13">
        <w:rPr>
          <w:sz w:val="24"/>
          <w:szCs w:val="24"/>
        </w:rPr>
        <w:t xml:space="preserve">), </w:t>
      </w:r>
      <w:r w:rsidRPr="002F6F13">
        <w:rPr>
          <w:i/>
          <w:sz w:val="24"/>
          <w:szCs w:val="24"/>
        </w:rPr>
        <w:t>Two Romes: Rome and Constantinople in Late Antiquity</w:t>
      </w:r>
      <w:r w:rsidRPr="002F6F13">
        <w:rPr>
          <w:sz w:val="24"/>
          <w:szCs w:val="24"/>
        </w:rPr>
        <w:t xml:space="preserve"> (Oxford, 2012)</w:t>
      </w:r>
    </w:p>
    <w:p w:rsidR="00551E4B" w:rsidRDefault="00551E4B" w:rsidP="00551E4B">
      <w:pPr>
        <w:rPr>
          <w:sz w:val="24"/>
          <w:szCs w:val="24"/>
        </w:rPr>
      </w:pPr>
      <w:r w:rsidRPr="002F6F13">
        <w:rPr>
          <w:sz w:val="24"/>
          <w:szCs w:val="24"/>
        </w:rPr>
        <w:t xml:space="preserve">Harries, J., </w:t>
      </w:r>
      <w:r w:rsidR="008B44B0">
        <w:rPr>
          <w:i/>
          <w:sz w:val="24"/>
          <w:szCs w:val="24"/>
        </w:rPr>
        <w:t>Imperial</w:t>
      </w:r>
      <w:r w:rsidRPr="002F6F13">
        <w:rPr>
          <w:i/>
          <w:sz w:val="24"/>
          <w:szCs w:val="24"/>
        </w:rPr>
        <w:t xml:space="preserve"> Rome AD 284 to 363 </w:t>
      </w:r>
      <w:proofErr w:type="gramStart"/>
      <w:r w:rsidRPr="002F6F13">
        <w:rPr>
          <w:i/>
          <w:sz w:val="24"/>
          <w:szCs w:val="24"/>
        </w:rPr>
        <w:t>The</w:t>
      </w:r>
      <w:proofErr w:type="gramEnd"/>
      <w:r w:rsidRPr="002F6F13">
        <w:rPr>
          <w:i/>
          <w:sz w:val="24"/>
          <w:szCs w:val="24"/>
        </w:rPr>
        <w:t xml:space="preserve"> New Empire</w:t>
      </w:r>
      <w:r w:rsidRPr="002F6F13">
        <w:rPr>
          <w:sz w:val="24"/>
          <w:szCs w:val="24"/>
        </w:rPr>
        <w:t xml:space="preserve"> (Edinburgh, 2012)</w:t>
      </w:r>
    </w:p>
    <w:p w:rsidR="00551E4B" w:rsidRDefault="00551E4B" w:rsidP="00551E4B">
      <w:pPr>
        <w:rPr>
          <w:sz w:val="24"/>
          <w:szCs w:val="24"/>
        </w:rPr>
      </w:pPr>
      <w:r>
        <w:rPr>
          <w:i/>
          <w:iCs/>
          <w:sz w:val="24"/>
          <w:szCs w:val="24"/>
        </w:rPr>
        <w:t xml:space="preserve">                   </w:t>
      </w:r>
      <w:r w:rsidRPr="00DE49ED">
        <w:rPr>
          <w:i/>
          <w:iCs/>
          <w:sz w:val="24"/>
          <w:szCs w:val="24"/>
        </w:rPr>
        <w:t>Law and Crime in the Roman World</w:t>
      </w:r>
      <w:r w:rsidRPr="00DE49ED">
        <w:rPr>
          <w:sz w:val="24"/>
          <w:szCs w:val="24"/>
        </w:rPr>
        <w:t xml:space="preserve"> (Cambridge, 2007)</w:t>
      </w:r>
    </w:p>
    <w:p w:rsidR="00551E4B" w:rsidRPr="002F6F13" w:rsidRDefault="00551E4B" w:rsidP="00551E4B">
      <w:pPr>
        <w:rPr>
          <w:sz w:val="24"/>
          <w:szCs w:val="24"/>
        </w:rPr>
      </w:pPr>
      <w:r>
        <w:rPr>
          <w:i/>
          <w:iCs/>
          <w:sz w:val="24"/>
          <w:szCs w:val="24"/>
        </w:rPr>
        <w:t xml:space="preserve">                   </w:t>
      </w:r>
      <w:r w:rsidRPr="00DE49ED">
        <w:rPr>
          <w:i/>
          <w:iCs/>
          <w:sz w:val="24"/>
          <w:szCs w:val="24"/>
        </w:rPr>
        <w:t>Law and Empire in Late Antiquity</w:t>
      </w:r>
      <w:r w:rsidRPr="00DE49ED">
        <w:rPr>
          <w:sz w:val="24"/>
          <w:szCs w:val="24"/>
        </w:rPr>
        <w:t xml:space="preserve"> (Cambridge, 2001)</w:t>
      </w:r>
    </w:p>
    <w:p w:rsidR="00551E4B" w:rsidRDefault="00551E4B" w:rsidP="00551E4B">
      <w:pPr>
        <w:rPr>
          <w:sz w:val="24"/>
          <w:szCs w:val="24"/>
        </w:rPr>
      </w:pPr>
      <w:r w:rsidRPr="002F6F13">
        <w:rPr>
          <w:sz w:val="24"/>
          <w:szCs w:val="24"/>
        </w:rPr>
        <w:lastRenderedPageBreak/>
        <w:t xml:space="preserve">Heather, P., </w:t>
      </w:r>
      <w:proofErr w:type="gramStart"/>
      <w:r w:rsidRPr="002F6F13">
        <w:rPr>
          <w:i/>
          <w:sz w:val="24"/>
          <w:szCs w:val="24"/>
        </w:rPr>
        <w:t>The</w:t>
      </w:r>
      <w:proofErr w:type="gramEnd"/>
      <w:r w:rsidRPr="002F6F13">
        <w:rPr>
          <w:i/>
          <w:sz w:val="24"/>
          <w:szCs w:val="24"/>
        </w:rPr>
        <w:t xml:space="preserve"> Fall of the Roman Empire: A New History of Rome and the Barbarians</w:t>
      </w:r>
      <w:r w:rsidRPr="002F6F13">
        <w:rPr>
          <w:sz w:val="24"/>
          <w:szCs w:val="24"/>
        </w:rPr>
        <w:t xml:space="preserve"> (Oxford, 2006)</w:t>
      </w:r>
    </w:p>
    <w:p w:rsidR="00551E4B" w:rsidRDefault="00551E4B" w:rsidP="00551E4B">
      <w:pPr>
        <w:tabs>
          <w:tab w:val="left" w:pos="6945"/>
        </w:tabs>
        <w:jc w:val="both"/>
        <w:rPr>
          <w:sz w:val="24"/>
          <w:szCs w:val="24"/>
        </w:rPr>
      </w:pPr>
      <w:r w:rsidRPr="00DE49ED">
        <w:rPr>
          <w:sz w:val="24"/>
          <w:szCs w:val="24"/>
        </w:rPr>
        <w:t xml:space="preserve">Hekster, O., </w:t>
      </w:r>
      <w:r w:rsidRPr="00DE49ED">
        <w:rPr>
          <w:i/>
          <w:sz w:val="24"/>
          <w:szCs w:val="24"/>
        </w:rPr>
        <w:t>Rome and its Empire, AD 193-284</w:t>
      </w:r>
      <w:r w:rsidRPr="00DE49ED">
        <w:rPr>
          <w:sz w:val="24"/>
          <w:szCs w:val="24"/>
        </w:rPr>
        <w:t xml:space="preserve"> (Edinburgh, 2008)</w:t>
      </w:r>
    </w:p>
    <w:p w:rsidR="00551E4B" w:rsidRDefault="009C7AF1" w:rsidP="00551E4B">
      <w:pPr>
        <w:tabs>
          <w:tab w:val="left" w:pos="6945"/>
        </w:tabs>
        <w:jc w:val="both"/>
        <w:rPr>
          <w:sz w:val="24"/>
          <w:szCs w:val="24"/>
        </w:rPr>
      </w:pPr>
      <w:r>
        <w:rPr>
          <w:sz w:val="24"/>
          <w:szCs w:val="24"/>
        </w:rPr>
        <w:t>Hermansen, G</w:t>
      </w:r>
      <w:r w:rsidR="00551E4B" w:rsidRPr="00DE49ED">
        <w:rPr>
          <w:sz w:val="24"/>
          <w:szCs w:val="24"/>
        </w:rPr>
        <w:t xml:space="preserve">., </w:t>
      </w:r>
      <w:r w:rsidR="00551E4B" w:rsidRPr="00DE49ED">
        <w:rPr>
          <w:i/>
          <w:sz w:val="24"/>
          <w:szCs w:val="24"/>
        </w:rPr>
        <w:t>Ostia Aspects of Roman City Life</w:t>
      </w:r>
      <w:r w:rsidR="00551E4B">
        <w:rPr>
          <w:sz w:val="24"/>
          <w:szCs w:val="24"/>
        </w:rPr>
        <w:t xml:space="preserve"> (Edmonton, 1981)</w:t>
      </w:r>
      <w:r w:rsidR="00551E4B">
        <w:rPr>
          <w:sz w:val="24"/>
          <w:szCs w:val="24"/>
        </w:rPr>
        <w:tab/>
      </w:r>
    </w:p>
    <w:p w:rsidR="00551E4B" w:rsidRPr="00D83D02" w:rsidRDefault="00551E4B" w:rsidP="00551E4B">
      <w:pPr>
        <w:rPr>
          <w:rFonts w:cstheme="minorHAnsi"/>
          <w:sz w:val="24"/>
          <w:szCs w:val="24"/>
        </w:rPr>
      </w:pPr>
      <w:r w:rsidRPr="00DE49ED">
        <w:rPr>
          <w:rFonts w:cstheme="minorHAnsi"/>
          <w:sz w:val="24"/>
          <w:szCs w:val="24"/>
        </w:rPr>
        <w:t xml:space="preserve">Homo, L., </w:t>
      </w:r>
      <w:r w:rsidRPr="00DE49ED">
        <w:rPr>
          <w:rFonts w:cstheme="minorHAnsi"/>
          <w:i/>
          <w:sz w:val="24"/>
          <w:szCs w:val="24"/>
        </w:rPr>
        <w:t>Roman Political Institutions from City to State</w:t>
      </w:r>
      <w:r w:rsidRPr="00DE49ED">
        <w:rPr>
          <w:rFonts w:cstheme="minorHAnsi"/>
          <w:sz w:val="24"/>
          <w:szCs w:val="24"/>
        </w:rPr>
        <w:t xml:space="preserve"> (Routledge an</w:t>
      </w:r>
      <w:r>
        <w:rPr>
          <w:rFonts w:cstheme="minorHAnsi"/>
          <w:sz w:val="24"/>
          <w:szCs w:val="24"/>
        </w:rPr>
        <w:t>d Kegan Paul Ltd, London, 1962)</w:t>
      </w:r>
    </w:p>
    <w:p w:rsidR="00551E4B" w:rsidRDefault="00551E4B" w:rsidP="00551E4B">
      <w:pPr>
        <w:rPr>
          <w:sz w:val="24"/>
          <w:szCs w:val="24"/>
        </w:rPr>
      </w:pPr>
      <w:r w:rsidRPr="002F6F13">
        <w:rPr>
          <w:sz w:val="24"/>
          <w:szCs w:val="24"/>
        </w:rPr>
        <w:t xml:space="preserve">Hooghe, L., </w:t>
      </w:r>
      <w:proofErr w:type="gramStart"/>
      <w:r w:rsidRPr="002F6F13">
        <w:rPr>
          <w:i/>
          <w:iCs/>
          <w:sz w:val="24"/>
          <w:szCs w:val="24"/>
        </w:rPr>
        <w:t>The</w:t>
      </w:r>
      <w:proofErr w:type="gramEnd"/>
      <w:r w:rsidRPr="002F6F13">
        <w:rPr>
          <w:i/>
          <w:iCs/>
          <w:sz w:val="24"/>
          <w:szCs w:val="24"/>
        </w:rPr>
        <w:t xml:space="preserve"> European Commission and the Integration of Europe: Images of Government</w:t>
      </w:r>
      <w:r w:rsidRPr="002F6F13">
        <w:rPr>
          <w:sz w:val="24"/>
          <w:szCs w:val="24"/>
        </w:rPr>
        <w:t xml:space="preserve"> (Cambridge, 2001)</w:t>
      </w:r>
    </w:p>
    <w:p w:rsidR="00551E4B" w:rsidRPr="002F6F13" w:rsidRDefault="00551E4B" w:rsidP="00551E4B">
      <w:pPr>
        <w:jc w:val="both"/>
        <w:rPr>
          <w:sz w:val="24"/>
          <w:szCs w:val="24"/>
        </w:rPr>
      </w:pPr>
      <w:r w:rsidRPr="00DE49ED">
        <w:rPr>
          <w:sz w:val="24"/>
          <w:szCs w:val="24"/>
        </w:rPr>
        <w:t xml:space="preserve">Howe, L.L., </w:t>
      </w:r>
      <w:proofErr w:type="gramStart"/>
      <w:r w:rsidRPr="00DE49ED">
        <w:rPr>
          <w:i/>
          <w:iCs/>
          <w:sz w:val="24"/>
          <w:szCs w:val="24"/>
        </w:rPr>
        <w:t>The</w:t>
      </w:r>
      <w:proofErr w:type="gramEnd"/>
      <w:r w:rsidRPr="00DE49ED">
        <w:rPr>
          <w:i/>
          <w:iCs/>
          <w:sz w:val="24"/>
          <w:szCs w:val="24"/>
        </w:rPr>
        <w:t xml:space="preserve"> Praetorian Prefect from Commodus to Diocletian (A.D. 180-305) </w:t>
      </w:r>
      <w:r>
        <w:rPr>
          <w:sz w:val="24"/>
          <w:szCs w:val="24"/>
        </w:rPr>
        <w:t>(Chicago, 1942)</w:t>
      </w:r>
    </w:p>
    <w:p w:rsidR="00551E4B" w:rsidRDefault="00551E4B" w:rsidP="00551E4B">
      <w:pPr>
        <w:rPr>
          <w:i/>
          <w:sz w:val="24"/>
          <w:szCs w:val="24"/>
        </w:rPr>
      </w:pPr>
      <w:r w:rsidRPr="002F6F13">
        <w:rPr>
          <w:sz w:val="24"/>
          <w:szCs w:val="24"/>
        </w:rPr>
        <w:t xml:space="preserve">Jones, A.H.M., </w:t>
      </w:r>
      <w:proofErr w:type="gramStart"/>
      <w:r w:rsidRPr="002F6F13">
        <w:rPr>
          <w:i/>
          <w:sz w:val="24"/>
          <w:szCs w:val="24"/>
        </w:rPr>
        <w:t>The</w:t>
      </w:r>
      <w:proofErr w:type="gramEnd"/>
      <w:r w:rsidRPr="002F6F13">
        <w:rPr>
          <w:i/>
          <w:sz w:val="24"/>
          <w:szCs w:val="24"/>
        </w:rPr>
        <w:t xml:space="preserve"> Later Roman Empire 284-602 A Social, Economic and Administrative Survey</w:t>
      </w:r>
      <w:r w:rsidRPr="002F6F13">
        <w:rPr>
          <w:sz w:val="24"/>
          <w:szCs w:val="24"/>
        </w:rPr>
        <w:t xml:space="preserve"> </w:t>
      </w:r>
      <w:r w:rsidRPr="002F6F13">
        <w:rPr>
          <w:i/>
          <w:sz w:val="24"/>
          <w:szCs w:val="24"/>
        </w:rPr>
        <w:t xml:space="preserve">Vols. 1-3 </w:t>
      </w:r>
      <w:r w:rsidRPr="002F6F13">
        <w:rPr>
          <w:sz w:val="24"/>
          <w:szCs w:val="24"/>
        </w:rPr>
        <w:t>(Baltimore, 1986)</w:t>
      </w:r>
      <w:r w:rsidRPr="002F6F13">
        <w:rPr>
          <w:i/>
          <w:sz w:val="24"/>
          <w:szCs w:val="24"/>
        </w:rPr>
        <w:t xml:space="preserve"> </w:t>
      </w:r>
    </w:p>
    <w:p w:rsidR="00551E4B" w:rsidRPr="00D83D02" w:rsidRDefault="00551E4B" w:rsidP="00551E4B">
      <w:pPr>
        <w:tabs>
          <w:tab w:val="left" w:pos="6945"/>
        </w:tabs>
        <w:jc w:val="both"/>
        <w:rPr>
          <w:sz w:val="24"/>
          <w:szCs w:val="24"/>
        </w:rPr>
      </w:pPr>
      <w:r>
        <w:rPr>
          <w:sz w:val="24"/>
          <w:szCs w:val="24"/>
        </w:rPr>
        <w:t xml:space="preserve">                        </w:t>
      </w:r>
      <w:r w:rsidRPr="00DE49ED">
        <w:rPr>
          <w:i/>
          <w:sz w:val="24"/>
          <w:szCs w:val="24"/>
        </w:rPr>
        <w:t>Studies in Roman Government and Law</w:t>
      </w:r>
      <w:r>
        <w:rPr>
          <w:sz w:val="24"/>
          <w:szCs w:val="24"/>
        </w:rPr>
        <w:t xml:space="preserve"> (Oxford, 1960)</w:t>
      </w:r>
    </w:p>
    <w:p w:rsidR="00551E4B" w:rsidRDefault="00551E4B" w:rsidP="00551E4B">
      <w:pPr>
        <w:rPr>
          <w:sz w:val="24"/>
          <w:szCs w:val="24"/>
        </w:rPr>
      </w:pPr>
      <w:r w:rsidRPr="002F6F13">
        <w:rPr>
          <w:sz w:val="24"/>
          <w:szCs w:val="24"/>
        </w:rPr>
        <w:t>Jones, A.H.M., Martindale, J.R., and Morris, J.,</w:t>
      </w:r>
      <w:r w:rsidRPr="002F6F13">
        <w:rPr>
          <w:i/>
          <w:sz w:val="24"/>
          <w:szCs w:val="24"/>
        </w:rPr>
        <w:t xml:space="preserve"> </w:t>
      </w:r>
      <w:proofErr w:type="gramStart"/>
      <w:r w:rsidRPr="002F6F13">
        <w:rPr>
          <w:i/>
          <w:sz w:val="24"/>
          <w:szCs w:val="24"/>
        </w:rPr>
        <w:t>The</w:t>
      </w:r>
      <w:proofErr w:type="gramEnd"/>
      <w:r w:rsidRPr="002F6F13">
        <w:rPr>
          <w:i/>
          <w:sz w:val="24"/>
          <w:szCs w:val="24"/>
        </w:rPr>
        <w:t xml:space="preserve"> Prosopography of the Later Roman Empire</w:t>
      </w:r>
      <w:r w:rsidRPr="002F6F13">
        <w:rPr>
          <w:sz w:val="24"/>
          <w:szCs w:val="24"/>
        </w:rPr>
        <w:t xml:space="preserve"> (Cambridge, 1971)</w:t>
      </w:r>
    </w:p>
    <w:p w:rsidR="00551E4B" w:rsidRPr="00D83D02" w:rsidRDefault="00551E4B" w:rsidP="00551E4B">
      <w:pPr>
        <w:rPr>
          <w:sz w:val="24"/>
          <w:szCs w:val="24"/>
        </w:rPr>
      </w:pPr>
      <w:r w:rsidRPr="00DE49ED">
        <w:rPr>
          <w:sz w:val="24"/>
          <w:szCs w:val="24"/>
        </w:rPr>
        <w:t xml:space="preserve">Jones, M.W., </w:t>
      </w:r>
      <w:r w:rsidRPr="00DE49ED">
        <w:rPr>
          <w:i/>
          <w:sz w:val="24"/>
          <w:szCs w:val="24"/>
        </w:rPr>
        <w:t>Principles of Roman Architecture</w:t>
      </w:r>
      <w:r>
        <w:rPr>
          <w:sz w:val="24"/>
          <w:szCs w:val="24"/>
        </w:rPr>
        <w:t xml:space="preserve"> (London, 2000)</w:t>
      </w:r>
    </w:p>
    <w:p w:rsidR="00551E4B" w:rsidRPr="002F6F13" w:rsidRDefault="00551E4B" w:rsidP="00551E4B">
      <w:pPr>
        <w:pStyle w:val="FootnoteText"/>
        <w:rPr>
          <w:sz w:val="24"/>
          <w:szCs w:val="24"/>
        </w:rPr>
      </w:pPr>
      <w:r w:rsidRPr="002F6F13">
        <w:rPr>
          <w:sz w:val="24"/>
          <w:szCs w:val="24"/>
        </w:rPr>
        <w:t xml:space="preserve">Jordan, H., </w:t>
      </w:r>
      <w:r w:rsidRPr="002F6F13">
        <w:rPr>
          <w:i/>
          <w:sz w:val="24"/>
          <w:szCs w:val="24"/>
        </w:rPr>
        <w:t>Topographie der Stadt Rom im Alterthum</w:t>
      </w:r>
      <w:r w:rsidRPr="002F6F13">
        <w:rPr>
          <w:sz w:val="24"/>
          <w:szCs w:val="24"/>
        </w:rPr>
        <w:t xml:space="preserve"> </w:t>
      </w:r>
      <w:r w:rsidRPr="002F6F13">
        <w:rPr>
          <w:i/>
          <w:sz w:val="24"/>
          <w:szCs w:val="24"/>
        </w:rPr>
        <w:t>Vols. 1&amp;2</w:t>
      </w:r>
      <w:r w:rsidRPr="002F6F13">
        <w:rPr>
          <w:sz w:val="24"/>
          <w:szCs w:val="24"/>
        </w:rPr>
        <w:t xml:space="preserve"> (Roma, 1970)</w:t>
      </w:r>
    </w:p>
    <w:p w:rsidR="00551E4B" w:rsidRPr="002F6F13" w:rsidRDefault="00551E4B" w:rsidP="00551E4B">
      <w:pPr>
        <w:pStyle w:val="FootnoteText"/>
        <w:rPr>
          <w:sz w:val="24"/>
          <w:szCs w:val="24"/>
        </w:rPr>
      </w:pPr>
    </w:p>
    <w:p w:rsidR="00551E4B" w:rsidRPr="002F6F13" w:rsidRDefault="00551E4B" w:rsidP="00551E4B">
      <w:pPr>
        <w:rPr>
          <w:sz w:val="24"/>
          <w:szCs w:val="24"/>
        </w:rPr>
      </w:pPr>
      <w:r w:rsidRPr="002F6F13">
        <w:rPr>
          <w:sz w:val="24"/>
          <w:szCs w:val="24"/>
        </w:rPr>
        <w:t>Kaiser, A., Roman Urban Street Networks (Oxford, 2011)</w:t>
      </w:r>
    </w:p>
    <w:p w:rsidR="00551E4B" w:rsidRPr="002F6F13" w:rsidRDefault="00551E4B" w:rsidP="00551E4B">
      <w:pPr>
        <w:rPr>
          <w:sz w:val="24"/>
          <w:szCs w:val="24"/>
        </w:rPr>
      </w:pPr>
      <w:r w:rsidRPr="002F6F13">
        <w:rPr>
          <w:sz w:val="24"/>
          <w:szCs w:val="24"/>
        </w:rPr>
        <w:t xml:space="preserve">Kelly, C., </w:t>
      </w:r>
      <w:r w:rsidRPr="002F6F13">
        <w:rPr>
          <w:i/>
          <w:sz w:val="24"/>
          <w:szCs w:val="24"/>
        </w:rPr>
        <w:t>Ruling the Later Roman Empire</w:t>
      </w:r>
      <w:r w:rsidRPr="002F6F13">
        <w:rPr>
          <w:sz w:val="24"/>
          <w:szCs w:val="24"/>
        </w:rPr>
        <w:t xml:space="preserve"> (London, 2004)</w:t>
      </w:r>
    </w:p>
    <w:p w:rsidR="00551E4B" w:rsidRPr="002F6F13" w:rsidRDefault="00551E4B" w:rsidP="00551E4B">
      <w:pPr>
        <w:rPr>
          <w:sz w:val="24"/>
          <w:szCs w:val="24"/>
        </w:rPr>
      </w:pPr>
      <w:r w:rsidRPr="002F6F13">
        <w:rPr>
          <w:sz w:val="24"/>
          <w:szCs w:val="24"/>
        </w:rPr>
        <w:t>König, J., and Whitmarsh, T. (</w:t>
      </w:r>
      <w:proofErr w:type="gramStart"/>
      <w:r w:rsidRPr="002F6F13">
        <w:rPr>
          <w:sz w:val="24"/>
          <w:szCs w:val="24"/>
        </w:rPr>
        <w:t>eds</w:t>
      </w:r>
      <w:proofErr w:type="gramEnd"/>
      <w:r w:rsidRPr="002F6F13">
        <w:rPr>
          <w:sz w:val="24"/>
          <w:szCs w:val="24"/>
        </w:rPr>
        <w:t xml:space="preserve">), </w:t>
      </w:r>
      <w:r w:rsidRPr="002F6F13">
        <w:rPr>
          <w:i/>
          <w:sz w:val="24"/>
          <w:szCs w:val="24"/>
        </w:rPr>
        <w:t>Ordering Knowledge in the Roman Empire</w:t>
      </w:r>
      <w:r w:rsidRPr="002F6F13">
        <w:rPr>
          <w:sz w:val="24"/>
          <w:szCs w:val="24"/>
        </w:rPr>
        <w:t xml:space="preserve"> (Cambridge, 2007)</w:t>
      </w:r>
    </w:p>
    <w:p w:rsidR="00551E4B" w:rsidRPr="002F6F13" w:rsidRDefault="00551E4B" w:rsidP="00551E4B">
      <w:pPr>
        <w:rPr>
          <w:sz w:val="24"/>
          <w:szCs w:val="24"/>
        </w:rPr>
      </w:pPr>
      <w:r w:rsidRPr="002F6F13">
        <w:rPr>
          <w:sz w:val="24"/>
          <w:szCs w:val="24"/>
        </w:rPr>
        <w:t xml:space="preserve">Krautheimer, R., </w:t>
      </w:r>
      <w:r w:rsidRPr="002F6F13">
        <w:rPr>
          <w:i/>
          <w:sz w:val="24"/>
          <w:szCs w:val="24"/>
        </w:rPr>
        <w:t>Rome Profile of a City, 312-1308</w:t>
      </w:r>
      <w:r w:rsidRPr="002F6F13">
        <w:rPr>
          <w:sz w:val="24"/>
          <w:szCs w:val="24"/>
        </w:rPr>
        <w:t xml:space="preserve"> (Guildford, 1980)</w:t>
      </w:r>
    </w:p>
    <w:p w:rsidR="00551E4B" w:rsidRDefault="00551E4B" w:rsidP="00551E4B">
      <w:pPr>
        <w:rPr>
          <w:sz w:val="24"/>
          <w:szCs w:val="24"/>
        </w:rPr>
      </w:pPr>
      <w:r w:rsidRPr="002F6F13">
        <w:rPr>
          <w:sz w:val="24"/>
          <w:szCs w:val="24"/>
        </w:rPr>
        <w:t xml:space="preserve">Lanciani, R., </w:t>
      </w:r>
      <w:r w:rsidRPr="002F6F13">
        <w:rPr>
          <w:i/>
          <w:sz w:val="24"/>
          <w:szCs w:val="24"/>
        </w:rPr>
        <w:t xml:space="preserve">Ruins and Excavations of Ancient Rome </w:t>
      </w:r>
      <w:proofErr w:type="gramStart"/>
      <w:r w:rsidRPr="002F6F13">
        <w:rPr>
          <w:i/>
          <w:sz w:val="24"/>
          <w:szCs w:val="24"/>
        </w:rPr>
        <w:t>A</w:t>
      </w:r>
      <w:proofErr w:type="gramEnd"/>
      <w:r w:rsidRPr="002F6F13">
        <w:rPr>
          <w:i/>
          <w:sz w:val="24"/>
          <w:szCs w:val="24"/>
        </w:rPr>
        <w:t xml:space="preserve"> Companion Book for Students and Travelers </w:t>
      </w:r>
      <w:r w:rsidRPr="002F6F13">
        <w:rPr>
          <w:sz w:val="24"/>
          <w:szCs w:val="24"/>
        </w:rPr>
        <w:t>(Oxford, 1967)</w:t>
      </w:r>
    </w:p>
    <w:p w:rsidR="00551E4B" w:rsidRPr="002F6F13" w:rsidRDefault="00551E4B" w:rsidP="00551E4B">
      <w:pPr>
        <w:rPr>
          <w:sz w:val="24"/>
          <w:szCs w:val="24"/>
        </w:rPr>
      </w:pPr>
      <w:r w:rsidRPr="002F6F13">
        <w:rPr>
          <w:sz w:val="24"/>
          <w:szCs w:val="24"/>
        </w:rPr>
        <w:t xml:space="preserve">Lançon, B., </w:t>
      </w:r>
      <w:r w:rsidRPr="002F6F13">
        <w:rPr>
          <w:i/>
          <w:iCs/>
          <w:sz w:val="24"/>
          <w:szCs w:val="24"/>
        </w:rPr>
        <w:t>Rome in Late Antiquity Everyday Life and Urban Change, AD 312-609</w:t>
      </w:r>
      <w:r w:rsidRPr="002F6F13">
        <w:rPr>
          <w:sz w:val="24"/>
          <w:szCs w:val="24"/>
        </w:rPr>
        <w:t>, trans. Antonia Nevill (Edinburgh, 2000)</w:t>
      </w:r>
    </w:p>
    <w:p w:rsidR="00551E4B" w:rsidRPr="002F6F13" w:rsidRDefault="00551E4B" w:rsidP="00551E4B">
      <w:pPr>
        <w:rPr>
          <w:sz w:val="24"/>
          <w:szCs w:val="24"/>
        </w:rPr>
      </w:pPr>
      <w:r w:rsidRPr="002F6F13">
        <w:rPr>
          <w:sz w:val="24"/>
          <w:szCs w:val="24"/>
        </w:rPr>
        <w:t>Laurence, R., and Newsome, D.J. (</w:t>
      </w:r>
      <w:proofErr w:type="gramStart"/>
      <w:r w:rsidRPr="002F6F13">
        <w:rPr>
          <w:sz w:val="24"/>
          <w:szCs w:val="24"/>
        </w:rPr>
        <w:t>eds</w:t>
      </w:r>
      <w:proofErr w:type="gramEnd"/>
      <w:r w:rsidRPr="002F6F13">
        <w:rPr>
          <w:sz w:val="24"/>
          <w:szCs w:val="24"/>
        </w:rPr>
        <w:t xml:space="preserve">), </w:t>
      </w:r>
      <w:r w:rsidRPr="002F6F13">
        <w:rPr>
          <w:i/>
          <w:sz w:val="24"/>
          <w:szCs w:val="24"/>
        </w:rPr>
        <w:t>Rome, Ostia, Pompeii Movement and Space</w:t>
      </w:r>
      <w:r w:rsidRPr="002F6F13">
        <w:rPr>
          <w:sz w:val="24"/>
          <w:szCs w:val="24"/>
        </w:rPr>
        <w:t xml:space="preserve"> (Oxford, 2011)</w:t>
      </w:r>
    </w:p>
    <w:p w:rsidR="00551E4B" w:rsidRPr="002F6F13" w:rsidRDefault="00551E4B" w:rsidP="00551E4B">
      <w:pPr>
        <w:rPr>
          <w:sz w:val="24"/>
          <w:szCs w:val="24"/>
        </w:rPr>
      </w:pPr>
      <w:r w:rsidRPr="002F6F13">
        <w:rPr>
          <w:sz w:val="24"/>
          <w:szCs w:val="24"/>
        </w:rPr>
        <w:t>Larmour, D.H.J., and Spencer, D. (</w:t>
      </w:r>
      <w:proofErr w:type="gramStart"/>
      <w:r w:rsidRPr="002F6F13">
        <w:rPr>
          <w:sz w:val="24"/>
          <w:szCs w:val="24"/>
        </w:rPr>
        <w:t>eds</w:t>
      </w:r>
      <w:proofErr w:type="gramEnd"/>
      <w:r w:rsidRPr="002F6F13">
        <w:rPr>
          <w:sz w:val="24"/>
          <w:szCs w:val="24"/>
        </w:rPr>
        <w:t xml:space="preserve">), </w:t>
      </w:r>
      <w:r w:rsidRPr="002F6F13">
        <w:rPr>
          <w:i/>
          <w:sz w:val="24"/>
          <w:szCs w:val="24"/>
        </w:rPr>
        <w:t>The Sites of Rome: Time, Space, Memory</w:t>
      </w:r>
      <w:r w:rsidRPr="002F6F13">
        <w:rPr>
          <w:sz w:val="24"/>
          <w:szCs w:val="24"/>
        </w:rPr>
        <w:t xml:space="preserve"> (Oxford, 2007)</w:t>
      </w:r>
    </w:p>
    <w:p w:rsidR="00551E4B" w:rsidRPr="002F6F13" w:rsidRDefault="00551E4B" w:rsidP="00551E4B">
      <w:pPr>
        <w:rPr>
          <w:sz w:val="24"/>
          <w:szCs w:val="24"/>
        </w:rPr>
      </w:pPr>
      <w:r w:rsidRPr="002F6F13">
        <w:rPr>
          <w:sz w:val="24"/>
          <w:szCs w:val="24"/>
        </w:rPr>
        <w:lastRenderedPageBreak/>
        <w:t xml:space="preserve">Lendon, J.E., </w:t>
      </w:r>
      <w:r w:rsidRPr="002F6F13">
        <w:rPr>
          <w:i/>
          <w:sz w:val="24"/>
          <w:szCs w:val="24"/>
        </w:rPr>
        <w:t>Empire of Honour: The Art of Government in the Roman World</w:t>
      </w:r>
      <w:r w:rsidRPr="002F6F13">
        <w:rPr>
          <w:sz w:val="24"/>
          <w:szCs w:val="24"/>
        </w:rPr>
        <w:t xml:space="preserve"> (Oxford, 1997)</w:t>
      </w:r>
    </w:p>
    <w:p w:rsidR="00551E4B" w:rsidRPr="002F6F13" w:rsidRDefault="00551E4B" w:rsidP="00551E4B">
      <w:pPr>
        <w:rPr>
          <w:sz w:val="24"/>
          <w:szCs w:val="24"/>
        </w:rPr>
      </w:pPr>
      <w:r w:rsidRPr="002F6F13">
        <w:rPr>
          <w:rFonts w:eastAsiaTheme="majorEastAsia"/>
          <w:sz w:val="24"/>
          <w:szCs w:val="24"/>
        </w:rPr>
        <w:t xml:space="preserve">Lenski, N. (ed.), </w:t>
      </w:r>
      <w:proofErr w:type="gramStart"/>
      <w:r w:rsidRPr="002F6F13">
        <w:rPr>
          <w:rFonts w:eastAsiaTheme="majorEastAsia"/>
          <w:i/>
          <w:iCs/>
          <w:sz w:val="24"/>
          <w:szCs w:val="24"/>
        </w:rPr>
        <w:t>The</w:t>
      </w:r>
      <w:proofErr w:type="gramEnd"/>
      <w:r w:rsidRPr="002F6F13">
        <w:rPr>
          <w:rFonts w:eastAsiaTheme="majorEastAsia"/>
          <w:i/>
          <w:iCs/>
          <w:sz w:val="24"/>
          <w:szCs w:val="24"/>
        </w:rPr>
        <w:t xml:space="preserve"> Cambridge Companion to the Age of Constantine</w:t>
      </w:r>
      <w:r w:rsidRPr="002F6F13">
        <w:rPr>
          <w:rFonts w:eastAsiaTheme="majorEastAsia"/>
          <w:sz w:val="24"/>
          <w:szCs w:val="24"/>
        </w:rPr>
        <w:t xml:space="preserve"> (Cambridge, 2006)</w:t>
      </w:r>
    </w:p>
    <w:p w:rsidR="00551E4B" w:rsidRDefault="00551E4B" w:rsidP="00551E4B">
      <w:pPr>
        <w:rPr>
          <w:sz w:val="24"/>
          <w:szCs w:val="24"/>
        </w:rPr>
      </w:pPr>
      <w:r w:rsidRPr="00DE49ED">
        <w:rPr>
          <w:sz w:val="24"/>
          <w:szCs w:val="24"/>
        </w:rPr>
        <w:t xml:space="preserve">Liebeschuetz, J.H.W.G., </w:t>
      </w:r>
      <w:r w:rsidRPr="00DE49ED">
        <w:rPr>
          <w:i/>
          <w:iCs/>
          <w:sz w:val="24"/>
          <w:szCs w:val="24"/>
        </w:rPr>
        <w:t xml:space="preserve">Decline and </w:t>
      </w:r>
      <w:proofErr w:type="gramStart"/>
      <w:r w:rsidRPr="00DE49ED">
        <w:rPr>
          <w:i/>
          <w:iCs/>
          <w:sz w:val="24"/>
          <w:szCs w:val="24"/>
        </w:rPr>
        <w:t>Fall</w:t>
      </w:r>
      <w:proofErr w:type="gramEnd"/>
      <w:r w:rsidRPr="00DE49ED">
        <w:rPr>
          <w:i/>
          <w:iCs/>
          <w:sz w:val="24"/>
          <w:szCs w:val="24"/>
        </w:rPr>
        <w:t xml:space="preserve"> of the Roman City</w:t>
      </w:r>
      <w:r w:rsidRPr="00DE49ED">
        <w:rPr>
          <w:sz w:val="24"/>
          <w:szCs w:val="24"/>
        </w:rPr>
        <w:t xml:space="preserve"> (Oxford, 2001)</w:t>
      </w:r>
    </w:p>
    <w:p w:rsidR="00551E4B" w:rsidRDefault="00551E4B" w:rsidP="00551E4B">
      <w:pPr>
        <w:tabs>
          <w:tab w:val="left" w:pos="6945"/>
        </w:tabs>
        <w:jc w:val="both"/>
        <w:rPr>
          <w:sz w:val="24"/>
          <w:szCs w:val="24"/>
        </w:rPr>
      </w:pPr>
      <w:r w:rsidRPr="00DE49ED">
        <w:rPr>
          <w:sz w:val="24"/>
          <w:szCs w:val="24"/>
        </w:rPr>
        <w:t>Lomas, K., and Cornell, T. (</w:t>
      </w:r>
      <w:proofErr w:type="gramStart"/>
      <w:r w:rsidRPr="00DE49ED">
        <w:rPr>
          <w:sz w:val="24"/>
          <w:szCs w:val="24"/>
        </w:rPr>
        <w:t>eds</w:t>
      </w:r>
      <w:proofErr w:type="gramEnd"/>
      <w:r w:rsidRPr="00DE49ED">
        <w:rPr>
          <w:sz w:val="24"/>
          <w:szCs w:val="24"/>
        </w:rPr>
        <w:t xml:space="preserve">), </w:t>
      </w:r>
      <w:r w:rsidRPr="00DE49ED">
        <w:rPr>
          <w:i/>
          <w:iCs/>
          <w:sz w:val="24"/>
          <w:szCs w:val="24"/>
        </w:rPr>
        <w:t>‘Bread and Circuses’ Euergetism and municipal patronage in Roman Italy</w:t>
      </w:r>
      <w:r>
        <w:rPr>
          <w:sz w:val="24"/>
          <w:szCs w:val="24"/>
        </w:rPr>
        <w:t xml:space="preserve"> (London, 2003)</w:t>
      </w:r>
    </w:p>
    <w:p w:rsidR="00551E4B" w:rsidRDefault="00551E4B" w:rsidP="00551E4B">
      <w:pPr>
        <w:rPr>
          <w:sz w:val="24"/>
          <w:szCs w:val="24"/>
        </w:rPr>
      </w:pPr>
      <w:r w:rsidRPr="002F6F13">
        <w:rPr>
          <w:sz w:val="24"/>
          <w:szCs w:val="24"/>
        </w:rPr>
        <w:t xml:space="preserve">Longfellow, B., </w:t>
      </w:r>
      <w:r w:rsidRPr="002F6F13">
        <w:rPr>
          <w:i/>
          <w:sz w:val="24"/>
          <w:szCs w:val="24"/>
        </w:rPr>
        <w:t xml:space="preserve">Roman </w:t>
      </w:r>
      <w:r w:rsidR="008B44B0">
        <w:rPr>
          <w:i/>
          <w:sz w:val="24"/>
          <w:szCs w:val="24"/>
        </w:rPr>
        <w:t>Imperial</w:t>
      </w:r>
      <w:r w:rsidRPr="002F6F13">
        <w:rPr>
          <w:i/>
          <w:sz w:val="24"/>
          <w:szCs w:val="24"/>
        </w:rPr>
        <w:t>ism and Civic Patronage: Form, Meaning and Ideology in Monumental Fountain Complexes</w:t>
      </w:r>
      <w:r w:rsidRPr="002F6F13">
        <w:rPr>
          <w:sz w:val="24"/>
          <w:szCs w:val="24"/>
        </w:rPr>
        <w:t xml:space="preserve"> (Cambridge, 2011)</w:t>
      </w:r>
    </w:p>
    <w:p w:rsidR="00551E4B" w:rsidRPr="002F6F13" w:rsidRDefault="00551E4B" w:rsidP="00551E4B">
      <w:pPr>
        <w:rPr>
          <w:sz w:val="24"/>
          <w:szCs w:val="24"/>
        </w:rPr>
      </w:pPr>
      <w:r w:rsidRPr="00DE49ED">
        <w:rPr>
          <w:sz w:val="24"/>
          <w:szCs w:val="24"/>
        </w:rPr>
        <w:t xml:space="preserve">MacCormack, S.G., </w:t>
      </w:r>
      <w:r w:rsidRPr="00DE49ED">
        <w:rPr>
          <w:i/>
          <w:iCs/>
          <w:sz w:val="24"/>
          <w:szCs w:val="24"/>
        </w:rPr>
        <w:t>Art and Ceremony in Late Antiquity</w:t>
      </w:r>
      <w:r w:rsidRPr="00DE49ED">
        <w:rPr>
          <w:sz w:val="24"/>
          <w:szCs w:val="24"/>
        </w:rPr>
        <w:t xml:space="preserve"> (London, 1981)</w:t>
      </w:r>
    </w:p>
    <w:p w:rsidR="00551E4B" w:rsidRPr="002F6F13" w:rsidRDefault="00551E4B" w:rsidP="00551E4B">
      <w:pPr>
        <w:rPr>
          <w:sz w:val="24"/>
          <w:szCs w:val="24"/>
        </w:rPr>
      </w:pPr>
      <w:r w:rsidRPr="002F6F13">
        <w:rPr>
          <w:sz w:val="24"/>
          <w:szCs w:val="24"/>
        </w:rPr>
        <w:t xml:space="preserve">MacDonald, W.L., </w:t>
      </w:r>
      <w:proofErr w:type="gramStart"/>
      <w:r w:rsidRPr="002F6F13">
        <w:rPr>
          <w:i/>
          <w:sz w:val="24"/>
          <w:szCs w:val="24"/>
        </w:rPr>
        <w:t>The</w:t>
      </w:r>
      <w:proofErr w:type="gramEnd"/>
      <w:r w:rsidRPr="002F6F13">
        <w:rPr>
          <w:i/>
          <w:sz w:val="24"/>
          <w:szCs w:val="24"/>
        </w:rPr>
        <w:t xml:space="preserve"> Architecture of the Roman Empire Vol. 1 An Introductory Study</w:t>
      </w:r>
      <w:r w:rsidRPr="002F6F13">
        <w:rPr>
          <w:sz w:val="24"/>
          <w:szCs w:val="24"/>
        </w:rPr>
        <w:t xml:space="preserve"> (London, 1965)</w:t>
      </w:r>
    </w:p>
    <w:p w:rsidR="00551E4B" w:rsidRPr="002F6F13" w:rsidRDefault="00551E4B" w:rsidP="00551E4B">
      <w:pPr>
        <w:rPr>
          <w:sz w:val="24"/>
          <w:szCs w:val="24"/>
        </w:rPr>
      </w:pPr>
      <w:r w:rsidRPr="002F6F13">
        <w:rPr>
          <w:i/>
          <w:sz w:val="24"/>
          <w:szCs w:val="24"/>
        </w:rPr>
        <w:t xml:space="preserve">                                 The Architecture of the Roman Empire Vol. 2 </w:t>
      </w:r>
      <w:proofErr w:type="gramStart"/>
      <w:r w:rsidRPr="002F6F13">
        <w:rPr>
          <w:i/>
          <w:sz w:val="24"/>
          <w:szCs w:val="24"/>
        </w:rPr>
        <w:t>An</w:t>
      </w:r>
      <w:proofErr w:type="gramEnd"/>
      <w:r w:rsidRPr="002F6F13">
        <w:rPr>
          <w:i/>
          <w:sz w:val="24"/>
          <w:szCs w:val="24"/>
        </w:rPr>
        <w:t xml:space="preserve"> Urban Appraisal</w:t>
      </w:r>
      <w:r w:rsidRPr="002F6F13">
        <w:rPr>
          <w:sz w:val="24"/>
          <w:szCs w:val="24"/>
        </w:rPr>
        <w:t xml:space="preserve"> (London, 1986)</w:t>
      </w:r>
    </w:p>
    <w:p w:rsidR="00551E4B" w:rsidRPr="002F6F13" w:rsidRDefault="00551E4B" w:rsidP="00551E4B">
      <w:pPr>
        <w:rPr>
          <w:rFonts w:cs="AGaramond-Regular"/>
          <w:sz w:val="24"/>
          <w:szCs w:val="24"/>
        </w:rPr>
      </w:pPr>
      <w:r w:rsidRPr="002F6F13">
        <w:rPr>
          <w:sz w:val="24"/>
          <w:szCs w:val="24"/>
        </w:rPr>
        <w:t xml:space="preserve">MacMullen, R., </w:t>
      </w:r>
      <w:r w:rsidRPr="002F6F13">
        <w:rPr>
          <w:i/>
          <w:sz w:val="24"/>
          <w:szCs w:val="24"/>
        </w:rPr>
        <w:t xml:space="preserve">Roman Government’s Response to Crisis AD 235-337 </w:t>
      </w:r>
      <w:r w:rsidRPr="002F6F13">
        <w:rPr>
          <w:sz w:val="24"/>
          <w:szCs w:val="24"/>
        </w:rPr>
        <w:t>(London, 1976)</w:t>
      </w:r>
    </w:p>
    <w:p w:rsidR="00551E4B" w:rsidRDefault="00551E4B" w:rsidP="00551E4B">
      <w:pPr>
        <w:rPr>
          <w:sz w:val="24"/>
          <w:szCs w:val="24"/>
        </w:rPr>
      </w:pPr>
      <w:r w:rsidRPr="00DE49ED">
        <w:rPr>
          <w:sz w:val="24"/>
          <w:szCs w:val="24"/>
        </w:rPr>
        <w:t xml:space="preserve">Marucchis, H., </w:t>
      </w:r>
      <w:proofErr w:type="gramStart"/>
      <w:r w:rsidRPr="00DE49ED">
        <w:rPr>
          <w:i/>
          <w:sz w:val="24"/>
          <w:szCs w:val="24"/>
        </w:rPr>
        <w:t>The</w:t>
      </w:r>
      <w:proofErr w:type="gramEnd"/>
      <w:r w:rsidRPr="00DE49ED">
        <w:rPr>
          <w:i/>
          <w:sz w:val="24"/>
          <w:szCs w:val="24"/>
        </w:rPr>
        <w:t xml:space="preserve"> Roman Forum and the Palatine </w:t>
      </w:r>
      <w:r>
        <w:rPr>
          <w:sz w:val="24"/>
          <w:szCs w:val="24"/>
        </w:rPr>
        <w:t>(London, 1906)</w:t>
      </w:r>
    </w:p>
    <w:p w:rsidR="00551E4B" w:rsidRDefault="00551E4B" w:rsidP="00551E4B">
      <w:pPr>
        <w:rPr>
          <w:sz w:val="24"/>
          <w:szCs w:val="24"/>
        </w:rPr>
      </w:pPr>
      <w:r w:rsidRPr="00DE49ED">
        <w:rPr>
          <w:sz w:val="24"/>
          <w:szCs w:val="24"/>
        </w:rPr>
        <w:t xml:space="preserve">Matthews, J., </w:t>
      </w:r>
      <w:r w:rsidRPr="00DE49ED">
        <w:rPr>
          <w:i/>
          <w:iCs/>
          <w:sz w:val="24"/>
          <w:szCs w:val="24"/>
        </w:rPr>
        <w:t>Political Life and Culture in Late Roman Society</w:t>
      </w:r>
      <w:r w:rsidRPr="00DE49ED">
        <w:rPr>
          <w:sz w:val="24"/>
          <w:szCs w:val="24"/>
        </w:rPr>
        <w:t xml:space="preserve"> (London, 1985)</w:t>
      </w:r>
    </w:p>
    <w:p w:rsidR="00551E4B" w:rsidRDefault="00551E4B" w:rsidP="00551E4B">
      <w:pPr>
        <w:rPr>
          <w:sz w:val="24"/>
          <w:szCs w:val="24"/>
        </w:rPr>
      </w:pPr>
      <w:r>
        <w:rPr>
          <w:i/>
          <w:sz w:val="24"/>
          <w:szCs w:val="24"/>
        </w:rPr>
        <w:t xml:space="preserve">                         </w:t>
      </w:r>
      <w:r w:rsidRPr="00DE49ED">
        <w:rPr>
          <w:i/>
          <w:sz w:val="24"/>
          <w:szCs w:val="24"/>
        </w:rPr>
        <w:t xml:space="preserve">Western Aristocracies and </w:t>
      </w:r>
      <w:r w:rsidR="008B44B0">
        <w:rPr>
          <w:i/>
          <w:sz w:val="24"/>
          <w:szCs w:val="24"/>
        </w:rPr>
        <w:t>Imperial</w:t>
      </w:r>
      <w:r w:rsidRPr="00DE49ED">
        <w:rPr>
          <w:i/>
          <w:sz w:val="24"/>
          <w:szCs w:val="24"/>
        </w:rPr>
        <w:t xml:space="preserve"> Court A.D. 364-425</w:t>
      </w:r>
      <w:r w:rsidRPr="00DE49ED">
        <w:rPr>
          <w:sz w:val="24"/>
          <w:szCs w:val="24"/>
        </w:rPr>
        <w:t xml:space="preserve"> (Clarendon Press, Oxford, 1975)</w:t>
      </w:r>
    </w:p>
    <w:p w:rsidR="00551E4B" w:rsidRPr="002F6F13" w:rsidRDefault="00551E4B" w:rsidP="00551E4B">
      <w:pPr>
        <w:rPr>
          <w:sz w:val="24"/>
          <w:szCs w:val="24"/>
        </w:rPr>
      </w:pPr>
      <w:r w:rsidRPr="002F6F13">
        <w:rPr>
          <w:sz w:val="24"/>
          <w:szCs w:val="24"/>
        </w:rPr>
        <w:t xml:space="preserve">Mazzolani, L.S., </w:t>
      </w:r>
      <w:r w:rsidRPr="002F6F13">
        <w:rPr>
          <w:i/>
          <w:sz w:val="24"/>
          <w:szCs w:val="24"/>
        </w:rPr>
        <w:t>The Idea of the City in Roman Thought From Walled City to Spiritual Commonwealth</w:t>
      </w:r>
      <w:r w:rsidRPr="002F6F13">
        <w:rPr>
          <w:sz w:val="24"/>
          <w:szCs w:val="24"/>
        </w:rPr>
        <w:t>, trans. O’Donnell, S., (London, 1967)</w:t>
      </w:r>
    </w:p>
    <w:p w:rsidR="00551E4B" w:rsidRPr="002F6F13" w:rsidRDefault="00551E4B" w:rsidP="00551E4B">
      <w:pPr>
        <w:rPr>
          <w:rFonts w:cs="AGaramond-Regular"/>
          <w:sz w:val="24"/>
          <w:szCs w:val="24"/>
        </w:rPr>
      </w:pPr>
      <w:r w:rsidRPr="002F6F13">
        <w:rPr>
          <w:sz w:val="24"/>
          <w:szCs w:val="24"/>
        </w:rPr>
        <w:t xml:space="preserve">McGinn, T.A.J., </w:t>
      </w:r>
      <w:r w:rsidRPr="002F6F13">
        <w:rPr>
          <w:i/>
          <w:iCs/>
          <w:sz w:val="24"/>
          <w:szCs w:val="24"/>
        </w:rPr>
        <w:t>Prostitution, Sexuality, and the Law in Ancient Rome</w:t>
      </w:r>
      <w:r w:rsidRPr="002F6F13">
        <w:rPr>
          <w:sz w:val="24"/>
          <w:szCs w:val="24"/>
        </w:rPr>
        <w:t xml:space="preserve"> (Oxford, 1998)</w:t>
      </w:r>
    </w:p>
    <w:p w:rsidR="00551E4B" w:rsidRPr="002F6F13" w:rsidRDefault="00551E4B" w:rsidP="00551E4B">
      <w:pPr>
        <w:rPr>
          <w:rFonts w:cs="AGaramond-Regular"/>
          <w:sz w:val="24"/>
          <w:szCs w:val="24"/>
        </w:rPr>
      </w:pPr>
      <w:r w:rsidRPr="002F6F13">
        <w:rPr>
          <w:rFonts w:cs="AGaramond-Regular"/>
          <w:sz w:val="24"/>
          <w:szCs w:val="24"/>
        </w:rPr>
        <w:t xml:space="preserve">McKitterick, R (ed.), </w:t>
      </w:r>
      <w:r w:rsidRPr="002F6F13">
        <w:rPr>
          <w:rFonts w:cs="AGaramond-Regular"/>
          <w:i/>
          <w:sz w:val="24"/>
          <w:szCs w:val="24"/>
        </w:rPr>
        <w:t>Carolingian Culture emulation and innovation</w:t>
      </w:r>
      <w:r w:rsidRPr="002F6F13">
        <w:rPr>
          <w:rFonts w:cs="AGaramond-Regular"/>
          <w:sz w:val="24"/>
          <w:szCs w:val="24"/>
        </w:rPr>
        <w:t xml:space="preserve"> (Cambridge, 1994)</w:t>
      </w:r>
    </w:p>
    <w:p w:rsidR="00551E4B" w:rsidRPr="002F6F13" w:rsidRDefault="00551E4B" w:rsidP="00551E4B">
      <w:pPr>
        <w:rPr>
          <w:sz w:val="24"/>
          <w:szCs w:val="24"/>
        </w:rPr>
      </w:pPr>
      <w:r w:rsidRPr="002F6F13">
        <w:rPr>
          <w:rFonts w:cs="AGaramond-Regular"/>
          <w:sz w:val="24"/>
          <w:szCs w:val="24"/>
        </w:rPr>
        <w:t xml:space="preserve">                                    </w:t>
      </w:r>
      <w:r w:rsidRPr="002F6F13">
        <w:rPr>
          <w:i/>
          <w:sz w:val="24"/>
          <w:szCs w:val="24"/>
        </w:rPr>
        <w:t xml:space="preserve">The Frankish Kings and Culture in the Early </w:t>
      </w:r>
      <w:proofErr w:type="gramStart"/>
      <w:r w:rsidRPr="002F6F13">
        <w:rPr>
          <w:i/>
          <w:sz w:val="24"/>
          <w:szCs w:val="24"/>
        </w:rPr>
        <w:t>Middle</w:t>
      </w:r>
      <w:proofErr w:type="gramEnd"/>
      <w:r w:rsidRPr="002F6F13">
        <w:rPr>
          <w:i/>
          <w:sz w:val="24"/>
          <w:szCs w:val="24"/>
        </w:rPr>
        <w:t xml:space="preserve"> Ages</w:t>
      </w:r>
      <w:r w:rsidRPr="002F6F13">
        <w:rPr>
          <w:sz w:val="24"/>
          <w:szCs w:val="24"/>
        </w:rPr>
        <w:t xml:space="preserve"> (Aldershot, 1995)</w:t>
      </w:r>
    </w:p>
    <w:p w:rsidR="00551E4B" w:rsidRPr="002F6F13" w:rsidRDefault="00551E4B" w:rsidP="00551E4B">
      <w:pPr>
        <w:rPr>
          <w:sz w:val="24"/>
          <w:szCs w:val="24"/>
        </w:rPr>
      </w:pPr>
      <w:r w:rsidRPr="002F6F13">
        <w:rPr>
          <w:sz w:val="24"/>
          <w:szCs w:val="24"/>
        </w:rPr>
        <w:t xml:space="preserve">                                    </w:t>
      </w:r>
      <w:r w:rsidRPr="002F6F13">
        <w:rPr>
          <w:i/>
          <w:sz w:val="24"/>
          <w:szCs w:val="24"/>
        </w:rPr>
        <w:t>History and Memory in the Carolingian World</w:t>
      </w:r>
      <w:r w:rsidRPr="002F6F13">
        <w:rPr>
          <w:sz w:val="24"/>
          <w:szCs w:val="24"/>
        </w:rPr>
        <w:t xml:space="preserve"> (Cambridge, 2004), pp. 121-122.</w:t>
      </w:r>
    </w:p>
    <w:p w:rsidR="00551E4B" w:rsidRDefault="00551E4B" w:rsidP="00551E4B">
      <w:pPr>
        <w:rPr>
          <w:sz w:val="24"/>
          <w:szCs w:val="24"/>
        </w:rPr>
      </w:pPr>
      <w:r w:rsidRPr="002F6F13">
        <w:rPr>
          <w:i/>
          <w:sz w:val="24"/>
          <w:szCs w:val="24"/>
        </w:rPr>
        <w:t xml:space="preserve">                                   </w:t>
      </w:r>
      <w:r>
        <w:rPr>
          <w:i/>
          <w:sz w:val="24"/>
          <w:szCs w:val="24"/>
        </w:rPr>
        <w:t xml:space="preserve"> </w:t>
      </w:r>
      <w:r w:rsidRPr="002F6F13">
        <w:rPr>
          <w:i/>
          <w:sz w:val="24"/>
          <w:szCs w:val="24"/>
        </w:rPr>
        <w:t xml:space="preserve">Charlemagne: The Formation of a European Identity </w:t>
      </w:r>
      <w:r w:rsidRPr="002F6F13">
        <w:rPr>
          <w:sz w:val="24"/>
          <w:szCs w:val="24"/>
        </w:rPr>
        <w:t>(Cambridge, 2008)</w:t>
      </w:r>
    </w:p>
    <w:p w:rsidR="00551E4B" w:rsidRPr="002F6F13" w:rsidRDefault="00551E4B" w:rsidP="00551E4B">
      <w:pPr>
        <w:rPr>
          <w:rFonts w:cs="AGaramond-Regular"/>
          <w:sz w:val="24"/>
          <w:szCs w:val="24"/>
        </w:rPr>
      </w:pPr>
      <w:r>
        <w:rPr>
          <w:i/>
          <w:sz w:val="24"/>
          <w:szCs w:val="24"/>
        </w:rPr>
        <w:t xml:space="preserve">                                    </w:t>
      </w:r>
      <w:r w:rsidRPr="00DE49ED">
        <w:rPr>
          <w:i/>
          <w:sz w:val="24"/>
          <w:szCs w:val="24"/>
        </w:rPr>
        <w:t xml:space="preserve">Perceptions of the Past in the Early </w:t>
      </w:r>
      <w:proofErr w:type="gramStart"/>
      <w:r w:rsidRPr="00DE49ED">
        <w:rPr>
          <w:i/>
          <w:sz w:val="24"/>
          <w:szCs w:val="24"/>
        </w:rPr>
        <w:t>Middle</w:t>
      </w:r>
      <w:proofErr w:type="gramEnd"/>
      <w:r w:rsidRPr="00DE49ED">
        <w:rPr>
          <w:i/>
          <w:sz w:val="24"/>
          <w:szCs w:val="24"/>
        </w:rPr>
        <w:t xml:space="preserve"> Ages</w:t>
      </w:r>
      <w:r w:rsidRPr="00DE49ED">
        <w:rPr>
          <w:sz w:val="24"/>
          <w:szCs w:val="24"/>
        </w:rPr>
        <w:t xml:space="preserve"> (Notre Dame, 2006)</w:t>
      </w:r>
    </w:p>
    <w:p w:rsidR="00551E4B" w:rsidRDefault="00551E4B" w:rsidP="00551E4B">
      <w:pPr>
        <w:tabs>
          <w:tab w:val="left" w:pos="6945"/>
        </w:tabs>
        <w:jc w:val="both"/>
        <w:rPr>
          <w:sz w:val="24"/>
          <w:szCs w:val="24"/>
        </w:rPr>
      </w:pPr>
      <w:r w:rsidRPr="00DE49ED">
        <w:rPr>
          <w:sz w:val="24"/>
          <w:szCs w:val="24"/>
        </w:rPr>
        <w:t xml:space="preserve">Mennen, I., </w:t>
      </w:r>
      <w:r w:rsidRPr="00DE49ED">
        <w:rPr>
          <w:i/>
          <w:sz w:val="24"/>
          <w:szCs w:val="24"/>
        </w:rPr>
        <w:t>Power and Status in the Roman Empire AD 193-284</w:t>
      </w:r>
      <w:r>
        <w:rPr>
          <w:sz w:val="24"/>
          <w:szCs w:val="24"/>
        </w:rPr>
        <w:t xml:space="preserve"> (Boston, 2011)</w:t>
      </w:r>
    </w:p>
    <w:p w:rsidR="00551E4B" w:rsidRPr="002F6F13" w:rsidRDefault="00551E4B" w:rsidP="00551E4B">
      <w:pPr>
        <w:rPr>
          <w:sz w:val="24"/>
          <w:szCs w:val="24"/>
        </w:rPr>
      </w:pPr>
      <w:r w:rsidRPr="002F6F13">
        <w:rPr>
          <w:sz w:val="24"/>
          <w:szCs w:val="24"/>
        </w:rPr>
        <w:t xml:space="preserve">Miles, R. (ed.), </w:t>
      </w:r>
      <w:r w:rsidRPr="002F6F13">
        <w:rPr>
          <w:i/>
          <w:sz w:val="24"/>
          <w:szCs w:val="24"/>
        </w:rPr>
        <w:t>Constructing Identities in Late Antique Society</w:t>
      </w:r>
      <w:r w:rsidRPr="002F6F13">
        <w:rPr>
          <w:sz w:val="24"/>
          <w:szCs w:val="24"/>
        </w:rPr>
        <w:t xml:space="preserve"> (London, 2002)</w:t>
      </w:r>
    </w:p>
    <w:p w:rsidR="00551E4B" w:rsidRPr="002F6F13" w:rsidRDefault="00551E4B" w:rsidP="00551E4B">
      <w:pPr>
        <w:rPr>
          <w:sz w:val="24"/>
          <w:szCs w:val="24"/>
        </w:rPr>
      </w:pPr>
      <w:r w:rsidRPr="002F6F13">
        <w:rPr>
          <w:sz w:val="24"/>
          <w:szCs w:val="24"/>
        </w:rPr>
        <w:lastRenderedPageBreak/>
        <w:t xml:space="preserve">Millar, F., </w:t>
      </w:r>
      <w:proofErr w:type="gramStart"/>
      <w:r w:rsidRPr="002F6F13">
        <w:rPr>
          <w:i/>
          <w:sz w:val="24"/>
          <w:szCs w:val="24"/>
        </w:rPr>
        <w:t>The</w:t>
      </w:r>
      <w:proofErr w:type="gramEnd"/>
      <w:r w:rsidRPr="002F6F13">
        <w:rPr>
          <w:i/>
          <w:sz w:val="24"/>
          <w:szCs w:val="24"/>
        </w:rPr>
        <w:t xml:space="preserve"> </w:t>
      </w:r>
      <w:r w:rsidR="008B44B0">
        <w:rPr>
          <w:i/>
          <w:sz w:val="24"/>
          <w:szCs w:val="24"/>
        </w:rPr>
        <w:t>Emperor</w:t>
      </w:r>
      <w:r w:rsidRPr="002F6F13">
        <w:rPr>
          <w:i/>
          <w:sz w:val="24"/>
          <w:szCs w:val="24"/>
        </w:rPr>
        <w:t xml:space="preserve"> in the Roman World 31 BC-AD 337 </w:t>
      </w:r>
      <w:r w:rsidRPr="002F6F13">
        <w:rPr>
          <w:sz w:val="24"/>
          <w:szCs w:val="24"/>
        </w:rPr>
        <w:t>(London, 1977)</w:t>
      </w:r>
    </w:p>
    <w:p w:rsidR="00551E4B" w:rsidRDefault="00551E4B" w:rsidP="00551E4B">
      <w:pPr>
        <w:tabs>
          <w:tab w:val="left" w:pos="6945"/>
        </w:tabs>
        <w:jc w:val="both"/>
        <w:rPr>
          <w:sz w:val="24"/>
          <w:szCs w:val="24"/>
        </w:rPr>
      </w:pPr>
      <w:r w:rsidRPr="00DE49ED">
        <w:rPr>
          <w:sz w:val="24"/>
          <w:szCs w:val="24"/>
        </w:rPr>
        <w:t xml:space="preserve">Mitchell, S., </w:t>
      </w:r>
      <w:r w:rsidRPr="00DE49ED">
        <w:rPr>
          <w:i/>
          <w:iCs/>
          <w:sz w:val="24"/>
          <w:szCs w:val="24"/>
        </w:rPr>
        <w:t>A History of the Later Roman Empire AD 284-641</w:t>
      </w:r>
      <w:r w:rsidRPr="00DE49ED">
        <w:rPr>
          <w:sz w:val="24"/>
          <w:szCs w:val="24"/>
        </w:rPr>
        <w:t xml:space="preserve"> (Oxford, 2007)</w:t>
      </w:r>
    </w:p>
    <w:p w:rsidR="00551E4B" w:rsidRDefault="00551E4B" w:rsidP="00551E4B">
      <w:pPr>
        <w:rPr>
          <w:sz w:val="24"/>
          <w:szCs w:val="24"/>
        </w:rPr>
      </w:pPr>
      <w:r w:rsidRPr="002F6F13">
        <w:rPr>
          <w:sz w:val="24"/>
          <w:szCs w:val="24"/>
        </w:rPr>
        <w:t xml:space="preserve">Mommsen, T (ed.), </w:t>
      </w:r>
      <w:r w:rsidRPr="002F6F13">
        <w:rPr>
          <w:i/>
          <w:sz w:val="24"/>
          <w:szCs w:val="24"/>
        </w:rPr>
        <w:t>Monumenta Germaniae Historica Chronica Minora</w:t>
      </w:r>
      <w:r w:rsidRPr="002F6F13">
        <w:rPr>
          <w:sz w:val="24"/>
          <w:szCs w:val="24"/>
        </w:rPr>
        <w:t xml:space="preserve"> </w:t>
      </w:r>
      <w:r w:rsidRPr="002F6F13">
        <w:rPr>
          <w:i/>
          <w:sz w:val="24"/>
          <w:szCs w:val="24"/>
        </w:rPr>
        <w:t xml:space="preserve">Vol I </w:t>
      </w:r>
      <w:r w:rsidRPr="002F6F13">
        <w:rPr>
          <w:sz w:val="24"/>
          <w:szCs w:val="24"/>
        </w:rPr>
        <w:t>(Berlin, 1894)</w:t>
      </w:r>
    </w:p>
    <w:p w:rsidR="00551E4B" w:rsidRPr="002F6F13" w:rsidRDefault="00551E4B" w:rsidP="00551E4B">
      <w:pPr>
        <w:rPr>
          <w:sz w:val="24"/>
          <w:szCs w:val="24"/>
        </w:rPr>
      </w:pPr>
      <w:r>
        <w:rPr>
          <w:i/>
          <w:sz w:val="24"/>
          <w:szCs w:val="24"/>
        </w:rPr>
        <w:t xml:space="preserve">                                  The Provinces of the Roman Empire Vols. 1&amp;2</w:t>
      </w:r>
      <w:r>
        <w:rPr>
          <w:sz w:val="24"/>
          <w:szCs w:val="24"/>
        </w:rPr>
        <w:t>, trans. Dickson, W., (London, 1909)</w:t>
      </w:r>
    </w:p>
    <w:p w:rsidR="00551E4B" w:rsidRPr="002F6F13" w:rsidRDefault="00551E4B" w:rsidP="00551E4B">
      <w:pPr>
        <w:rPr>
          <w:iCs/>
          <w:sz w:val="24"/>
          <w:szCs w:val="24"/>
        </w:rPr>
      </w:pPr>
      <w:r w:rsidRPr="002F6F13">
        <w:rPr>
          <w:sz w:val="24"/>
          <w:szCs w:val="24"/>
        </w:rPr>
        <w:t xml:space="preserve">Moorhead, S., and Stuttard, D., </w:t>
      </w:r>
      <w:r w:rsidRPr="002F6F13">
        <w:rPr>
          <w:i/>
          <w:sz w:val="24"/>
          <w:szCs w:val="24"/>
        </w:rPr>
        <w:t xml:space="preserve">AD410: The Year that Shook Rome </w:t>
      </w:r>
      <w:r w:rsidRPr="002F6F13">
        <w:rPr>
          <w:sz w:val="24"/>
          <w:szCs w:val="24"/>
        </w:rPr>
        <w:t>(London, 2010)</w:t>
      </w:r>
    </w:p>
    <w:p w:rsidR="00551E4B" w:rsidRPr="002F6F13" w:rsidRDefault="00551E4B" w:rsidP="00551E4B">
      <w:pPr>
        <w:rPr>
          <w:iCs/>
          <w:sz w:val="24"/>
          <w:szCs w:val="24"/>
        </w:rPr>
      </w:pPr>
      <w:r w:rsidRPr="002F6F13">
        <w:rPr>
          <w:sz w:val="24"/>
          <w:szCs w:val="24"/>
        </w:rPr>
        <w:t xml:space="preserve">Murray, J (ed.), </w:t>
      </w:r>
      <w:proofErr w:type="gramStart"/>
      <w:r w:rsidRPr="002F6F13">
        <w:rPr>
          <w:i/>
          <w:sz w:val="24"/>
          <w:szCs w:val="24"/>
        </w:rPr>
        <w:t>The</w:t>
      </w:r>
      <w:proofErr w:type="gramEnd"/>
      <w:r w:rsidRPr="002F6F13">
        <w:rPr>
          <w:i/>
          <w:sz w:val="24"/>
          <w:szCs w:val="24"/>
        </w:rPr>
        <w:t xml:space="preserve"> Autobiographies of Edward Gibbon Second Edition </w:t>
      </w:r>
      <w:r w:rsidRPr="002F6F13">
        <w:rPr>
          <w:sz w:val="24"/>
          <w:szCs w:val="24"/>
        </w:rPr>
        <w:t>(London, 1897)</w:t>
      </w:r>
    </w:p>
    <w:p w:rsidR="00551E4B" w:rsidRPr="002F6F13" w:rsidRDefault="00551E4B" w:rsidP="00551E4B">
      <w:pPr>
        <w:rPr>
          <w:sz w:val="24"/>
          <w:szCs w:val="24"/>
        </w:rPr>
      </w:pPr>
      <w:r w:rsidRPr="002F6F13">
        <w:rPr>
          <w:iCs/>
          <w:sz w:val="24"/>
          <w:szCs w:val="24"/>
        </w:rPr>
        <w:t xml:space="preserve">Nippel, W., </w:t>
      </w:r>
      <w:r w:rsidRPr="002F6F13">
        <w:rPr>
          <w:i/>
          <w:iCs/>
          <w:sz w:val="24"/>
          <w:szCs w:val="24"/>
        </w:rPr>
        <w:t>Public Order in Ancient Rome</w:t>
      </w:r>
      <w:r w:rsidRPr="002F6F13">
        <w:rPr>
          <w:iCs/>
          <w:sz w:val="24"/>
          <w:szCs w:val="24"/>
        </w:rPr>
        <w:t xml:space="preserve"> (Cambridge, 1995)</w:t>
      </w:r>
    </w:p>
    <w:p w:rsidR="00551E4B" w:rsidRPr="002F6F13" w:rsidRDefault="00551E4B" w:rsidP="00551E4B">
      <w:pPr>
        <w:rPr>
          <w:sz w:val="24"/>
          <w:szCs w:val="24"/>
        </w:rPr>
      </w:pPr>
      <w:r w:rsidRPr="002F6F13">
        <w:rPr>
          <w:sz w:val="24"/>
          <w:szCs w:val="24"/>
        </w:rPr>
        <w:t xml:space="preserve">Nordh, A., </w:t>
      </w:r>
      <w:r w:rsidRPr="002F6F13">
        <w:rPr>
          <w:i/>
          <w:sz w:val="24"/>
          <w:szCs w:val="24"/>
        </w:rPr>
        <w:t>Libellus de Regionibus Urbis Romae</w:t>
      </w:r>
      <w:r w:rsidRPr="002F6F13">
        <w:rPr>
          <w:sz w:val="24"/>
          <w:szCs w:val="24"/>
        </w:rPr>
        <w:t xml:space="preserve"> (Rome, 1949)</w:t>
      </w:r>
    </w:p>
    <w:p w:rsidR="00551E4B" w:rsidRDefault="00551E4B" w:rsidP="00551E4B">
      <w:pPr>
        <w:tabs>
          <w:tab w:val="left" w:pos="6945"/>
        </w:tabs>
        <w:jc w:val="both"/>
        <w:rPr>
          <w:sz w:val="24"/>
          <w:szCs w:val="24"/>
        </w:rPr>
      </w:pPr>
      <w:r w:rsidRPr="00DE49ED">
        <w:rPr>
          <w:sz w:val="24"/>
          <w:szCs w:val="24"/>
        </w:rPr>
        <w:t xml:space="preserve">Noreña C.F., </w:t>
      </w:r>
      <w:r w:rsidR="008B44B0">
        <w:rPr>
          <w:i/>
          <w:sz w:val="24"/>
          <w:szCs w:val="24"/>
        </w:rPr>
        <w:t>Imperial</w:t>
      </w:r>
      <w:r w:rsidRPr="00DE49ED">
        <w:rPr>
          <w:i/>
          <w:sz w:val="24"/>
          <w:szCs w:val="24"/>
        </w:rPr>
        <w:t xml:space="preserve"> Ideals in the Roman West Representation, Circulation, Power</w:t>
      </w:r>
      <w:r>
        <w:rPr>
          <w:sz w:val="24"/>
          <w:szCs w:val="24"/>
        </w:rPr>
        <w:t xml:space="preserve"> (Cambridge, 2011)</w:t>
      </w:r>
    </w:p>
    <w:p w:rsidR="00551E4B" w:rsidRDefault="00551E4B" w:rsidP="00551E4B">
      <w:pPr>
        <w:tabs>
          <w:tab w:val="left" w:pos="6945"/>
        </w:tabs>
        <w:jc w:val="both"/>
        <w:rPr>
          <w:sz w:val="24"/>
          <w:szCs w:val="24"/>
        </w:rPr>
      </w:pPr>
      <w:r w:rsidRPr="00DE49ED">
        <w:rPr>
          <w:sz w:val="24"/>
          <w:szCs w:val="24"/>
        </w:rPr>
        <w:t xml:space="preserve">Östenberg, I., </w:t>
      </w:r>
      <w:r w:rsidRPr="00DE49ED">
        <w:rPr>
          <w:i/>
          <w:sz w:val="24"/>
          <w:szCs w:val="24"/>
        </w:rPr>
        <w:t>Staging the World Spoils, Captives, and Representations in the Roman Triumphal Procession</w:t>
      </w:r>
      <w:r>
        <w:rPr>
          <w:sz w:val="24"/>
          <w:szCs w:val="24"/>
        </w:rPr>
        <w:t xml:space="preserve"> (Oxford, 2009)</w:t>
      </w:r>
    </w:p>
    <w:p w:rsidR="00551E4B" w:rsidRPr="002F6F13" w:rsidRDefault="00551E4B" w:rsidP="00551E4B">
      <w:pPr>
        <w:rPr>
          <w:sz w:val="24"/>
          <w:szCs w:val="24"/>
        </w:rPr>
      </w:pPr>
      <w:r w:rsidRPr="002F6F13">
        <w:rPr>
          <w:sz w:val="24"/>
          <w:szCs w:val="24"/>
        </w:rPr>
        <w:t xml:space="preserve">Owens, E.J., </w:t>
      </w:r>
      <w:proofErr w:type="gramStart"/>
      <w:r w:rsidRPr="002F6F13">
        <w:rPr>
          <w:i/>
          <w:sz w:val="24"/>
          <w:szCs w:val="24"/>
        </w:rPr>
        <w:t>The</w:t>
      </w:r>
      <w:proofErr w:type="gramEnd"/>
      <w:r w:rsidRPr="002F6F13">
        <w:rPr>
          <w:i/>
          <w:sz w:val="24"/>
          <w:szCs w:val="24"/>
        </w:rPr>
        <w:t xml:space="preserve"> City in the Greek and Roman World </w:t>
      </w:r>
      <w:r w:rsidRPr="002F6F13">
        <w:rPr>
          <w:sz w:val="24"/>
          <w:szCs w:val="24"/>
        </w:rPr>
        <w:t>(London, 1994)</w:t>
      </w:r>
    </w:p>
    <w:p w:rsidR="00551E4B" w:rsidRPr="002F6F13" w:rsidRDefault="00551E4B" w:rsidP="00551E4B">
      <w:pPr>
        <w:rPr>
          <w:sz w:val="24"/>
          <w:szCs w:val="24"/>
        </w:rPr>
      </w:pPr>
      <w:r w:rsidRPr="002F6F13">
        <w:rPr>
          <w:sz w:val="24"/>
          <w:szCs w:val="24"/>
        </w:rPr>
        <w:t xml:space="preserve">Packer, J.E., </w:t>
      </w:r>
      <w:proofErr w:type="gramStart"/>
      <w:r w:rsidRPr="002F6F13">
        <w:rPr>
          <w:i/>
          <w:sz w:val="24"/>
          <w:szCs w:val="24"/>
        </w:rPr>
        <w:t>The</w:t>
      </w:r>
      <w:proofErr w:type="gramEnd"/>
      <w:r w:rsidRPr="002F6F13">
        <w:rPr>
          <w:i/>
          <w:sz w:val="24"/>
          <w:szCs w:val="24"/>
        </w:rPr>
        <w:t xml:space="preserve"> Forum of Trajan in Rome A Study of Monuments in Brief</w:t>
      </w:r>
      <w:r w:rsidRPr="002F6F13">
        <w:rPr>
          <w:sz w:val="24"/>
          <w:szCs w:val="24"/>
        </w:rPr>
        <w:t xml:space="preserve"> (London, 2001)</w:t>
      </w:r>
    </w:p>
    <w:p w:rsidR="00551E4B" w:rsidRDefault="00551E4B" w:rsidP="00551E4B">
      <w:pPr>
        <w:tabs>
          <w:tab w:val="left" w:pos="6945"/>
        </w:tabs>
        <w:jc w:val="both"/>
        <w:rPr>
          <w:sz w:val="24"/>
          <w:szCs w:val="24"/>
        </w:rPr>
      </w:pPr>
      <w:r w:rsidRPr="00DE49ED">
        <w:rPr>
          <w:sz w:val="24"/>
          <w:szCs w:val="24"/>
        </w:rPr>
        <w:t xml:space="preserve">Parker, J.H., </w:t>
      </w:r>
      <w:proofErr w:type="gramStart"/>
      <w:r w:rsidRPr="00DE49ED">
        <w:rPr>
          <w:i/>
          <w:sz w:val="24"/>
          <w:szCs w:val="24"/>
        </w:rPr>
        <w:t>The</w:t>
      </w:r>
      <w:proofErr w:type="gramEnd"/>
      <w:r w:rsidRPr="00DE49ED">
        <w:rPr>
          <w:i/>
          <w:sz w:val="24"/>
          <w:szCs w:val="24"/>
        </w:rPr>
        <w:t xml:space="preserve"> Architectural History of the City of Rome</w:t>
      </w:r>
      <w:r w:rsidRPr="00DE49ED">
        <w:rPr>
          <w:sz w:val="24"/>
          <w:szCs w:val="24"/>
        </w:rPr>
        <w:t xml:space="preserve"> (London, 1881)</w:t>
      </w:r>
    </w:p>
    <w:p w:rsidR="00551E4B" w:rsidRPr="002F6F13" w:rsidRDefault="00551E4B" w:rsidP="00551E4B">
      <w:pPr>
        <w:rPr>
          <w:sz w:val="24"/>
          <w:szCs w:val="24"/>
        </w:rPr>
      </w:pPr>
      <w:r w:rsidRPr="002F6F13">
        <w:rPr>
          <w:sz w:val="24"/>
          <w:szCs w:val="24"/>
        </w:rPr>
        <w:t>Platner, S.B., and Ashby, T.</w:t>
      </w:r>
      <w:r w:rsidR="009C7AF1" w:rsidRPr="002F6F13">
        <w:rPr>
          <w:sz w:val="24"/>
          <w:szCs w:val="24"/>
        </w:rPr>
        <w:t>,</w:t>
      </w:r>
      <w:r w:rsidR="009C7AF1" w:rsidRPr="002F6F13">
        <w:rPr>
          <w:i/>
          <w:sz w:val="24"/>
          <w:szCs w:val="24"/>
        </w:rPr>
        <w:t xml:space="preserve"> A</w:t>
      </w:r>
      <w:r w:rsidRPr="002F6F13">
        <w:rPr>
          <w:i/>
          <w:sz w:val="24"/>
          <w:szCs w:val="24"/>
        </w:rPr>
        <w:t xml:space="preserve"> Topographical Dictionary of Ancient Rome</w:t>
      </w:r>
      <w:r w:rsidRPr="002F6F13">
        <w:rPr>
          <w:sz w:val="24"/>
          <w:szCs w:val="24"/>
        </w:rPr>
        <w:t xml:space="preserve"> (London, 1929)</w:t>
      </w:r>
    </w:p>
    <w:p w:rsidR="00551E4B" w:rsidRPr="002F6F13" w:rsidRDefault="00551E4B" w:rsidP="00551E4B">
      <w:pPr>
        <w:rPr>
          <w:sz w:val="24"/>
          <w:szCs w:val="24"/>
        </w:rPr>
      </w:pPr>
      <w:r w:rsidRPr="002F6F13">
        <w:rPr>
          <w:sz w:val="24"/>
          <w:szCs w:val="24"/>
        </w:rPr>
        <w:t xml:space="preserve">Pollini, J., </w:t>
      </w:r>
      <w:r w:rsidRPr="002F6F13">
        <w:rPr>
          <w:i/>
          <w:sz w:val="24"/>
          <w:szCs w:val="24"/>
        </w:rPr>
        <w:t>From Republic to Empire Rhetoric, Religion, and Power in the Visual Culture of Ancient Rome</w:t>
      </w:r>
      <w:r w:rsidRPr="002F6F13">
        <w:rPr>
          <w:iCs/>
          <w:sz w:val="24"/>
          <w:szCs w:val="24"/>
        </w:rPr>
        <w:t xml:space="preserve"> (Norman, 2012)</w:t>
      </w:r>
    </w:p>
    <w:p w:rsidR="00551E4B" w:rsidRDefault="00551E4B" w:rsidP="00551E4B">
      <w:pPr>
        <w:rPr>
          <w:sz w:val="24"/>
          <w:szCs w:val="24"/>
        </w:rPr>
      </w:pPr>
      <w:r w:rsidRPr="00DE49ED">
        <w:rPr>
          <w:sz w:val="24"/>
          <w:szCs w:val="24"/>
        </w:rPr>
        <w:t xml:space="preserve">Posner, E., </w:t>
      </w:r>
      <w:r w:rsidRPr="00DE49ED">
        <w:rPr>
          <w:i/>
          <w:sz w:val="24"/>
          <w:szCs w:val="24"/>
        </w:rPr>
        <w:t>Archives in the Ancient World</w:t>
      </w:r>
      <w:r>
        <w:rPr>
          <w:sz w:val="24"/>
          <w:szCs w:val="24"/>
        </w:rPr>
        <w:t xml:space="preserve"> (Cambridge MA, 1972)</w:t>
      </w:r>
    </w:p>
    <w:p w:rsidR="00551E4B" w:rsidRPr="002F6F13" w:rsidRDefault="00551E4B" w:rsidP="00551E4B">
      <w:pPr>
        <w:rPr>
          <w:sz w:val="24"/>
          <w:szCs w:val="24"/>
        </w:rPr>
      </w:pPr>
      <w:r w:rsidRPr="002F6F13">
        <w:rPr>
          <w:sz w:val="24"/>
          <w:szCs w:val="24"/>
        </w:rPr>
        <w:t xml:space="preserve">Potter, D.S., </w:t>
      </w:r>
      <w:proofErr w:type="gramStart"/>
      <w:r w:rsidRPr="002F6F13">
        <w:rPr>
          <w:i/>
          <w:sz w:val="24"/>
          <w:szCs w:val="24"/>
        </w:rPr>
        <w:t>The</w:t>
      </w:r>
      <w:proofErr w:type="gramEnd"/>
      <w:r w:rsidRPr="002F6F13">
        <w:rPr>
          <w:i/>
          <w:sz w:val="24"/>
          <w:szCs w:val="24"/>
        </w:rPr>
        <w:t xml:space="preserve"> Roman Empire at Bay AD 180-395</w:t>
      </w:r>
      <w:r w:rsidRPr="002F6F13">
        <w:rPr>
          <w:sz w:val="24"/>
          <w:szCs w:val="24"/>
        </w:rPr>
        <w:t xml:space="preserve"> (Abingdon, 2004)</w:t>
      </w:r>
    </w:p>
    <w:p w:rsidR="00551E4B" w:rsidRPr="002F6F13" w:rsidRDefault="00551E4B" w:rsidP="00551E4B">
      <w:pPr>
        <w:rPr>
          <w:rFonts w:eastAsiaTheme="majorEastAsia"/>
          <w:bCs/>
          <w:iCs/>
          <w:sz w:val="24"/>
          <w:szCs w:val="24"/>
        </w:rPr>
      </w:pPr>
      <w:r w:rsidRPr="002F6F13">
        <w:rPr>
          <w:rFonts w:eastAsiaTheme="majorEastAsia"/>
          <w:bCs/>
          <w:sz w:val="24"/>
          <w:szCs w:val="24"/>
        </w:rPr>
        <w:t xml:space="preserve">                      (ed.), </w:t>
      </w:r>
      <w:r w:rsidRPr="002F6F13">
        <w:rPr>
          <w:rFonts w:eastAsiaTheme="majorEastAsia"/>
          <w:bCs/>
          <w:i/>
          <w:iCs/>
          <w:sz w:val="24"/>
          <w:szCs w:val="24"/>
        </w:rPr>
        <w:t>A Companion to the Roman Empire</w:t>
      </w:r>
      <w:r w:rsidRPr="002F6F13">
        <w:rPr>
          <w:rFonts w:eastAsiaTheme="majorEastAsia"/>
          <w:bCs/>
          <w:iCs/>
          <w:sz w:val="24"/>
          <w:szCs w:val="24"/>
        </w:rPr>
        <w:t xml:space="preserve"> (Oxford, 2006)</w:t>
      </w:r>
    </w:p>
    <w:p w:rsidR="00551E4B" w:rsidRPr="002F6F13" w:rsidRDefault="00551E4B" w:rsidP="00551E4B">
      <w:pPr>
        <w:rPr>
          <w:rFonts w:cs="Times New Roman"/>
          <w:sz w:val="24"/>
          <w:szCs w:val="24"/>
        </w:rPr>
      </w:pPr>
      <w:r w:rsidRPr="002F6F13">
        <w:rPr>
          <w:sz w:val="24"/>
          <w:szCs w:val="24"/>
        </w:rPr>
        <w:t xml:space="preserve">Rankov, B., </w:t>
      </w:r>
      <w:proofErr w:type="gramStart"/>
      <w:r w:rsidRPr="002F6F13">
        <w:rPr>
          <w:i/>
          <w:sz w:val="24"/>
          <w:szCs w:val="24"/>
        </w:rPr>
        <w:t>The</w:t>
      </w:r>
      <w:proofErr w:type="gramEnd"/>
      <w:r w:rsidRPr="002F6F13">
        <w:rPr>
          <w:i/>
          <w:sz w:val="24"/>
          <w:szCs w:val="24"/>
        </w:rPr>
        <w:t xml:space="preserve"> Praetorian Guard</w:t>
      </w:r>
      <w:r w:rsidRPr="002F6F13">
        <w:rPr>
          <w:sz w:val="24"/>
          <w:szCs w:val="24"/>
        </w:rPr>
        <w:t xml:space="preserve"> (Oxford, 1994)</w:t>
      </w:r>
    </w:p>
    <w:p w:rsidR="00551E4B" w:rsidRPr="002F6F13" w:rsidRDefault="00551E4B" w:rsidP="00551E4B">
      <w:pPr>
        <w:rPr>
          <w:sz w:val="24"/>
          <w:szCs w:val="24"/>
        </w:rPr>
      </w:pPr>
      <w:r w:rsidRPr="002F6F13">
        <w:rPr>
          <w:rFonts w:cs="Times New Roman"/>
          <w:sz w:val="24"/>
          <w:szCs w:val="24"/>
        </w:rPr>
        <w:t xml:space="preserve">Reynolds, L.D., and Wilson, N.G., </w:t>
      </w:r>
      <w:r w:rsidRPr="002F6F13">
        <w:rPr>
          <w:rFonts w:cs="Times New Roman"/>
          <w:i/>
          <w:sz w:val="24"/>
          <w:szCs w:val="24"/>
        </w:rPr>
        <w:t xml:space="preserve">Scribes and Scholars A Guide to the Transmission of Greek and Latin Literature </w:t>
      </w:r>
      <w:r w:rsidRPr="002F6F13">
        <w:rPr>
          <w:rFonts w:cs="Times New Roman"/>
          <w:sz w:val="24"/>
          <w:szCs w:val="24"/>
        </w:rPr>
        <w:t>(Oxford, 1991)</w:t>
      </w:r>
    </w:p>
    <w:p w:rsidR="00551E4B" w:rsidRPr="002F6F13" w:rsidRDefault="00551E4B" w:rsidP="00551E4B">
      <w:pPr>
        <w:rPr>
          <w:sz w:val="24"/>
          <w:szCs w:val="24"/>
        </w:rPr>
      </w:pPr>
      <w:r w:rsidRPr="002F6F13">
        <w:rPr>
          <w:sz w:val="24"/>
          <w:szCs w:val="24"/>
        </w:rPr>
        <w:t xml:space="preserve">Richardson Jr., L., </w:t>
      </w:r>
      <w:r w:rsidRPr="002F6F13">
        <w:rPr>
          <w:i/>
          <w:sz w:val="24"/>
          <w:szCs w:val="24"/>
        </w:rPr>
        <w:t>A New Topographical Dictionary of Ancient Rome</w:t>
      </w:r>
      <w:r w:rsidRPr="002F6F13">
        <w:rPr>
          <w:sz w:val="24"/>
          <w:szCs w:val="24"/>
        </w:rPr>
        <w:t xml:space="preserve"> (London, 1992)</w:t>
      </w:r>
    </w:p>
    <w:p w:rsidR="00551E4B" w:rsidRPr="002F6F13" w:rsidRDefault="00551E4B" w:rsidP="00551E4B">
      <w:pPr>
        <w:rPr>
          <w:sz w:val="24"/>
          <w:szCs w:val="24"/>
        </w:rPr>
      </w:pPr>
      <w:r w:rsidRPr="002F6F13">
        <w:rPr>
          <w:sz w:val="24"/>
          <w:szCs w:val="24"/>
        </w:rPr>
        <w:t xml:space="preserve">Richmond, I.A., </w:t>
      </w:r>
      <w:proofErr w:type="gramStart"/>
      <w:r w:rsidRPr="002F6F13">
        <w:rPr>
          <w:i/>
          <w:iCs/>
          <w:sz w:val="24"/>
          <w:szCs w:val="24"/>
        </w:rPr>
        <w:t>The</w:t>
      </w:r>
      <w:proofErr w:type="gramEnd"/>
      <w:r w:rsidRPr="002F6F13">
        <w:rPr>
          <w:i/>
          <w:iCs/>
          <w:sz w:val="24"/>
          <w:szCs w:val="24"/>
        </w:rPr>
        <w:t xml:space="preserve"> City Wall of </w:t>
      </w:r>
      <w:r w:rsidR="008B44B0">
        <w:rPr>
          <w:i/>
          <w:iCs/>
          <w:sz w:val="24"/>
          <w:szCs w:val="24"/>
        </w:rPr>
        <w:t>Imperial</w:t>
      </w:r>
      <w:r w:rsidRPr="002F6F13">
        <w:rPr>
          <w:i/>
          <w:iCs/>
          <w:sz w:val="24"/>
          <w:szCs w:val="24"/>
        </w:rPr>
        <w:t xml:space="preserve"> Rome An Account of its Architectural Development from Aurelian to Narses</w:t>
      </w:r>
      <w:r w:rsidRPr="002F6F13">
        <w:rPr>
          <w:sz w:val="24"/>
          <w:szCs w:val="24"/>
        </w:rPr>
        <w:t xml:space="preserve"> (Oxford, 1930),</w:t>
      </w:r>
    </w:p>
    <w:p w:rsidR="00551E4B" w:rsidRDefault="00551E4B" w:rsidP="00551E4B">
      <w:pPr>
        <w:rPr>
          <w:sz w:val="24"/>
          <w:szCs w:val="24"/>
        </w:rPr>
      </w:pPr>
      <w:r w:rsidRPr="002F6F13">
        <w:rPr>
          <w:sz w:val="24"/>
          <w:szCs w:val="24"/>
        </w:rPr>
        <w:lastRenderedPageBreak/>
        <w:t xml:space="preserve">Rickman, G., </w:t>
      </w:r>
      <w:r w:rsidRPr="002F6F13">
        <w:rPr>
          <w:i/>
          <w:sz w:val="24"/>
          <w:szCs w:val="24"/>
        </w:rPr>
        <w:t>Roman Granaries and Store Buildings</w:t>
      </w:r>
      <w:r w:rsidRPr="002F6F13">
        <w:rPr>
          <w:sz w:val="24"/>
          <w:szCs w:val="24"/>
        </w:rPr>
        <w:t xml:space="preserve"> (Cambridge, 1971)</w:t>
      </w:r>
    </w:p>
    <w:p w:rsidR="00551E4B" w:rsidRPr="002F6F13" w:rsidRDefault="00551E4B" w:rsidP="00551E4B">
      <w:pPr>
        <w:rPr>
          <w:sz w:val="24"/>
          <w:szCs w:val="24"/>
        </w:rPr>
      </w:pPr>
      <w:r w:rsidRPr="00DE49ED">
        <w:rPr>
          <w:sz w:val="24"/>
          <w:szCs w:val="24"/>
        </w:rPr>
        <w:t xml:space="preserve">Robathan, D.M., </w:t>
      </w:r>
      <w:proofErr w:type="gramStart"/>
      <w:r w:rsidRPr="00DE49ED">
        <w:rPr>
          <w:i/>
          <w:sz w:val="24"/>
          <w:szCs w:val="24"/>
        </w:rPr>
        <w:t>The</w:t>
      </w:r>
      <w:proofErr w:type="gramEnd"/>
      <w:r w:rsidRPr="00DE49ED">
        <w:rPr>
          <w:i/>
          <w:sz w:val="24"/>
          <w:szCs w:val="24"/>
        </w:rPr>
        <w:t xml:space="preserve"> Monuments of Ancient Rome</w:t>
      </w:r>
      <w:r w:rsidRPr="00DE49ED">
        <w:rPr>
          <w:sz w:val="24"/>
          <w:szCs w:val="24"/>
        </w:rPr>
        <w:t xml:space="preserve"> (Roma, 1950)</w:t>
      </w:r>
    </w:p>
    <w:p w:rsidR="00551E4B" w:rsidRDefault="00551E4B" w:rsidP="00551E4B">
      <w:pPr>
        <w:rPr>
          <w:rFonts w:eastAsia="Times New Roman" w:cs="Times New Roman"/>
          <w:sz w:val="24"/>
          <w:szCs w:val="24"/>
          <w:lang w:eastAsia="en-GB"/>
        </w:rPr>
      </w:pPr>
      <w:r w:rsidRPr="00DE49ED">
        <w:rPr>
          <w:sz w:val="24"/>
          <w:szCs w:val="24"/>
        </w:rPr>
        <w:t xml:space="preserve">Robinson, O.F. </w:t>
      </w:r>
      <w:r w:rsidRPr="00DE49ED">
        <w:rPr>
          <w:i/>
          <w:sz w:val="24"/>
          <w:szCs w:val="24"/>
        </w:rPr>
        <w:t>Ancient Rome City Planning and Administration</w:t>
      </w:r>
      <w:r w:rsidRPr="00DE49ED">
        <w:rPr>
          <w:sz w:val="24"/>
          <w:szCs w:val="24"/>
        </w:rPr>
        <w:t xml:space="preserve"> (London, 1994)</w:t>
      </w:r>
    </w:p>
    <w:p w:rsidR="00551E4B" w:rsidRPr="002F6F13" w:rsidRDefault="00551E4B" w:rsidP="00551E4B">
      <w:pPr>
        <w:rPr>
          <w:sz w:val="24"/>
          <w:szCs w:val="24"/>
        </w:rPr>
      </w:pPr>
      <w:r w:rsidRPr="002F6F13">
        <w:rPr>
          <w:rFonts w:eastAsia="Times New Roman" w:cs="Times New Roman"/>
          <w:sz w:val="24"/>
          <w:szCs w:val="24"/>
          <w:lang w:eastAsia="en-GB"/>
        </w:rPr>
        <w:t>Rodríguez A., </w:t>
      </w:r>
      <w:r w:rsidRPr="002F6F13">
        <w:rPr>
          <w:rFonts w:eastAsia="Times New Roman" w:cs="Times New Roman"/>
          <w:i/>
          <w:iCs/>
          <w:sz w:val="24"/>
          <w:szCs w:val="24"/>
          <w:lang w:eastAsia="en-GB"/>
        </w:rPr>
        <w:t>Forma Urbis Marmorea. Aggiornamento Generale 1980</w:t>
      </w:r>
      <w:r w:rsidRPr="002F6F13">
        <w:rPr>
          <w:rFonts w:eastAsia="Times New Roman" w:cs="Times New Roman"/>
          <w:sz w:val="24"/>
          <w:szCs w:val="24"/>
          <w:lang w:eastAsia="en-GB"/>
        </w:rPr>
        <w:t> (Rome 1981)</w:t>
      </w:r>
    </w:p>
    <w:p w:rsidR="00551E4B" w:rsidRDefault="00551E4B" w:rsidP="00551E4B">
      <w:pPr>
        <w:tabs>
          <w:tab w:val="left" w:pos="6945"/>
        </w:tabs>
        <w:jc w:val="both"/>
        <w:rPr>
          <w:sz w:val="24"/>
          <w:szCs w:val="24"/>
        </w:rPr>
      </w:pPr>
      <w:r w:rsidRPr="00DE49ED">
        <w:rPr>
          <w:sz w:val="24"/>
          <w:szCs w:val="24"/>
        </w:rPr>
        <w:t xml:space="preserve">Rowan, C., </w:t>
      </w:r>
      <w:r w:rsidRPr="00DE49ED">
        <w:rPr>
          <w:i/>
          <w:sz w:val="24"/>
          <w:szCs w:val="24"/>
        </w:rPr>
        <w:t xml:space="preserve">Under Divine Auspices: Divine Ideology and the Visualisation of </w:t>
      </w:r>
      <w:r w:rsidR="008B44B0">
        <w:rPr>
          <w:i/>
          <w:sz w:val="24"/>
          <w:szCs w:val="24"/>
        </w:rPr>
        <w:t>Imperial</w:t>
      </w:r>
      <w:r w:rsidRPr="00DE49ED">
        <w:rPr>
          <w:i/>
          <w:sz w:val="24"/>
          <w:szCs w:val="24"/>
        </w:rPr>
        <w:t xml:space="preserve"> Power in the Severan Period</w:t>
      </w:r>
      <w:r>
        <w:rPr>
          <w:sz w:val="24"/>
          <w:szCs w:val="24"/>
        </w:rPr>
        <w:t xml:space="preserve"> (Cambridge, 2012)</w:t>
      </w:r>
    </w:p>
    <w:p w:rsidR="00551E4B" w:rsidRPr="002F6F13" w:rsidRDefault="00551E4B" w:rsidP="00551E4B">
      <w:pPr>
        <w:rPr>
          <w:sz w:val="24"/>
          <w:szCs w:val="24"/>
        </w:rPr>
      </w:pPr>
      <w:r w:rsidRPr="002F6F13">
        <w:rPr>
          <w:sz w:val="24"/>
          <w:szCs w:val="24"/>
        </w:rPr>
        <w:t xml:space="preserve">Ryberg, I.S., </w:t>
      </w:r>
      <w:proofErr w:type="gramStart"/>
      <w:r w:rsidRPr="002F6F13">
        <w:rPr>
          <w:i/>
          <w:sz w:val="24"/>
          <w:szCs w:val="24"/>
        </w:rPr>
        <w:t>The</w:t>
      </w:r>
      <w:proofErr w:type="gramEnd"/>
      <w:r w:rsidRPr="002F6F13">
        <w:rPr>
          <w:i/>
          <w:sz w:val="24"/>
          <w:szCs w:val="24"/>
        </w:rPr>
        <w:t xml:space="preserve"> Panel Reliefs of Marcus Aurelius</w:t>
      </w:r>
      <w:r w:rsidRPr="002F6F13">
        <w:rPr>
          <w:sz w:val="24"/>
          <w:szCs w:val="24"/>
        </w:rPr>
        <w:t xml:space="preserve"> (New York, 1967)</w:t>
      </w:r>
    </w:p>
    <w:p w:rsidR="00551E4B" w:rsidRPr="002F6F13" w:rsidRDefault="00551E4B" w:rsidP="00551E4B">
      <w:pPr>
        <w:rPr>
          <w:sz w:val="24"/>
          <w:szCs w:val="24"/>
        </w:rPr>
      </w:pPr>
      <w:r w:rsidRPr="002F6F13">
        <w:rPr>
          <w:sz w:val="24"/>
          <w:szCs w:val="24"/>
        </w:rPr>
        <w:t xml:space="preserve">Rykwert, J., </w:t>
      </w:r>
      <w:proofErr w:type="gramStart"/>
      <w:r w:rsidRPr="002F6F13">
        <w:rPr>
          <w:i/>
          <w:sz w:val="24"/>
          <w:szCs w:val="24"/>
        </w:rPr>
        <w:t>The</w:t>
      </w:r>
      <w:proofErr w:type="gramEnd"/>
      <w:r w:rsidRPr="002F6F13">
        <w:rPr>
          <w:i/>
          <w:sz w:val="24"/>
          <w:szCs w:val="24"/>
        </w:rPr>
        <w:t xml:space="preserve"> Idea of a Town: The Anthropology of Urban Form in Rome, Italy</w:t>
      </w:r>
      <w:r w:rsidRPr="002F6F13">
        <w:rPr>
          <w:sz w:val="24"/>
          <w:szCs w:val="24"/>
        </w:rPr>
        <w:t xml:space="preserve"> </w:t>
      </w:r>
      <w:r w:rsidRPr="002F6F13">
        <w:rPr>
          <w:i/>
          <w:sz w:val="24"/>
          <w:szCs w:val="24"/>
        </w:rPr>
        <w:t>and the Ancient World</w:t>
      </w:r>
      <w:r w:rsidRPr="002F6F13">
        <w:rPr>
          <w:sz w:val="24"/>
          <w:szCs w:val="24"/>
        </w:rPr>
        <w:t xml:space="preserve"> (Princeton, 1988)</w:t>
      </w:r>
    </w:p>
    <w:p w:rsidR="00551E4B" w:rsidRPr="002F6F13" w:rsidRDefault="00551E4B" w:rsidP="00551E4B">
      <w:pPr>
        <w:rPr>
          <w:sz w:val="24"/>
          <w:szCs w:val="24"/>
        </w:rPr>
      </w:pPr>
      <w:r w:rsidRPr="002F6F13">
        <w:rPr>
          <w:sz w:val="24"/>
          <w:szCs w:val="24"/>
        </w:rPr>
        <w:t xml:space="preserve">Saller, R., </w:t>
      </w:r>
      <w:r w:rsidRPr="002F6F13">
        <w:rPr>
          <w:i/>
          <w:sz w:val="24"/>
          <w:szCs w:val="24"/>
        </w:rPr>
        <w:t>Personal Patronage under the Early Empire</w:t>
      </w:r>
      <w:r w:rsidRPr="002F6F13">
        <w:rPr>
          <w:sz w:val="24"/>
          <w:szCs w:val="24"/>
        </w:rPr>
        <w:t xml:space="preserve"> (Cambridge, 1982)</w:t>
      </w:r>
    </w:p>
    <w:p w:rsidR="00551E4B" w:rsidRPr="002F6F13" w:rsidRDefault="00551E4B" w:rsidP="00551E4B">
      <w:pPr>
        <w:rPr>
          <w:sz w:val="24"/>
          <w:szCs w:val="24"/>
        </w:rPr>
      </w:pPr>
      <w:r w:rsidRPr="002F6F13">
        <w:rPr>
          <w:sz w:val="24"/>
          <w:szCs w:val="24"/>
        </w:rPr>
        <w:t xml:space="preserve">Salzmann, M.R., </w:t>
      </w:r>
      <w:r w:rsidRPr="002F6F13">
        <w:rPr>
          <w:i/>
          <w:sz w:val="24"/>
          <w:szCs w:val="24"/>
        </w:rPr>
        <w:t>On Roman Time: The Codex-Calendar of 354 and the Rhythms of Urban Life in Late Antiquity</w:t>
      </w:r>
      <w:r w:rsidRPr="002F6F13">
        <w:rPr>
          <w:sz w:val="24"/>
          <w:szCs w:val="24"/>
        </w:rPr>
        <w:t xml:space="preserve"> (Berkeley, 1990)</w:t>
      </w:r>
    </w:p>
    <w:p w:rsidR="00551E4B" w:rsidRDefault="00551E4B" w:rsidP="00551E4B">
      <w:pPr>
        <w:rPr>
          <w:sz w:val="24"/>
          <w:szCs w:val="24"/>
        </w:rPr>
      </w:pPr>
      <w:r w:rsidRPr="00DE49ED">
        <w:rPr>
          <w:sz w:val="24"/>
          <w:szCs w:val="24"/>
        </w:rPr>
        <w:t xml:space="preserve">Sear, F., </w:t>
      </w:r>
      <w:r w:rsidRPr="00DE49ED">
        <w:rPr>
          <w:i/>
          <w:sz w:val="24"/>
          <w:szCs w:val="24"/>
        </w:rPr>
        <w:t xml:space="preserve">Roman Theatres </w:t>
      </w:r>
      <w:proofErr w:type="gramStart"/>
      <w:r w:rsidRPr="00DE49ED">
        <w:rPr>
          <w:i/>
          <w:sz w:val="24"/>
          <w:szCs w:val="24"/>
        </w:rPr>
        <w:t>An</w:t>
      </w:r>
      <w:proofErr w:type="gramEnd"/>
      <w:r w:rsidRPr="00DE49ED">
        <w:rPr>
          <w:i/>
          <w:sz w:val="24"/>
          <w:szCs w:val="24"/>
        </w:rPr>
        <w:t xml:space="preserve"> Architectural Study</w:t>
      </w:r>
      <w:r>
        <w:rPr>
          <w:sz w:val="24"/>
          <w:szCs w:val="24"/>
        </w:rPr>
        <w:t xml:space="preserve"> (Oxford, 2006)</w:t>
      </w:r>
    </w:p>
    <w:p w:rsidR="00551E4B" w:rsidRDefault="00551E4B" w:rsidP="00551E4B">
      <w:pPr>
        <w:rPr>
          <w:sz w:val="24"/>
          <w:szCs w:val="24"/>
        </w:rPr>
      </w:pPr>
      <w:r w:rsidRPr="00DE49ED">
        <w:rPr>
          <w:sz w:val="24"/>
          <w:szCs w:val="24"/>
        </w:rPr>
        <w:t xml:space="preserve">Senseney, J.R., </w:t>
      </w:r>
      <w:r w:rsidRPr="00DE49ED">
        <w:rPr>
          <w:i/>
          <w:sz w:val="24"/>
          <w:szCs w:val="24"/>
        </w:rPr>
        <w:t>The Art of Building in the Classical World Vision, Craftsmanship, and Linear Perspective in Greek and Roman Architecture</w:t>
      </w:r>
      <w:r>
        <w:rPr>
          <w:sz w:val="24"/>
          <w:szCs w:val="24"/>
        </w:rPr>
        <w:t xml:space="preserve"> (Cambridge, 2011)</w:t>
      </w:r>
    </w:p>
    <w:p w:rsidR="00551E4B" w:rsidRDefault="00551E4B" w:rsidP="00551E4B">
      <w:pPr>
        <w:rPr>
          <w:sz w:val="24"/>
          <w:szCs w:val="24"/>
        </w:rPr>
      </w:pPr>
      <w:r w:rsidRPr="002F6F13">
        <w:rPr>
          <w:sz w:val="24"/>
          <w:szCs w:val="24"/>
        </w:rPr>
        <w:t xml:space="preserve">Sinnigen, W., </w:t>
      </w:r>
      <w:proofErr w:type="gramStart"/>
      <w:r w:rsidRPr="002F6F13">
        <w:rPr>
          <w:i/>
          <w:iCs/>
          <w:sz w:val="24"/>
          <w:szCs w:val="24"/>
        </w:rPr>
        <w:t>The</w:t>
      </w:r>
      <w:proofErr w:type="gramEnd"/>
      <w:r w:rsidRPr="002F6F13">
        <w:rPr>
          <w:i/>
          <w:iCs/>
          <w:sz w:val="24"/>
          <w:szCs w:val="24"/>
        </w:rPr>
        <w:t xml:space="preserve"> Officium of the Urban Prefecture during the Later Roman Empire</w:t>
      </w:r>
      <w:r w:rsidRPr="002F6F13">
        <w:rPr>
          <w:sz w:val="24"/>
          <w:szCs w:val="24"/>
        </w:rPr>
        <w:t xml:space="preserve"> (Rome, 1957)</w:t>
      </w:r>
    </w:p>
    <w:p w:rsidR="0085288B" w:rsidRPr="002F6F13" w:rsidRDefault="0085288B" w:rsidP="00551E4B">
      <w:pPr>
        <w:rPr>
          <w:sz w:val="24"/>
          <w:szCs w:val="24"/>
        </w:rPr>
      </w:pPr>
      <w:r>
        <w:rPr>
          <w:sz w:val="24"/>
          <w:szCs w:val="24"/>
        </w:rPr>
        <w:t xml:space="preserve">Sirks, B., </w:t>
      </w:r>
      <w:r>
        <w:rPr>
          <w:i/>
          <w:sz w:val="24"/>
          <w:szCs w:val="24"/>
        </w:rPr>
        <w:t xml:space="preserve">Food for Rome </w:t>
      </w:r>
      <w:proofErr w:type="gramStart"/>
      <w:r>
        <w:rPr>
          <w:i/>
          <w:sz w:val="24"/>
          <w:szCs w:val="24"/>
        </w:rPr>
        <w:t>The</w:t>
      </w:r>
      <w:proofErr w:type="gramEnd"/>
      <w:r>
        <w:rPr>
          <w:i/>
          <w:sz w:val="24"/>
          <w:szCs w:val="24"/>
        </w:rPr>
        <w:t xml:space="preserve"> Legal Structure of the Transportation and Processing of Supplies for the Imperial Distribution in Rome and Constantinople</w:t>
      </w:r>
      <w:r>
        <w:rPr>
          <w:sz w:val="24"/>
          <w:szCs w:val="24"/>
        </w:rPr>
        <w:t xml:space="preserve"> (Amsterdam, 1991)</w:t>
      </w:r>
    </w:p>
    <w:p w:rsidR="00551E4B" w:rsidRPr="002F6F13" w:rsidRDefault="00551E4B" w:rsidP="00551E4B">
      <w:pPr>
        <w:rPr>
          <w:sz w:val="24"/>
          <w:szCs w:val="24"/>
        </w:rPr>
      </w:pPr>
      <w:r w:rsidRPr="002F6F13">
        <w:rPr>
          <w:sz w:val="24"/>
          <w:szCs w:val="24"/>
        </w:rPr>
        <w:t xml:space="preserve">Southern, P., </w:t>
      </w:r>
      <w:proofErr w:type="gramStart"/>
      <w:r w:rsidRPr="002F6F13">
        <w:rPr>
          <w:i/>
          <w:sz w:val="24"/>
          <w:szCs w:val="24"/>
        </w:rPr>
        <w:t>The</w:t>
      </w:r>
      <w:proofErr w:type="gramEnd"/>
      <w:r w:rsidRPr="002F6F13">
        <w:rPr>
          <w:i/>
          <w:sz w:val="24"/>
          <w:szCs w:val="24"/>
        </w:rPr>
        <w:t xml:space="preserve"> Roman Empire From Severus to Constantine</w:t>
      </w:r>
      <w:r w:rsidRPr="002F6F13">
        <w:rPr>
          <w:sz w:val="24"/>
          <w:szCs w:val="24"/>
        </w:rPr>
        <w:t xml:space="preserve"> (London, 2001)</w:t>
      </w:r>
    </w:p>
    <w:p w:rsidR="00551E4B" w:rsidRPr="002F6F13" w:rsidRDefault="00551E4B" w:rsidP="00551E4B">
      <w:pPr>
        <w:rPr>
          <w:sz w:val="24"/>
          <w:szCs w:val="24"/>
        </w:rPr>
      </w:pPr>
      <w:r w:rsidRPr="002F6F13">
        <w:rPr>
          <w:sz w:val="24"/>
          <w:szCs w:val="24"/>
        </w:rPr>
        <w:t xml:space="preserve">                             </w:t>
      </w:r>
      <w:r w:rsidRPr="002F6F13">
        <w:rPr>
          <w:i/>
          <w:sz w:val="24"/>
          <w:szCs w:val="24"/>
        </w:rPr>
        <w:t>Empress Zenobia: Palmyra’s Rebel Queen</w:t>
      </w:r>
      <w:r w:rsidRPr="002F6F13">
        <w:rPr>
          <w:sz w:val="24"/>
          <w:szCs w:val="24"/>
        </w:rPr>
        <w:t xml:space="preserve"> (London, 2008)</w:t>
      </w:r>
    </w:p>
    <w:p w:rsidR="00551E4B" w:rsidRPr="002F6F13" w:rsidRDefault="00551E4B" w:rsidP="00551E4B">
      <w:pPr>
        <w:rPr>
          <w:sz w:val="24"/>
          <w:szCs w:val="24"/>
        </w:rPr>
      </w:pPr>
      <w:r w:rsidRPr="002F6F13">
        <w:rPr>
          <w:sz w:val="24"/>
          <w:szCs w:val="24"/>
        </w:rPr>
        <w:t xml:space="preserve">Speidel, M.P., </w:t>
      </w:r>
      <w:r w:rsidRPr="002F6F13">
        <w:rPr>
          <w:i/>
          <w:sz w:val="24"/>
          <w:szCs w:val="24"/>
        </w:rPr>
        <w:t xml:space="preserve">Riding for Caesar: The Roman </w:t>
      </w:r>
      <w:r w:rsidR="008B44B0">
        <w:rPr>
          <w:i/>
          <w:sz w:val="24"/>
          <w:szCs w:val="24"/>
        </w:rPr>
        <w:t>Emperor’s</w:t>
      </w:r>
      <w:r w:rsidR="009C7AF1">
        <w:rPr>
          <w:i/>
          <w:sz w:val="24"/>
          <w:szCs w:val="24"/>
        </w:rPr>
        <w:t xml:space="preserve"> </w:t>
      </w:r>
      <w:r w:rsidRPr="002F6F13">
        <w:rPr>
          <w:i/>
          <w:sz w:val="24"/>
          <w:szCs w:val="24"/>
        </w:rPr>
        <w:t>Horseguards</w:t>
      </w:r>
      <w:r w:rsidRPr="002F6F13">
        <w:rPr>
          <w:sz w:val="24"/>
          <w:szCs w:val="24"/>
        </w:rPr>
        <w:t xml:space="preserve"> (London, 1994)</w:t>
      </w:r>
    </w:p>
    <w:p w:rsidR="00551E4B" w:rsidRDefault="00551E4B" w:rsidP="00551E4B">
      <w:pPr>
        <w:tabs>
          <w:tab w:val="left" w:pos="6945"/>
        </w:tabs>
        <w:jc w:val="both"/>
        <w:rPr>
          <w:sz w:val="24"/>
          <w:szCs w:val="24"/>
        </w:rPr>
      </w:pPr>
      <w:r w:rsidRPr="00DE49ED">
        <w:rPr>
          <w:sz w:val="24"/>
          <w:szCs w:val="24"/>
        </w:rPr>
        <w:t xml:space="preserve">Swain, S., </w:t>
      </w:r>
      <w:r w:rsidRPr="00DE49ED">
        <w:rPr>
          <w:i/>
          <w:iCs/>
          <w:sz w:val="24"/>
          <w:szCs w:val="24"/>
        </w:rPr>
        <w:t>Hellenism and Empire Language, Classicism, and Power in the Greek World AD 50-250</w:t>
      </w:r>
      <w:r>
        <w:rPr>
          <w:sz w:val="24"/>
          <w:szCs w:val="24"/>
        </w:rPr>
        <w:t xml:space="preserve"> (Oxford, 1996)</w:t>
      </w:r>
    </w:p>
    <w:p w:rsidR="00551E4B" w:rsidRPr="008350D0" w:rsidRDefault="00551E4B" w:rsidP="00551E4B">
      <w:pPr>
        <w:tabs>
          <w:tab w:val="left" w:pos="6945"/>
        </w:tabs>
        <w:jc w:val="both"/>
        <w:rPr>
          <w:sz w:val="24"/>
          <w:szCs w:val="24"/>
        </w:rPr>
      </w:pPr>
      <w:r w:rsidRPr="00DE49ED">
        <w:rPr>
          <w:sz w:val="24"/>
          <w:szCs w:val="24"/>
        </w:rPr>
        <w:t>Swain, S., Harrison, S., and Elsner, J. (</w:t>
      </w:r>
      <w:proofErr w:type="gramStart"/>
      <w:r w:rsidRPr="00DE49ED">
        <w:rPr>
          <w:sz w:val="24"/>
          <w:szCs w:val="24"/>
        </w:rPr>
        <w:t>eds</w:t>
      </w:r>
      <w:proofErr w:type="gramEnd"/>
      <w:r w:rsidRPr="00DE49ED">
        <w:rPr>
          <w:sz w:val="24"/>
          <w:szCs w:val="24"/>
        </w:rPr>
        <w:t xml:space="preserve">), </w:t>
      </w:r>
      <w:r w:rsidRPr="00DE49ED">
        <w:rPr>
          <w:i/>
          <w:sz w:val="24"/>
          <w:szCs w:val="24"/>
        </w:rPr>
        <w:t>Severan Culture</w:t>
      </w:r>
      <w:r w:rsidRPr="00DE49ED">
        <w:rPr>
          <w:sz w:val="24"/>
          <w:szCs w:val="24"/>
        </w:rPr>
        <w:t xml:space="preserve"> (Cambridge, 2007)</w:t>
      </w:r>
    </w:p>
    <w:p w:rsidR="00551E4B" w:rsidRPr="002F6F13" w:rsidRDefault="00551E4B" w:rsidP="00551E4B">
      <w:pPr>
        <w:rPr>
          <w:iCs/>
          <w:sz w:val="24"/>
          <w:szCs w:val="24"/>
        </w:rPr>
      </w:pPr>
      <w:r w:rsidRPr="002F6F13">
        <w:rPr>
          <w:sz w:val="24"/>
          <w:szCs w:val="24"/>
        </w:rPr>
        <w:t xml:space="preserve">Tengström, E., </w:t>
      </w:r>
      <w:r w:rsidRPr="002F6F13">
        <w:rPr>
          <w:i/>
          <w:iCs/>
          <w:sz w:val="24"/>
          <w:szCs w:val="24"/>
        </w:rPr>
        <w:t>Bread for the People</w:t>
      </w:r>
      <w:r w:rsidR="007D570B">
        <w:rPr>
          <w:i/>
          <w:iCs/>
          <w:sz w:val="24"/>
          <w:szCs w:val="24"/>
        </w:rPr>
        <w:t>.</w:t>
      </w:r>
      <w:r w:rsidRPr="002F6F13">
        <w:rPr>
          <w:i/>
          <w:iCs/>
          <w:sz w:val="24"/>
          <w:szCs w:val="24"/>
        </w:rPr>
        <w:t xml:space="preserve"> Studies of the Corn-Supply of Rome during the Late Empire</w:t>
      </w:r>
      <w:r w:rsidRPr="002F6F13">
        <w:rPr>
          <w:iCs/>
          <w:sz w:val="24"/>
          <w:szCs w:val="24"/>
        </w:rPr>
        <w:t xml:space="preserve"> (Stockholm, 1974)</w:t>
      </w:r>
    </w:p>
    <w:p w:rsidR="00551E4B" w:rsidRPr="002F6F13" w:rsidRDefault="00551E4B" w:rsidP="00551E4B">
      <w:pPr>
        <w:rPr>
          <w:sz w:val="24"/>
          <w:szCs w:val="24"/>
        </w:rPr>
      </w:pPr>
      <w:r w:rsidRPr="002F6F13">
        <w:rPr>
          <w:sz w:val="24"/>
          <w:szCs w:val="24"/>
        </w:rPr>
        <w:t xml:space="preserve">Thomas, E., </w:t>
      </w:r>
      <w:r w:rsidRPr="002F6F13">
        <w:rPr>
          <w:i/>
          <w:sz w:val="24"/>
          <w:szCs w:val="24"/>
        </w:rPr>
        <w:t xml:space="preserve">Monumentality and the </w:t>
      </w:r>
      <w:r w:rsidR="009C7AF1" w:rsidRPr="002F6F13">
        <w:rPr>
          <w:i/>
          <w:sz w:val="24"/>
          <w:szCs w:val="24"/>
        </w:rPr>
        <w:t>Roman Empire</w:t>
      </w:r>
      <w:r w:rsidRPr="002F6F13">
        <w:rPr>
          <w:i/>
          <w:sz w:val="24"/>
          <w:szCs w:val="24"/>
        </w:rPr>
        <w:t xml:space="preserve"> Architecture in the Antonine Age </w:t>
      </w:r>
      <w:r w:rsidRPr="002F6F13">
        <w:rPr>
          <w:sz w:val="24"/>
          <w:szCs w:val="24"/>
        </w:rPr>
        <w:t>(Oxford, 2007)</w:t>
      </w:r>
    </w:p>
    <w:p w:rsidR="00551E4B" w:rsidRPr="002F6F13" w:rsidRDefault="00551E4B" w:rsidP="00551E4B">
      <w:pPr>
        <w:rPr>
          <w:sz w:val="24"/>
          <w:szCs w:val="24"/>
        </w:rPr>
      </w:pPr>
      <w:r w:rsidRPr="002F6F13">
        <w:rPr>
          <w:sz w:val="24"/>
          <w:szCs w:val="24"/>
        </w:rPr>
        <w:lastRenderedPageBreak/>
        <w:t xml:space="preserve">Todd, M., </w:t>
      </w:r>
      <w:proofErr w:type="gramStart"/>
      <w:r w:rsidRPr="002F6F13">
        <w:rPr>
          <w:i/>
          <w:sz w:val="24"/>
          <w:szCs w:val="24"/>
        </w:rPr>
        <w:t>The</w:t>
      </w:r>
      <w:proofErr w:type="gramEnd"/>
      <w:r w:rsidRPr="002F6F13">
        <w:rPr>
          <w:i/>
          <w:sz w:val="24"/>
          <w:szCs w:val="24"/>
        </w:rPr>
        <w:t xml:space="preserve"> Walls of Rome</w:t>
      </w:r>
      <w:r w:rsidRPr="002F6F13">
        <w:rPr>
          <w:sz w:val="24"/>
          <w:szCs w:val="24"/>
        </w:rPr>
        <w:t xml:space="preserve"> (London, 1978)</w:t>
      </w:r>
    </w:p>
    <w:p w:rsidR="00551E4B" w:rsidRPr="002F6F13" w:rsidRDefault="00551E4B" w:rsidP="00551E4B">
      <w:pPr>
        <w:rPr>
          <w:sz w:val="24"/>
          <w:szCs w:val="24"/>
        </w:rPr>
      </w:pPr>
      <w:r w:rsidRPr="002F6F13">
        <w:rPr>
          <w:sz w:val="24"/>
          <w:szCs w:val="24"/>
        </w:rPr>
        <w:t xml:space="preserve">Tomlinson, R., </w:t>
      </w:r>
      <w:r w:rsidRPr="002F6F13">
        <w:rPr>
          <w:i/>
          <w:sz w:val="24"/>
          <w:szCs w:val="24"/>
        </w:rPr>
        <w:t xml:space="preserve">From Mycenae to Constantinople </w:t>
      </w:r>
      <w:proofErr w:type="gramStart"/>
      <w:r w:rsidRPr="002F6F13">
        <w:rPr>
          <w:i/>
          <w:sz w:val="24"/>
          <w:szCs w:val="24"/>
        </w:rPr>
        <w:t>The</w:t>
      </w:r>
      <w:proofErr w:type="gramEnd"/>
      <w:r w:rsidRPr="002F6F13">
        <w:rPr>
          <w:i/>
          <w:sz w:val="24"/>
          <w:szCs w:val="24"/>
        </w:rPr>
        <w:t xml:space="preserve"> Evolution of the Ancient City</w:t>
      </w:r>
      <w:r w:rsidRPr="002F6F13">
        <w:rPr>
          <w:sz w:val="24"/>
          <w:szCs w:val="24"/>
        </w:rPr>
        <w:t xml:space="preserve"> (London, 1992)</w:t>
      </w:r>
    </w:p>
    <w:p w:rsidR="00551E4B" w:rsidRPr="002F6F13" w:rsidRDefault="00551E4B" w:rsidP="00551E4B">
      <w:pPr>
        <w:rPr>
          <w:sz w:val="24"/>
          <w:szCs w:val="24"/>
        </w:rPr>
      </w:pPr>
      <w:r w:rsidRPr="002F6F13">
        <w:rPr>
          <w:sz w:val="24"/>
          <w:szCs w:val="24"/>
        </w:rPr>
        <w:t xml:space="preserve">Ullmann, W., </w:t>
      </w:r>
      <w:proofErr w:type="gramStart"/>
      <w:r w:rsidRPr="002F6F13">
        <w:rPr>
          <w:i/>
          <w:sz w:val="24"/>
          <w:szCs w:val="24"/>
        </w:rPr>
        <w:t>The</w:t>
      </w:r>
      <w:proofErr w:type="gramEnd"/>
      <w:r w:rsidRPr="002F6F13">
        <w:rPr>
          <w:i/>
          <w:sz w:val="24"/>
          <w:szCs w:val="24"/>
        </w:rPr>
        <w:t xml:space="preserve"> Carolingian Renaissance and the Idea of Kingship</w:t>
      </w:r>
      <w:r w:rsidRPr="002F6F13">
        <w:rPr>
          <w:sz w:val="24"/>
          <w:szCs w:val="24"/>
        </w:rPr>
        <w:t xml:space="preserve"> (1969)</w:t>
      </w:r>
    </w:p>
    <w:p w:rsidR="00551E4B" w:rsidRPr="002F6F13" w:rsidRDefault="00551E4B" w:rsidP="00551E4B">
      <w:pPr>
        <w:rPr>
          <w:iCs/>
          <w:sz w:val="24"/>
          <w:szCs w:val="24"/>
        </w:rPr>
      </w:pPr>
      <w:r w:rsidRPr="002F6F13">
        <w:rPr>
          <w:sz w:val="24"/>
          <w:szCs w:val="24"/>
        </w:rPr>
        <w:t xml:space="preserve">                             </w:t>
      </w:r>
      <w:r w:rsidRPr="002F6F13">
        <w:rPr>
          <w:i/>
          <w:sz w:val="24"/>
          <w:szCs w:val="24"/>
        </w:rPr>
        <w:t xml:space="preserve">A Short of the Papacy in the </w:t>
      </w:r>
      <w:proofErr w:type="gramStart"/>
      <w:r w:rsidRPr="002F6F13">
        <w:rPr>
          <w:i/>
          <w:sz w:val="24"/>
          <w:szCs w:val="24"/>
        </w:rPr>
        <w:t>Middle</w:t>
      </w:r>
      <w:proofErr w:type="gramEnd"/>
      <w:r w:rsidRPr="002F6F13">
        <w:rPr>
          <w:i/>
          <w:sz w:val="24"/>
          <w:szCs w:val="24"/>
        </w:rPr>
        <w:t xml:space="preserve"> Ages</w:t>
      </w:r>
      <w:r w:rsidRPr="002F6F13">
        <w:rPr>
          <w:sz w:val="24"/>
          <w:szCs w:val="24"/>
        </w:rPr>
        <w:t xml:space="preserve"> (London, 1972)</w:t>
      </w:r>
    </w:p>
    <w:p w:rsidR="00551E4B" w:rsidRDefault="00551E4B" w:rsidP="00551E4B">
      <w:pPr>
        <w:rPr>
          <w:sz w:val="24"/>
          <w:szCs w:val="24"/>
        </w:rPr>
      </w:pPr>
      <w:r w:rsidRPr="002F6F13">
        <w:rPr>
          <w:sz w:val="24"/>
          <w:szCs w:val="24"/>
        </w:rPr>
        <w:t xml:space="preserve">Valentini, R., and Zucchetti, G., </w:t>
      </w:r>
      <w:r w:rsidRPr="002F6F13">
        <w:rPr>
          <w:i/>
          <w:sz w:val="24"/>
          <w:szCs w:val="24"/>
        </w:rPr>
        <w:t>Codice Topografico Della Città di Roma</w:t>
      </w:r>
      <w:r w:rsidRPr="002F6F13">
        <w:rPr>
          <w:sz w:val="24"/>
          <w:szCs w:val="24"/>
        </w:rPr>
        <w:t xml:space="preserve"> </w:t>
      </w:r>
      <w:r w:rsidRPr="002F6F13">
        <w:rPr>
          <w:i/>
          <w:sz w:val="24"/>
          <w:szCs w:val="24"/>
        </w:rPr>
        <w:t xml:space="preserve">Vols. 1-4 </w:t>
      </w:r>
      <w:r w:rsidRPr="002F6F13">
        <w:rPr>
          <w:sz w:val="24"/>
          <w:szCs w:val="24"/>
        </w:rPr>
        <w:t>(Roma, 1940)</w:t>
      </w:r>
    </w:p>
    <w:p w:rsidR="00551E4B" w:rsidRDefault="00551E4B" w:rsidP="00551E4B">
      <w:pPr>
        <w:tabs>
          <w:tab w:val="left" w:pos="6945"/>
        </w:tabs>
        <w:jc w:val="both"/>
        <w:rPr>
          <w:sz w:val="24"/>
          <w:szCs w:val="24"/>
        </w:rPr>
      </w:pPr>
      <w:r w:rsidRPr="00DE49ED">
        <w:rPr>
          <w:sz w:val="24"/>
          <w:szCs w:val="24"/>
        </w:rPr>
        <w:t xml:space="preserve">Van Dam, R., </w:t>
      </w:r>
      <w:proofErr w:type="gramStart"/>
      <w:r w:rsidRPr="00DE49ED">
        <w:rPr>
          <w:i/>
          <w:iCs/>
          <w:sz w:val="24"/>
          <w:szCs w:val="24"/>
        </w:rPr>
        <w:t>The</w:t>
      </w:r>
      <w:proofErr w:type="gramEnd"/>
      <w:r w:rsidRPr="00DE49ED">
        <w:rPr>
          <w:i/>
          <w:iCs/>
          <w:sz w:val="24"/>
          <w:szCs w:val="24"/>
        </w:rPr>
        <w:t xml:space="preserve"> Roman Revolution of Constantine</w:t>
      </w:r>
      <w:r>
        <w:rPr>
          <w:sz w:val="24"/>
          <w:szCs w:val="24"/>
        </w:rPr>
        <w:t xml:space="preserve"> (Cambridge, 2007)</w:t>
      </w:r>
    </w:p>
    <w:p w:rsidR="00551E4B" w:rsidRDefault="00551E4B" w:rsidP="00551E4B">
      <w:pPr>
        <w:tabs>
          <w:tab w:val="left" w:pos="6945"/>
        </w:tabs>
        <w:jc w:val="both"/>
        <w:rPr>
          <w:sz w:val="24"/>
          <w:szCs w:val="24"/>
        </w:rPr>
      </w:pPr>
      <w:r>
        <w:rPr>
          <w:i/>
          <w:sz w:val="24"/>
          <w:szCs w:val="24"/>
        </w:rPr>
        <w:t xml:space="preserve">                       </w:t>
      </w:r>
      <w:r w:rsidRPr="00DE49ED">
        <w:rPr>
          <w:i/>
          <w:sz w:val="24"/>
          <w:szCs w:val="24"/>
        </w:rPr>
        <w:t>Rome and Constantinople Rewriting Roman History during Late Antiquity</w:t>
      </w:r>
      <w:r w:rsidRPr="00DE49ED">
        <w:rPr>
          <w:sz w:val="24"/>
          <w:szCs w:val="24"/>
        </w:rPr>
        <w:t xml:space="preserve"> (Waco, 1975)</w:t>
      </w:r>
    </w:p>
    <w:p w:rsidR="00551E4B" w:rsidRPr="002F6F13" w:rsidRDefault="00551E4B" w:rsidP="00551E4B">
      <w:pPr>
        <w:tabs>
          <w:tab w:val="left" w:pos="6945"/>
        </w:tabs>
        <w:jc w:val="both"/>
        <w:rPr>
          <w:sz w:val="24"/>
          <w:szCs w:val="24"/>
        </w:rPr>
      </w:pPr>
      <w:r>
        <w:rPr>
          <w:i/>
          <w:sz w:val="24"/>
          <w:szCs w:val="24"/>
        </w:rPr>
        <w:t xml:space="preserve">                       </w:t>
      </w:r>
      <w:r w:rsidRPr="00DE49ED">
        <w:rPr>
          <w:i/>
          <w:sz w:val="24"/>
          <w:szCs w:val="24"/>
        </w:rPr>
        <w:t>Remembering Constantine at the Milvian Bridge</w:t>
      </w:r>
      <w:r w:rsidRPr="00DE49ED">
        <w:rPr>
          <w:sz w:val="24"/>
          <w:szCs w:val="24"/>
        </w:rPr>
        <w:t xml:space="preserve"> (Cambridge, 2011)</w:t>
      </w:r>
    </w:p>
    <w:p w:rsidR="00551E4B" w:rsidRPr="002F6F13" w:rsidRDefault="00551E4B" w:rsidP="00551E4B">
      <w:pPr>
        <w:rPr>
          <w:sz w:val="24"/>
          <w:szCs w:val="24"/>
        </w:rPr>
      </w:pPr>
      <w:r w:rsidRPr="002F6F13">
        <w:rPr>
          <w:sz w:val="24"/>
          <w:szCs w:val="24"/>
        </w:rPr>
        <w:t xml:space="preserve">Veyne, P., </w:t>
      </w:r>
      <w:r w:rsidRPr="002F6F13">
        <w:rPr>
          <w:i/>
          <w:sz w:val="24"/>
          <w:szCs w:val="24"/>
        </w:rPr>
        <w:t xml:space="preserve">Bread and Circuses Historical Sociology and Political Pluralism, </w:t>
      </w:r>
      <w:r w:rsidRPr="002F6F13">
        <w:rPr>
          <w:sz w:val="24"/>
          <w:szCs w:val="24"/>
        </w:rPr>
        <w:t>trans. Pearce, B. (London, 1990)</w:t>
      </w:r>
    </w:p>
    <w:p w:rsidR="00551E4B" w:rsidRPr="002F6F13" w:rsidRDefault="00551E4B" w:rsidP="00551E4B">
      <w:pPr>
        <w:rPr>
          <w:sz w:val="24"/>
          <w:szCs w:val="24"/>
        </w:rPr>
      </w:pPr>
      <w:r w:rsidRPr="002F6F13">
        <w:rPr>
          <w:sz w:val="24"/>
          <w:szCs w:val="24"/>
        </w:rPr>
        <w:t xml:space="preserve">Wallace-Hadrill, A., </w:t>
      </w:r>
      <w:r w:rsidRPr="002F6F13">
        <w:rPr>
          <w:i/>
          <w:sz w:val="24"/>
          <w:szCs w:val="24"/>
        </w:rPr>
        <w:t>Rome’s Cultural Revolution</w:t>
      </w:r>
      <w:r w:rsidRPr="002F6F13">
        <w:rPr>
          <w:sz w:val="24"/>
          <w:szCs w:val="24"/>
        </w:rPr>
        <w:t xml:space="preserve"> (Cambridge, 2008)</w:t>
      </w:r>
    </w:p>
    <w:p w:rsidR="00551E4B" w:rsidRDefault="00551E4B" w:rsidP="00551E4B">
      <w:pPr>
        <w:tabs>
          <w:tab w:val="left" w:pos="6945"/>
        </w:tabs>
        <w:jc w:val="both"/>
        <w:rPr>
          <w:sz w:val="24"/>
          <w:szCs w:val="24"/>
        </w:rPr>
      </w:pPr>
      <w:r w:rsidRPr="00DE49ED">
        <w:rPr>
          <w:sz w:val="24"/>
          <w:szCs w:val="24"/>
        </w:rPr>
        <w:t xml:space="preserve">Ward-Perkins, B., </w:t>
      </w:r>
      <w:r w:rsidRPr="00DE49ED">
        <w:rPr>
          <w:i/>
          <w:sz w:val="24"/>
          <w:szCs w:val="24"/>
        </w:rPr>
        <w:t>From Classical Antiquity to the Middle Ages Urban Public Building in Northern and Central Italy AD 300-850</w:t>
      </w:r>
      <w:r>
        <w:rPr>
          <w:sz w:val="24"/>
          <w:szCs w:val="24"/>
        </w:rPr>
        <w:t xml:space="preserve"> (Oxford, 1984)</w:t>
      </w:r>
    </w:p>
    <w:p w:rsidR="00551E4B" w:rsidRPr="002F6F13" w:rsidRDefault="00551E4B" w:rsidP="00551E4B">
      <w:pPr>
        <w:rPr>
          <w:sz w:val="24"/>
          <w:szCs w:val="24"/>
        </w:rPr>
      </w:pPr>
      <w:r w:rsidRPr="002F6F13">
        <w:rPr>
          <w:sz w:val="24"/>
          <w:szCs w:val="24"/>
        </w:rPr>
        <w:t xml:space="preserve">Ward-Perkins, J.B., </w:t>
      </w:r>
      <w:r w:rsidRPr="002F6F13">
        <w:rPr>
          <w:i/>
          <w:sz w:val="24"/>
          <w:szCs w:val="24"/>
        </w:rPr>
        <w:t xml:space="preserve">Roman </w:t>
      </w:r>
      <w:r w:rsidR="008B44B0">
        <w:rPr>
          <w:i/>
          <w:sz w:val="24"/>
          <w:szCs w:val="24"/>
        </w:rPr>
        <w:t>Imperial</w:t>
      </w:r>
      <w:r w:rsidRPr="002F6F13">
        <w:rPr>
          <w:i/>
          <w:sz w:val="24"/>
          <w:szCs w:val="24"/>
        </w:rPr>
        <w:t xml:space="preserve"> Architecture</w:t>
      </w:r>
      <w:r w:rsidRPr="002F6F13">
        <w:rPr>
          <w:sz w:val="24"/>
          <w:szCs w:val="24"/>
        </w:rPr>
        <w:t xml:space="preserve"> (Harmondsworth, 1981)</w:t>
      </w:r>
    </w:p>
    <w:p w:rsidR="00551E4B" w:rsidRDefault="00551E4B" w:rsidP="00551E4B">
      <w:pPr>
        <w:tabs>
          <w:tab w:val="left" w:pos="6945"/>
        </w:tabs>
        <w:jc w:val="both"/>
        <w:rPr>
          <w:sz w:val="24"/>
          <w:szCs w:val="24"/>
        </w:rPr>
      </w:pPr>
      <w:r w:rsidRPr="00DE49ED">
        <w:rPr>
          <w:sz w:val="24"/>
          <w:szCs w:val="24"/>
        </w:rPr>
        <w:t xml:space="preserve">Watson, A., </w:t>
      </w:r>
      <w:r w:rsidRPr="00DE49ED">
        <w:rPr>
          <w:i/>
          <w:sz w:val="24"/>
          <w:szCs w:val="24"/>
        </w:rPr>
        <w:t>Aurelian and the Third Century</w:t>
      </w:r>
      <w:r w:rsidRPr="00DE49ED">
        <w:rPr>
          <w:sz w:val="24"/>
          <w:szCs w:val="24"/>
        </w:rPr>
        <w:t xml:space="preserve"> (Abingdon, 2007)</w:t>
      </w:r>
    </w:p>
    <w:p w:rsidR="00551E4B" w:rsidRPr="002F6F13" w:rsidRDefault="00551E4B" w:rsidP="00551E4B">
      <w:pPr>
        <w:rPr>
          <w:sz w:val="24"/>
          <w:szCs w:val="24"/>
        </w:rPr>
      </w:pPr>
      <w:r w:rsidRPr="002F6F13">
        <w:rPr>
          <w:sz w:val="24"/>
          <w:szCs w:val="24"/>
        </w:rPr>
        <w:t xml:space="preserve">Weber, M., </w:t>
      </w:r>
      <w:r w:rsidRPr="002F6F13">
        <w:rPr>
          <w:i/>
          <w:iCs/>
          <w:sz w:val="24"/>
          <w:szCs w:val="24"/>
        </w:rPr>
        <w:t>Economy and Society</w:t>
      </w:r>
      <w:r w:rsidRPr="002F6F13">
        <w:rPr>
          <w:sz w:val="24"/>
          <w:szCs w:val="24"/>
        </w:rPr>
        <w:t>, trans. Fischoff, E., Gerth, H., Henderson, A.M., Kolegar, F., Mills, C.W., Parsons, T., Rheinstein, M., Roth, G., Shils, E., and Wittich, C., (London, 1978)</w:t>
      </w:r>
    </w:p>
    <w:p w:rsidR="00551E4B" w:rsidRPr="002F6F13" w:rsidRDefault="00551E4B" w:rsidP="00551E4B">
      <w:pPr>
        <w:rPr>
          <w:sz w:val="24"/>
          <w:szCs w:val="24"/>
        </w:rPr>
      </w:pPr>
      <w:r w:rsidRPr="002F6F13">
        <w:rPr>
          <w:sz w:val="24"/>
          <w:szCs w:val="24"/>
        </w:rPr>
        <w:t xml:space="preserve">Welch, K., </w:t>
      </w:r>
      <w:proofErr w:type="gramStart"/>
      <w:r w:rsidRPr="002F6F13">
        <w:rPr>
          <w:i/>
          <w:sz w:val="24"/>
          <w:szCs w:val="24"/>
        </w:rPr>
        <w:t>The</w:t>
      </w:r>
      <w:proofErr w:type="gramEnd"/>
      <w:r w:rsidRPr="002F6F13">
        <w:rPr>
          <w:i/>
          <w:sz w:val="24"/>
          <w:szCs w:val="24"/>
        </w:rPr>
        <w:t xml:space="preserve"> Roman Amphitheatre: From Its Origins to the Colosseum</w:t>
      </w:r>
      <w:r w:rsidRPr="002F6F13">
        <w:rPr>
          <w:sz w:val="24"/>
          <w:szCs w:val="24"/>
        </w:rPr>
        <w:t xml:space="preserve"> (Cambridge, 2007)</w:t>
      </w:r>
    </w:p>
    <w:p w:rsidR="00551E4B" w:rsidRDefault="00551E4B" w:rsidP="00551E4B">
      <w:pPr>
        <w:rPr>
          <w:sz w:val="24"/>
          <w:szCs w:val="24"/>
        </w:rPr>
      </w:pPr>
      <w:r w:rsidRPr="00DE49ED">
        <w:rPr>
          <w:sz w:val="24"/>
          <w:szCs w:val="24"/>
        </w:rPr>
        <w:t xml:space="preserve">White, J.F., </w:t>
      </w:r>
      <w:r w:rsidRPr="00DE49ED">
        <w:rPr>
          <w:i/>
          <w:sz w:val="24"/>
          <w:szCs w:val="24"/>
        </w:rPr>
        <w:t xml:space="preserve">Restorer of the World </w:t>
      </w:r>
      <w:proofErr w:type="gramStart"/>
      <w:r w:rsidRPr="00DE49ED">
        <w:rPr>
          <w:i/>
          <w:sz w:val="24"/>
          <w:szCs w:val="24"/>
        </w:rPr>
        <w:t>The</w:t>
      </w:r>
      <w:proofErr w:type="gramEnd"/>
      <w:r w:rsidRPr="00DE49ED">
        <w:rPr>
          <w:i/>
          <w:sz w:val="24"/>
          <w:szCs w:val="24"/>
        </w:rPr>
        <w:t xml:space="preserve"> Roman </w:t>
      </w:r>
      <w:r w:rsidR="008B44B0">
        <w:rPr>
          <w:i/>
          <w:sz w:val="24"/>
          <w:szCs w:val="24"/>
        </w:rPr>
        <w:t>Emperor</w:t>
      </w:r>
      <w:r w:rsidRPr="00DE49ED">
        <w:rPr>
          <w:i/>
          <w:sz w:val="24"/>
          <w:szCs w:val="24"/>
        </w:rPr>
        <w:t xml:space="preserve"> </w:t>
      </w:r>
      <w:r>
        <w:rPr>
          <w:sz w:val="24"/>
          <w:szCs w:val="24"/>
        </w:rPr>
        <w:t>(Stroud, 2007)</w:t>
      </w:r>
    </w:p>
    <w:p w:rsidR="00551E4B" w:rsidRPr="002F6F13" w:rsidRDefault="00551E4B" w:rsidP="00551E4B">
      <w:pPr>
        <w:rPr>
          <w:sz w:val="24"/>
          <w:szCs w:val="24"/>
        </w:rPr>
      </w:pPr>
      <w:r w:rsidRPr="002F6F13">
        <w:rPr>
          <w:sz w:val="24"/>
          <w:szCs w:val="24"/>
        </w:rPr>
        <w:t xml:space="preserve">William, S., </w:t>
      </w:r>
      <w:r w:rsidRPr="002F6F13">
        <w:rPr>
          <w:i/>
          <w:sz w:val="24"/>
          <w:szCs w:val="24"/>
        </w:rPr>
        <w:t>Diocletian and the Roman Recovery</w:t>
      </w:r>
      <w:r w:rsidRPr="002F6F13">
        <w:rPr>
          <w:sz w:val="24"/>
          <w:szCs w:val="24"/>
        </w:rPr>
        <w:t xml:space="preserve"> (London, 1985)</w:t>
      </w:r>
    </w:p>
    <w:p w:rsidR="00551E4B" w:rsidRPr="002F6F13" w:rsidRDefault="00551E4B" w:rsidP="00551E4B">
      <w:pPr>
        <w:rPr>
          <w:sz w:val="24"/>
          <w:szCs w:val="24"/>
        </w:rPr>
      </w:pPr>
      <w:r w:rsidRPr="002F6F13">
        <w:rPr>
          <w:sz w:val="24"/>
          <w:szCs w:val="24"/>
        </w:rPr>
        <w:t xml:space="preserve">Zanker, P., </w:t>
      </w:r>
      <w:proofErr w:type="gramStart"/>
      <w:r w:rsidRPr="002F6F13">
        <w:rPr>
          <w:i/>
          <w:iCs/>
          <w:sz w:val="24"/>
          <w:szCs w:val="24"/>
        </w:rPr>
        <w:t>The</w:t>
      </w:r>
      <w:proofErr w:type="gramEnd"/>
      <w:r w:rsidRPr="002F6F13">
        <w:rPr>
          <w:i/>
          <w:iCs/>
          <w:sz w:val="24"/>
          <w:szCs w:val="24"/>
        </w:rPr>
        <w:t xml:space="preserve"> Power of Images in the Age of Augustus</w:t>
      </w:r>
      <w:r w:rsidRPr="002F6F13">
        <w:rPr>
          <w:sz w:val="24"/>
          <w:szCs w:val="24"/>
        </w:rPr>
        <w:t>, trans. Alan Shapiro (Ann Arbor, 1990)</w:t>
      </w:r>
    </w:p>
    <w:p w:rsidR="00551E4B" w:rsidRPr="002F6F13" w:rsidRDefault="00551E4B" w:rsidP="00551E4B">
      <w:pPr>
        <w:rPr>
          <w:sz w:val="24"/>
          <w:szCs w:val="24"/>
          <w:u w:val="single"/>
        </w:rPr>
      </w:pPr>
      <w:r w:rsidRPr="002F6F13">
        <w:rPr>
          <w:sz w:val="24"/>
          <w:szCs w:val="24"/>
        </w:rPr>
        <w:t xml:space="preserve">Zuboff, S., </w:t>
      </w:r>
      <w:r w:rsidRPr="002F6F13">
        <w:rPr>
          <w:i/>
          <w:iCs/>
          <w:sz w:val="24"/>
          <w:szCs w:val="24"/>
        </w:rPr>
        <w:t>In the Age of the Smart Machine: The Future of Work and Power</w:t>
      </w:r>
      <w:r w:rsidRPr="002F6F13">
        <w:rPr>
          <w:sz w:val="24"/>
          <w:szCs w:val="24"/>
        </w:rPr>
        <w:t xml:space="preserve"> (Oxford, 1988)</w:t>
      </w:r>
    </w:p>
    <w:p w:rsidR="00551E4B" w:rsidRDefault="00551E4B" w:rsidP="00551E4B">
      <w:pPr>
        <w:rPr>
          <w:sz w:val="24"/>
          <w:szCs w:val="24"/>
        </w:rPr>
      </w:pPr>
    </w:p>
    <w:p w:rsidR="00AB606C" w:rsidRPr="002F6F13" w:rsidRDefault="00AB606C" w:rsidP="00551E4B">
      <w:pPr>
        <w:rPr>
          <w:sz w:val="24"/>
          <w:szCs w:val="24"/>
        </w:rPr>
      </w:pPr>
    </w:p>
    <w:p w:rsidR="00551E4B" w:rsidRPr="00E34A40" w:rsidRDefault="00551E4B" w:rsidP="00551E4B">
      <w:pPr>
        <w:rPr>
          <w:sz w:val="24"/>
          <w:szCs w:val="24"/>
          <w:u w:val="single"/>
        </w:rPr>
      </w:pPr>
      <w:r w:rsidRPr="00E34A40">
        <w:rPr>
          <w:sz w:val="24"/>
          <w:szCs w:val="24"/>
          <w:u w:val="single"/>
        </w:rPr>
        <w:lastRenderedPageBreak/>
        <w:t>Secondary Sources: Articles</w:t>
      </w:r>
    </w:p>
    <w:p w:rsidR="00551E4B" w:rsidRPr="00E34A40" w:rsidRDefault="009E7336" w:rsidP="00551E4B">
      <w:pPr>
        <w:rPr>
          <w:rFonts w:cstheme="minorHAnsi"/>
          <w:sz w:val="24"/>
          <w:szCs w:val="24"/>
        </w:rPr>
      </w:pPr>
      <w:r>
        <w:rPr>
          <w:sz w:val="24"/>
          <w:szCs w:val="24"/>
        </w:rPr>
        <w:t>Arce</w:t>
      </w:r>
      <w:r w:rsidR="00551E4B" w:rsidRPr="00E34A40">
        <w:rPr>
          <w:sz w:val="24"/>
          <w:szCs w:val="24"/>
        </w:rPr>
        <w:t xml:space="preserve">, J., ‘El inventario de Roma: </w:t>
      </w:r>
      <w:r w:rsidR="00551E4B" w:rsidRPr="00E34A40">
        <w:rPr>
          <w:i/>
          <w:sz w:val="24"/>
          <w:szCs w:val="24"/>
        </w:rPr>
        <w:t>Curiosum y Notitia</w:t>
      </w:r>
      <w:r w:rsidR="00551E4B" w:rsidRPr="00E34A40">
        <w:rPr>
          <w:sz w:val="24"/>
          <w:szCs w:val="24"/>
        </w:rPr>
        <w:t xml:space="preserve">’, in Harris, W.V., </w:t>
      </w:r>
      <w:r w:rsidR="00551E4B" w:rsidRPr="00E34A40">
        <w:rPr>
          <w:i/>
          <w:sz w:val="24"/>
          <w:szCs w:val="24"/>
        </w:rPr>
        <w:t>The Transformation of the Urbs Roma in Late Antiquity</w:t>
      </w:r>
      <w:r w:rsidR="00551E4B" w:rsidRPr="00E34A40">
        <w:rPr>
          <w:iCs/>
          <w:sz w:val="24"/>
          <w:szCs w:val="24"/>
        </w:rPr>
        <w:t xml:space="preserve"> (Portsmouth, 1999), pp. 15-22.</w:t>
      </w:r>
    </w:p>
    <w:p w:rsidR="00551E4B" w:rsidRPr="00E34A40" w:rsidRDefault="00551E4B" w:rsidP="00551E4B">
      <w:pPr>
        <w:rPr>
          <w:sz w:val="24"/>
          <w:szCs w:val="24"/>
        </w:rPr>
      </w:pPr>
      <w:r w:rsidRPr="00E34A40">
        <w:rPr>
          <w:sz w:val="24"/>
          <w:szCs w:val="24"/>
        </w:rPr>
        <w:t xml:space="preserve">Africa, T.W., ‘Urban Violence in </w:t>
      </w:r>
      <w:r w:rsidR="008B44B0">
        <w:rPr>
          <w:sz w:val="24"/>
          <w:szCs w:val="24"/>
        </w:rPr>
        <w:t>Imperial</w:t>
      </w:r>
      <w:r w:rsidRPr="00E34A40">
        <w:rPr>
          <w:sz w:val="24"/>
          <w:szCs w:val="24"/>
        </w:rPr>
        <w:t xml:space="preserve"> Rome’, </w:t>
      </w:r>
      <w:proofErr w:type="gramStart"/>
      <w:r w:rsidRPr="00E34A40">
        <w:rPr>
          <w:i/>
          <w:iCs/>
          <w:sz w:val="24"/>
          <w:szCs w:val="24"/>
        </w:rPr>
        <w:t>The</w:t>
      </w:r>
      <w:proofErr w:type="gramEnd"/>
      <w:r w:rsidRPr="00E34A40">
        <w:rPr>
          <w:i/>
          <w:iCs/>
          <w:sz w:val="24"/>
          <w:szCs w:val="24"/>
        </w:rPr>
        <w:t xml:space="preserve"> Journal of Interdisciplinary History Vol. 2 No. 1</w:t>
      </w:r>
      <w:r w:rsidRPr="00E34A40">
        <w:rPr>
          <w:sz w:val="24"/>
          <w:szCs w:val="24"/>
        </w:rPr>
        <w:t xml:space="preserve"> (1971), pp. 3-21.</w:t>
      </w:r>
    </w:p>
    <w:p w:rsidR="00551E4B" w:rsidRPr="00E34A40" w:rsidRDefault="00551E4B" w:rsidP="00551E4B">
      <w:pPr>
        <w:rPr>
          <w:sz w:val="24"/>
          <w:szCs w:val="24"/>
        </w:rPr>
      </w:pPr>
      <w:r w:rsidRPr="00E34A40">
        <w:rPr>
          <w:sz w:val="24"/>
          <w:szCs w:val="24"/>
        </w:rPr>
        <w:t>Albu, E., ‘</w:t>
      </w:r>
      <w:r w:rsidR="008B44B0">
        <w:rPr>
          <w:sz w:val="24"/>
          <w:szCs w:val="24"/>
        </w:rPr>
        <w:t>Imperial</w:t>
      </w:r>
      <w:r w:rsidRPr="00E34A40">
        <w:rPr>
          <w:sz w:val="24"/>
          <w:szCs w:val="24"/>
        </w:rPr>
        <w:t xml:space="preserve"> Geography and the Medieval Peutinger Map’, </w:t>
      </w:r>
      <w:r w:rsidRPr="00E34A40">
        <w:rPr>
          <w:i/>
          <w:sz w:val="24"/>
          <w:szCs w:val="24"/>
        </w:rPr>
        <w:t>Imago Mundi Vol. 57 No. 2</w:t>
      </w:r>
      <w:r w:rsidRPr="00E34A40">
        <w:rPr>
          <w:sz w:val="24"/>
          <w:szCs w:val="24"/>
        </w:rPr>
        <w:t xml:space="preserve"> (2005), pp. 136-148.</w:t>
      </w:r>
    </w:p>
    <w:p w:rsidR="00551E4B" w:rsidRPr="00E34A40" w:rsidRDefault="00551E4B" w:rsidP="00551E4B">
      <w:pPr>
        <w:rPr>
          <w:sz w:val="24"/>
          <w:szCs w:val="24"/>
        </w:rPr>
      </w:pPr>
      <w:r w:rsidRPr="00E34A40">
        <w:rPr>
          <w:sz w:val="24"/>
          <w:szCs w:val="24"/>
        </w:rPr>
        <w:t xml:space="preserve">Alföldi, A., ‘The Crisis of the Empire (A.D. 249-270)’, in Cook, S.A., Adcock, F.E., Charlesworth, M.P., and Baynes, N.H. (eds), in </w:t>
      </w:r>
      <w:r w:rsidRPr="00E34A40">
        <w:rPr>
          <w:i/>
          <w:sz w:val="24"/>
          <w:szCs w:val="24"/>
        </w:rPr>
        <w:t>The Cambridge Ancient History XII A.D. 193-324</w:t>
      </w:r>
      <w:r w:rsidRPr="00E34A40">
        <w:rPr>
          <w:sz w:val="24"/>
          <w:szCs w:val="24"/>
        </w:rPr>
        <w:t xml:space="preserve"> (Cambridge, 1961), pp. 165-231.</w:t>
      </w:r>
    </w:p>
    <w:p w:rsidR="00551E4B" w:rsidRPr="00E34A40" w:rsidRDefault="00551E4B" w:rsidP="00551E4B">
      <w:pPr>
        <w:rPr>
          <w:sz w:val="24"/>
          <w:szCs w:val="24"/>
        </w:rPr>
      </w:pPr>
      <w:r w:rsidRPr="00E34A40">
        <w:rPr>
          <w:sz w:val="24"/>
          <w:szCs w:val="24"/>
        </w:rPr>
        <w:t>Alfödy, G., ‘Difficillima tempora: Urban Life, Inscriptions, and Mentality in Late Antique Rome’, in Burns, T.S., and Eadie, J.W. (</w:t>
      </w:r>
      <w:proofErr w:type="gramStart"/>
      <w:r w:rsidRPr="00E34A40">
        <w:rPr>
          <w:sz w:val="24"/>
          <w:szCs w:val="24"/>
        </w:rPr>
        <w:t>eds</w:t>
      </w:r>
      <w:proofErr w:type="gramEnd"/>
      <w:r w:rsidRPr="00E34A40">
        <w:rPr>
          <w:sz w:val="24"/>
          <w:szCs w:val="24"/>
        </w:rPr>
        <w:t xml:space="preserve">), </w:t>
      </w:r>
      <w:r w:rsidRPr="00E34A40">
        <w:rPr>
          <w:i/>
          <w:iCs/>
          <w:sz w:val="24"/>
          <w:szCs w:val="24"/>
        </w:rPr>
        <w:t>Urban Centers and Rural Contexts in Late Antiquity</w:t>
      </w:r>
      <w:r w:rsidRPr="00E34A40">
        <w:rPr>
          <w:sz w:val="24"/>
          <w:szCs w:val="24"/>
        </w:rPr>
        <w:t xml:space="preserve"> (East Lansing, 2001), pp. 3-24.</w:t>
      </w:r>
    </w:p>
    <w:p w:rsidR="00551E4B" w:rsidRPr="00E34A40" w:rsidRDefault="00551E4B" w:rsidP="00551E4B">
      <w:pPr>
        <w:rPr>
          <w:bCs/>
          <w:iCs/>
          <w:sz w:val="24"/>
          <w:szCs w:val="24"/>
        </w:rPr>
      </w:pPr>
      <w:r w:rsidRPr="00E34A40">
        <w:rPr>
          <w:sz w:val="24"/>
          <w:szCs w:val="24"/>
        </w:rPr>
        <w:t xml:space="preserve">Anderson Jr, J.C., ‘A Topographical Tradition in Fourth Century Chronicles: Domitian’s Building Program’, </w:t>
      </w:r>
      <w:r w:rsidRPr="00E34A40">
        <w:rPr>
          <w:bCs/>
          <w:i/>
          <w:iCs/>
          <w:sz w:val="24"/>
          <w:szCs w:val="24"/>
        </w:rPr>
        <w:t>Historia: Zeitschrift für Alte Geschichte Bd. 32 H. 1</w:t>
      </w:r>
      <w:r w:rsidRPr="00E34A40">
        <w:rPr>
          <w:bCs/>
          <w:iCs/>
          <w:sz w:val="24"/>
          <w:szCs w:val="24"/>
        </w:rPr>
        <w:t xml:space="preserve"> (1983), pp. 93-105.</w:t>
      </w:r>
    </w:p>
    <w:p w:rsidR="00551E4B" w:rsidRPr="00E34A40" w:rsidRDefault="00551E4B" w:rsidP="00551E4B">
      <w:pPr>
        <w:rPr>
          <w:rFonts w:cstheme="minorHAnsi"/>
          <w:sz w:val="24"/>
          <w:szCs w:val="24"/>
        </w:rPr>
      </w:pPr>
      <w:r w:rsidRPr="00E34A40">
        <w:rPr>
          <w:rFonts w:cstheme="minorHAnsi"/>
          <w:sz w:val="24"/>
          <w:szCs w:val="24"/>
        </w:rPr>
        <w:t xml:space="preserve">Ando, </w:t>
      </w:r>
      <w:proofErr w:type="gramStart"/>
      <w:r w:rsidRPr="00E34A40">
        <w:rPr>
          <w:rFonts w:cstheme="minorHAnsi"/>
          <w:sz w:val="24"/>
          <w:szCs w:val="24"/>
        </w:rPr>
        <w:t>Clifford.,</w:t>
      </w:r>
      <w:proofErr w:type="gramEnd"/>
      <w:r w:rsidRPr="00E34A40">
        <w:rPr>
          <w:rFonts w:cstheme="minorHAnsi"/>
          <w:sz w:val="24"/>
          <w:szCs w:val="24"/>
        </w:rPr>
        <w:t xml:space="preserve"> ‘Decline, Fall, and Transformation’, </w:t>
      </w:r>
      <w:r w:rsidRPr="00E34A40">
        <w:rPr>
          <w:rFonts w:cstheme="minorHAnsi"/>
          <w:i/>
          <w:sz w:val="24"/>
          <w:szCs w:val="24"/>
        </w:rPr>
        <w:t>Journal of Late Antiquity Vol. 1 No. 1</w:t>
      </w:r>
      <w:r w:rsidRPr="00E34A40">
        <w:rPr>
          <w:rFonts w:cstheme="minorHAnsi"/>
          <w:sz w:val="24"/>
          <w:szCs w:val="24"/>
        </w:rPr>
        <w:t xml:space="preserve"> (Baltimore, 2008), pp. 31-60.</w:t>
      </w:r>
    </w:p>
    <w:p w:rsidR="00551E4B" w:rsidRPr="00E34A40" w:rsidRDefault="00551E4B" w:rsidP="00551E4B">
      <w:pPr>
        <w:rPr>
          <w:rFonts w:cstheme="minorHAnsi"/>
          <w:sz w:val="24"/>
          <w:szCs w:val="24"/>
        </w:rPr>
      </w:pPr>
      <w:r w:rsidRPr="00E34A40">
        <w:rPr>
          <w:sz w:val="24"/>
          <w:szCs w:val="24"/>
        </w:rPr>
        <w:t xml:space="preserve">                             ‘Religion and </w:t>
      </w:r>
      <w:r w:rsidRPr="00E34A40">
        <w:rPr>
          <w:i/>
          <w:iCs/>
          <w:sz w:val="24"/>
          <w:szCs w:val="24"/>
        </w:rPr>
        <w:t>ius publicum</w:t>
      </w:r>
      <w:r w:rsidRPr="00E34A40">
        <w:rPr>
          <w:sz w:val="24"/>
          <w:szCs w:val="24"/>
        </w:rPr>
        <w:t>’, in Ando, C., and Rüpke, J. (</w:t>
      </w:r>
      <w:proofErr w:type="gramStart"/>
      <w:r w:rsidRPr="00E34A40">
        <w:rPr>
          <w:sz w:val="24"/>
          <w:szCs w:val="24"/>
        </w:rPr>
        <w:t>eds</w:t>
      </w:r>
      <w:proofErr w:type="gramEnd"/>
      <w:r w:rsidRPr="00E34A40">
        <w:rPr>
          <w:sz w:val="24"/>
          <w:szCs w:val="24"/>
        </w:rPr>
        <w:t xml:space="preserve">), </w:t>
      </w:r>
      <w:r w:rsidRPr="00E34A40">
        <w:rPr>
          <w:i/>
          <w:iCs/>
          <w:sz w:val="24"/>
          <w:szCs w:val="24"/>
        </w:rPr>
        <w:t>Religion and Classical Law in Rome</w:t>
      </w:r>
      <w:r w:rsidRPr="00E34A40">
        <w:rPr>
          <w:sz w:val="24"/>
          <w:szCs w:val="24"/>
        </w:rPr>
        <w:t xml:space="preserve"> (Stuttgart, 2006), pp. 126-146.</w:t>
      </w:r>
    </w:p>
    <w:p w:rsidR="00551E4B" w:rsidRPr="00E34A40" w:rsidRDefault="00551E4B" w:rsidP="00551E4B">
      <w:pPr>
        <w:rPr>
          <w:sz w:val="24"/>
          <w:szCs w:val="24"/>
        </w:rPr>
      </w:pPr>
      <w:r w:rsidRPr="00E34A40">
        <w:rPr>
          <w:sz w:val="24"/>
          <w:szCs w:val="24"/>
        </w:rPr>
        <w:t xml:space="preserve">Bagnall, R., ‘Governmental Roles in the Economy of Late Antiquity’, in Cascio, E.L., and Rathbone, D.W. (eds), </w:t>
      </w:r>
      <w:r w:rsidRPr="00E34A40">
        <w:rPr>
          <w:i/>
          <w:sz w:val="24"/>
          <w:szCs w:val="24"/>
        </w:rPr>
        <w:t>Production and Public Powers in Classical Antiquity</w:t>
      </w:r>
      <w:r w:rsidRPr="00E34A40">
        <w:rPr>
          <w:sz w:val="24"/>
          <w:szCs w:val="24"/>
        </w:rPr>
        <w:t xml:space="preserve"> (Cambridge, 2000), pp. 86-91.</w:t>
      </w:r>
    </w:p>
    <w:p w:rsidR="00551E4B" w:rsidRPr="00E34A40" w:rsidRDefault="00551E4B" w:rsidP="00551E4B">
      <w:pPr>
        <w:rPr>
          <w:sz w:val="24"/>
          <w:szCs w:val="24"/>
        </w:rPr>
      </w:pPr>
      <w:r w:rsidRPr="00E34A40">
        <w:rPr>
          <w:sz w:val="24"/>
          <w:szCs w:val="24"/>
        </w:rPr>
        <w:t xml:space="preserve">Barnes, T.D., ‘An Urban Prefect and His Wife’, </w:t>
      </w:r>
      <w:proofErr w:type="gramStart"/>
      <w:r w:rsidRPr="00E34A40">
        <w:rPr>
          <w:i/>
          <w:iCs/>
          <w:sz w:val="24"/>
          <w:szCs w:val="24"/>
        </w:rPr>
        <w:t>The</w:t>
      </w:r>
      <w:proofErr w:type="gramEnd"/>
      <w:r w:rsidRPr="00E34A40">
        <w:rPr>
          <w:i/>
          <w:iCs/>
          <w:sz w:val="24"/>
          <w:szCs w:val="24"/>
        </w:rPr>
        <w:t xml:space="preserve"> Classical Quarterly Vol. 56 No. 1 </w:t>
      </w:r>
      <w:r w:rsidRPr="00E34A40">
        <w:rPr>
          <w:sz w:val="24"/>
          <w:szCs w:val="24"/>
        </w:rPr>
        <w:t>(2006), pp. 249-256.</w:t>
      </w:r>
    </w:p>
    <w:p w:rsidR="00551E4B" w:rsidRPr="00E34A40" w:rsidRDefault="00551E4B" w:rsidP="00551E4B">
      <w:pPr>
        <w:rPr>
          <w:sz w:val="24"/>
          <w:szCs w:val="24"/>
        </w:rPr>
      </w:pPr>
      <w:r w:rsidRPr="00E34A40">
        <w:rPr>
          <w:sz w:val="24"/>
          <w:szCs w:val="24"/>
        </w:rPr>
        <w:t xml:space="preserve">                        ‘The Unity of the Verona List’, </w:t>
      </w:r>
      <w:r w:rsidRPr="00E34A40">
        <w:rPr>
          <w:i/>
          <w:iCs/>
          <w:sz w:val="24"/>
          <w:szCs w:val="24"/>
        </w:rPr>
        <w:t>Historia: Zeitschrift für Alte Geschichte, Bd. 16</w:t>
      </w:r>
      <w:r w:rsidRPr="00E34A40">
        <w:rPr>
          <w:iCs/>
          <w:sz w:val="24"/>
          <w:szCs w:val="24"/>
        </w:rPr>
        <w:t xml:space="preserve"> (1975), pp. 275-278.</w:t>
      </w:r>
    </w:p>
    <w:p w:rsidR="00551E4B" w:rsidRPr="00E34A40" w:rsidRDefault="00551E4B" w:rsidP="00551E4B">
      <w:pPr>
        <w:jc w:val="both"/>
        <w:rPr>
          <w:sz w:val="24"/>
          <w:szCs w:val="24"/>
        </w:rPr>
      </w:pPr>
      <w:r w:rsidRPr="00E34A40">
        <w:rPr>
          <w:sz w:val="24"/>
          <w:szCs w:val="24"/>
        </w:rPr>
        <w:t xml:space="preserve">Baynes, N.H., ‘Three Notes on the Reforms of Diocletian and Constantine’, </w:t>
      </w:r>
      <w:proofErr w:type="gramStart"/>
      <w:r w:rsidRPr="00E34A40">
        <w:rPr>
          <w:i/>
          <w:sz w:val="24"/>
          <w:szCs w:val="24"/>
        </w:rPr>
        <w:t>The</w:t>
      </w:r>
      <w:proofErr w:type="gramEnd"/>
      <w:r w:rsidRPr="00E34A40">
        <w:rPr>
          <w:i/>
          <w:sz w:val="24"/>
          <w:szCs w:val="24"/>
        </w:rPr>
        <w:t xml:space="preserve"> Journal of Roman Studies Vol. 15</w:t>
      </w:r>
      <w:r w:rsidRPr="00E34A40">
        <w:rPr>
          <w:sz w:val="24"/>
          <w:szCs w:val="24"/>
        </w:rPr>
        <w:t xml:space="preserve"> (1925), pp. 195-208.</w:t>
      </w:r>
    </w:p>
    <w:p w:rsidR="00551E4B" w:rsidRPr="00E34A40" w:rsidRDefault="00551E4B" w:rsidP="00551E4B">
      <w:pPr>
        <w:rPr>
          <w:bCs/>
          <w:sz w:val="24"/>
          <w:szCs w:val="24"/>
          <w:lang w:eastAsia="zh-TW"/>
        </w:rPr>
      </w:pPr>
      <w:r w:rsidRPr="00E34A40">
        <w:rPr>
          <w:sz w:val="24"/>
          <w:szCs w:val="24"/>
        </w:rPr>
        <w:t xml:space="preserve">Beard, M., ‘A Complex of Times: no More Sheep on Romulus’, in </w:t>
      </w:r>
      <w:r w:rsidRPr="00E34A40">
        <w:rPr>
          <w:bCs/>
          <w:sz w:val="24"/>
          <w:szCs w:val="24"/>
          <w:lang w:eastAsia="zh-TW"/>
        </w:rPr>
        <w:t xml:space="preserve">Gordon, R., ‘From Republic to Principate: Priesthood, Religion and Ideology’, Ando, C. (ed.), </w:t>
      </w:r>
      <w:r w:rsidRPr="00E34A40">
        <w:rPr>
          <w:bCs/>
          <w:i/>
          <w:iCs/>
          <w:sz w:val="24"/>
          <w:szCs w:val="24"/>
          <w:lang w:eastAsia="zh-TW"/>
        </w:rPr>
        <w:t>Roman Religion</w:t>
      </w:r>
      <w:r w:rsidRPr="00E34A40">
        <w:rPr>
          <w:bCs/>
          <w:sz w:val="24"/>
          <w:szCs w:val="24"/>
          <w:lang w:eastAsia="zh-TW"/>
        </w:rPr>
        <w:t xml:space="preserve"> (Edinburgh, 2011), pp. 273-290.</w:t>
      </w:r>
    </w:p>
    <w:p w:rsidR="00551E4B" w:rsidRPr="00E34A40" w:rsidRDefault="00551E4B" w:rsidP="00551E4B">
      <w:pPr>
        <w:rPr>
          <w:sz w:val="24"/>
          <w:szCs w:val="24"/>
        </w:rPr>
      </w:pPr>
      <w:r w:rsidRPr="00E34A40">
        <w:rPr>
          <w:sz w:val="24"/>
          <w:szCs w:val="24"/>
        </w:rPr>
        <w:lastRenderedPageBreak/>
        <w:t xml:space="preserve">                   ‘</w:t>
      </w:r>
      <w:r w:rsidRPr="00E34A40">
        <w:rPr>
          <w:i/>
          <w:sz w:val="24"/>
          <w:szCs w:val="24"/>
        </w:rPr>
        <w:t>Ancient Literacy</w:t>
      </w:r>
      <w:r w:rsidRPr="00E34A40">
        <w:rPr>
          <w:sz w:val="24"/>
          <w:szCs w:val="24"/>
        </w:rPr>
        <w:t xml:space="preserve"> and the function of the written word in Roman Religion’, in Beard, M., Bowman, A.K., Corbier, M., Cornell, T., Franklin Jr, J.L., Hanson, A., Hopkins, K., Horsfall, N. (</w:t>
      </w:r>
      <w:proofErr w:type="gramStart"/>
      <w:r w:rsidRPr="00E34A40">
        <w:rPr>
          <w:sz w:val="24"/>
          <w:szCs w:val="24"/>
        </w:rPr>
        <w:t>eds</w:t>
      </w:r>
      <w:proofErr w:type="gramEnd"/>
      <w:r w:rsidRPr="00E34A40">
        <w:rPr>
          <w:sz w:val="24"/>
          <w:szCs w:val="24"/>
        </w:rPr>
        <w:t xml:space="preserve">), </w:t>
      </w:r>
      <w:r w:rsidRPr="00E34A40">
        <w:rPr>
          <w:i/>
          <w:sz w:val="24"/>
          <w:szCs w:val="24"/>
        </w:rPr>
        <w:t>Literacy in the Roman World</w:t>
      </w:r>
      <w:r w:rsidRPr="00E34A40">
        <w:rPr>
          <w:sz w:val="24"/>
          <w:szCs w:val="24"/>
        </w:rPr>
        <w:t xml:space="preserve"> (Ann Arbor, 1991), pp. 35-58.</w:t>
      </w:r>
    </w:p>
    <w:p w:rsidR="00551E4B" w:rsidRPr="00E34A40" w:rsidRDefault="00551E4B" w:rsidP="00551E4B">
      <w:pPr>
        <w:rPr>
          <w:bCs/>
          <w:sz w:val="24"/>
          <w:szCs w:val="24"/>
          <w:lang w:eastAsia="zh-TW"/>
        </w:rPr>
      </w:pPr>
      <w:r w:rsidRPr="00E34A40">
        <w:rPr>
          <w:sz w:val="24"/>
          <w:szCs w:val="24"/>
        </w:rPr>
        <w:t xml:space="preserve">                   ‘Writing and Ritual: A Study of Diversity and Expansion in the Arval Acta’, </w:t>
      </w:r>
      <w:r w:rsidRPr="00E34A40">
        <w:rPr>
          <w:i/>
          <w:sz w:val="24"/>
          <w:szCs w:val="24"/>
        </w:rPr>
        <w:t>Papers of the British School at Rome Vol. 53</w:t>
      </w:r>
      <w:r w:rsidRPr="00E34A40">
        <w:rPr>
          <w:sz w:val="24"/>
          <w:szCs w:val="24"/>
        </w:rPr>
        <w:t xml:space="preserve"> (1985), pp. 114-162.</w:t>
      </w:r>
    </w:p>
    <w:p w:rsidR="00551E4B" w:rsidRPr="00E34A40" w:rsidRDefault="00551E4B" w:rsidP="00551E4B">
      <w:pPr>
        <w:autoSpaceDE w:val="0"/>
        <w:autoSpaceDN w:val="0"/>
        <w:adjustRightInd w:val="0"/>
        <w:spacing w:after="0" w:line="240" w:lineRule="auto"/>
        <w:jc w:val="both"/>
        <w:rPr>
          <w:rFonts w:cs="Sabon-Roman"/>
          <w:color w:val="231F20"/>
          <w:sz w:val="24"/>
          <w:szCs w:val="24"/>
        </w:rPr>
      </w:pPr>
      <w:r w:rsidRPr="00E34A40">
        <w:rPr>
          <w:rFonts w:cs="Sabon-Roman"/>
          <w:color w:val="231F20"/>
          <w:sz w:val="24"/>
          <w:szCs w:val="24"/>
        </w:rPr>
        <w:t xml:space="preserve">Beckman, M., ‘The “Columnae </w:t>
      </w:r>
      <w:proofErr w:type="gramStart"/>
      <w:r w:rsidRPr="00E34A40">
        <w:rPr>
          <w:rFonts w:cs="Sabon-Roman"/>
          <w:color w:val="231F20"/>
          <w:sz w:val="24"/>
          <w:szCs w:val="24"/>
        </w:rPr>
        <w:t>Coc(</w:t>
      </w:r>
      <w:proofErr w:type="gramEnd"/>
      <w:r w:rsidRPr="00E34A40">
        <w:rPr>
          <w:rFonts w:cs="Sabon-Roman"/>
          <w:color w:val="231F20"/>
          <w:sz w:val="24"/>
          <w:szCs w:val="24"/>
        </w:rPr>
        <w:t xml:space="preserve">h)lides” of Trajan and Marcus Aurelius’, </w:t>
      </w:r>
      <w:r w:rsidRPr="00E34A40">
        <w:rPr>
          <w:rFonts w:cs="Sabon-Roman"/>
          <w:i/>
          <w:iCs/>
          <w:color w:val="231F20"/>
          <w:sz w:val="24"/>
          <w:szCs w:val="24"/>
        </w:rPr>
        <w:t xml:space="preserve">Phoenix Vol. 56 No. 3/4 </w:t>
      </w:r>
      <w:r w:rsidRPr="00E34A40">
        <w:rPr>
          <w:rFonts w:cs="Sabon-Roman"/>
          <w:color w:val="231F20"/>
          <w:sz w:val="24"/>
          <w:szCs w:val="24"/>
        </w:rPr>
        <w:t>(2002), pp. 348-357.</w:t>
      </w:r>
    </w:p>
    <w:p w:rsidR="00551E4B" w:rsidRPr="00E34A40" w:rsidRDefault="00551E4B" w:rsidP="00551E4B">
      <w:pPr>
        <w:autoSpaceDE w:val="0"/>
        <w:autoSpaceDN w:val="0"/>
        <w:adjustRightInd w:val="0"/>
        <w:spacing w:after="0" w:line="240" w:lineRule="auto"/>
        <w:jc w:val="both"/>
        <w:rPr>
          <w:rFonts w:cs="Sabon-Roman"/>
          <w:color w:val="231F20"/>
          <w:sz w:val="24"/>
          <w:szCs w:val="24"/>
        </w:rPr>
      </w:pPr>
    </w:p>
    <w:p w:rsidR="00551E4B" w:rsidRPr="00E34A40" w:rsidRDefault="00551E4B" w:rsidP="00551E4B">
      <w:pPr>
        <w:rPr>
          <w:sz w:val="24"/>
          <w:szCs w:val="24"/>
        </w:rPr>
      </w:pPr>
      <w:r w:rsidRPr="00E34A40">
        <w:rPr>
          <w:sz w:val="24"/>
          <w:szCs w:val="24"/>
        </w:rPr>
        <w:t xml:space="preserve">Behrwald, R., ‘Les Régionnaires de Rome: Stratigraphies d’un texte’, </w:t>
      </w:r>
      <w:r w:rsidRPr="00E34A40">
        <w:rPr>
          <w:i/>
          <w:sz w:val="24"/>
          <w:szCs w:val="24"/>
        </w:rPr>
        <w:t xml:space="preserve">Comptes rendus des séances de l’Académie des Inscriptions </w:t>
      </w:r>
      <w:proofErr w:type="gramStart"/>
      <w:r w:rsidRPr="00E34A40">
        <w:rPr>
          <w:i/>
          <w:sz w:val="24"/>
          <w:szCs w:val="24"/>
        </w:rPr>
        <w:t>et</w:t>
      </w:r>
      <w:proofErr w:type="gramEnd"/>
      <w:r w:rsidRPr="00E34A40">
        <w:rPr>
          <w:i/>
          <w:sz w:val="24"/>
          <w:szCs w:val="24"/>
        </w:rPr>
        <w:t xml:space="preserve"> Belles Lettres 150 </w:t>
      </w:r>
      <w:r w:rsidRPr="00E34A40">
        <w:rPr>
          <w:sz w:val="24"/>
          <w:szCs w:val="24"/>
        </w:rPr>
        <w:t>(2006), pp. 763-764.</w:t>
      </w:r>
    </w:p>
    <w:p w:rsidR="00551E4B" w:rsidRPr="00E34A40" w:rsidRDefault="00551E4B" w:rsidP="00551E4B">
      <w:pPr>
        <w:pStyle w:val="Default"/>
        <w:rPr>
          <w:rFonts w:asciiTheme="minorHAnsi" w:hAnsiTheme="minorHAnsi"/>
        </w:rPr>
      </w:pPr>
      <w:r w:rsidRPr="00E34A40">
        <w:rPr>
          <w:rFonts w:asciiTheme="minorHAnsi" w:hAnsiTheme="minorHAnsi" w:cs="Sabon-Roman"/>
          <w:color w:val="231F20"/>
        </w:rPr>
        <w:t xml:space="preserve">Benario, H.W., ‘Rome of the Severi’, </w:t>
      </w:r>
      <w:r w:rsidRPr="00E34A40">
        <w:rPr>
          <w:rFonts w:asciiTheme="minorHAnsi" w:hAnsiTheme="minorHAnsi" w:cs="Sabon-Roman"/>
          <w:i/>
          <w:color w:val="231F20"/>
        </w:rPr>
        <w:t>Latomus</w:t>
      </w:r>
      <w:r w:rsidRPr="00E34A40">
        <w:rPr>
          <w:rFonts w:asciiTheme="minorHAnsi" w:hAnsiTheme="minorHAnsi" w:cs="Sabon-Roman"/>
          <w:color w:val="231F20"/>
        </w:rPr>
        <w:t xml:space="preserve"> </w:t>
      </w:r>
      <w:r w:rsidRPr="00E34A40">
        <w:rPr>
          <w:rFonts w:asciiTheme="minorHAnsi" w:hAnsiTheme="minorHAnsi" w:cs="Sabon-Roman"/>
          <w:i/>
          <w:color w:val="231F20"/>
        </w:rPr>
        <w:t>T. 17 Fasc. 4</w:t>
      </w:r>
      <w:r w:rsidRPr="00E34A40">
        <w:rPr>
          <w:rFonts w:asciiTheme="minorHAnsi" w:hAnsiTheme="minorHAnsi" w:cs="Sabon-Roman"/>
          <w:color w:val="231F20"/>
        </w:rPr>
        <w:t xml:space="preserve"> (1958), pp. 712-722.</w:t>
      </w:r>
    </w:p>
    <w:p w:rsidR="00551E4B" w:rsidRPr="00E34A40" w:rsidRDefault="00551E4B" w:rsidP="00551E4B">
      <w:pPr>
        <w:pStyle w:val="Default"/>
        <w:rPr>
          <w:rFonts w:asciiTheme="minorHAnsi" w:hAnsiTheme="minorHAnsi"/>
        </w:rPr>
      </w:pPr>
      <w:r w:rsidRPr="00E34A40">
        <w:rPr>
          <w:rFonts w:asciiTheme="minorHAnsi" w:hAnsiTheme="minorHAnsi"/>
        </w:rPr>
        <w:t xml:space="preserve">Boatwright, M.T., ‘The Pomerial Extension of Augustus’, </w:t>
      </w:r>
      <w:r w:rsidRPr="00E34A40">
        <w:rPr>
          <w:rFonts w:asciiTheme="minorHAnsi" w:hAnsiTheme="minorHAnsi"/>
          <w:i/>
          <w:iCs/>
        </w:rPr>
        <w:t>Historia: Zeitschrift für Alte Geschichte, Bd. 35, H. 1</w:t>
      </w:r>
      <w:r w:rsidRPr="00E34A40">
        <w:rPr>
          <w:rFonts w:asciiTheme="minorHAnsi" w:hAnsiTheme="minorHAnsi"/>
        </w:rPr>
        <w:t xml:space="preserve"> (1986), pp. 13-27.</w:t>
      </w:r>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hAnsiTheme="minorHAnsi"/>
          <w:bCs/>
          <w:lang w:eastAsia="zh-TW"/>
        </w:rPr>
      </w:pPr>
      <w:r w:rsidRPr="00E34A40">
        <w:rPr>
          <w:rFonts w:asciiTheme="minorHAnsi" w:hAnsiTheme="minorHAnsi"/>
        </w:rPr>
        <w:t xml:space="preserve">                                ‘Antonine Rome: security in the homeland’, in </w:t>
      </w:r>
      <w:r w:rsidRPr="00E34A40">
        <w:rPr>
          <w:rFonts w:asciiTheme="minorHAnsi" w:hAnsiTheme="minorHAnsi"/>
          <w:bCs/>
        </w:rPr>
        <w:t>Ewald, B.C., and Noreña, C.F. (</w:t>
      </w:r>
      <w:proofErr w:type="gramStart"/>
      <w:r w:rsidRPr="00E34A40">
        <w:rPr>
          <w:rFonts w:asciiTheme="minorHAnsi" w:hAnsiTheme="minorHAnsi"/>
          <w:bCs/>
        </w:rPr>
        <w:t>eds</w:t>
      </w:r>
      <w:proofErr w:type="gramEnd"/>
      <w:r w:rsidRPr="00E34A40">
        <w:rPr>
          <w:rFonts w:asciiTheme="minorHAnsi" w:hAnsiTheme="minorHAnsi"/>
          <w:bCs/>
        </w:rPr>
        <w:t xml:space="preserve">), </w:t>
      </w:r>
      <w:r w:rsidRPr="00E34A40">
        <w:rPr>
          <w:rFonts w:asciiTheme="minorHAnsi" w:hAnsiTheme="minorHAnsi"/>
          <w:bCs/>
          <w:i/>
          <w:iCs/>
        </w:rPr>
        <w:t xml:space="preserve">The </w:t>
      </w:r>
      <w:r w:rsidR="008B44B0">
        <w:rPr>
          <w:rFonts w:asciiTheme="minorHAnsi" w:hAnsiTheme="minorHAnsi"/>
          <w:bCs/>
          <w:i/>
          <w:iCs/>
        </w:rPr>
        <w:t>Emperor</w:t>
      </w:r>
      <w:r w:rsidRPr="00E34A40">
        <w:rPr>
          <w:rFonts w:asciiTheme="minorHAnsi" w:hAnsiTheme="minorHAnsi"/>
          <w:bCs/>
          <w:i/>
          <w:iCs/>
        </w:rPr>
        <w:t xml:space="preserve"> and Rome Space, Representation, and Ritual</w:t>
      </w:r>
      <w:r w:rsidRPr="00E34A40">
        <w:rPr>
          <w:rFonts w:asciiTheme="minorHAnsi" w:hAnsiTheme="minorHAnsi"/>
          <w:bCs/>
        </w:rPr>
        <w:t xml:space="preserve"> (Cambridge, 2011)</w:t>
      </w:r>
      <w:r w:rsidRPr="00E34A40">
        <w:rPr>
          <w:rFonts w:asciiTheme="minorHAnsi" w:hAnsiTheme="minorHAnsi"/>
          <w:bCs/>
          <w:lang w:eastAsia="zh-TW"/>
        </w:rPr>
        <w:t>, pp. 169-198.</w:t>
      </w:r>
    </w:p>
    <w:p w:rsidR="00551E4B" w:rsidRPr="00E34A40" w:rsidRDefault="00551E4B" w:rsidP="00551E4B">
      <w:pPr>
        <w:pStyle w:val="Default"/>
        <w:rPr>
          <w:rFonts w:asciiTheme="minorHAnsi" w:hAnsiTheme="minorHAnsi"/>
          <w:bCs/>
          <w:lang w:eastAsia="zh-TW"/>
        </w:rPr>
      </w:pPr>
    </w:p>
    <w:p w:rsidR="00551E4B" w:rsidRPr="00E34A40" w:rsidRDefault="00551E4B" w:rsidP="00551E4B">
      <w:pPr>
        <w:pStyle w:val="Default"/>
        <w:rPr>
          <w:rFonts w:asciiTheme="minorHAnsi" w:hAnsiTheme="minorHAnsi"/>
          <w:bCs/>
          <w:lang w:eastAsia="zh-TW"/>
        </w:rPr>
      </w:pPr>
      <w:r w:rsidRPr="00E34A40">
        <w:rPr>
          <w:rFonts w:asciiTheme="minorHAnsi" w:hAnsiTheme="minorHAnsi"/>
          <w:bCs/>
          <w:lang w:eastAsia="zh-TW"/>
        </w:rPr>
        <w:t xml:space="preserve">                                </w:t>
      </w:r>
      <w:r w:rsidRPr="00E34A40">
        <w:rPr>
          <w:rFonts w:asciiTheme="minorHAnsi" w:hAnsiTheme="minorHAnsi"/>
        </w:rPr>
        <w:t xml:space="preserve">‘Tacitus on Claudius and the Pomerium, “Annals” 12.23.2-24’, </w:t>
      </w:r>
      <w:proofErr w:type="gramStart"/>
      <w:r w:rsidRPr="00E34A40">
        <w:rPr>
          <w:rFonts w:asciiTheme="minorHAnsi" w:hAnsiTheme="minorHAnsi"/>
          <w:i/>
          <w:iCs/>
        </w:rPr>
        <w:t>The</w:t>
      </w:r>
      <w:proofErr w:type="gramEnd"/>
      <w:r w:rsidRPr="00E34A40">
        <w:rPr>
          <w:rFonts w:asciiTheme="minorHAnsi" w:hAnsiTheme="minorHAnsi"/>
          <w:i/>
          <w:iCs/>
        </w:rPr>
        <w:t xml:space="preserve"> Classical Journal Vol. 80 No. 1</w:t>
      </w:r>
      <w:r w:rsidRPr="00E34A40">
        <w:rPr>
          <w:rFonts w:asciiTheme="minorHAnsi" w:hAnsiTheme="minorHAnsi"/>
        </w:rPr>
        <w:t xml:space="preserve"> (1984), pp. 36-44.</w:t>
      </w:r>
    </w:p>
    <w:p w:rsidR="00551E4B" w:rsidRPr="00E34A40" w:rsidRDefault="00551E4B" w:rsidP="00551E4B">
      <w:pPr>
        <w:pStyle w:val="Default"/>
        <w:rPr>
          <w:rFonts w:asciiTheme="minorHAnsi" w:hAnsiTheme="minorHAnsi"/>
        </w:rPr>
      </w:pPr>
    </w:p>
    <w:p w:rsidR="00551E4B" w:rsidRPr="00E34A40" w:rsidRDefault="00551E4B" w:rsidP="00551E4B">
      <w:pPr>
        <w:autoSpaceDE w:val="0"/>
        <w:autoSpaceDN w:val="0"/>
        <w:adjustRightInd w:val="0"/>
        <w:spacing w:after="0" w:line="240" w:lineRule="auto"/>
        <w:jc w:val="both"/>
        <w:rPr>
          <w:sz w:val="24"/>
          <w:szCs w:val="24"/>
        </w:rPr>
      </w:pPr>
      <w:proofErr w:type="gramStart"/>
      <w:r w:rsidRPr="00E34A40">
        <w:rPr>
          <w:rFonts w:cs="Sabon-Roman"/>
          <w:color w:val="231F20"/>
          <w:sz w:val="24"/>
          <w:szCs w:val="24"/>
        </w:rPr>
        <w:t xml:space="preserve">Bendlin, A., ‘The urban </w:t>
      </w:r>
      <w:r w:rsidR="00182EFE">
        <w:rPr>
          <w:rFonts w:cs="Sabon-Roman"/>
          <w:color w:val="231F20"/>
          <w:sz w:val="24"/>
          <w:szCs w:val="24"/>
        </w:rPr>
        <w:t>sacred</w:t>
      </w:r>
      <w:r w:rsidRPr="00E34A40">
        <w:rPr>
          <w:rFonts w:cs="Sabon-Roman"/>
          <w:color w:val="231F20"/>
          <w:sz w:val="24"/>
          <w:szCs w:val="24"/>
        </w:rPr>
        <w:t xml:space="preserve"> landscape’</w:t>
      </w:r>
      <w:r w:rsidRPr="00E34A40">
        <w:rPr>
          <w:sz w:val="24"/>
          <w:szCs w:val="24"/>
        </w:rPr>
        <w:t xml:space="preserve">, in Erdkamp, P (ed.), </w:t>
      </w:r>
      <w:r w:rsidRPr="00E34A40">
        <w:rPr>
          <w:i/>
          <w:sz w:val="24"/>
          <w:szCs w:val="24"/>
        </w:rPr>
        <w:t>The Cambridge Companion to Ancient Rome</w:t>
      </w:r>
      <w:r w:rsidRPr="00E34A40">
        <w:rPr>
          <w:sz w:val="24"/>
          <w:szCs w:val="24"/>
        </w:rPr>
        <w:t xml:space="preserve"> (Cambridge, 2013), pp. 461-477.</w:t>
      </w:r>
      <w:proofErr w:type="gramEnd"/>
    </w:p>
    <w:p w:rsidR="00551E4B" w:rsidRPr="00E34A40" w:rsidRDefault="00551E4B" w:rsidP="00551E4B">
      <w:pPr>
        <w:autoSpaceDE w:val="0"/>
        <w:autoSpaceDN w:val="0"/>
        <w:adjustRightInd w:val="0"/>
        <w:spacing w:after="0" w:line="240" w:lineRule="auto"/>
        <w:jc w:val="both"/>
        <w:rPr>
          <w:sz w:val="24"/>
          <w:szCs w:val="24"/>
        </w:rPr>
      </w:pPr>
    </w:p>
    <w:p w:rsidR="00551E4B" w:rsidRPr="00E34A40" w:rsidRDefault="00551E4B" w:rsidP="00551E4B">
      <w:pPr>
        <w:rPr>
          <w:sz w:val="24"/>
          <w:szCs w:val="24"/>
        </w:rPr>
      </w:pPr>
      <w:r w:rsidRPr="00E34A40">
        <w:rPr>
          <w:sz w:val="24"/>
          <w:szCs w:val="24"/>
        </w:rPr>
        <w:t>Betts, E., ‘Towards a Multisensory Experience of Movement in the City of Rome’, in Laurence, R., and Newsome, D.J. (</w:t>
      </w:r>
      <w:proofErr w:type="gramStart"/>
      <w:r w:rsidRPr="00E34A40">
        <w:rPr>
          <w:sz w:val="24"/>
          <w:szCs w:val="24"/>
        </w:rPr>
        <w:t>eds</w:t>
      </w:r>
      <w:proofErr w:type="gramEnd"/>
      <w:r w:rsidRPr="00E34A40">
        <w:rPr>
          <w:sz w:val="24"/>
          <w:szCs w:val="24"/>
        </w:rPr>
        <w:t xml:space="preserve">), </w:t>
      </w:r>
      <w:r w:rsidRPr="00E34A40">
        <w:rPr>
          <w:i/>
          <w:iCs/>
          <w:sz w:val="24"/>
          <w:szCs w:val="24"/>
        </w:rPr>
        <w:t>Rome, Ostia, Pompeii Movement and Space</w:t>
      </w:r>
      <w:r w:rsidRPr="00E34A40">
        <w:rPr>
          <w:sz w:val="24"/>
          <w:szCs w:val="24"/>
        </w:rPr>
        <w:t xml:space="preserve"> (Oxford, 2011), pp. 118-134.</w:t>
      </w:r>
    </w:p>
    <w:p w:rsidR="00551E4B" w:rsidRPr="00E34A40" w:rsidRDefault="00551E4B" w:rsidP="00551E4B">
      <w:pPr>
        <w:rPr>
          <w:sz w:val="24"/>
          <w:szCs w:val="24"/>
        </w:rPr>
      </w:pPr>
      <w:r w:rsidRPr="00E34A40">
        <w:rPr>
          <w:sz w:val="24"/>
          <w:szCs w:val="24"/>
        </w:rPr>
        <w:t xml:space="preserve">Biehle, F., ‘Constructions from the Roman Forum’, </w:t>
      </w:r>
      <w:r w:rsidRPr="00E34A40">
        <w:rPr>
          <w:i/>
          <w:sz w:val="24"/>
          <w:szCs w:val="24"/>
        </w:rPr>
        <w:t>Places 5 (1)</w:t>
      </w:r>
      <w:r w:rsidRPr="00E34A40">
        <w:rPr>
          <w:sz w:val="24"/>
          <w:szCs w:val="24"/>
        </w:rPr>
        <w:t xml:space="preserve"> (1988), pp. 46-49.</w:t>
      </w:r>
    </w:p>
    <w:p w:rsidR="00551E4B" w:rsidRPr="00E34A40" w:rsidRDefault="00551E4B" w:rsidP="00551E4B">
      <w:pPr>
        <w:autoSpaceDE w:val="0"/>
        <w:autoSpaceDN w:val="0"/>
        <w:adjustRightInd w:val="0"/>
        <w:spacing w:after="0" w:line="240" w:lineRule="auto"/>
        <w:jc w:val="both"/>
        <w:rPr>
          <w:sz w:val="24"/>
          <w:szCs w:val="24"/>
        </w:rPr>
      </w:pPr>
      <w:r w:rsidRPr="00E34A40">
        <w:rPr>
          <w:sz w:val="24"/>
          <w:szCs w:val="24"/>
        </w:rPr>
        <w:t>Black, E.W., ‘</w:t>
      </w:r>
      <w:proofErr w:type="gramStart"/>
      <w:r w:rsidRPr="00E34A40">
        <w:rPr>
          <w:sz w:val="24"/>
          <w:szCs w:val="24"/>
        </w:rPr>
        <w:t>The</w:t>
      </w:r>
      <w:proofErr w:type="gramEnd"/>
      <w:r w:rsidRPr="00E34A40">
        <w:rPr>
          <w:sz w:val="24"/>
          <w:szCs w:val="24"/>
        </w:rPr>
        <w:t xml:space="preserve"> Antonine Itinerary: Aspects of Government in Roman Britain’, </w:t>
      </w:r>
      <w:r w:rsidRPr="00E34A40">
        <w:rPr>
          <w:i/>
          <w:sz w:val="24"/>
          <w:szCs w:val="24"/>
        </w:rPr>
        <w:t xml:space="preserve">Oxford Journal of Archaeology </w:t>
      </w:r>
      <w:r w:rsidR="009C7AF1">
        <w:rPr>
          <w:sz w:val="24"/>
          <w:szCs w:val="24"/>
        </w:rPr>
        <w:t>(1984), pp. 109-121.</w:t>
      </w:r>
    </w:p>
    <w:p w:rsidR="00551E4B" w:rsidRPr="00E34A40" w:rsidRDefault="00551E4B" w:rsidP="00551E4B">
      <w:pPr>
        <w:autoSpaceDE w:val="0"/>
        <w:autoSpaceDN w:val="0"/>
        <w:adjustRightInd w:val="0"/>
        <w:spacing w:after="0" w:line="240" w:lineRule="auto"/>
        <w:jc w:val="both"/>
        <w:rPr>
          <w:sz w:val="24"/>
          <w:szCs w:val="24"/>
        </w:rPr>
      </w:pPr>
    </w:p>
    <w:p w:rsidR="00551E4B" w:rsidRPr="00E34A40" w:rsidRDefault="00551E4B" w:rsidP="00551E4B">
      <w:pPr>
        <w:rPr>
          <w:sz w:val="24"/>
          <w:szCs w:val="24"/>
        </w:rPr>
      </w:pPr>
      <w:r w:rsidRPr="00E34A40">
        <w:rPr>
          <w:sz w:val="24"/>
          <w:szCs w:val="24"/>
        </w:rPr>
        <w:t xml:space="preserve">Blázquez, J.M., ‘The Latest Work on the Export of Baetican Olive Oil to Rome and the Army’, </w:t>
      </w:r>
      <w:r w:rsidRPr="00E34A40">
        <w:rPr>
          <w:i/>
          <w:sz w:val="24"/>
          <w:szCs w:val="24"/>
        </w:rPr>
        <w:t>Greece &amp; Rome,</w:t>
      </w:r>
      <w:r w:rsidRPr="00E34A40">
        <w:rPr>
          <w:sz w:val="24"/>
          <w:szCs w:val="24"/>
        </w:rPr>
        <w:t xml:space="preserve"> </w:t>
      </w:r>
      <w:r w:rsidRPr="00E34A40">
        <w:rPr>
          <w:i/>
          <w:sz w:val="24"/>
          <w:szCs w:val="24"/>
        </w:rPr>
        <w:t>Second Series Vol. 39 No. 2</w:t>
      </w:r>
      <w:r w:rsidRPr="00E34A40">
        <w:rPr>
          <w:sz w:val="24"/>
          <w:szCs w:val="24"/>
        </w:rPr>
        <w:t xml:space="preserve"> (1992), pp. 173-188.</w:t>
      </w:r>
    </w:p>
    <w:p w:rsidR="00551E4B" w:rsidRPr="00E34A40" w:rsidRDefault="00551E4B" w:rsidP="00551E4B">
      <w:pPr>
        <w:rPr>
          <w:sz w:val="24"/>
          <w:szCs w:val="24"/>
        </w:rPr>
      </w:pPr>
      <w:r w:rsidRPr="00E34A40">
        <w:rPr>
          <w:sz w:val="24"/>
          <w:szCs w:val="24"/>
        </w:rPr>
        <w:t xml:space="preserve">Boak, A.E.R., ‘The Roman Magistri in the Civil and Military Service of the Empire’, </w:t>
      </w:r>
      <w:r w:rsidRPr="00E34A40">
        <w:rPr>
          <w:i/>
          <w:sz w:val="24"/>
          <w:szCs w:val="24"/>
        </w:rPr>
        <w:t xml:space="preserve">Harvard Studies in Classical Philology Vol. 26 </w:t>
      </w:r>
      <w:r w:rsidRPr="00E34A40">
        <w:rPr>
          <w:sz w:val="24"/>
          <w:szCs w:val="24"/>
        </w:rPr>
        <w:t xml:space="preserve">(1915), pp. 73-164. </w:t>
      </w:r>
    </w:p>
    <w:p w:rsidR="00551E4B" w:rsidRPr="00E34A40" w:rsidRDefault="00551E4B" w:rsidP="00551E4B">
      <w:pPr>
        <w:rPr>
          <w:sz w:val="24"/>
          <w:szCs w:val="24"/>
        </w:rPr>
      </w:pPr>
      <w:r w:rsidRPr="00E34A40">
        <w:rPr>
          <w:sz w:val="24"/>
          <w:szCs w:val="24"/>
        </w:rPr>
        <w:t xml:space="preserve">Boatwright, M.T., ‘Tacitus on Claudius and the Pomerium, “Annals” 12.23.2-24’, </w:t>
      </w:r>
      <w:proofErr w:type="gramStart"/>
      <w:r w:rsidRPr="00E34A40">
        <w:rPr>
          <w:i/>
          <w:iCs/>
          <w:sz w:val="24"/>
          <w:szCs w:val="24"/>
        </w:rPr>
        <w:t>The</w:t>
      </w:r>
      <w:proofErr w:type="gramEnd"/>
      <w:r w:rsidRPr="00E34A40">
        <w:rPr>
          <w:i/>
          <w:iCs/>
          <w:sz w:val="24"/>
          <w:szCs w:val="24"/>
        </w:rPr>
        <w:t xml:space="preserve"> Classical Journal Vol. 80 No. 1</w:t>
      </w:r>
      <w:r w:rsidRPr="00E34A40">
        <w:rPr>
          <w:sz w:val="24"/>
          <w:szCs w:val="24"/>
        </w:rPr>
        <w:t xml:space="preserve"> (1984), pp. 36-44.</w:t>
      </w:r>
    </w:p>
    <w:p w:rsidR="00551E4B" w:rsidRDefault="00551E4B" w:rsidP="00551E4B">
      <w:pPr>
        <w:pStyle w:val="Default"/>
        <w:rPr>
          <w:rFonts w:asciiTheme="minorHAnsi" w:hAnsiTheme="minorHAnsi"/>
        </w:rPr>
      </w:pPr>
      <w:r w:rsidRPr="00E34A40">
        <w:rPr>
          <w:rFonts w:asciiTheme="minorHAnsi" w:hAnsiTheme="minorHAnsi"/>
        </w:rPr>
        <w:t xml:space="preserve">                                 ‘The Pomerial Extension of Augustus’, </w:t>
      </w:r>
      <w:r w:rsidRPr="00E34A40">
        <w:rPr>
          <w:rFonts w:asciiTheme="minorHAnsi" w:hAnsiTheme="minorHAnsi"/>
          <w:i/>
          <w:iCs/>
        </w:rPr>
        <w:t>Historia: Zeitschrift für Alte Geschichte, Bd. 35, H. 1</w:t>
      </w:r>
      <w:r w:rsidRPr="00E34A40">
        <w:rPr>
          <w:rFonts w:asciiTheme="minorHAnsi" w:hAnsiTheme="minorHAnsi"/>
        </w:rPr>
        <w:t xml:space="preserve"> (1986), pp. 13-27.</w:t>
      </w:r>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hAnsiTheme="minorHAnsi"/>
          <w:bCs/>
          <w:lang w:eastAsia="zh-TW"/>
        </w:rPr>
      </w:pPr>
      <w:r w:rsidRPr="00E34A40">
        <w:rPr>
          <w:rFonts w:asciiTheme="minorHAnsi" w:hAnsiTheme="minorHAnsi"/>
        </w:rPr>
        <w:t xml:space="preserve">   </w:t>
      </w:r>
      <w:r>
        <w:rPr>
          <w:rFonts w:asciiTheme="minorHAnsi" w:hAnsiTheme="minorHAnsi"/>
        </w:rPr>
        <w:t xml:space="preserve">                               </w:t>
      </w:r>
      <w:r w:rsidRPr="00E34A40">
        <w:rPr>
          <w:rFonts w:asciiTheme="minorHAnsi" w:hAnsiTheme="minorHAnsi"/>
        </w:rPr>
        <w:t xml:space="preserve">‘Antonine Rome: security in the homeland’, in </w:t>
      </w:r>
      <w:r w:rsidRPr="00E34A40">
        <w:rPr>
          <w:rFonts w:asciiTheme="minorHAnsi" w:hAnsiTheme="minorHAnsi"/>
          <w:bCs/>
        </w:rPr>
        <w:t>Ewald, B.C., and Noreña, C.F. (</w:t>
      </w:r>
      <w:proofErr w:type="gramStart"/>
      <w:r w:rsidRPr="00E34A40">
        <w:rPr>
          <w:rFonts w:asciiTheme="minorHAnsi" w:hAnsiTheme="minorHAnsi"/>
          <w:bCs/>
        </w:rPr>
        <w:t>eds</w:t>
      </w:r>
      <w:proofErr w:type="gramEnd"/>
      <w:r w:rsidRPr="00E34A40">
        <w:rPr>
          <w:rFonts w:asciiTheme="minorHAnsi" w:hAnsiTheme="minorHAnsi"/>
          <w:bCs/>
        </w:rPr>
        <w:t xml:space="preserve">), </w:t>
      </w:r>
      <w:r w:rsidRPr="00E34A40">
        <w:rPr>
          <w:rFonts w:asciiTheme="minorHAnsi" w:hAnsiTheme="minorHAnsi"/>
          <w:bCs/>
          <w:i/>
          <w:iCs/>
        </w:rPr>
        <w:t xml:space="preserve">The </w:t>
      </w:r>
      <w:r w:rsidR="008B44B0">
        <w:rPr>
          <w:rFonts w:asciiTheme="minorHAnsi" w:hAnsiTheme="minorHAnsi"/>
          <w:bCs/>
          <w:i/>
          <w:iCs/>
        </w:rPr>
        <w:t>Emperor</w:t>
      </w:r>
      <w:r w:rsidRPr="00E34A40">
        <w:rPr>
          <w:rFonts w:asciiTheme="minorHAnsi" w:hAnsiTheme="minorHAnsi"/>
          <w:bCs/>
          <w:i/>
          <w:iCs/>
        </w:rPr>
        <w:t xml:space="preserve"> and Rome Space, Representation, and Ritual</w:t>
      </w:r>
      <w:r w:rsidRPr="00E34A40">
        <w:rPr>
          <w:rFonts w:asciiTheme="minorHAnsi" w:hAnsiTheme="minorHAnsi"/>
          <w:bCs/>
        </w:rPr>
        <w:t xml:space="preserve"> (Cambridge, 2011)</w:t>
      </w:r>
      <w:r w:rsidRPr="00E34A40">
        <w:rPr>
          <w:rFonts w:asciiTheme="minorHAnsi" w:hAnsiTheme="minorHAnsi"/>
          <w:bCs/>
          <w:lang w:eastAsia="zh-TW"/>
        </w:rPr>
        <w:t>, pp. 169-198.</w:t>
      </w:r>
    </w:p>
    <w:p w:rsidR="00551E4B" w:rsidRPr="00E34A40" w:rsidRDefault="00551E4B" w:rsidP="00551E4B">
      <w:pPr>
        <w:pStyle w:val="Default"/>
        <w:rPr>
          <w:rFonts w:asciiTheme="minorHAnsi" w:hAnsiTheme="minorHAnsi"/>
          <w:bCs/>
          <w:lang w:eastAsia="zh-TW"/>
        </w:rPr>
      </w:pPr>
    </w:p>
    <w:p w:rsidR="00551E4B" w:rsidRPr="00E34A40" w:rsidRDefault="00551E4B" w:rsidP="00551E4B">
      <w:pPr>
        <w:rPr>
          <w:sz w:val="24"/>
          <w:szCs w:val="24"/>
        </w:rPr>
      </w:pPr>
      <w:r w:rsidRPr="00E34A40">
        <w:rPr>
          <w:sz w:val="24"/>
          <w:szCs w:val="24"/>
        </w:rPr>
        <w:t xml:space="preserve">Bolgia, C., ‘Introduction: Rome across time and space, c. 500-1400: cultural transmission and the exchange of ideas’, in Bolgia, C., McKitterick, R., and Osborne, J. (eds), </w:t>
      </w:r>
      <w:r w:rsidRPr="00E34A40">
        <w:rPr>
          <w:i/>
          <w:iCs/>
          <w:sz w:val="24"/>
          <w:szCs w:val="24"/>
        </w:rPr>
        <w:t>Rome Across Time and Space Cultural Transmission and the Exchange of Ideas c. 500-1400</w:t>
      </w:r>
      <w:r w:rsidRPr="00E34A40">
        <w:rPr>
          <w:sz w:val="24"/>
          <w:szCs w:val="24"/>
        </w:rPr>
        <w:t xml:space="preserve"> (Cambridge, 2011), pp. 1-16.</w:t>
      </w:r>
    </w:p>
    <w:p w:rsidR="00551E4B" w:rsidRPr="00E34A40" w:rsidRDefault="00551E4B" w:rsidP="00551E4B">
      <w:pPr>
        <w:rPr>
          <w:sz w:val="24"/>
          <w:szCs w:val="24"/>
        </w:rPr>
      </w:pPr>
      <w:r w:rsidRPr="00E34A40">
        <w:rPr>
          <w:sz w:val="24"/>
          <w:szCs w:val="24"/>
        </w:rPr>
        <w:t>Bowie, E., ‘Libraries for Caesars’, in König, J., Oikonomopoulou, K., and Woolf, G. (</w:t>
      </w:r>
      <w:proofErr w:type="gramStart"/>
      <w:r w:rsidRPr="00E34A40">
        <w:rPr>
          <w:sz w:val="24"/>
          <w:szCs w:val="24"/>
        </w:rPr>
        <w:t>eds</w:t>
      </w:r>
      <w:proofErr w:type="gramEnd"/>
      <w:r w:rsidRPr="00E34A40">
        <w:rPr>
          <w:sz w:val="24"/>
          <w:szCs w:val="24"/>
        </w:rPr>
        <w:t xml:space="preserve">), </w:t>
      </w:r>
      <w:r w:rsidRPr="00E34A40">
        <w:rPr>
          <w:i/>
          <w:sz w:val="24"/>
          <w:szCs w:val="24"/>
        </w:rPr>
        <w:t>Ancient Libraries</w:t>
      </w:r>
      <w:r w:rsidRPr="00E34A40">
        <w:rPr>
          <w:sz w:val="24"/>
          <w:szCs w:val="24"/>
        </w:rPr>
        <w:t xml:space="preserve"> (Cambridge, 2013), pp. 237-260.</w:t>
      </w:r>
    </w:p>
    <w:p w:rsidR="00551E4B" w:rsidRPr="00E34A40" w:rsidRDefault="00551E4B" w:rsidP="00551E4B">
      <w:pPr>
        <w:rPr>
          <w:sz w:val="24"/>
          <w:szCs w:val="24"/>
        </w:rPr>
      </w:pPr>
      <w:r w:rsidRPr="00E34A40">
        <w:rPr>
          <w:sz w:val="24"/>
          <w:szCs w:val="24"/>
        </w:rPr>
        <w:t xml:space="preserve">Bradley, M., ‘Approaches to Pollution and Propriety’, in Bradley, M. (ed.), </w:t>
      </w:r>
      <w:r w:rsidRPr="00E34A40">
        <w:rPr>
          <w:i/>
          <w:iCs/>
          <w:sz w:val="24"/>
          <w:szCs w:val="24"/>
        </w:rPr>
        <w:t>Rome, Pollution and Propriety Dirt, Disease and Hygiene in the Eternal City from Antiquity to Modernity</w:t>
      </w:r>
      <w:r w:rsidRPr="00E34A40">
        <w:rPr>
          <w:sz w:val="24"/>
          <w:szCs w:val="24"/>
        </w:rPr>
        <w:t xml:space="preserve"> (Cambridge, 2012), pp. 11-40.</w:t>
      </w:r>
    </w:p>
    <w:p w:rsidR="00551E4B" w:rsidRPr="00E34A40" w:rsidRDefault="00551E4B" w:rsidP="00551E4B">
      <w:pPr>
        <w:rPr>
          <w:sz w:val="24"/>
          <w:szCs w:val="24"/>
        </w:rPr>
      </w:pPr>
      <w:r w:rsidRPr="00E34A40">
        <w:rPr>
          <w:sz w:val="24"/>
          <w:szCs w:val="24"/>
        </w:rPr>
        <w:t xml:space="preserve">                       </w:t>
      </w:r>
      <w:proofErr w:type="gramStart"/>
      <w:r w:rsidRPr="00E34A40">
        <w:rPr>
          <w:sz w:val="24"/>
          <w:szCs w:val="24"/>
        </w:rPr>
        <w:t>‘Crime and punishment on the Capitoline Hill’, in</w:t>
      </w:r>
      <w:r w:rsidRPr="00E34A40">
        <w:rPr>
          <w:sz w:val="24"/>
          <w:szCs w:val="24"/>
          <w:lang w:eastAsia="zh-TW"/>
        </w:rPr>
        <w:t xml:space="preserve"> </w:t>
      </w:r>
      <w:r w:rsidRPr="00E34A40">
        <w:rPr>
          <w:sz w:val="24"/>
          <w:szCs w:val="24"/>
        </w:rPr>
        <w:t xml:space="preserve">Bradley, M. (ed.), </w:t>
      </w:r>
      <w:r w:rsidRPr="00E34A40">
        <w:rPr>
          <w:i/>
          <w:iCs/>
          <w:sz w:val="24"/>
          <w:szCs w:val="24"/>
        </w:rPr>
        <w:t>Rome, Pollution and Propriety Dirt, Disease and Hygiene in the Eternal City from Antiquity to Modernity</w:t>
      </w:r>
      <w:r w:rsidRPr="00E34A40">
        <w:rPr>
          <w:sz w:val="24"/>
          <w:szCs w:val="24"/>
        </w:rPr>
        <w:t xml:space="preserve"> (Cambridge, 2012), pp. 103-121.</w:t>
      </w:r>
      <w:proofErr w:type="gramEnd"/>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 xml:space="preserve">Brilliant, R., ‘The Arch of Septimius Severus in the Roman Forum’, </w:t>
      </w:r>
      <w:r w:rsidRPr="00E34A40">
        <w:rPr>
          <w:rFonts w:cs="AGaramond-Regular"/>
          <w:i/>
          <w:sz w:val="24"/>
          <w:szCs w:val="24"/>
        </w:rPr>
        <w:t>Memoirs of the American Academy in Rome Vol. 29</w:t>
      </w:r>
      <w:r w:rsidRPr="00E34A40">
        <w:rPr>
          <w:rFonts w:cs="AGaramond-Regular"/>
          <w:sz w:val="24"/>
          <w:szCs w:val="24"/>
        </w:rPr>
        <w:t xml:space="preserve"> (1967), pp. 5-271.</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Brow</w:t>
      </w:r>
      <w:r w:rsidR="001E0974">
        <w:rPr>
          <w:rFonts w:cs="AGaramond-Regular"/>
          <w:sz w:val="24"/>
          <w:szCs w:val="24"/>
        </w:rPr>
        <w:t>n</w:t>
      </w:r>
      <w:r w:rsidRPr="00E34A40">
        <w:rPr>
          <w:rFonts w:cs="AGaramond-Regular"/>
          <w:sz w:val="24"/>
          <w:szCs w:val="24"/>
        </w:rPr>
        <w:t xml:space="preserve">, G., ‘Introduction: the Carolingian Renaissance’, in McKitterick, R (ed.), </w:t>
      </w:r>
      <w:r w:rsidRPr="00E34A40">
        <w:rPr>
          <w:rFonts w:cs="AGaramond-Regular"/>
          <w:i/>
          <w:sz w:val="24"/>
          <w:szCs w:val="24"/>
        </w:rPr>
        <w:t>Carolingian Culture emulation and innovation</w:t>
      </w:r>
      <w:r w:rsidRPr="00E34A40">
        <w:rPr>
          <w:rFonts w:cs="AGaramond-Regular"/>
          <w:sz w:val="24"/>
          <w:szCs w:val="24"/>
        </w:rPr>
        <w:t xml:space="preserve"> (Cambridge, 1994), pp. 1-51.</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rPr>
          <w:sz w:val="24"/>
          <w:szCs w:val="24"/>
        </w:rPr>
      </w:pPr>
      <w:r w:rsidRPr="00E34A40">
        <w:rPr>
          <w:sz w:val="24"/>
          <w:szCs w:val="24"/>
        </w:rPr>
        <w:t xml:space="preserve">Brown, P., ‘Aspects of the Christianisation of the Roman Aristocracy’, </w:t>
      </w:r>
      <w:r w:rsidRPr="00E34A40">
        <w:rPr>
          <w:i/>
          <w:sz w:val="24"/>
          <w:szCs w:val="24"/>
        </w:rPr>
        <w:t>Journal of Roman Studies Vol. 58</w:t>
      </w:r>
      <w:r w:rsidRPr="00E34A40">
        <w:rPr>
          <w:sz w:val="24"/>
          <w:szCs w:val="24"/>
        </w:rPr>
        <w:t xml:space="preserve"> (1961), pp. 1-11.</w:t>
      </w:r>
    </w:p>
    <w:p w:rsidR="00551E4B" w:rsidRPr="00E34A40" w:rsidRDefault="00551E4B" w:rsidP="00551E4B">
      <w:pPr>
        <w:rPr>
          <w:bCs/>
          <w:sz w:val="24"/>
          <w:szCs w:val="24"/>
          <w:lang w:eastAsia="zh-TW"/>
        </w:rPr>
      </w:pPr>
      <w:r w:rsidRPr="00E34A40">
        <w:rPr>
          <w:sz w:val="24"/>
          <w:szCs w:val="24"/>
        </w:rPr>
        <w:t xml:space="preserve">                  ‘The Study of Elites in Late Antiquity’, </w:t>
      </w:r>
      <w:r w:rsidRPr="00E34A40">
        <w:rPr>
          <w:i/>
          <w:iCs/>
          <w:sz w:val="24"/>
          <w:szCs w:val="24"/>
        </w:rPr>
        <w:t>Arethusa Vol. 33 No. 3</w:t>
      </w:r>
      <w:r w:rsidRPr="00E34A40">
        <w:rPr>
          <w:sz w:val="24"/>
          <w:szCs w:val="24"/>
        </w:rPr>
        <w:t xml:space="preserve"> (2000), pp. 321-346.</w:t>
      </w:r>
    </w:p>
    <w:p w:rsidR="00551E4B" w:rsidRPr="00E34A40" w:rsidRDefault="00551E4B" w:rsidP="00551E4B">
      <w:pPr>
        <w:pStyle w:val="Default"/>
        <w:rPr>
          <w:rFonts w:asciiTheme="minorHAnsi" w:hAnsiTheme="minorHAnsi"/>
        </w:rPr>
      </w:pPr>
      <w:r w:rsidRPr="00E34A40">
        <w:rPr>
          <w:rFonts w:asciiTheme="minorHAnsi" w:hAnsiTheme="minorHAnsi"/>
        </w:rPr>
        <w:t xml:space="preserve">Bruce, L.D., ‘The “Procurator Bibliothecarum” at Rome’, </w:t>
      </w:r>
      <w:proofErr w:type="gramStart"/>
      <w:r w:rsidRPr="00E34A40">
        <w:rPr>
          <w:rFonts w:asciiTheme="minorHAnsi" w:hAnsiTheme="minorHAnsi"/>
          <w:i/>
        </w:rPr>
        <w:t>The</w:t>
      </w:r>
      <w:proofErr w:type="gramEnd"/>
      <w:r w:rsidRPr="00E34A40">
        <w:rPr>
          <w:rFonts w:asciiTheme="minorHAnsi" w:hAnsiTheme="minorHAnsi"/>
          <w:i/>
        </w:rPr>
        <w:t xml:space="preserve"> Journal of Library History Vol. 18 No. 2</w:t>
      </w:r>
      <w:r w:rsidRPr="00E34A40">
        <w:rPr>
          <w:rFonts w:asciiTheme="minorHAnsi" w:hAnsiTheme="minorHAnsi"/>
        </w:rPr>
        <w:t xml:space="preserve"> (1983), pp. 143-162.</w:t>
      </w:r>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hAnsiTheme="minorHAnsi"/>
        </w:rPr>
      </w:pPr>
      <w:r w:rsidRPr="00E34A40">
        <w:rPr>
          <w:rFonts w:asciiTheme="minorHAnsi" w:hAnsiTheme="minorHAnsi"/>
        </w:rPr>
        <w:t xml:space="preserve">                      ‘A Reappraisal of Roman Libraries in the “Scriptores Historiae </w:t>
      </w:r>
      <w:r w:rsidR="009C7AF1" w:rsidRPr="00E34A40">
        <w:rPr>
          <w:rFonts w:asciiTheme="minorHAnsi" w:hAnsiTheme="minorHAnsi"/>
        </w:rPr>
        <w:t>August</w:t>
      </w:r>
      <w:r w:rsidR="009C7AF1">
        <w:rPr>
          <w:rFonts w:asciiTheme="minorHAnsi" w:hAnsiTheme="minorHAnsi"/>
        </w:rPr>
        <w:t>a</w:t>
      </w:r>
      <w:r w:rsidRPr="00E34A40">
        <w:rPr>
          <w:rFonts w:asciiTheme="minorHAnsi" w:hAnsiTheme="minorHAnsi"/>
        </w:rPr>
        <w:t xml:space="preserve">”’, </w:t>
      </w:r>
      <w:proofErr w:type="gramStart"/>
      <w:r w:rsidRPr="00E34A40">
        <w:rPr>
          <w:rFonts w:asciiTheme="minorHAnsi" w:hAnsiTheme="minorHAnsi"/>
          <w:i/>
        </w:rPr>
        <w:t>The</w:t>
      </w:r>
      <w:proofErr w:type="gramEnd"/>
      <w:r w:rsidRPr="00E34A40">
        <w:rPr>
          <w:rFonts w:asciiTheme="minorHAnsi" w:hAnsiTheme="minorHAnsi"/>
          <w:i/>
        </w:rPr>
        <w:t xml:space="preserve"> Journal of Library History (1974-1987) Vol. 16 No. 4</w:t>
      </w:r>
      <w:r w:rsidRPr="00E34A40">
        <w:rPr>
          <w:rFonts w:asciiTheme="minorHAnsi" w:hAnsiTheme="minorHAnsi"/>
        </w:rPr>
        <w:t xml:space="preserve"> (1981), pp. 551-573.</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pStyle w:val="Default"/>
        <w:rPr>
          <w:rFonts w:asciiTheme="minorHAnsi" w:hAnsiTheme="minorHAnsi"/>
        </w:rPr>
      </w:pPr>
      <w:r w:rsidRPr="00E34A40">
        <w:rPr>
          <w:rFonts w:asciiTheme="minorHAnsi" w:hAnsiTheme="minorHAnsi"/>
        </w:rPr>
        <w:t>Bruun, C., ‘Water Supply, Drainage and Watermills’</w:t>
      </w:r>
      <w:r w:rsidRPr="00E34A40">
        <w:rPr>
          <w:rFonts w:asciiTheme="minorHAnsi" w:hAnsiTheme="minorHAnsi" w:cs="AGaramond-Regular"/>
        </w:rPr>
        <w:t>,</w:t>
      </w:r>
      <w:r w:rsidRPr="00E34A40">
        <w:rPr>
          <w:rFonts w:asciiTheme="minorHAnsi" w:hAnsiTheme="minorHAnsi"/>
        </w:rPr>
        <w:t xml:space="preserve"> in Erdkamp, P (ed.), </w:t>
      </w:r>
      <w:proofErr w:type="gramStart"/>
      <w:r w:rsidRPr="00E34A40">
        <w:rPr>
          <w:rFonts w:asciiTheme="minorHAnsi" w:hAnsiTheme="minorHAnsi"/>
          <w:i/>
        </w:rPr>
        <w:t>The</w:t>
      </w:r>
      <w:proofErr w:type="gramEnd"/>
      <w:r w:rsidRPr="00E34A40">
        <w:rPr>
          <w:rFonts w:asciiTheme="minorHAnsi" w:hAnsiTheme="minorHAnsi"/>
          <w:i/>
        </w:rPr>
        <w:t xml:space="preserve"> Cambridge Companion to Ancient Rome</w:t>
      </w:r>
      <w:r w:rsidRPr="00E34A40">
        <w:rPr>
          <w:rFonts w:asciiTheme="minorHAnsi" w:hAnsiTheme="minorHAnsi"/>
        </w:rPr>
        <w:t xml:space="preserve"> (Cambridge, 2013), pp. 297-316.</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Burgess, R.W., ‘</w:t>
      </w:r>
      <w:proofErr w:type="gramStart"/>
      <w:r w:rsidRPr="00E34A40">
        <w:rPr>
          <w:rFonts w:cs="AGaramond-Regular"/>
          <w:sz w:val="24"/>
          <w:szCs w:val="24"/>
        </w:rPr>
        <w:t>The</w:t>
      </w:r>
      <w:proofErr w:type="gramEnd"/>
      <w:r w:rsidRPr="00E34A40">
        <w:rPr>
          <w:rFonts w:cs="AGaramond-Regular"/>
          <w:sz w:val="24"/>
          <w:szCs w:val="24"/>
        </w:rPr>
        <w:t xml:space="preserve"> Chronograph of 354: Its Manuscripts, Contents, and History’, </w:t>
      </w:r>
      <w:r w:rsidRPr="00E34A40">
        <w:rPr>
          <w:rFonts w:cs="AGaramond-Regular"/>
          <w:i/>
          <w:sz w:val="24"/>
          <w:szCs w:val="24"/>
        </w:rPr>
        <w:t>Journal of Late Antiquity Vol. 5 No. 2</w:t>
      </w:r>
      <w:r w:rsidRPr="00E34A40">
        <w:rPr>
          <w:rFonts w:cs="AGaramond-Regular"/>
          <w:sz w:val="24"/>
          <w:szCs w:val="24"/>
        </w:rPr>
        <w:t xml:space="preserve"> (2012), pp. 345-396.</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rPr>
          <w:sz w:val="24"/>
          <w:szCs w:val="24"/>
        </w:rPr>
      </w:pPr>
      <w:r w:rsidRPr="00E34A40">
        <w:rPr>
          <w:sz w:val="24"/>
          <w:szCs w:val="24"/>
        </w:rPr>
        <w:t xml:space="preserve">Bury, J.B., ‘The Notitia Dignitatum’, </w:t>
      </w:r>
      <w:proofErr w:type="gramStart"/>
      <w:r w:rsidRPr="00E34A40">
        <w:rPr>
          <w:i/>
          <w:sz w:val="24"/>
          <w:szCs w:val="24"/>
        </w:rPr>
        <w:t>The</w:t>
      </w:r>
      <w:proofErr w:type="gramEnd"/>
      <w:r w:rsidRPr="00E34A40">
        <w:rPr>
          <w:i/>
          <w:sz w:val="24"/>
          <w:szCs w:val="24"/>
        </w:rPr>
        <w:t xml:space="preserve"> Journal of Roman Studies</w:t>
      </w:r>
      <w:r w:rsidRPr="00E34A40">
        <w:rPr>
          <w:sz w:val="24"/>
          <w:szCs w:val="24"/>
        </w:rPr>
        <w:t xml:space="preserve"> Vol. 10 (Society for the Promotion of Roman Studies, London, 1920), pp. 131-154.</w:t>
      </w:r>
    </w:p>
    <w:p w:rsidR="00551E4B" w:rsidRPr="00E34A40" w:rsidRDefault="00551E4B" w:rsidP="00551E4B">
      <w:pPr>
        <w:autoSpaceDE w:val="0"/>
        <w:autoSpaceDN w:val="0"/>
        <w:adjustRightInd w:val="0"/>
        <w:spacing w:after="0" w:line="240" w:lineRule="auto"/>
        <w:jc w:val="both"/>
        <w:rPr>
          <w:sz w:val="24"/>
          <w:szCs w:val="24"/>
        </w:rPr>
      </w:pPr>
      <w:r w:rsidRPr="00E34A40">
        <w:rPr>
          <w:sz w:val="24"/>
          <w:szCs w:val="24"/>
        </w:rPr>
        <w:lastRenderedPageBreak/>
        <w:t xml:space="preserve">                 ‘The Date of the Notitia of Constantinople’, </w:t>
      </w:r>
      <w:proofErr w:type="gramStart"/>
      <w:r w:rsidRPr="00E34A40">
        <w:rPr>
          <w:i/>
          <w:iCs/>
          <w:sz w:val="24"/>
          <w:szCs w:val="24"/>
        </w:rPr>
        <w:t>The</w:t>
      </w:r>
      <w:proofErr w:type="gramEnd"/>
      <w:r w:rsidRPr="00E34A40">
        <w:rPr>
          <w:i/>
          <w:iCs/>
          <w:sz w:val="24"/>
          <w:szCs w:val="24"/>
        </w:rPr>
        <w:t xml:space="preserve"> English Historical Review, Vol. 31 No. 123 </w:t>
      </w:r>
      <w:r w:rsidRPr="00E34A40">
        <w:rPr>
          <w:sz w:val="24"/>
          <w:szCs w:val="24"/>
        </w:rPr>
        <w:t>(1916), pp. 442-443.</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autoSpaceDE w:val="0"/>
        <w:autoSpaceDN w:val="0"/>
        <w:adjustRightInd w:val="0"/>
        <w:spacing w:after="0" w:line="240" w:lineRule="auto"/>
        <w:jc w:val="both"/>
        <w:rPr>
          <w:rFonts w:cs="Sabon-Roman"/>
          <w:color w:val="231F20"/>
          <w:sz w:val="24"/>
          <w:szCs w:val="24"/>
        </w:rPr>
      </w:pPr>
      <w:r w:rsidRPr="00E34A40">
        <w:rPr>
          <w:rFonts w:cs="Sabon-Roman"/>
          <w:color w:val="231F20"/>
          <w:sz w:val="24"/>
          <w:szCs w:val="24"/>
        </w:rPr>
        <w:t xml:space="preserve">                 ‘The Provincial List of Verona’, </w:t>
      </w:r>
      <w:proofErr w:type="gramStart"/>
      <w:r w:rsidRPr="00E34A40">
        <w:rPr>
          <w:rFonts w:cs="Sabon-Roman"/>
          <w:i/>
          <w:color w:val="231F20"/>
          <w:sz w:val="24"/>
          <w:szCs w:val="24"/>
        </w:rPr>
        <w:t>The</w:t>
      </w:r>
      <w:proofErr w:type="gramEnd"/>
      <w:r w:rsidRPr="00E34A40">
        <w:rPr>
          <w:rFonts w:cs="Sabon-Roman"/>
          <w:i/>
          <w:color w:val="231F20"/>
          <w:sz w:val="24"/>
          <w:szCs w:val="24"/>
        </w:rPr>
        <w:t xml:space="preserve"> Journal of Roman Studies</w:t>
      </w:r>
      <w:r w:rsidRPr="00E34A40">
        <w:rPr>
          <w:rFonts w:cs="Sabon-Roman"/>
          <w:color w:val="231F20"/>
          <w:sz w:val="24"/>
          <w:szCs w:val="24"/>
        </w:rPr>
        <w:t xml:space="preserve"> </w:t>
      </w:r>
      <w:r w:rsidRPr="00E34A40">
        <w:rPr>
          <w:rFonts w:cs="Sabon-Roman"/>
          <w:i/>
          <w:color w:val="231F20"/>
          <w:sz w:val="24"/>
          <w:szCs w:val="24"/>
        </w:rPr>
        <w:t>Vol. 13</w:t>
      </w:r>
      <w:r w:rsidRPr="00E34A40">
        <w:rPr>
          <w:rFonts w:cs="Sabon-Roman"/>
          <w:color w:val="231F20"/>
          <w:sz w:val="24"/>
          <w:szCs w:val="24"/>
        </w:rPr>
        <w:t xml:space="preserve"> (1923), pp. 127-151.</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rPr>
          <w:bCs/>
          <w:sz w:val="24"/>
          <w:szCs w:val="24"/>
        </w:rPr>
      </w:pPr>
      <w:r w:rsidRPr="00E34A40">
        <w:rPr>
          <w:bCs/>
          <w:sz w:val="24"/>
          <w:szCs w:val="24"/>
        </w:rPr>
        <w:t xml:space="preserve">Buttrey, T.V., ‘The Dates of the Arches of “Diocletian” and Constantine’, </w:t>
      </w:r>
      <w:r w:rsidRPr="00E34A40">
        <w:rPr>
          <w:bCs/>
          <w:i/>
          <w:iCs/>
          <w:sz w:val="24"/>
          <w:szCs w:val="24"/>
        </w:rPr>
        <w:t>Historia: Zeitschrift für Alte Geschichte Bd. 32 H. 3</w:t>
      </w:r>
      <w:r w:rsidRPr="00E34A40">
        <w:rPr>
          <w:bCs/>
          <w:sz w:val="24"/>
          <w:szCs w:val="24"/>
        </w:rPr>
        <w:t xml:space="preserve"> (1983), pp. 375-383.</w:t>
      </w:r>
    </w:p>
    <w:p w:rsidR="00551E4B" w:rsidRPr="00E34A40" w:rsidRDefault="00551E4B" w:rsidP="00551E4B">
      <w:pPr>
        <w:shd w:val="clear" w:color="auto" w:fill="FFFFFF"/>
        <w:spacing w:after="0" w:line="240" w:lineRule="auto"/>
        <w:rPr>
          <w:rFonts w:eastAsia="Arial Unicode MS" w:cstheme="minorHAnsi"/>
          <w:sz w:val="24"/>
          <w:szCs w:val="24"/>
          <w:lang w:eastAsia="en-GB"/>
        </w:rPr>
      </w:pPr>
      <w:r w:rsidRPr="00E34A40">
        <w:rPr>
          <w:rFonts w:cstheme="minorHAnsi"/>
          <w:sz w:val="24"/>
          <w:szCs w:val="24"/>
        </w:rPr>
        <w:t xml:space="preserve">Cameron, A., ‘Education and literary culture’, in </w:t>
      </w:r>
      <w:r w:rsidRPr="00E34A40">
        <w:rPr>
          <w:rFonts w:eastAsia="Arial Unicode MS" w:cstheme="minorHAnsi"/>
          <w:sz w:val="24"/>
          <w:szCs w:val="24"/>
          <w:lang w:eastAsia="en-GB"/>
        </w:rPr>
        <w:t xml:space="preserve">Cameron, A., and Garnsey, P., </w:t>
      </w:r>
      <w:r w:rsidRPr="00E34A40">
        <w:rPr>
          <w:rFonts w:eastAsia="Arial Unicode MS" w:cstheme="minorHAnsi"/>
          <w:i/>
          <w:sz w:val="24"/>
          <w:szCs w:val="24"/>
          <w:lang w:eastAsia="en-GB"/>
        </w:rPr>
        <w:t xml:space="preserve">The Cambridge Ancient History Volume XIII </w:t>
      </w:r>
      <w:proofErr w:type="gramStart"/>
      <w:r w:rsidRPr="00E34A40">
        <w:rPr>
          <w:rFonts w:eastAsia="Arial Unicode MS" w:cstheme="minorHAnsi"/>
          <w:i/>
          <w:sz w:val="24"/>
          <w:szCs w:val="24"/>
          <w:lang w:eastAsia="en-GB"/>
        </w:rPr>
        <w:t>The</w:t>
      </w:r>
      <w:proofErr w:type="gramEnd"/>
      <w:r w:rsidRPr="00E34A40">
        <w:rPr>
          <w:rFonts w:eastAsia="Arial Unicode MS" w:cstheme="minorHAnsi"/>
          <w:i/>
          <w:sz w:val="24"/>
          <w:szCs w:val="24"/>
          <w:lang w:eastAsia="en-GB"/>
        </w:rPr>
        <w:t xml:space="preserve"> Late Empire, A.D. 337-425</w:t>
      </w:r>
      <w:r w:rsidRPr="00E34A40">
        <w:rPr>
          <w:rFonts w:eastAsia="Arial Unicode MS" w:cstheme="minorHAnsi"/>
          <w:sz w:val="24"/>
          <w:szCs w:val="24"/>
          <w:lang w:eastAsia="en-GB"/>
        </w:rPr>
        <w:t xml:space="preserve"> (Cambridge University Press, 1998), pp. 665-707.</w:t>
      </w:r>
    </w:p>
    <w:p w:rsidR="00551E4B" w:rsidRPr="00E34A40" w:rsidRDefault="00551E4B" w:rsidP="00551E4B">
      <w:pPr>
        <w:shd w:val="clear" w:color="auto" w:fill="FFFFFF"/>
        <w:spacing w:after="0" w:line="240" w:lineRule="auto"/>
        <w:rPr>
          <w:rFonts w:eastAsia="Arial Unicode MS" w:cstheme="minorHAnsi"/>
          <w:sz w:val="24"/>
          <w:szCs w:val="24"/>
          <w:lang w:eastAsia="en-GB"/>
        </w:rPr>
      </w:pPr>
    </w:p>
    <w:p w:rsidR="00551E4B" w:rsidRPr="00E34A40" w:rsidRDefault="00551E4B" w:rsidP="00551E4B">
      <w:pPr>
        <w:rPr>
          <w:rFonts w:eastAsiaTheme="majorEastAsia"/>
          <w:sz w:val="24"/>
          <w:szCs w:val="24"/>
        </w:rPr>
      </w:pPr>
      <w:r w:rsidRPr="00E34A40">
        <w:rPr>
          <w:sz w:val="24"/>
          <w:szCs w:val="24"/>
        </w:rPr>
        <w:t>Campanelli, M., ‘Monuments and histories: ideas and images of Antiquity in some descriptions of Rome’, in Bolgia, C., McKitterick, R., and Osborne, J. (</w:t>
      </w:r>
      <w:proofErr w:type="gramStart"/>
      <w:r w:rsidRPr="00E34A40">
        <w:rPr>
          <w:sz w:val="24"/>
          <w:szCs w:val="24"/>
        </w:rPr>
        <w:t>eds</w:t>
      </w:r>
      <w:proofErr w:type="gramEnd"/>
      <w:r w:rsidRPr="00E34A40">
        <w:rPr>
          <w:sz w:val="24"/>
          <w:szCs w:val="24"/>
        </w:rPr>
        <w:t xml:space="preserve">), </w:t>
      </w:r>
      <w:r w:rsidRPr="00E34A40">
        <w:rPr>
          <w:i/>
          <w:sz w:val="24"/>
          <w:szCs w:val="24"/>
        </w:rPr>
        <w:t>Rome Across Time and Space Cultural Transmission and the Exchange of Ideas c. 500-1400</w:t>
      </w:r>
      <w:r w:rsidRPr="00E34A40">
        <w:rPr>
          <w:sz w:val="24"/>
          <w:szCs w:val="24"/>
        </w:rPr>
        <w:t xml:space="preserve"> (Cambridge, 2011), pp. 35-51.</w:t>
      </w:r>
    </w:p>
    <w:p w:rsidR="00551E4B" w:rsidRPr="00E34A40" w:rsidRDefault="00551E4B" w:rsidP="00551E4B">
      <w:pPr>
        <w:rPr>
          <w:sz w:val="24"/>
          <w:szCs w:val="24"/>
        </w:rPr>
      </w:pPr>
      <w:r w:rsidRPr="00E34A40">
        <w:rPr>
          <w:sz w:val="24"/>
          <w:szCs w:val="24"/>
        </w:rPr>
        <w:t>Carrié, J.M., ‘Developments in provincial and local administration’, in Bowman, A.K., Garnsey, P., and Cameron, A. (</w:t>
      </w:r>
      <w:proofErr w:type="gramStart"/>
      <w:r w:rsidRPr="00E34A40">
        <w:rPr>
          <w:sz w:val="24"/>
          <w:szCs w:val="24"/>
        </w:rPr>
        <w:t>eds</w:t>
      </w:r>
      <w:proofErr w:type="gramEnd"/>
      <w:r w:rsidRPr="00E34A40">
        <w:rPr>
          <w:sz w:val="24"/>
          <w:szCs w:val="24"/>
        </w:rPr>
        <w:t xml:space="preserve">), </w:t>
      </w:r>
      <w:r w:rsidRPr="00E34A40">
        <w:rPr>
          <w:i/>
          <w:sz w:val="24"/>
          <w:szCs w:val="24"/>
        </w:rPr>
        <w:t>The Cambridge Ancient History Second Edition Volume XII The Crisis of Empire AD 193-337</w:t>
      </w:r>
      <w:r w:rsidRPr="00E34A40">
        <w:rPr>
          <w:sz w:val="24"/>
          <w:szCs w:val="24"/>
        </w:rPr>
        <w:t xml:space="preserve"> (Cambridge, 2005), pp. 269-312.</w:t>
      </w: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sz w:val="24"/>
          <w:szCs w:val="24"/>
        </w:rPr>
        <w:t xml:space="preserve">Carter, J.B., ‘Roma Quadrata and the Septimontium’, </w:t>
      </w:r>
      <w:r w:rsidRPr="00E34A40">
        <w:rPr>
          <w:i/>
          <w:sz w:val="24"/>
          <w:szCs w:val="24"/>
        </w:rPr>
        <w:t xml:space="preserve">American Journal of Archaeology Vol. 12 No. 2 </w:t>
      </w:r>
      <w:r w:rsidRPr="00E34A40">
        <w:rPr>
          <w:sz w:val="24"/>
          <w:szCs w:val="24"/>
        </w:rPr>
        <w:t>(1908), pp. 172-183.</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rPr>
          <w:sz w:val="24"/>
          <w:szCs w:val="24"/>
        </w:rPr>
      </w:pPr>
      <w:r w:rsidRPr="00E34A40">
        <w:rPr>
          <w:sz w:val="24"/>
          <w:szCs w:val="24"/>
        </w:rPr>
        <w:t xml:space="preserve">Cascio, E.L., ‘General Developments’, in Bowman, A.K., Garnsey, P., and Cameron, A. (eds), </w:t>
      </w:r>
      <w:r w:rsidRPr="00E34A40">
        <w:rPr>
          <w:i/>
          <w:sz w:val="24"/>
          <w:szCs w:val="24"/>
        </w:rPr>
        <w:t>The Cambridge Ancient History Second Edition Volume XII The Crisis of Empire AD 193-337</w:t>
      </w:r>
      <w:r w:rsidRPr="00E34A40">
        <w:rPr>
          <w:sz w:val="24"/>
          <w:szCs w:val="24"/>
        </w:rPr>
        <w:t xml:space="preserve"> (Cambridge, 2005), pp. 131-136.</w:t>
      </w:r>
    </w:p>
    <w:p w:rsidR="00551E4B" w:rsidRPr="00E34A40" w:rsidRDefault="00551E4B" w:rsidP="00551E4B">
      <w:pPr>
        <w:autoSpaceDE w:val="0"/>
        <w:autoSpaceDN w:val="0"/>
        <w:adjustRightInd w:val="0"/>
        <w:spacing w:after="0" w:line="240" w:lineRule="auto"/>
        <w:jc w:val="both"/>
        <w:rPr>
          <w:sz w:val="24"/>
          <w:szCs w:val="24"/>
        </w:rPr>
      </w:pPr>
      <w:r w:rsidRPr="00E34A40">
        <w:rPr>
          <w:sz w:val="24"/>
          <w:szCs w:val="24"/>
        </w:rPr>
        <w:t xml:space="preserve">                     ‘The government and administration of the empire in the central decades of the third century’, in Bowman, A.K., Garnsey, P., and Cameron, A. (</w:t>
      </w:r>
      <w:proofErr w:type="gramStart"/>
      <w:r w:rsidRPr="00E34A40">
        <w:rPr>
          <w:sz w:val="24"/>
          <w:szCs w:val="24"/>
        </w:rPr>
        <w:t>eds</w:t>
      </w:r>
      <w:proofErr w:type="gramEnd"/>
      <w:r w:rsidRPr="00E34A40">
        <w:rPr>
          <w:sz w:val="24"/>
          <w:szCs w:val="24"/>
        </w:rPr>
        <w:t xml:space="preserve">), </w:t>
      </w:r>
      <w:r w:rsidRPr="00E34A40">
        <w:rPr>
          <w:i/>
          <w:sz w:val="24"/>
          <w:szCs w:val="24"/>
        </w:rPr>
        <w:t>The Cambridge Ancient History Second Edition Volume XII The Crisis of Empire AD 193-337</w:t>
      </w:r>
      <w:r w:rsidRPr="00E34A40">
        <w:rPr>
          <w:sz w:val="24"/>
          <w:szCs w:val="24"/>
        </w:rPr>
        <w:t xml:space="preserve"> (Cambridge, 2005), pp. 156-169.</w:t>
      </w:r>
    </w:p>
    <w:p w:rsidR="00551E4B" w:rsidRPr="00E34A40" w:rsidRDefault="00551E4B" w:rsidP="00551E4B">
      <w:pPr>
        <w:autoSpaceDE w:val="0"/>
        <w:autoSpaceDN w:val="0"/>
        <w:adjustRightInd w:val="0"/>
        <w:spacing w:after="0" w:line="240" w:lineRule="auto"/>
        <w:jc w:val="both"/>
        <w:rPr>
          <w:sz w:val="24"/>
          <w:szCs w:val="24"/>
        </w:rPr>
      </w:pPr>
    </w:p>
    <w:p w:rsidR="00551E4B" w:rsidRPr="00E34A40" w:rsidRDefault="00551E4B" w:rsidP="00551E4B">
      <w:pPr>
        <w:autoSpaceDE w:val="0"/>
        <w:autoSpaceDN w:val="0"/>
        <w:adjustRightInd w:val="0"/>
        <w:spacing w:after="0" w:line="240" w:lineRule="auto"/>
        <w:jc w:val="both"/>
        <w:rPr>
          <w:rFonts w:cs="AGaramond-Regular"/>
          <w:b/>
          <w:sz w:val="24"/>
          <w:szCs w:val="24"/>
        </w:rPr>
      </w:pPr>
      <w:r w:rsidRPr="00E34A40">
        <w:rPr>
          <w:sz w:val="24"/>
          <w:szCs w:val="24"/>
        </w:rPr>
        <w:t xml:space="preserve">                     ‘The new state of Diocletian and Constantine: From the Tetrarchy to the </w:t>
      </w:r>
      <w:r w:rsidR="009C7AF1" w:rsidRPr="00E34A40">
        <w:rPr>
          <w:sz w:val="24"/>
          <w:szCs w:val="24"/>
        </w:rPr>
        <w:t>Reunification</w:t>
      </w:r>
      <w:r w:rsidRPr="00E34A40">
        <w:rPr>
          <w:sz w:val="24"/>
          <w:szCs w:val="24"/>
        </w:rPr>
        <w:t xml:space="preserve"> of the Empire’, in Bowman, A.K., Garnsey, P., and Cameron, A. (</w:t>
      </w:r>
      <w:proofErr w:type="gramStart"/>
      <w:r w:rsidRPr="00E34A40">
        <w:rPr>
          <w:sz w:val="24"/>
          <w:szCs w:val="24"/>
        </w:rPr>
        <w:t>eds</w:t>
      </w:r>
      <w:proofErr w:type="gramEnd"/>
      <w:r w:rsidRPr="00E34A40">
        <w:rPr>
          <w:sz w:val="24"/>
          <w:szCs w:val="24"/>
        </w:rPr>
        <w:t xml:space="preserve">), </w:t>
      </w:r>
      <w:r w:rsidRPr="00E34A40">
        <w:rPr>
          <w:i/>
          <w:sz w:val="24"/>
          <w:szCs w:val="24"/>
        </w:rPr>
        <w:t>The Cambridge Ancient History Second Edition Volume XII The Crisis of Empire AD 193-337</w:t>
      </w:r>
      <w:r w:rsidRPr="00E34A40">
        <w:rPr>
          <w:sz w:val="24"/>
          <w:szCs w:val="24"/>
        </w:rPr>
        <w:t xml:space="preserve"> (Cambridge, 2005), pp. 170-183.</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Default="00551E4B" w:rsidP="00551E4B">
      <w:pPr>
        <w:rPr>
          <w:sz w:val="24"/>
          <w:szCs w:val="24"/>
        </w:rPr>
      </w:pPr>
      <w:r w:rsidRPr="00E34A40">
        <w:rPr>
          <w:sz w:val="24"/>
          <w:szCs w:val="24"/>
        </w:rPr>
        <w:t xml:space="preserve">Chenault, R., ’Statues of Senators in the Forum of Trajan and the Roman Forum in Late Antiquity’, </w:t>
      </w:r>
      <w:r w:rsidRPr="00E34A40">
        <w:rPr>
          <w:i/>
          <w:sz w:val="24"/>
          <w:szCs w:val="24"/>
        </w:rPr>
        <w:t>Journal of Roman Studies Vol. 102</w:t>
      </w:r>
      <w:r w:rsidRPr="00E34A40">
        <w:rPr>
          <w:sz w:val="24"/>
          <w:szCs w:val="24"/>
        </w:rPr>
        <w:t xml:space="preserve"> (2012), pp. 103-132.</w:t>
      </w:r>
    </w:p>
    <w:p w:rsidR="00523ECB" w:rsidRPr="00523ECB" w:rsidRDefault="00523ECB" w:rsidP="00551E4B">
      <w:pPr>
        <w:rPr>
          <w:sz w:val="24"/>
          <w:szCs w:val="24"/>
        </w:rPr>
      </w:pPr>
      <w:r w:rsidRPr="00523ECB">
        <w:rPr>
          <w:sz w:val="24"/>
          <w:szCs w:val="24"/>
        </w:rPr>
        <w:t xml:space="preserve">Coarelli, F., ‘Pax, templum’, </w:t>
      </w:r>
      <w:r w:rsidRPr="00523ECB">
        <w:rPr>
          <w:i/>
          <w:sz w:val="24"/>
          <w:szCs w:val="24"/>
        </w:rPr>
        <w:t xml:space="preserve">LTUR IV </w:t>
      </w:r>
      <w:r w:rsidRPr="00523ECB">
        <w:rPr>
          <w:sz w:val="24"/>
          <w:szCs w:val="24"/>
        </w:rPr>
        <w:t>(1999), pp. 67-70</w:t>
      </w: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 xml:space="preserve">Contreni, J.J. ‘The Pursuit of Knowledge in Carolingian Europe’, in Sullivan, E (ed.), </w:t>
      </w:r>
      <w:r w:rsidRPr="00E34A40">
        <w:rPr>
          <w:rFonts w:cs="AGaramond-Regular"/>
          <w:i/>
          <w:sz w:val="24"/>
          <w:szCs w:val="24"/>
        </w:rPr>
        <w:t>“The Gentle Voices of Teachers” Aspects of Learning in the Carolingian Age</w:t>
      </w:r>
      <w:r w:rsidRPr="00E34A40">
        <w:rPr>
          <w:rFonts w:cs="AGaramond-Regular"/>
          <w:sz w:val="24"/>
          <w:szCs w:val="24"/>
        </w:rPr>
        <w:t xml:space="preserve"> (Columbus, 1995), pp. 106-141.</w:t>
      </w:r>
    </w:p>
    <w:p w:rsidR="00551E4B" w:rsidRPr="00E34A40" w:rsidRDefault="00551E4B" w:rsidP="00551E4B">
      <w:pPr>
        <w:rPr>
          <w:rFonts w:eastAsiaTheme="majorEastAsia"/>
          <w:sz w:val="24"/>
          <w:szCs w:val="24"/>
        </w:rPr>
      </w:pPr>
    </w:p>
    <w:p w:rsidR="00551E4B" w:rsidRPr="00E34A40" w:rsidRDefault="00551E4B" w:rsidP="00551E4B">
      <w:pPr>
        <w:rPr>
          <w:rFonts w:eastAsiaTheme="majorEastAsia"/>
          <w:sz w:val="24"/>
          <w:szCs w:val="24"/>
        </w:rPr>
      </w:pPr>
      <w:r w:rsidRPr="00E34A40">
        <w:rPr>
          <w:rFonts w:cs="Times New Roman"/>
          <w:sz w:val="24"/>
          <w:szCs w:val="24"/>
        </w:rPr>
        <w:t xml:space="preserve">                          </w:t>
      </w:r>
      <w:proofErr w:type="gramStart"/>
      <w:r w:rsidRPr="00E34A40">
        <w:rPr>
          <w:rFonts w:cs="Times New Roman"/>
          <w:sz w:val="24"/>
          <w:szCs w:val="24"/>
        </w:rPr>
        <w:t xml:space="preserve">‘The Carolingian Renaissance: education and literary culture’, in McKitterick, R., </w:t>
      </w:r>
      <w:r w:rsidRPr="00E34A40">
        <w:rPr>
          <w:rFonts w:cs="Times New Roman"/>
          <w:i/>
          <w:sz w:val="24"/>
          <w:szCs w:val="24"/>
        </w:rPr>
        <w:t>The New Cambridge Medieval History Volume II c. 700-900</w:t>
      </w:r>
      <w:r w:rsidRPr="00E34A40">
        <w:rPr>
          <w:rFonts w:cs="Times New Roman"/>
          <w:sz w:val="24"/>
          <w:szCs w:val="24"/>
        </w:rPr>
        <w:t xml:space="preserve"> (Cambridge, 1995), pp. 709-757.</w:t>
      </w:r>
      <w:proofErr w:type="gramEnd"/>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eastAsiaTheme="majorEastAsia"/>
          <w:sz w:val="24"/>
          <w:szCs w:val="24"/>
        </w:rPr>
        <w:t>Cooley, A., ‘History and Inscriptions, Rome’, in Feldherr, A., and Hardy, G. (</w:t>
      </w:r>
      <w:proofErr w:type="gramStart"/>
      <w:r w:rsidRPr="00E34A40">
        <w:rPr>
          <w:rFonts w:eastAsiaTheme="majorEastAsia"/>
          <w:sz w:val="24"/>
          <w:szCs w:val="24"/>
        </w:rPr>
        <w:t>eds</w:t>
      </w:r>
      <w:proofErr w:type="gramEnd"/>
      <w:r w:rsidRPr="00E34A40">
        <w:rPr>
          <w:rFonts w:eastAsiaTheme="majorEastAsia"/>
          <w:sz w:val="24"/>
          <w:szCs w:val="24"/>
        </w:rPr>
        <w:t xml:space="preserve">), </w:t>
      </w:r>
      <w:r w:rsidRPr="00E34A40">
        <w:rPr>
          <w:rFonts w:eastAsiaTheme="majorEastAsia"/>
          <w:i/>
          <w:sz w:val="24"/>
          <w:szCs w:val="24"/>
        </w:rPr>
        <w:t>The Oxford History of Historical</w:t>
      </w:r>
      <w:r w:rsidRPr="00E34A40">
        <w:rPr>
          <w:rFonts w:cs="AGaramond-Regular"/>
          <w:sz w:val="24"/>
          <w:szCs w:val="24"/>
        </w:rPr>
        <w:t xml:space="preserve"> </w:t>
      </w:r>
      <w:r w:rsidRPr="00E34A40">
        <w:rPr>
          <w:rFonts w:eastAsiaTheme="majorEastAsia"/>
          <w:i/>
          <w:sz w:val="24"/>
          <w:szCs w:val="24"/>
        </w:rPr>
        <w:t>Writing Volume 1: Beginnings to AD 600</w:t>
      </w:r>
      <w:r w:rsidRPr="00E34A40">
        <w:rPr>
          <w:rFonts w:eastAsiaTheme="majorEastAsia"/>
          <w:sz w:val="24"/>
          <w:szCs w:val="24"/>
        </w:rPr>
        <w:t xml:space="preserve"> (Oxford, 2011), pp. 244-264.</w:t>
      </w: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                 </w:t>
      </w:r>
    </w:p>
    <w:p w:rsidR="00551E4B" w:rsidRPr="00E34A40" w:rsidRDefault="00551E4B" w:rsidP="00551E4B">
      <w:pPr>
        <w:pStyle w:val="Default"/>
        <w:rPr>
          <w:rFonts w:asciiTheme="minorHAnsi" w:hAnsiTheme="minorHAnsi"/>
        </w:rPr>
      </w:pPr>
      <w:r w:rsidRPr="00E34A40">
        <w:rPr>
          <w:rFonts w:asciiTheme="minorHAnsi" w:eastAsiaTheme="majorEastAsia" w:hAnsiTheme="minorHAnsi"/>
        </w:rPr>
        <w:t xml:space="preserve">                     ‘</w:t>
      </w:r>
      <w:r w:rsidR="00F630A0">
        <w:rPr>
          <w:rFonts w:asciiTheme="minorHAnsi" w:eastAsiaTheme="majorEastAsia" w:hAnsiTheme="minorHAnsi"/>
        </w:rPr>
        <w:t>Septimius</w:t>
      </w:r>
      <w:r w:rsidRPr="00E34A40">
        <w:rPr>
          <w:rFonts w:asciiTheme="minorHAnsi" w:eastAsiaTheme="majorEastAsia" w:hAnsiTheme="minorHAnsi"/>
        </w:rPr>
        <w:t xml:space="preserve"> Severus: the Augustan </w:t>
      </w:r>
      <w:r w:rsidR="008B44B0">
        <w:rPr>
          <w:rFonts w:asciiTheme="minorHAnsi" w:eastAsiaTheme="majorEastAsia" w:hAnsiTheme="minorHAnsi"/>
        </w:rPr>
        <w:t>Emperor</w:t>
      </w:r>
      <w:r w:rsidRPr="00E34A40">
        <w:rPr>
          <w:rFonts w:asciiTheme="minorHAnsi" w:eastAsiaTheme="majorEastAsia" w:hAnsiTheme="minorHAnsi"/>
        </w:rPr>
        <w:t xml:space="preserve">’, </w:t>
      </w:r>
      <w:r w:rsidRPr="00E34A40">
        <w:rPr>
          <w:rFonts w:asciiTheme="minorHAnsi" w:hAnsiTheme="minorHAnsi"/>
        </w:rPr>
        <w:t>in Swain, S., Harrison, S., and Elsner, J.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rPr>
        <w:t>Severan Culture</w:t>
      </w:r>
      <w:r w:rsidRPr="00E34A40">
        <w:rPr>
          <w:rFonts w:asciiTheme="minorHAnsi" w:hAnsiTheme="minorHAnsi"/>
        </w:rPr>
        <w:t xml:space="preserve"> (Cambridge, 2007), pp. 385-400.</w:t>
      </w:r>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Corcoran, S., ‘Before Constantine’, Lenski, N. (ed.), </w:t>
      </w:r>
      <w:proofErr w:type="gramStart"/>
      <w:r w:rsidRPr="00E34A40">
        <w:rPr>
          <w:rFonts w:asciiTheme="minorHAnsi" w:eastAsiaTheme="majorEastAsia" w:hAnsiTheme="minorHAnsi"/>
          <w:i/>
          <w:iCs/>
        </w:rPr>
        <w:t>The</w:t>
      </w:r>
      <w:proofErr w:type="gramEnd"/>
      <w:r w:rsidRPr="00E34A40">
        <w:rPr>
          <w:rFonts w:asciiTheme="minorHAnsi" w:eastAsiaTheme="majorEastAsia" w:hAnsiTheme="minorHAnsi"/>
          <w:i/>
          <w:iCs/>
        </w:rPr>
        <w:t xml:space="preserve"> Cambridge Companion to the Age of Constantine</w:t>
      </w:r>
      <w:r w:rsidRPr="00E34A40">
        <w:rPr>
          <w:rFonts w:asciiTheme="minorHAnsi" w:eastAsiaTheme="majorEastAsia" w:hAnsiTheme="minorHAnsi"/>
        </w:rPr>
        <w:t xml:space="preserve"> (Cambridge, 2006), pp. 35-58.</w:t>
      </w:r>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eastAsiaTheme="majorEastAsia" w:hAnsiTheme="minorHAnsi"/>
        </w:rPr>
      </w:pPr>
      <w:proofErr w:type="gramStart"/>
      <w:r w:rsidRPr="00E34A40">
        <w:rPr>
          <w:rFonts w:asciiTheme="minorHAnsi" w:eastAsiaTheme="majorEastAsia" w:hAnsiTheme="minorHAnsi"/>
        </w:rPr>
        <w:t xml:space="preserve">Coulston, J.C.N., ‘The Architecture and Construction Scenes on Trajan’s Column’, in Henig, M. (ed.), </w:t>
      </w:r>
      <w:r w:rsidRPr="00E34A40">
        <w:rPr>
          <w:rFonts w:asciiTheme="minorHAnsi" w:eastAsiaTheme="majorEastAsia" w:hAnsiTheme="minorHAnsi"/>
          <w:i/>
        </w:rPr>
        <w:t>Architecture and Architectural Sculpture in the Roman Empire</w:t>
      </w:r>
      <w:r w:rsidRPr="00E34A40">
        <w:rPr>
          <w:rFonts w:asciiTheme="minorHAnsi" w:eastAsiaTheme="majorEastAsia" w:hAnsiTheme="minorHAnsi"/>
        </w:rPr>
        <w:t xml:space="preserve"> (Oxford, 1990), pp. 39-50.</w:t>
      </w:r>
      <w:proofErr w:type="gramEnd"/>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Coveney, D.K., ‘The Cataloguing of Literary Manuscripts’, </w:t>
      </w:r>
      <w:r w:rsidRPr="00E34A40">
        <w:rPr>
          <w:rFonts w:asciiTheme="minorHAnsi" w:eastAsiaTheme="majorEastAsia" w:hAnsiTheme="minorHAnsi"/>
          <w:i/>
        </w:rPr>
        <w:t>Journal of Documentation Vol. 6 Iss. 3</w:t>
      </w:r>
      <w:r w:rsidRPr="00E34A40">
        <w:rPr>
          <w:rFonts w:asciiTheme="minorHAnsi" w:eastAsiaTheme="majorEastAsia" w:hAnsiTheme="minorHAnsi"/>
        </w:rPr>
        <w:t xml:space="preserve"> (1950), pp. 125-139.</w:t>
      </w:r>
    </w:p>
    <w:p w:rsidR="00551E4B" w:rsidRPr="00E34A40" w:rsidRDefault="00551E4B" w:rsidP="00551E4B">
      <w:pPr>
        <w:pStyle w:val="Default"/>
        <w:rPr>
          <w:rFonts w:asciiTheme="minorHAnsi" w:hAnsiTheme="minorHAnsi"/>
        </w:rPr>
      </w:pPr>
    </w:p>
    <w:p w:rsidR="00551E4B" w:rsidRPr="00E34A40" w:rsidRDefault="00551E4B" w:rsidP="00551E4B">
      <w:pPr>
        <w:rPr>
          <w:rFonts w:eastAsiaTheme="majorEastAsia"/>
          <w:sz w:val="24"/>
          <w:szCs w:val="24"/>
        </w:rPr>
      </w:pPr>
      <w:r w:rsidRPr="00E34A40">
        <w:rPr>
          <w:rFonts w:eastAsiaTheme="majorEastAsia"/>
          <w:sz w:val="24"/>
          <w:szCs w:val="24"/>
        </w:rPr>
        <w:t xml:space="preserve">d’Aquino, R., ‘One or Two things about architecture: Restoration works at Trajan’s Market’, </w:t>
      </w:r>
      <w:r w:rsidRPr="00E34A40">
        <w:rPr>
          <w:rFonts w:eastAsiaTheme="majorEastAsia"/>
          <w:i/>
          <w:sz w:val="24"/>
          <w:szCs w:val="24"/>
        </w:rPr>
        <w:t>Frontiers of Architectural Research Vol. 4 (2)</w:t>
      </w:r>
      <w:r w:rsidRPr="00E34A40">
        <w:rPr>
          <w:rFonts w:eastAsiaTheme="majorEastAsia"/>
          <w:sz w:val="24"/>
          <w:szCs w:val="24"/>
        </w:rPr>
        <w:t xml:space="preserve"> (20015), pp. 81-90.</w:t>
      </w:r>
    </w:p>
    <w:p w:rsidR="00551E4B" w:rsidRPr="00E34A40" w:rsidRDefault="00551E4B" w:rsidP="00551E4B">
      <w:pPr>
        <w:rPr>
          <w:sz w:val="24"/>
          <w:szCs w:val="24"/>
        </w:rPr>
      </w:pPr>
      <w:proofErr w:type="gramStart"/>
      <w:r w:rsidRPr="00E34A40">
        <w:rPr>
          <w:sz w:val="24"/>
          <w:szCs w:val="24"/>
        </w:rPr>
        <w:t>de</w:t>
      </w:r>
      <w:proofErr w:type="gramEnd"/>
      <w:r w:rsidRPr="00E34A40">
        <w:rPr>
          <w:sz w:val="24"/>
          <w:szCs w:val="24"/>
        </w:rPr>
        <w:t xml:space="preserve"> Blois, L., ‘The Third Century Crisis and the Greek Elite in the Roman Empire’, in </w:t>
      </w:r>
      <w:r w:rsidRPr="00E34A40">
        <w:rPr>
          <w:i/>
          <w:iCs/>
          <w:sz w:val="24"/>
          <w:szCs w:val="24"/>
        </w:rPr>
        <w:t>Historia: Zeitschrift für Alte Geschichte Bd. 33 H. 3</w:t>
      </w:r>
      <w:r w:rsidRPr="00E34A40">
        <w:rPr>
          <w:sz w:val="24"/>
          <w:szCs w:val="24"/>
        </w:rPr>
        <w:t xml:space="preserve"> (1984), pp. 358-377.</w:t>
      </w:r>
    </w:p>
    <w:p w:rsidR="00551E4B" w:rsidRPr="00E34A40" w:rsidRDefault="00551E4B" w:rsidP="00551E4B">
      <w:pPr>
        <w:pStyle w:val="Default"/>
        <w:rPr>
          <w:rFonts w:asciiTheme="minorHAnsi" w:eastAsiaTheme="majorEastAsia" w:hAnsiTheme="minorHAnsi"/>
          <w:bCs/>
        </w:rPr>
      </w:pPr>
      <w:r w:rsidRPr="00E34A40">
        <w:rPr>
          <w:rFonts w:asciiTheme="minorHAnsi" w:eastAsiaTheme="majorEastAsia" w:hAnsiTheme="minorHAnsi"/>
          <w:bCs/>
        </w:rPr>
        <w:t xml:space="preserve">de Jonge, P., ‘A Curious Place in Ammianus Marcellinus, Dealing with the Scarcity of Corn and </w:t>
      </w:r>
      <w:r w:rsidR="009C7AF1" w:rsidRPr="00E34A40">
        <w:rPr>
          <w:rFonts w:asciiTheme="minorHAnsi" w:eastAsiaTheme="majorEastAsia" w:hAnsiTheme="minorHAnsi"/>
          <w:bCs/>
        </w:rPr>
        <w:t>Corn prices</w:t>
      </w:r>
      <w:r w:rsidRPr="00E34A40">
        <w:rPr>
          <w:rFonts w:asciiTheme="minorHAnsi" w:eastAsiaTheme="majorEastAsia" w:hAnsiTheme="minorHAnsi"/>
          <w:bCs/>
        </w:rPr>
        <w:t xml:space="preserve">’, </w:t>
      </w:r>
      <w:r w:rsidRPr="00E34A40">
        <w:rPr>
          <w:rFonts w:asciiTheme="minorHAnsi" w:eastAsiaTheme="majorEastAsia" w:hAnsiTheme="minorHAnsi"/>
          <w:bCs/>
          <w:i/>
          <w:iCs/>
        </w:rPr>
        <w:t>Mnemosyne Fourth Series Vol. 1 Fasc. 1</w:t>
      </w:r>
      <w:r w:rsidRPr="00E34A40">
        <w:rPr>
          <w:rFonts w:asciiTheme="minorHAnsi" w:eastAsiaTheme="majorEastAsia" w:hAnsiTheme="minorHAnsi"/>
          <w:bCs/>
        </w:rPr>
        <w:t xml:space="preserve"> (1948), pp. 73-80.</w:t>
      </w:r>
    </w:p>
    <w:p w:rsidR="00551E4B" w:rsidRPr="00E34A40" w:rsidRDefault="00551E4B" w:rsidP="00551E4B">
      <w:pPr>
        <w:pStyle w:val="Default"/>
        <w:rPr>
          <w:rFonts w:asciiTheme="minorHAnsi" w:hAnsiTheme="minorHAnsi" w:cs="AGaramond-Regular"/>
        </w:rPr>
      </w:pPr>
    </w:p>
    <w:p w:rsidR="00551E4B" w:rsidRPr="00E34A40" w:rsidRDefault="00551E4B" w:rsidP="00551E4B">
      <w:pPr>
        <w:pStyle w:val="Default"/>
        <w:rPr>
          <w:rFonts w:asciiTheme="minorHAnsi" w:hAnsiTheme="minorHAnsi"/>
        </w:rPr>
      </w:pPr>
      <w:r w:rsidRPr="00E34A40">
        <w:rPr>
          <w:rFonts w:asciiTheme="minorHAnsi" w:hAnsiTheme="minorHAnsi" w:cs="AGaramond-Regular"/>
        </w:rPr>
        <w:t xml:space="preserve">Deliyannis, D.M., ‘Charlemagne’s silver tables: the ideology of an </w:t>
      </w:r>
      <w:r w:rsidR="008B44B0">
        <w:rPr>
          <w:rFonts w:asciiTheme="minorHAnsi" w:hAnsiTheme="minorHAnsi" w:cs="AGaramond-Regular"/>
        </w:rPr>
        <w:t>imperial</w:t>
      </w:r>
      <w:r w:rsidRPr="00E34A40">
        <w:rPr>
          <w:rFonts w:asciiTheme="minorHAnsi" w:hAnsiTheme="minorHAnsi" w:cs="AGaramond-Regular"/>
        </w:rPr>
        <w:t xml:space="preserve"> capital’, </w:t>
      </w:r>
      <w:r w:rsidRPr="00E34A40">
        <w:rPr>
          <w:rFonts w:asciiTheme="minorHAnsi" w:hAnsiTheme="minorHAnsi" w:cs="AGaramond-Regular"/>
          <w:i/>
        </w:rPr>
        <w:t xml:space="preserve">Early Medieval Europe 2003 </w:t>
      </w:r>
      <w:r w:rsidRPr="00E34A40">
        <w:rPr>
          <w:rFonts w:asciiTheme="minorHAnsi" w:hAnsiTheme="minorHAnsi" w:cs="AGaramond-Regular"/>
        </w:rPr>
        <w:t>12 (2003), pp. 159-178</w:t>
      </w:r>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hAnsiTheme="minorHAnsi"/>
        </w:rPr>
      </w:pPr>
      <w:r w:rsidRPr="00E34A40">
        <w:rPr>
          <w:rFonts w:asciiTheme="minorHAnsi" w:hAnsiTheme="minorHAnsi"/>
        </w:rPr>
        <w:t>Dessau, H., ‘</w:t>
      </w:r>
      <w:r w:rsidRPr="00E34A40">
        <w:rPr>
          <w:rFonts w:asciiTheme="minorHAnsi" w:hAnsiTheme="minorHAnsi" w:cs="Arial"/>
          <w:iCs/>
          <w:color w:val="252525"/>
          <w:shd w:val="clear" w:color="auto" w:fill="FFFFFF"/>
        </w:rPr>
        <w:t xml:space="preserve">Über Zeit und Persönlichkeït der Scriptores historiae Augustae’, </w:t>
      </w:r>
      <w:r w:rsidRPr="00E34A40">
        <w:rPr>
          <w:rFonts w:asciiTheme="minorHAnsi" w:hAnsiTheme="minorHAnsi" w:cs="Arial"/>
          <w:i/>
          <w:iCs/>
          <w:color w:val="252525"/>
          <w:shd w:val="clear" w:color="auto" w:fill="FFFFFF"/>
        </w:rPr>
        <w:t>Hermes 24</w:t>
      </w:r>
      <w:r w:rsidRPr="00E34A40">
        <w:rPr>
          <w:rFonts w:asciiTheme="minorHAnsi" w:hAnsiTheme="minorHAnsi" w:cs="Arial"/>
          <w:iCs/>
          <w:color w:val="252525"/>
          <w:shd w:val="clear" w:color="auto" w:fill="FFFFFF"/>
        </w:rPr>
        <w:t xml:space="preserve"> (1889), pp. 337-392. </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sz w:val="24"/>
          <w:szCs w:val="24"/>
        </w:rPr>
      </w:pPr>
      <w:r w:rsidRPr="00E34A40">
        <w:rPr>
          <w:sz w:val="24"/>
          <w:szCs w:val="24"/>
        </w:rPr>
        <w:t xml:space="preserve">Dettenhofer, M.H., ‘Eunuchs, Women, and </w:t>
      </w:r>
      <w:r w:rsidR="008B44B0">
        <w:rPr>
          <w:sz w:val="24"/>
          <w:szCs w:val="24"/>
        </w:rPr>
        <w:t>Imperial</w:t>
      </w:r>
      <w:r w:rsidRPr="00E34A40">
        <w:rPr>
          <w:sz w:val="24"/>
          <w:szCs w:val="24"/>
        </w:rPr>
        <w:t xml:space="preserve"> Courts’, in Scheidel, W., (</w:t>
      </w:r>
      <w:proofErr w:type="gramStart"/>
      <w:r w:rsidRPr="00E34A40">
        <w:rPr>
          <w:sz w:val="24"/>
          <w:szCs w:val="24"/>
        </w:rPr>
        <w:t>ed</w:t>
      </w:r>
      <w:proofErr w:type="gramEnd"/>
      <w:r w:rsidRPr="00E34A40">
        <w:rPr>
          <w:sz w:val="24"/>
          <w:szCs w:val="24"/>
        </w:rPr>
        <w:t xml:space="preserve">) </w:t>
      </w:r>
      <w:r w:rsidRPr="00E34A40">
        <w:rPr>
          <w:i/>
          <w:sz w:val="24"/>
          <w:szCs w:val="24"/>
        </w:rPr>
        <w:t>Rome and China Comparative Perspectives on Ancient World Empires</w:t>
      </w:r>
      <w:r w:rsidRPr="00E34A40">
        <w:rPr>
          <w:sz w:val="24"/>
          <w:szCs w:val="24"/>
        </w:rPr>
        <w:t xml:space="preserve"> (Oxford, 2009), pp. 83-99.</w:t>
      </w:r>
    </w:p>
    <w:p w:rsidR="00551E4B" w:rsidRPr="00E34A40" w:rsidRDefault="00551E4B" w:rsidP="00551E4B">
      <w:pPr>
        <w:rPr>
          <w:sz w:val="24"/>
          <w:szCs w:val="24"/>
        </w:rPr>
      </w:pPr>
      <w:proofErr w:type="gramStart"/>
      <w:r w:rsidRPr="00E34A40">
        <w:rPr>
          <w:sz w:val="24"/>
          <w:szCs w:val="24"/>
        </w:rPr>
        <w:t>Dey, H., ‘Art, Ceremony and City Walls.</w:t>
      </w:r>
      <w:proofErr w:type="gramEnd"/>
      <w:r w:rsidRPr="00E34A40">
        <w:rPr>
          <w:sz w:val="24"/>
          <w:szCs w:val="24"/>
        </w:rPr>
        <w:t xml:space="preserve"> The Aesthetics of </w:t>
      </w:r>
      <w:r w:rsidR="008B44B0">
        <w:rPr>
          <w:sz w:val="24"/>
          <w:szCs w:val="24"/>
        </w:rPr>
        <w:t>Imperial</w:t>
      </w:r>
      <w:r w:rsidRPr="00E34A40">
        <w:rPr>
          <w:sz w:val="24"/>
          <w:szCs w:val="24"/>
        </w:rPr>
        <w:t xml:space="preserve"> Resurgence in the Late-Roman West,’ </w:t>
      </w:r>
      <w:r w:rsidRPr="00E34A40">
        <w:rPr>
          <w:i/>
          <w:sz w:val="24"/>
          <w:szCs w:val="24"/>
        </w:rPr>
        <w:t>Journal of Late Antiquity</w:t>
      </w:r>
      <w:r w:rsidRPr="00E34A40">
        <w:rPr>
          <w:sz w:val="24"/>
          <w:szCs w:val="24"/>
        </w:rPr>
        <w:t xml:space="preserve"> 3 (2010), pp. 3-37.   </w:t>
      </w: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Dix, T.K., ‘“Public Libraries”’ in Ancient Rome: Ideology and Reality’, in </w:t>
      </w:r>
      <w:r w:rsidRPr="00E34A40">
        <w:rPr>
          <w:rFonts w:asciiTheme="minorHAnsi" w:eastAsiaTheme="majorEastAsia" w:hAnsiTheme="minorHAnsi"/>
          <w:i/>
        </w:rPr>
        <w:t>Libraries &amp; Culture Vol. 29 No. 3</w:t>
      </w:r>
      <w:r w:rsidRPr="00E34A40">
        <w:rPr>
          <w:rFonts w:asciiTheme="minorHAnsi" w:eastAsiaTheme="majorEastAsia" w:hAnsiTheme="minorHAnsi"/>
        </w:rPr>
        <w:t xml:space="preserve"> (1994), pp. 282-296.</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lastRenderedPageBreak/>
        <w:t xml:space="preserve">Dmitriev, S., ‘Traditions and Innovations in the Reign of Aurelian’, </w:t>
      </w:r>
      <w:proofErr w:type="gramStart"/>
      <w:r w:rsidRPr="00E34A40">
        <w:rPr>
          <w:rFonts w:asciiTheme="minorHAnsi" w:eastAsiaTheme="majorEastAsia" w:hAnsiTheme="minorHAnsi"/>
          <w:i/>
          <w:iCs/>
        </w:rPr>
        <w:t>The</w:t>
      </w:r>
      <w:proofErr w:type="gramEnd"/>
      <w:r w:rsidRPr="00E34A40">
        <w:rPr>
          <w:rFonts w:asciiTheme="minorHAnsi" w:eastAsiaTheme="majorEastAsia" w:hAnsiTheme="minorHAnsi"/>
          <w:i/>
          <w:iCs/>
        </w:rPr>
        <w:t xml:space="preserve"> Classical Quarterly New Series Vol. 54 No. 2</w:t>
      </w:r>
      <w:r w:rsidRPr="00E34A40">
        <w:rPr>
          <w:rFonts w:asciiTheme="minorHAnsi" w:eastAsiaTheme="majorEastAsia" w:hAnsiTheme="minorHAnsi"/>
        </w:rPr>
        <w:t xml:space="preserve"> (2004), pp. 568-578.</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pStyle w:val="Default"/>
        <w:rPr>
          <w:rFonts w:asciiTheme="minorHAnsi" w:eastAsiaTheme="majorEastAsia" w:hAnsiTheme="minorHAnsi"/>
        </w:rPr>
      </w:pPr>
      <w:r w:rsidRPr="00E34A40">
        <w:rPr>
          <w:rFonts w:asciiTheme="minorHAnsi" w:hAnsiTheme="minorHAnsi"/>
        </w:rPr>
        <w:t xml:space="preserve">                   ‘“Good </w:t>
      </w:r>
      <w:r w:rsidR="0087599E">
        <w:rPr>
          <w:rFonts w:asciiTheme="minorHAnsi" w:hAnsiTheme="minorHAnsi"/>
        </w:rPr>
        <w:t>Emperors</w:t>
      </w:r>
      <w:r w:rsidRPr="00E34A40">
        <w:rPr>
          <w:rFonts w:asciiTheme="minorHAnsi" w:hAnsiTheme="minorHAnsi"/>
        </w:rPr>
        <w:t xml:space="preserve">” and </w:t>
      </w:r>
      <w:r w:rsidR="0087599E">
        <w:rPr>
          <w:rFonts w:asciiTheme="minorHAnsi" w:hAnsiTheme="minorHAnsi"/>
        </w:rPr>
        <w:t>Emperors</w:t>
      </w:r>
      <w:r w:rsidRPr="00E34A40">
        <w:rPr>
          <w:rFonts w:asciiTheme="minorHAnsi" w:hAnsiTheme="minorHAnsi"/>
        </w:rPr>
        <w:t xml:space="preserve"> of the Third Century’, </w:t>
      </w:r>
      <w:r w:rsidRPr="00E34A40">
        <w:rPr>
          <w:rFonts w:asciiTheme="minorHAnsi" w:hAnsiTheme="minorHAnsi"/>
          <w:i/>
          <w:iCs/>
        </w:rPr>
        <w:t xml:space="preserve">Hermes </w:t>
      </w:r>
      <w:r w:rsidR="009C7AF1">
        <w:rPr>
          <w:rFonts w:asciiTheme="minorHAnsi" w:hAnsiTheme="minorHAnsi"/>
          <w:i/>
          <w:iCs/>
        </w:rPr>
        <w:t>Vol. 132(</w:t>
      </w:r>
      <w:r w:rsidRPr="00E34A40">
        <w:rPr>
          <w:rFonts w:asciiTheme="minorHAnsi" w:hAnsiTheme="minorHAnsi"/>
          <w:i/>
          <w:iCs/>
        </w:rPr>
        <w:t>2</w:t>
      </w:r>
      <w:r w:rsidR="009C7AF1">
        <w:rPr>
          <w:rFonts w:asciiTheme="minorHAnsi" w:hAnsiTheme="minorHAnsi"/>
          <w:i/>
          <w:iCs/>
        </w:rPr>
        <w:t>)</w:t>
      </w:r>
      <w:r w:rsidRPr="00E34A40">
        <w:rPr>
          <w:rFonts w:asciiTheme="minorHAnsi" w:hAnsiTheme="minorHAnsi"/>
        </w:rPr>
        <w:t xml:space="preserve"> (2004), pp. 211-224.</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sz w:val="24"/>
          <w:szCs w:val="24"/>
        </w:rPr>
      </w:pPr>
      <w:r w:rsidRPr="00E34A40">
        <w:rPr>
          <w:sz w:val="24"/>
          <w:szCs w:val="24"/>
        </w:rPr>
        <w:t xml:space="preserve">Dumser, E.A., ‘The Urban Topography of Rome’, in Erdkamp, P (ed.), </w:t>
      </w:r>
      <w:proofErr w:type="gramStart"/>
      <w:r w:rsidRPr="00E34A40">
        <w:rPr>
          <w:i/>
          <w:sz w:val="24"/>
          <w:szCs w:val="24"/>
        </w:rPr>
        <w:t>The</w:t>
      </w:r>
      <w:proofErr w:type="gramEnd"/>
      <w:r w:rsidRPr="00E34A40">
        <w:rPr>
          <w:i/>
          <w:sz w:val="24"/>
          <w:szCs w:val="24"/>
        </w:rPr>
        <w:t xml:space="preserve"> Cambridge Companion to Ancient Rome</w:t>
      </w:r>
      <w:r w:rsidRPr="00E34A40">
        <w:rPr>
          <w:sz w:val="24"/>
          <w:szCs w:val="24"/>
        </w:rPr>
        <w:t xml:space="preserve"> (Cambridge, 2013), pp. 131-150.</w:t>
      </w:r>
    </w:p>
    <w:p w:rsidR="00551E4B" w:rsidRPr="00E34A40" w:rsidRDefault="00551E4B" w:rsidP="00551E4B">
      <w:pPr>
        <w:pStyle w:val="Default"/>
        <w:rPr>
          <w:rFonts w:asciiTheme="minorHAnsi" w:hAnsiTheme="minorHAnsi"/>
          <w:bCs/>
          <w:lang w:eastAsia="zh-TW"/>
        </w:rPr>
      </w:pPr>
      <w:r w:rsidRPr="00E34A40">
        <w:rPr>
          <w:rFonts w:asciiTheme="minorHAnsi" w:eastAsiaTheme="majorEastAsia" w:hAnsiTheme="minorHAnsi"/>
        </w:rPr>
        <w:t>Eck, W., ‘</w:t>
      </w:r>
      <w:r w:rsidR="008B44B0">
        <w:rPr>
          <w:rFonts w:asciiTheme="minorHAnsi" w:eastAsiaTheme="majorEastAsia" w:hAnsiTheme="minorHAnsi"/>
        </w:rPr>
        <w:t>Emperor</w:t>
      </w:r>
      <w:r w:rsidRPr="00E34A40">
        <w:rPr>
          <w:rFonts w:asciiTheme="minorHAnsi" w:eastAsiaTheme="majorEastAsia" w:hAnsiTheme="minorHAnsi"/>
        </w:rPr>
        <w:t xml:space="preserve"> and </w:t>
      </w:r>
      <w:r w:rsidR="008B44B0">
        <w:rPr>
          <w:rFonts w:asciiTheme="minorHAnsi" w:eastAsiaTheme="majorEastAsia" w:hAnsiTheme="minorHAnsi"/>
        </w:rPr>
        <w:t>senatorial</w:t>
      </w:r>
      <w:r w:rsidRPr="00E34A40">
        <w:rPr>
          <w:rFonts w:asciiTheme="minorHAnsi" w:eastAsiaTheme="majorEastAsia" w:hAnsiTheme="minorHAnsi"/>
        </w:rPr>
        <w:t xml:space="preserve"> aristocracy in competition for public space’, </w:t>
      </w:r>
      <w:r w:rsidRPr="00E34A40">
        <w:rPr>
          <w:rFonts w:asciiTheme="minorHAnsi" w:hAnsiTheme="minorHAnsi"/>
        </w:rPr>
        <w:t>in</w:t>
      </w:r>
      <w:r w:rsidRPr="00E34A40">
        <w:rPr>
          <w:rFonts w:asciiTheme="minorHAnsi" w:hAnsiTheme="minorHAnsi"/>
          <w:bCs/>
        </w:rPr>
        <w:t xml:space="preserve"> Ewald, B.C., and Noreña, C.F. (</w:t>
      </w:r>
      <w:proofErr w:type="gramStart"/>
      <w:r w:rsidRPr="00E34A40">
        <w:rPr>
          <w:rFonts w:asciiTheme="minorHAnsi" w:hAnsiTheme="minorHAnsi"/>
          <w:bCs/>
        </w:rPr>
        <w:t>eds</w:t>
      </w:r>
      <w:proofErr w:type="gramEnd"/>
      <w:r w:rsidRPr="00E34A40">
        <w:rPr>
          <w:rFonts w:asciiTheme="minorHAnsi" w:hAnsiTheme="minorHAnsi"/>
          <w:bCs/>
        </w:rPr>
        <w:t xml:space="preserve">), </w:t>
      </w:r>
      <w:r w:rsidRPr="00E34A40">
        <w:rPr>
          <w:rFonts w:asciiTheme="minorHAnsi" w:hAnsiTheme="minorHAnsi"/>
          <w:bCs/>
          <w:i/>
          <w:iCs/>
        </w:rPr>
        <w:t xml:space="preserve">The </w:t>
      </w:r>
      <w:r w:rsidR="008B44B0">
        <w:rPr>
          <w:rFonts w:asciiTheme="minorHAnsi" w:hAnsiTheme="minorHAnsi"/>
          <w:bCs/>
          <w:i/>
          <w:iCs/>
        </w:rPr>
        <w:t>Emperor</w:t>
      </w:r>
      <w:r w:rsidRPr="00E34A40">
        <w:rPr>
          <w:rFonts w:asciiTheme="minorHAnsi" w:hAnsiTheme="minorHAnsi"/>
          <w:bCs/>
          <w:i/>
          <w:iCs/>
        </w:rPr>
        <w:t xml:space="preserve"> and Rome Space, Representation, and Ritual</w:t>
      </w:r>
      <w:r w:rsidRPr="00E34A40">
        <w:rPr>
          <w:rFonts w:asciiTheme="minorHAnsi" w:hAnsiTheme="minorHAnsi"/>
          <w:bCs/>
        </w:rPr>
        <w:t xml:space="preserve"> (Cambridge, 2011)</w:t>
      </w:r>
      <w:r w:rsidRPr="00E34A40">
        <w:rPr>
          <w:rFonts w:asciiTheme="minorHAnsi" w:hAnsiTheme="minorHAnsi"/>
          <w:bCs/>
          <w:lang w:eastAsia="zh-TW"/>
        </w:rPr>
        <w:t>, pp. 89-110.</w:t>
      </w:r>
    </w:p>
    <w:p w:rsidR="00551E4B" w:rsidRPr="00E34A40" w:rsidRDefault="00551E4B" w:rsidP="00551E4B">
      <w:pPr>
        <w:pStyle w:val="Default"/>
        <w:rPr>
          <w:rFonts w:asciiTheme="minorHAnsi" w:hAnsiTheme="minorHAnsi"/>
          <w:bCs/>
          <w:lang w:eastAsia="zh-TW"/>
        </w:rPr>
      </w:pPr>
    </w:p>
    <w:p w:rsidR="00551E4B" w:rsidRPr="00E34A40" w:rsidRDefault="00551E4B" w:rsidP="00551E4B">
      <w:pPr>
        <w:pStyle w:val="Default"/>
        <w:rPr>
          <w:rFonts w:asciiTheme="minorHAnsi" w:hAnsiTheme="minorHAnsi"/>
          <w:bCs/>
          <w:lang w:eastAsia="zh-TW"/>
        </w:rPr>
      </w:pPr>
      <w:r w:rsidRPr="00E34A40">
        <w:rPr>
          <w:rFonts w:asciiTheme="minorHAnsi" w:eastAsiaTheme="majorEastAsia" w:hAnsiTheme="minorHAnsi"/>
        </w:rPr>
        <w:t xml:space="preserve">                ‘</w:t>
      </w:r>
      <w:r w:rsidR="008B44B0">
        <w:rPr>
          <w:rFonts w:asciiTheme="minorHAnsi" w:eastAsiaTheme="majorEastAsia" w:hAnsiTheme="minorHAnsi"/>
        </w:rPr>
        <w:t>Senatorial</w:t>
      </w:r>
      <w:r w:rsidRPr="00E34A40">
        <w:rPr>
          <w:rFonts w:asciiTheme="minorHAnsi" w:eastAsiaTheme="majorEastAsia" w:hAnsiTheme="minorHAnsi"/>
        </w:rPr>
        <w:t xml:space="preserve"> Self-Representation: Developments in the Augustan Period’, </w:t>
      </w:r>
      <w:r w:rsidRPr="00E34A40">
        <w:rPr>
          <w:rFonts w:asciiTheme="minorHAnsi" w:hAnsiTheme="minorHAnsi" w:cs="AGaramond-Regular"/>
        </w:rPr>
        <w:t>in Millar, F., and Segal, E. (</w:t>
      </w:r>
      <w:proofErr w:type="gramStart"/>
      <w:r w:rsidRPr="00E34A40">
        <w:rPr>
          <w:rFonts w:asciiTheme="minorHAnsi" w:hAnsiTheme="minorHAnsi" w:cs="AGaramond-Regular"/>
        </w:rPr>
        <w:t>eds</w:t>
      </w:r>
      <w:proofErr w:type="gramEnd"/>
      <w:r w:rsidRPr="00E34A40">
        <w:rPr>
          <w:rFonts w:asciiTheme="minorHAnsi" w:hAnsiTheme="minorHAnsi" w:cs="AGaramond-Regular"/>
        </w:rPr>
        <w:t xml:space="preserve">), </w:t>
      </w:r>
      <w:r w:rsidRPr="00E34A40">
        <w:rPr>
          <w:rFonts w:asciiTheme="minorHAnsi" w:hAnsiTheme="minorHAnsi" w:cs="AGaramond-Regular"/>
          <w:i/>
        </w:rPr>
        <w:t>Caesar Augustus: Seven Aspects</w:t>
      </w:r>
      <w:r w:rsidRPr="00E34A40">
        <w:rPr>
          <w:rFonts w:asciiTheme="minorHAnsi" w:hAnsiTheme="minorHAnsi" w:cs="AGaramond-Regular"/>
        </w:rPr>
        <w:t xml:space="preserve"> (Oxford, 2002), pp. 129-168.</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                ‘</w:t>
      </w:r>
      <w:r w:rsidR="008B44B0">
        <w:rPr>
          <w:rFonts w:asciiTheme="minorHAnsi" w:eastAsiaTheme="majorEastAsia" w:hAnsiTheme="minorHAnsi"/>
        </w:rPr>
        <w:t>Imperial</w:t>
      </w:r>
      <w:r w:rsidRPr="00E34A40">
        <w:rPr>
          <w:rFonts w:asciiTheme="minorHAnsi" w:eastAsiaTheme="majorEastAsia" w:hAnsiTheme="minorHAnsi"/>
        </w:rPr>
        <w:t xml:space="preserve"> Administration and Epigraphy: In Defence of Prosopography’,</w:t>
      </w:r>
      <w:r w:rsidRPr="00E34A40">
        <w:rPr>
          <w:rFonts w:asciiTheme="minorHAnsi" w:hAnsiTheme="minorHAnsi"/>
        </w:rPr>
        <w:t xml:space="preserve"> in Bowman, A.K., Cotton, H.M., Goodman, M., and Price, S.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rPr>
        <w:t>Representations of Empire Rome and the Mediterranean World</w:t>
      </w:r>
      <w:r w:rsidRPr="00E34A40">
        <w:rPr>
          <w:rFonts w:asciiTheme="minorHAnsi" w:hAnsiTheme="minorHAnsi"/>
        </w:rPr>
        <w:t xml:space="preserve"> (Oxford, 2002), pp. 131-152.</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pStyle w:val="Default"/>
        <w:rPr>
          <w:rFonts w:asciiTheme="minorHAnsi" w:hAnsiTheme="minorHAnsi"/>
          <w:bCs/>
        </w:rPr>
      </w:pPr>
      <w:r w:rsidRPr="00E34A40">
        <w:rPr>
          <w:rFonts w:asciiTheme="minorHAnsi" w:eastAsiaTheme="majorEastAsia" w:hAnsiTheme="minorHAnsi"/>
        </w:rPr>
        <w:t>Edwards, C., and Woolf, G., ‘Cosmopolis: Rome as World City’, i</w:t>
      </w:r>
      <w:r w:rsidRPr="00E34A40">
        <w:rPr>
          <w:rFonts w:asciiTheme="minorHAnsi" w:hAnsiTheme="minorHAnsi"/>
          <w:bCs/>
        </w:rPr>
        <w:t>n Edward, C., and Woolf, G. (</w:t>
      </w:r>
      <w:proofErr w:type="gramStart"/>
      <w:r w:rsidRPr="00E34A40">
        <w:rPr>
          <w:rFonts w:asciiTheme="minorHAnsi" w:hAnsiTheme="minorHAnsi"/>
          <w:bCs/>
        </w:rPr>
        <w:t>eds</w:t>
      </w:r>
      <w:proofErr w:type="gramEnd"/>
      <w:r w:rsidRPr="00E34A40">
        <w:rPr>
          <w:rFonts w:asciiTheme="minorHAnsi" w:hAnsiTheme="minorHAnsi"/>
          <w:bCs/>
        </w:rPr>
        <w:t xml:space="preserve">), </w:t>
      </w:r>
      <w:r w:rsidRPr="00E34A40">
        <w:rPr>
          <w:rFonts w:asciiTheme="minorHAnsi" w:hAnsiTheme="minorHAnsi"/>
          <w:bCs/>
          <w:i/>
        </w:rPr>
        <w:t>Rome the Cosmopolis</w:t>
      </w:r>
      <w:r w:rsidRPr="00E34A40">
        <w:rPr>
          <w:rFonts w:asciiTheme="minorHAnsi" w:hAnsiTheme="minorHAnsi"/>
          <w:bCs/>
        </w:rPr>
        <w:t xml:space="preserve"> (Cambridge, 2006), pp. 1-20.</w:t>
      </w:r>
    </w:p>
    <w:p w:rsidR="00551E4B" w:rsidRPr="00E34A40" w:rsidRDefault="00551E4B" w:rsidP="00551E4B">
      <w:pPr>
        <w:pStyle w:val="Default"/>
        <w:rPr>
          <w:rFonts w:asciiTheme="minorHAnsi" w:hAnsiTheme="minorHAnsi"/>
          <w:bCs/>
        </w:rPr>
      </w:pPr>
    </w:p>
    <w:p w:rsidR="00551E4B" w:rsidRPr="00E34A40" w:rsidRDefault="00551E4B" w:rsidP="00551E4B">
      <w:pPr>
        <w:pStyle w:val="Default"/>
        <w:rPr>
          <w:rFonts w:asciiTheme="minorHAnsi" w:hAnsiTheme="minorHAnsi"/>
          <w:bCs/>
          <w:lang w:eastAsia="zh-TW"/>
        </w:rPr>
      </w:pPr>
      <w:r w:rsidRPr="00E34A40">
        <w:rPr>
          <w:rFonts w:asciiTheme="minorHAnsi" w:eastAsiaTheme="majorEastAsia" w:hAnsiTheme="minorHAnsi"/>
        </w:rPr>
        <w:t xml:space="preserve">Elton, H., ‘The Transformation of the Provinces’, </w:t>
      </w:r>
      <w:r w:rsidRPr="00E34A40">
        <w:rPr>
          <w:rFonts w:asciiTheme="minorHAnsi" w:eastAsiaTheme="majorEastAsia" w:hAnsiTheme="minorHAnsi"/>
          <w:bCs/>
        </w:rPr>
        <w:t xml:space="preserve">in Potter, D. (ed.), </w:t>
      </w:r>
      <w:r w:rsidRPr="00E34A40">
        <w:rPr>
          <w:rFonts w:asciiTheme="minorHAnsi" w:eastAsiaTheme="majorEastAsia" w:hAnsiTheme="minorHAnsi"/>
          <w:bCs/>
          <w:i/>
          <w:iCs/>
        </w:rPr>
        <w:t xml:space="preserve">A Companion to the Roman Empire </w:t>
      </w:r>
      <w:r w:rsidRPr="00E34A40">
        <w:rPr>
          <w:rFonts w:asciiTheme="minorHAnsi" w:eastAsiaTheme="majorEastAsia" w:hAnsiTheme="minorHAnsi"/>
          <w:bCs/>
        </w:rPr>
        <w:t>(Oxford, 2006)</w:t>
      </w:r>
      <w:r w:rsidRPr="00E34A40">
        <w:rPr>
          <w:rFonts w:asciiTheme="minorHAnsi" w:hAnsiTheme="minorHAnsi"/>
          <w:bCs/>
          <w:lang w:eastAsia="zh-TW"/>
        </w:rPr>
        <w:t>, pp. 193-205.</w:t>
      </w:r>
    </w:p>
    <w:p w:rsidR="00551E4B" w:rsidRPr="00E34A40" w:rsidRDefault="00551E4B" w:rsidP="00551E4B">
      <w:pPr>
        <w:pStyle w:val="Default"/>
        <w:rPr>
          <w:rFonts w:asciiTheme="minorHAnsi" w:hAnsiTheme="minorHAnsi"/>
          <w:bCs/>
          <w:lang w:eastAsia="zh-TW"/>
        </w:rPr>
      </w:pP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Erdkamp, P., ‘Urbanism’, in Scheidel, W., </w:t>
      </w:r>
      <w:r w:rsidRPr="00E34A40">
        <w:rPr>
          <w:rFonts w:asciiTheme="minorHAnsi" w:eastAsiaTheme="majorEastAsia" w:hAnsiTheme="minorHAnsi"/>
          <w:i/>
          <w:iCs/>
        </w:rPr>
        <w:t>The Cambridge Companion to the Roman Economy</w:t>
      </w:r>
      <w:r w:rsidRPr="00E34A40">
        <w:rPr>
          <w:rFonts w:asciiTheme="minorHAnsi" w:eastAsiaTheme="majorEastAsia" w:hAnsiTheme="minorHAnsi"/>
        </w:rPr>
        <w:t xml:space="preserve"> (Cambridge, 2012), pp. 241-265.</w:t>
      </w:r>
    </w:p>
    <w:p w:rsidR="00551E4B" w:rsidRPr="00E34A40" w:rsidRDefault="00551E4B" w:rsidP="00551E4B">
      <w:pPr>
        <w:pStyle w:val="Default"/>
        <w:rPr>
          <w:rFonts w:asciiTheme="minorHAnsi" w:eastAsiaTheme="majorEastAsia" w:hAnsiTheme="minorHAnsi"/>
        </w:rPr>
      </w:pPr>
    </w:p>
    <w:p w:rsidR="00551E4B" w:rsidRPr="00017505" w:rsidRDefault="00551E4B" w:rsidP="00551E4B">
      <w:pPr>
        <w:rPr>
          <w:rFonts w:eastAsiaTheme="majorEastAsia"/>
          <w:sz w:val="24"/>
          <w:szCs w:val="24"/>
        </w:rPr>
      </w:pPr>
      <w:r w:rsidRPr="00017505">
        <w:rPr>
          <w:sz w:val="24"/>
          <w:szCs w:val="24"/>
        </w:rPr>
        <w:t>Fairley, W., ‘Notitia Dignitatum or Register of Dignitaries’, in</w:t>
      </w:r>
      <w:r>
        <w:rPr>
          <w:sz w:val="24"/>
          <w:szCs w:val="24"/>
        </w:rPr>
        <w:t xml:space="preserve"> </w:t>
      </w:r>
      <w:r w:rsidRPr="00017505">
        <w:rPr>
          <w:i/>
          <w:sz w:val="24"/>
          <w:szCs w:val="24"/>
        </w:rPr>
        <w:t>Translations and Reprints from Original Sources of European History Vol. VI</w:t>
      </w:r>
      <w:proofErr w:type="gramStart"/>
      <w:r w:rsidRPr="00017505">
        <w:rPr>
          <w:i/>
          <w:sz w:val="24"/>
          <w:szCs w:val="24"/>
        </w:rPr>
        <w:t>:4</w:t>
      </w:r>
      <w:proofErr w:type="gramEnd"/>
      <w:r w:rsidRPr="00017505">
        <w:rPr>
          <w:sz w:val="24"/>
          <w:szCs w:val="24"/>
        </w:rPr>
        <w:t xml:space="preserve"> (Philadelphia, 1899), pp. 1-41.</w:t>
      </w:r>
    </w:p>
    <w:p w:rsidR="00551E4B" w:rsidRPr="00E34A40" w:rsidRDefault="00551E4B" w:rsidP="00551E4B">
      <w:pPr>
        <w:rPr>
          <w:rFonts w:eastAsiaTheme="majorEastAsia"/>
          <w:sz w:val="24"/>
          <w:szCs w:val="24"/>
        </w:rPr>
      </w:pPr>
      <w:r w:rsidRPr="00E34A40">
        <w:rPr>
          <w:rFonts w:eastAsiaTheme="majorEastAsia"/>
          <w:sz w:val="24"/>
          <w:szCs w:val="24"/>
        </w:rPr>
        <w:t xml:space="preserve">Falconer, G., ‘Genetic Criticism’, </w:t>
      </w:r>
      <w:r w:rsidRPr="00E34A40">
        <w:rPr>
          <w:rFonts w:eastAsiaTheme="majorEastAsia"/>
          <w:i/>
          <w:sz w:val="24"/>
          <w:szCs w:val="24"/>
        </w:rPr>
        <w:t>Comparative Literature Vol. 45 No. 1</w:t>
      </w:r>
      <w:r w:rsidRPr="00E34A40">
        <w:rPr>
          <w:rFonts w:eastAsiaTheme="majorEastAsia"/>
          <w:sz w:val="24"/>
          <w:szCs w:val="24"/>
        </w:rPr>
        <w:t xml:space="preserve"> (1993), p. 1-21.</w:t>
      </w:r>
    </w:p>
    <w:p w:rsidR="00551E4B" w:rsidRPr="00E34A40" w:rsidRDefault="00551E4B" w:rsidP="00551E4B">
      <w:pPr>
        <w:autoSpaceDE w:val="0"/>
        <w:autoSpaceDN w:val="0"/>
        <w:adjustRightInd w:val="0"/>
        <w:spacing w:after="0" w:line="240" w:lineRule="auto"/>
        <w:rPr>
          <w:sz w:val="24"/>
          <w:szCs w:val="24"/>
        </w:rPr>
      </w:pPr>
      <w:r w:rsidRPr="00E34A40">
        <w:rPr>
          <w:sz w:val="24"/>
          <w:szCs w:val="24"/>
        </w:rPr>
        <w:t>Fanning, S., ‘</w:t>
      </w:r>
      <w:r w:rsidRPr="00E34A40">
        <w:rPr>
          <w:i/>
          <w:sz w:val="24"/>
          <w:szCs w:val="24"/>
        </w:rPr>
        <w:t>Reguli</w:t>
      </w:r>
      <w:r w:rsidRPr="00E34A40">
        <w:rPr>
          <w:sz w:val="24"/>
          <w:szCs w:val="24"/>
        </w:rPr>
        <w:t xml:space="preserve"> in the Roman Empire, Late Antiquity, and the Early Medieval Germanic Kingdoms’, in Mathisen, R.W., and Shanzer, D., </w:t>
      </w:r>
      <w:r w:rsidRPr="00E34A40">
        <w:rPr>
          <w:i/>
          <w:sz w:val="24"/>
          <w:szCs w:val="24"/>
        </w:rPr>
        <w:t>Romans, Barbarians, and the Transformation of the Roman World</w:t>
      </w:r>
      <w:r w:rsidRPr="00E34A40">
        <w:rPr>
          <w:sz w:val="24"/>
          <w:szCs w:val="24"/>
        </w:rPr>
        <w:t xml:space="preserve"> (Farnham, 2011), pp. 43-54.</w:t>
      </w:r>
    </w:p>
    <w:p w:rsidR="00551E4B" w:rsidRPr="00E34A40" w:rsidRDefault="00551E4B" w:rsidP="00551E4B">
      <w:pPr>
        <w:autoSpaceDE w:val="0"/>
        <w:autoSpaceDN w:val="0"/>
        <w:adjustRightInd w:val="0"/>
        <w:spacing w:after="0" w:line="240" w:lineRule="auto"/>
        <w:rPr>
          <w:sz w:val="24"/>
          <w:szCs w:val="24"/>
        </w:rPr>
      </w:pPr>
    </w:p>
    <w:p w:rsidR="00551E4B" w:rsidRPr="00E34A40" w:rsidRDefault="00551E4B" w:rsidP="00551E4B">
      <w:pPr>
        <w:rPr>
          <w:sz w:val="24"/>
          <w:szCs w:val="24"/>
        </w:rPr>
      </w:pPr>
      <w:proofErr w:type="gramStart"/>
      <w:r w:rsidRPr="00E34A40">
        <w:rPr>
          <w:rFonts w:eastAsiaTheme="majorEastAsia"/>
          <w:sz w:val="24"/>
          <w:szCs w:val="24"/>
        </w:rPr>
        <w:t xml:space="preserve">Fantham, E., ‘Purification in ancient Rome’, in </w:t>
      </w:r>
      <w:r w:rsidRPr="00E34A40">
        <w:rPr>
          <w:sz w:val="24"/>
          <w:szCs w:val="24"/>
        </w:rPr>
        <w:t xml:space="preserve">Bradley, M. (ed.), </w:t>
      </w:r>
      <w:r w:rsidRPr="00E34A40">
        <w:rPr>
          <w:i/>
          <w:iCs/>
          <w:sz w:val="24"/>
          <w:szCs w:val="24"/>
        </w:rPr>
        <w:t>Rome, Pollution and Propriety Dirt, Disease and Hygiene in the Eternal City from Antiquity to Modernity</w:t>
      </w:r>
      <w:r w:rsidRPr="00E34A40">
        <w:rPr>
          <w:sz w:val="24"/>
          <w:szCs w:val="24"/>
        </w:rPr>
        <w:t xml:space="preserve"> (Cambridge, 2012), pp. 59-66.</w:t>
      </w:r>
      <w:proofErr w:type="gramEnd"/>
    </w:p>
    <w:p w:rsidR="00551E4B" w:rsidRPr="00E34A40" w:rsidRDefault="00551E4B" w:rsidP="00551E4B">
      <w:pPr>
        <w:pStyle w:val="Default"/>
        <w:rPr>
          <w:rFonts w:asciiTheme="minorHAnsi" w:eastAsiaTheme="majorEastAsia" w:hAnsiTheme="minorHAnsi"/>
        </w:rPr>
      </w:pPr>
      <w:proofErr w:type="gramStart"/>
      <w:r w:rsidRPr="00E34A40">
        <w:rPr>
          <w:rFonts w:asciiTheme="minorHAnsi" w:eastAsiaTheme="majorEastAsia" w:hAnsiTheme="minorHAnsi"/>
        </w:rPr>
        <w:t xml:space="preserve">Favro, D., ‘The iconicity of ancient Rome’, </w:t>
      </w:r>
      <w:r w:rsidRPr="00E34A40">
        <w:rPr>
          <w:rFonts w:asciiTheme="minorHAnsi" w:eastAsiaTheme="majorEastAsia" w:hAnsiTheme="minorHAnsi"/>
          <w:i/>
          <w:iCs/>
        </w:rPr>
        <w:t>Urban History 33 1</w:t>
      </w:r>
      <w:r w:rsidRPr="00E34A40">
        <w:rPr>
          <w:rFonts w:asciiTheme="minorHAnsi" w:eastAsiaTheme="majorEastAsia" w:hAnsiTheme="minorHAnsi"/>
        </w:rPr>
        <w:t xml:space="preserve"> (2008) pp. 20-38.</w:t>
      </w:r>
      <w:proofErr w:type="gramEnd"/>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sz w:val="24"/>
          <w:szCs w:val="24"/>
        </w:rPr>
      </w:pPr>
      <w:r w:rsidRPr="00E34A40">
        <w:rPr>
          <w:sz w:val="24"/>
          <w:szCs w:val="24"/>
        </w:rPr>
        <w:t xml:space="preserve">                  ‘Construction Traffic in </w:t>
      </w:r>
      <w:r w:rsidR="008B44B0">
        <w:rPr>
          <w:sz w:val="24"/>
          <w:szCs w:val="24"/>
        </w:rPr>
        <w:t>Imperial</w:t>
      </w:r>
      <w:r w:rsidRPr="00E34A40">
        <w:rPr>
          <w:sz w:val="24"/>
          <w:szCs w:val="24"/>
        </w:rPr>
        <w:t xml:space="preserve"> Rome Building the Arch of </w:t>
      </w:r>
      <w:r w:rsidR="00F630A0">
        <w:rPr>
          <w:sz w:val="24"/>
          <w:szCs w:val="24"/>
        </w:rPr>
        <w:t>Septimius</w:t>
      </w:r>
      <w:r w:rsidRPr="00E34A40">
        <w:rPr>
          <w:sz w:val="24"/>
          <w:szCs w:val="24"/>
        </w:rPr>
        <w:t xml:space="preserve"> Severus’, in Laurence, R., and Newsome, D.J. (eds), </w:t>
      </w:r>
      <w:r w:rsidRPr="00E34A40">
        <w:rPr>
          <w:i/>
          <w:iCs/>
          <w:sz w:val="24"/>
          <w:szCs w:val="24"/>
        </w:rPr>
        <w:t>Rome, Ostia, Pompeii Movement and Space</w:t>
      </w:r>
      <w:r w:rsidRPr="00E34A40">
        <w:rPr>
          <w:sz w:val="24"/>
          <w:szCs w:val="24"/>
        </w:rPr>
        <w:t xml:space="preserve"> (Oxford, 2011), pp. 332-360.</w:t>
      </w:r>
    </w:p>
    <w:p w:rsidR="00551E4B" w:rsidRPr="00E34A40" w:rsidRDefault="00551E4B" w:rsidP="00551E4B">
      <w:pPr>
        <w:rPr>
          <w:bCs/>
          <w:sz w:val="24"/>
          <w:szCs w:val="24"/>
        </w:rPr>
      </w:pPr>
      <w:r w:rsidRPr="00E34A40">
        <w:rPr>
          <w:bCs/>
          <w:sz w:val="24"/>
          <w:szCs w:val="24"/>
        </w:rPr>
        <w:lastRenderedPageBreak/>
        <w:t xml:space="preserve">Fisher, W.H., ‘The Augustan Vita Aureliani’, </w:t>
      </w:r>
      <w:proofErr w:type="gramStart"/>
      <w:r w:rsidRPr="00E34A40">
        <w:rPr>
          <w:bCs/>
          <w:i/>
          <w:iCs/>
          <w:sz w:val="24"/>
          <w:szCs w:val="24"/>
        </w:rPr>
        <w:t>The</w:t>
      </w:r>
      <w:proofErr w:type="gramEnd"/>
      <w:r w:rsidRPr="00E34A40">
        <w:rPr>
          <w:bCs/>
          <w:i/>
          <w:iCs/>
          <w:sz w:val="24"/>
          <w:szCs w:val="24"/>
        </w:rPr>
        <w:t xml:space="preserve"> Journal of Roman Studies Vol. 19 </w:t>
      </w:r>
      <w:r w:rsidRPr="00E34A40">
        <w:rPr>
          <w:bCs/>
          <w:sz w:val="24"/>
          <w:szCs w:val="24"/>
        </w:rPr>
        <w:t>(1929), pp. 125-149.</w:t>
      </w:r>
    </w:p>
    <w:p w:rsidR="00551E4B" w:rsidRPr="00E34A40" w:rsidRDefault="00551E4B" w:rsidP="00551E4B">
      <w:pPr>
        <w:rPr>
          <w:bCs/>
          <w:sz w:val="24"/>
          <w:szCs w:val="24"/>
          <w:lang w:eastAsia="zh-TW"/>
        </w:rPr>
      </w:pPr>
      <w:r w:rsidRPr="00E34A40">
        <w:rPr>
          <w:rFonts w:cs="Arial"/>
          <w:color w:val="252525"/>
          <w:sz w:val="24"/>
          <w:szCs w:val="24"/>
          <w:shd w:val="clear" w:color="auto" w:fill="FFFFFF"/>
        </w:rPr>
        <w:t>Foucault, M.,</w:t>
      </w:r>
      <w:r w:rsidRPr="00E34A40">
        <w:rPr>
          <w:rStyle w:val="apple-converted-space"/>
          <w:rFonts w:cs="Arial"/>
          <w:color w:val="252525"/>
          <w:sz w:val="24"/>
          <w:szCs w:val="24"/>
          <w:shd w:val="clear" w:color="auto" w:fill="FFFFFF"/>
        </w:rPr>
        <w:t> </w:t>
      </w:r>
      <w:r w:rsidRPr="00E34A40">
        <w:rPr>
          <w:rFonts w:cs="Arial"/>
          <w:i/>
          <w:iCs/>
          <w:color w:val="252525"/>
          <w:sz w:val="24"/>
          <w:szCs w:val="24"/>
          <w:shd w:val="clear" w:color="auto" w:fill="FFFFFF"/>
        </w:rPr>
        <w:t xml:space="preserve">'Governmentality', </w:t>
      </w:r>
      <w:r w:rsidRPr="00E34A40">
        <w:rPr>
          <w:rFonts w:cs="Arial"/>
          <w:iCs/>
          <w:color w:val="252525"/>
          <w:sz w:val="24"/>
          <w:szCs w:val="24"/>
          <w:shd w:val="clear" w:color="auto" w:fill="FFFFFF"/>
        </w:rPr>
        <w:t>trans. Rosi Braidotti</w:t>
      </w:r>
      <w:r w:rsidRPr="00E34A40">
        <w:rPr>
          <w:rFonts w:cs="Arial"/>
          <w:i/>
          <w:iCs/>
          <w:color w:val="252525"/>
          <w:sz w:val="24"/>
          <w:szCs w:val="24"/>
          <w:shd w:val="clear" w:color="auto" w:fill="FFFFFF"/>
        </w:rPr>
        <w:t xml:space="preserve">, </w:t>
      </w:r>
      <w:r w:rsidRPr="00E34A40">
        <w:rPr>
          <w:rFonts w:cs="Arial"/>
          <w:iCs/>
          <w:color w:val="252525"/>
          <w:sz w:val="24"/>
          <w:szCs w:val="24"/>
          <w:shd w:val="clear" w:color="auto" w:fill="FFFFFF"/>
        </w:rPr>
        <w:t>in</w:t>
      </w:r>
      <w:r w:rsidRPr="00E34A40">
        <w:rPr>
          <w:rFonts w:cs="Arial"/>
          <w:i/>
          <w:iCs/>
          <w:color w:val="252525"/>
          <w:sz w:val="24"/>
          <w:szCs w:val="24"/>
          <w:shd w:val="clear" w:color="auto" w:fill="FFFFFF"/>
        </w:rPr>
        <w:t xml:space="preserve"> </w:t>
      </w:r>
      <w:r w:rsidRPr="00E34A40">
        <w:rPr>
          <w:rFonts w:cs="Arial"/>
          <w:iCs/>
          <w:color w:val="252525"/>
          <w:sz w:val="24"/>
          <w:szCs w:val="24"/>
          <w:shd w:val="clear" w:color="auto" w:fill="FFFFFF"/>
        </w:rPr>
        <w:t>Burchell, G.</w:t>
      </w:r>
      <w:r w:rsidRPr="00E34A40">
        <w:rPr>
          <w:rFonts w:cs="Arial"/>
          <w:i/>
          <w:iCs/>
          <w:color w:val="252525"/>
          <w:sz w:val="24"/>
          <w:szCs w:val="24"/>
          <w:shd w:val="clear" w:color="auto" w:fill="FFFFFF"/>
        </w:rPr>
        <w:t xml:space="preserve">, </w:t>
      </w:r>
      <w:r w:rsidRPr="00E34A40">
        <w:rPr>
          <w:rFonts w:cs="Arial"/>
          <w:iCs/>
          <w:color w:val="252525"/>
          <w:sz w:val="24"/>
          <w:szCs w:val="24"/>
          <w:shd w:val="clear" w:color="auto" w:fill="FFFFFF"/>
        </w:rPr>
        <w:t>Gordon, C.,</w:t>
      </w:r>
      <w:r w:rsidRPr="00E34A40">
        <w:rPr>
          <w:rFonts w:cs="Arial"/>
          <w:i/>
          <w:iCs/>
          <w:color w:val="252525"/>
          <w:sz w:val="24"/>
          <w:szCs w:val="24"/>
          <w:shd w:val="clear" w:color="auto" w:fill="FFFFFF"/>
        </w:rPr>
        <w:t xml:space="preserve"> </w:t>
      </w:r>
      <w:r w:rsidRPr="00E34A40">
        <w:rPr>
          <w:rFonts w:cs="Arial"/>
          <w:iCs/>
          <w:color w:val="252525"/>
          <w:sz w:val="24"/>
          <w:szCs w:val="24"/>
          <w:shd w:val="clear" w:color="auto" w:fill="FFFFFF"/>
        </w:rPr>
        <w:t>and</w:t>
      </w:r>
      <w:r w:rsidRPr="00E34A40">
        <w:rPr>
          <w:rFonts w:cs="Arial"/>
          <w:i/>
          <w:iCs/>
          <w:color w:val="252525"/>
          <w:sz w:val="24"/>
          <w:szCs w:val="24"/>
          <w:shd w:val="clear" w:color="auto" w:fill="FFFFFF"/>
        </w:rPr>
        <w:t xml:space="preserve"> </w:t>
      </w:r>
      <w:r w:rsidRPr="00E34A40">
        <w:rPr>
          <w:rFonts w:cs="Arial"/>
          <w:iCs/>
          <w:color w:val="252525"/>
          <w:sz w:val="24"/>
          <w:szCs w:val="24"/>
          <w:shd w:val="clear" w:color="auto" w:fill="FFFFFF"/>
        </w:rPr>
        <w:t>Miller, P.</w:t>
      </w:r>
      <w:r w:rsidRPr="00E34A40">
        <w:rPr>
          <w:rFonts w:cs="Arial"/>
          <w:i/>
          <w:iCs/>
          <w:color w:val="252525"/>
          <w:sz w:val="24"/>
          <w:szCs w:val="24"/>
          <w:shd w:val="clear" w:color="auto" w:fill="FFFFFF"/>
        </w:rPr>
        <w:t xml:space="preserve"> (</w:t>
      </w:r>
      <w:proofErr w:type="gramStart"/>
      <w:r w:rsidRPr="00E34A40">
        <w:rPr>
          <w:rFonts w:cs="Arial"/>
          <w:iCs/>
          <w:color w:val="252525"/>
          <w:sz w:val="24"/>
          <w:szCs w:val="24"/>
          <w:shd w:val="clear" w:color="auto" w:fill="FFFFFF"/>
        </w:rPr>
        <w:t>eds</w:t>
      </w:r>
      <w:proofErr w:type="gramEnd"/>
      <w:r w:rsidRPr="00E34A40">
        <w:rPr>
          <w:rFonts w:cs="Arial"/>
          <w:i/>
          <w:iCs/>
          <w:color w:val="252525"/>
          <w:sz w:val="24"/>
          <w:szCs w:val="24"/>
          <w:shd w:val="clear" w:color="auto" w:fill="FFFFFF"/>
        </w:rPr>
        <w:t>)</w:t>
      </w:r>
      <w:r w:rsidRPr="00E34A40">
        <w:rPr>
          <w:rFonts w:cs="Arial"/>
          <w:iCs/>
          <w:color w:val="252525"/>
          <w:sz w:val="24"/>
          <w:szCs w:val="24"/>
          <w:shd w:val="clear" w:color="auto" w:fill="FFFFFF"/>
        </w:rPr>
        <w:t>,</w:t>
      </w:r>
      <w:r w:rsidRPr="00E34A40">
        <w:rPr>
          <w:rStyle w:val="apple-converted-space"/>
          <w:rFonts w:cs="Arial"/>
          <w:color w:val="252525"/>
          <w:sz w:val="24"/>
          <w:szCs w:val="24"/>
          <w:shd w:val="clear" w:color="auto" w:fill="FFFFFF"/>
        </w:rPr>
        <w:t> </w:t>
      </w:r>
      <w:r w:rsidRPr="00E34A40">
        <w:rPr>
          <w:rFonts w:cs="Arial"/>
          <w:i/>
          <w:color w:val="252525"/>
          <w:sz w:val="24"/>
          <w:szCs w:val="24"/>
          <w:shd w:val="clear" w:color="auto" w:fill="FFFFFF"/>
        </w:rPr>
        <w:t>The Foucault Effect: Studies in Governmentality</w:t>
      </w:r>
      <w:r w:rsidRPr="00E34A40">
        <w:rPr>
          <w:rFonts w:cs="Arial"/>
          <w:color w:val="252525"/>
          <w:sz w:val="24"/>
          <w:szCs w:val="24"/>
          <w:shd w:val="clear" w:color="auto" w:fill="FFFFFF"/>
        </w:rPr>
        <w:t xml:space="preserve"> (Chicago, 1991)</w:t>
      </w:r>
      <w:r w:rsidRPr="00E34A40">
        <w:rPr>
          <w:rFonts w:cs="Arial"/>
          <w:i/>
          <w:iCs/>
          <w:color w:val="252525"/>
          <w:sz w:val="24"/>
          <w:szCs w:val="24"/>
          <w:shd w:val="clear" w:color="auto" w:fill="FFFFFF"/>
        </w:rPr>
        <w:t xml:space="preserve">, </w:t>
      </w:r>
      <w:r w:rsidRPr="00E34A40">
        <w:rPr>
          <w:rFonts w:cs="Arial"/>
          <w:iCs/>
          <w:color w:val="252525"/>
          <w:sz w:val="24"/>
          <w:szCs w:val="24"/>
          <w:shd w:val="clear" w:color="auto" w:fill="FFFFFF"/>
        </w:rPr>
        <w:t>pp. 87-104.</w:t>
      </w:r>
    </w:p>
    <w:p w:rsidR="00551E4B" w:rsidRPr="00E34A40" w:rsidRDefault="00551E4B" w:rsidP="00551E4B">
      <w:pPr>
        <w:rPr>
          <w:bCs/>
          <w:sz w:val="24"/>
          <w:szCs w:val="24"/>
          <w:lang w:eastAsia="zh-TW"/>
        </w:rPr>
      </w:pPr>
      <w:r w:rsidRPr="00E34A40">
        <w:rPr>
          <w:bCs/>
          <w:sz w:val="24"/>
          <w:szCs w:val="24"/>
          <w:lang w:eastAsia="zh-TW"/>
        </w:rPr>
        <w:t xml:space="preserve">Frere, S., ‘The Ravenna Cosmography and North Britain between the Walls’, </w:t>
      </w:r>
      <w:r w:rsidRPr="00E34A40">
        <w:rPr>
          <w:bCs/>
          <w:i/>
          <w:sz w:val="24"/>
          <w:szCs w:val="24"/>
          <w:lang w:eastAsia="zh-TW"/>
        </w:rPr>
        <w:t>Britannia Vol. 32</w:t>
      </w:r>
      <w:r w:rsidRPr="00E34A40">
        <w:rPr>
          <w:bCs/>
          <w:sz w:val="24"/>
          <w:szCs w:val="24"/>
          <w:lang w:eastAsia="zh-TW"/>
        </w:rPr>
        <w:t xml:space="preserve"> (2001), pp. 286-292.</w:t>
      </w:r>
    </w:p>
    <w:p w:rsidR="00551E4B" w:rsidRPr="00E34A40" w:rsidRDefault="00551E4B" w:rsidP="00551E4B">
      <w:pPr>
        <w:pStyle w:val="Default"/>
        <w:rPr>
          <w:rFonts w:asciiTheme="minorHAnsi" w:eastAsiaTheme="majorEastAsia" w:hAnsiTheme="minorHAnsi"/>
        </w:rPr>
      </w:pPr>
      <w:r w:rsidRPr="00E34A40">
        <w:rPr>
          <w:rFonts w:asciiTheme="minorHAnsi" w:hAnsiTheme="minorHAnsi"/>
        </w:rPr>
        <w:t xml:space="preserve">Gagos, T., and Potter, D.S., ‘Documents’, in </w:t>
      </w:r>
      <w:r w:rsidRPr="00E34A40">
        <w:rPr>
          <w:rFonts w:asciiTheme="minorHAnsi" w:eastAsiaTheme="majorEastAsia" w:hAnsiTheme="minorHAnsi"/>
        </w:rPr>
        <w:t xml:space="preserve">Potter, D. (ed.), </w:t>
      </w:r>
      <w:r w:rsidRPr="00E34A40">
        <w:rPr>
          <w:rFonts w:asciiTheme="minorHAnsi" w:eastAsiaTheme="majorEastAsia" w:hAnsiTheme="minorHAnsi"/>
          <w:i/>
          <w:iCs/>
        </w:rPr>
        <w:t xml:space="preserve">A Companion to the Roman Empire </w:t>
      </w:r>
      <w:r w:rsidRPr="00E34A40">
        <w:rPr>
          <w:rFonts w:asciiTheme="minorHAnsi" w:eastAsiaTheme="majorEastAsia" w:hAnsiTheme="minorHAnsi"/>
        </w:rPr>
        <w:t>(Oxford, 2006), pp. 45-74.</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jc w:val="both"/>
        <w:rPr>
          <w:sz w:val="24"/>
          <w:szCs w:val="24"/>
        </w:rPr>
      </w:pPr>
      <w:r w:rsidRPr="00E34A40">
        <w:rPr>
          <w:sz w:val="24"/>
          <w:szCs w:val="24"/>
        </w:rPr>
        <w:t>Ganter, C., ‘</w:t>
      </w:r>
      <w:r w:rsidRPr="00E34A40">
        <w:rPr>
          <w:i/>
          <w:sz w:val="24"/>
          <w:szCs w:val="24"/>
        </w:rPr>
        <w:t xml:space="preserve">Romana urbs: </w:t>
      </w:r>
      <w:r w:rsidRPr="00E34A40">
        <w:rPr>
          <w:sz w:val="24"/>
          <w:szCs w:val="24"/>
        </w:rPr>
        <w:t xml:space="preserve">levels of Roman and </w:t>
      </w:r>
      <w:r w:rsidR="008B44B0">
        <w:rPr>
          <w:sz w:val="24"/>
          <w:szCs w:val="24"/>
        </w:rPr>
        <w:t>Imperial</w:t>
      </w:r>
      <w:r w:rsidRPr="00E34A40">
        <w:rPr>
          <w:sz w:val="24"/>
          <w:szCs w:val="24"/>
        </w:rPr>
        <w:t xml:space="preserve"> identity in the city of Rome’, </w:t>
      </w:r>
      <w:r w:rsidRPr="00E34A40">
        <w:rPr>
          <w:i/>
          <w:sz w:val="24"/>
          <w:szCs w:val="24"/>
        </w:rPr>
        <w:t xml:space="preserve">Early Medieval Europe </w:t>
      </w:r>
      <w:r w:rsidRPr="00E34A40">
        <w:rPr>
          <w:sz w:val="24"/>
          <w:szCs w:val="24"/>
        </w:rPr>
        <w:t>22 (2014), pp. 461-475.</w:t>
      </w:r>
    </w:p>
    <w:p w:rsidR="00551E4B" w:rsidRPr="00E34A40" w:rsidRDefault="00551E4B" w:rsidP="00551E4B">
      <w:pPr>
        <w:rPr>
          <w:bCs/>
          <w:sz w:val="24"/>
          <w:szCs w:val="24"/>
          <w:lang w:eastAsia="zh-TW"/>
        </w:rPr>
      </w:pPr>
      <w:r w:rsidRPr="00E34A40">
        <w:rPr>
          <w:bCs/>
          <w:sz w:val="24"/>
          <w:szCs w:val="24"/>
          <w:lang w:eastAsia="zh-TW"/>
        </w:rPr>
        <w:t>Garnsey, P., ‘Writing the Late Roman Empire: Method and Sources’, in Gwyn, D (ed.)</w:t>
      </w:r>
      <w:proofErr w:type="gramStart"/>
      <w:r w:rsidRPr="00E34A40">
        <w:rPr>
          <w:bCs/>
          <w:sz w:val="24"/>
          <w:szCs w:val="24"/>
          <w:lang w:eastAsia="zh-TW"/>
        </w:rPr>
        <w:t>.,</w:t>
      </w:r>
      <w:proofErr w:type="gramEnd"/>
      <w:r w:rsidRPr="00E34A40">
        <w:rPr>
          <w:bCs/>
          <w:sz w:val="24"/>
          <w:szCs w:val="24"/>
          <w:lang w:eastAsia="zh-TW"/>
        </w:rPr>
        <w:t xml:space="preserve"> </w:t>
      </w:r>
      <w:r w:rsidRPr="00E34A40">
        <w:rPr>
          <w:bCs/>
          <w:i/>
          <w:sz w:val="24"/>
          <w:szCs w:val="24"/>
          <w:lang w:eastAsia="zh-TW"/>
        </w:rPr>
        <w:t>A.H.M. Jones and the Later Roman Empire</w:t>
      </w:r>
      <w:r w:rsidRPr="00E34A40">
        <w:rPr>
          <w:bCs/>
          <w:sz w:val="24"/>
          <w:szCs w:val="24"/>
          <w:lang w:eastAsia="zh-TW"/>
        </w:rPr>
        <w:t xml:space="preserve"> (Leiden, 2008), pp. 25-42.</w:t>
      </w:r>
    </w:p>
    <w:p w:rsidR="00551E4B" w:rsidRPr="00E34A40" w:rsidRDefault="00551E4B" w:rsidP="00551E4B">
      <w:pPr>
        <w:rPr>
          <w:rFonts w:cstheme="minorHAnsi"/>
          <w:sz w:val="24"/>
          <w:szCs w:val="24"/>
        </w:rPr>
      </w:pPr>
      <w:r w:rsidRPr="00E34A40">
        <w:rPr>
          <w:rFonts w:cstheme="minorHAnsi"/>
          <w:sz w:val="24"/>
          <w:szCs w:val="24"/>
        </w:rPr>
        <w:t xml:space="preserve">                       </w:t>
      </w:r>
      <w:r w:rsidR="009C7AF1" w:rsidRPr="00E34A40">
        <w:rPr>
          <w:rFonts w:cstheme="minorHAnsi"/>
          <w:sz w:val="24"/>
          <w:szCs w:val="24"/>
        </w:rPr>
        <w:t>‘Ro</w:t>
      </w:r>
      <w:r w:rsidR="009C7AF1">
        <w:rPr>
          <w:rFonts w:cstheme="minorHAnsi"/>
          <w:sz w:val="24"/>
          <w:szCs w:val="24"/>
        </w:rPr>
        <w:t>man patronage’, in McGill, S., Sogno, C., &amp; Watts, E</w:t>
      </w:r>
      <w:r w:rsidR="009C7AF1" w:rsidRPr="00E34A40">
        <w:rPr>
          <w:rFonts w:cstheme="minorHAnsi"/>
          <w:sz w:val="24"/>
          <w:szCs w:val="24"/>
        </w:rPr>
        <w:t xml:space="preserve">. </w:t>
      </w:r>
      <w:r w:rsidRPr="00E34A40">
        <w:rPr>
          <w:rFonts w:cstheme="minorHAnsi"/>
          <w:sz w:val="24"/>
          <w:szCs w:val="24"/>
        </w:rPr>
        <w:t>(</w:t>
      </w:r>
      <w:proofErr w:type="gramStart"/>
      <w:r w:rsidRPr="00E34A40">
        <w:rPr>
          <w:rFonts w:cstheme="minorHAnsi"/>
          <w:sz w:val="24"/>
          <w:szCs w:val="24"/>
        </w:rPr>
        <w:t>eds</w:t>
      </w:r>
      <w:proofErr w:type="gramEnd"/>
      <w:r w:rsidRPr="00E34A40">
        <w:rPr>
          <w:rFonts w:cstheme="minorHAnsi"/>
          <w:sz w:val="24"/>
          <w:szCs w:val="24"/>
        </w:rPr>
        <w:t xml:space="preserve">), </w:t>
      </w:r>
      <w:r w:rsidRPr="00E34A40">
        <w:rPr>
          <w:rFonts w:cstheme="minorHAnsi"/>
          <w:i/>
          <w:sz w:val="24"/>
          <w:szCs w:val="24"/>
        </w:rPr>
        <w:t>Yale Classical Studies Volume 34 From the Tetrarchs to the Theodosians Later Roman History and Culture, 284-450 CE</w:t>
      </w:r>
      <w:r w:rsidRPr="00E34A40">
        <w:rPr>
          <w:rFonts w:cstheme="minorHAnsi"/>
          <w:sz w:val="24"/>
          <w:szCs w:val="24"/>
        </w:rPr>
        <w:t xml:space="preserve"> (Cambridge University Press, Cambridge, 2010), pp. 33-55.</w:t>
      </w:r>
    </w:p>
    <w:p w:rsidR="00551E4B" w:rsidRPr="00E34A40" w:rsidRDefault="00551E4B" w:rsidP="00551E4B">
      <w:pPr>
        <w:rPr>
          <w:bCs/>
          <w:sz w:val="24"/>
          <w:szCs w:val="24"/>
          <w:lang w:eastAsia="zh-TW"/>
        </w:rPr>
      </w:pPr>
      <w:r w:rsidRPr="00E34A40">
        <w:rPr>
          <w:bCs/>
          <w:sz w:val="24"/>
          <w:szCs w:val="24"/>
          <w:lang w:eastAsia="zh-TW"/>
        </w:rPr>
        <w:t xml:space="preserve">Gordon, R., ‘From Republic to Principate: Priesthood, Religion and Ideology’, Ando, C. (ed.), </w:t>
      </w:r>
      <w:r w:rsidRPr="00E34A40">
        <w:rPr>
          <w:bCs/>
          <w:i/>
          <w:iCs/>
          <w:sz w:val="24"/>
          <w:szCs w:val="24"/>
          <w:lang w:eastAsia="zh-TW"/>
        </w:rPr>
        <w:t>Roman Religion</w:t>
      </w:r>
      <w:r w:rsidRPr="00E34A40">
        <w:rPr>
          <w:bCs/>
          <w:sz w:val="24"/>
          <w:szCs w:val="24"/>
          <w:lang w:eastAsia="zh-TW"/>
        </w:rPr>
        <w:t xml:space="preserve"> (Edinburgh, 2011), pp. 62-83.</w:t>
      </w:r>
    </w:p>
    <w:p w:rsidR="00551E4B" w:rsidRPr="00E34A40" w:rsidRDefault="00551E4B" w:rsidP="00551E4B">
      <w:pPr>
        <w:rPr>
          <w:sz w:val="24"/>
          <w:szCs w:val="24"/>
        </w:rPr>
      </w:pPr>
      <w:r w:rsidRPr="00E34A40">
        <w:rPr>
          <w:bCs/>
          <w:sz w:val="24"/>
          <w:szCs w:val="24"/>
          <w:lang w:eastAsia="zh-TW"/>
        </w:rPr>
        <w:t xml:space="preserve">                     ‘The Veil of Power: </w:t>
      </w:r>
      <w:r w:rsidR="0087599E">
        <w:rPr>
          <w:bCs/>
          <w:sz w:val="24"/>
          <w:szCs w:val="24"/>
          <w:lang w:eastAsia="zh-TW"/>
        </w:rPr>
        <w:t>emperors</w:t>
      </w:r>
      <w:r w:rsidRPr="00E34A40">
        <w:rPr>
          <w:bCs/>
          <w:sz w:val="24"/>
          <w:szCs w:val="24"/>
          <w:lang w:eastAsia="zh-TW"/>
        </w:rPr>
        <w:t xml:space="preserve">, sacrificers and benefactors’, </w:t>
      </w:r>
      <w:r w:rsidRPr="00E34A40">
        <w:rPr>
          <w:sz w:val="24"/>
          <w:szCs w:val="24"/>
        </w:rPr>
        <w:t>in Beak, M., and North, J. (</w:t>
      </w:r>
      <w:proofErr w:type="gramStart"/>
      <w:r w:rsidRPr="00E34A40">
        <w:rPr>
          <w:sz w:val="24"/>
          <w:szCs w:val="24"/>
        </w:rPr>
        <w:t>eds</w:t>
      </w:r>
      <w:proofErr w:type="gramEnd"/>
      <w:r w:rsidRPr="00E34A40">
        <w:rPr>
          <w:sz w:val="24"/>
          <w:szCs w:val="24"/>
        </w:rPr>
        <w:t xml:space="preserve">), </w:t>
      </w:r>
      <w:r w:rsidRPr="00E34A40">
        <w:rPr>
          <w:i/>
          <w:iCs/>
          <w:sz w:val="24"/>
          <w:szCs w:val="24"/>
        </w:rPr>
        <w:t>Pagan Priests Religion and Power in the Ancient World</w:t>
      </w:r>
      <w:r w:rsidRPr="00E34A40">
        <w:rPr>
          <w:sz w:val="24"/>
          <w:szCs w:val="24"/>
        </w:rPr>
        <w:t xml:space="preserve"> (Duckworth, 1990), pp. 199-232.</w:t>
      </w:r>
    </w:p>
    <w:p w:rsidR="00551E4B" w:rsidRPr="00E34A40" w:rsidRDefault="00551E4B" w:rsidP="00551E4B">
      <w:pPr>
        <w:rPr>
          <w:sz w:val="24"/>
          <w:szCs w:val="24"/>
        </w:rPr>
      </w:pPr>
      <w:r w:rsidRPr="00E34A40">
        <w:rPr>
          <w:bCs/>
          <w:sz w:val="24"/>
          <w:szCs w:val="24"/>
          <w:lang w:eastAsia="zh-TW"/>
        </w:rPr>
        <w:t xml:space="preserve">                     ‘Religion in the Roman Empire: the civic compromise and its limits’, </w:t>
      </w:r>
      <w:r w:rsidRPr="00E34A40">
        <w:rPr>
          <w:sz w:val="24"/>
          <w:szCs w:val="24"/>
        </w:rPr>
        <w:t>in Beak, M., and North, J. (</w:t>
      </w:r>
      <w:proofErr w:type="gramStart"/>
      <w:r w:rsidRPr="00E34A40">
        <w:rPr>
          <w:sz w:val="24"/>
          <w:szCs w:val="24"/>
        </w:rPr>
        <w:t>eds</w:t>
      </w:r>
      <w:proofErr w:type="gramEnd"/>
      <w:r w:rsidRPr="00E34A40">
        <w:rPr>
          <w:sz w:val="24"/>
          <w:szCs w:val="24"/>
        </w:rPr>
        <w:t xml:space="preserve">), </w:t>
      </w:r>
      <w:r w:rsidRPr="00E34A40">
        <w:rPr>
          <w:i/>
          <w:iCs/>
          <w:sz w:val="24"/>
          <w:szCs w:val="24"/>
        </w:rPr>
        <w:t>Pagan Priests Religion and Power in the Ancient World</w:t>
      </w:r>
      <w:r w:rsidRPr="00E34A40">
        <w:rPr>
          <w:sz w:val="24"/>
          <w:szCs w:val="24"/>
        </w:rPr>
        <w:t xml:space="preserve"> (Duckworth, 1990), pp. 233-256.</w:t>
      </w:r>
    </w:p>
    <w:p w:rsidR="00551E4B" w:rsidRPr="00E34A40" w:rsidRDefault="00551E4B" w:rsidP="00551E4B">
      <w:pPr>
        <w:rPr>
          <w:rFonts w:eastAsiaTheme="majorEastAsia"/>
          <w:sz w:val="24"/>
          <w:szCs w:val="24"/>
        </w:rPr>
      </w:pPr>
      <w:r w:rsidRPr="00E34A40">
        <w:rPr>
          <w:bCs/>
          <w:sz w:val="24"/>
          <w:szCs w:val="24"/>
          <w:lang w:eastAsia="zh-TW"/>
        </w:rPr>
        <w:t>Gorman, E., ‘</w:t>
      </w:r>
      <w:r w:rsidR="008B44B0">
        <w:rPr>
          <w:bCs/>
          <w:sz w:val="24"/>
          <w:szCs w:val="24"/>
          <w:lang w:eastAsia="zh-TW"/>
        </w:rPr>
        <w:t>Imperial</w:t>
      </w:r>
      <w:r w:rsidRPr="00E34A40">
        <w:rPr>
          <w:bCs/>
          <w:sz w:val="24"/>
          <w:szCs w:val="24"/>
          <w:lang w:eastAsia="zh-TW"/>
        </w:rPr>
        <w:t xml:space="preserve"> History and Biography at Rome’, </w:t>
      </w:r>
      <w:r w:rsidRPr="00E34A40">
        <w:rPr>
          <w:rFonts w:eastAsiaTheme="majorEastAsia"/>
          <w:sz w:val="24"/>
          <w:szCs w:val="24"/>
        </w:rPr>
        <w:t>in Feldherr, A., and Hardy, G. (</w:t>
      </w:r>
      <w:proofErr w:type="gramStart"/>
      <w:r w:rsidRPr="00E34A40">
        <w:rPr>
          <w:rFonts w:eastAsiaTheme="majorEastAsia"/>
          <w:sz w:val="24"/>
          <w:szCs w:val="24"/>
        </w:rPr>
        <w:t>eds</w:t>
      </w:r>
      <w:proofErr w:type="gramEnd"/>
      <w:r w:rsidRPr="00E34A40">
        <w:rPr>
          <w:rFonts w:eastAsiaTheme="majorEastAsia"/>
          <w:sz w:val="24"/>
          <w:szCs w:val="24"/>
        </w:rPr>
        <w:t xml:space="preserve">), </w:t>
      </w:r>
      <w:r w:rsidRPr="00E34A40">
        <w:rPr>
          <w:rFonts w:eastAsiaTheme="majorEastAsia"/>
          <w:i/>
          <w:sz w:val="24"/>
          <w:szCs w:val="24"/>
        </w:rPr>
        <w:t>The Oxford History of Historical Writing Volume 1: Beginnings to AD 600</w:t>
      </w:r>
      <w:r w:rsidRPr="00E34A40">
        <w:rPr>
          <w:rFonts w:eastAsiaTheme="majorEastAsia"/>
          <w:sz w:val="24"/>
          <w:szCs w:val="24"/>
        </w:rPr>
        <w:t xml:space="preserve"> (Oxford, 2011), pp. 291-315.</w:t>
      </w:r>
    </w:p>
    <w:p w:rsidR="00551E4B" w:rsidRPr="00E34A40" w:rsidRDefault="00551E4B" w:rsidP="00551E4B">
      <w:pPr>
        <w:rPr>
          <w:bCs/>
          <w:sz w:val="24"/>
          <w:szCs w:val="24"/>
        </w:rPr>
      </w:pPr>
      <w:r w:rsidRPr="00E34A40">
        <w:rPr>
          <w:bCs/>
          <w:sz w:val="24"/>
          <w:szCs w:val="24"/>
        </w:rPr>
        <w:t xml:space="preserve">Gorrie, C., ‘The Restoration of the Porticus Octaviae and Severan </w:t>
      </w:r>
      <w:r w:rsidR="008B44B0">
        <w:rPr>
          <w:bCs/>
          <w:sz w:val="24"/>
          <w:szCs w:val="24"/>
        </w:rPr>
        <w:t>Imperial</w:t>
      </w:r>
      <w:r w:rsidRPr="00E34A40">
        <w:rPr>
          <w:bCs/>
          <w:sz w:val="24"/>
          <w:szCs w:val="24"/>
        </w:rPr>
        <w:t xml:space="preserve"> Policy’, </w:t>
      </w:r>
      <w:r w:rsidRPr="00E34A40">
        <w:rPr>
          <w:bCs/>
          <w:i/>
          <w:sz w:val="24"/>
          <w:szCs w:val="24"/>
        </w:rPr>
        <w:t xml:space="preserve">Greece &amp; </w:t>
      </w:r>
      <w:r w:rsidR="009C7AF1" w:rsidRPr="00E34A40">
        <w:rPr>
          <w:bCs/>
          <w:i/>
          <w:sz w:val="24"/>
          <w:szCs w:val="24"/>
        </w:rPr>
        <w:t>Rome Second</w:t>
      </w:r>
      <w:r w:rsidRPr="00E34A40">
        <w:rPr>
          <w:bCs/>
          <w:i/>
          <w:sz w:val="24"/>
          <w:szCs w:val="24"/>
        </w:rPr>
        <w:t xml:space="preserve"> Series Vol. 54 No. 1</w:t>
      </w:r>
      <w:r w:rsidRPr="00E34A40">
        <w:rPr>
          <w:bCs/>
          <w:sz w:val="24"/>
          <w:szCs w:val="24"/>
        </w:rPr>
        <w:t xml:space="preserve"> (2007), pp. 1-17.</w:t>
      </w:r>
    </w:p>
    <w:p w:rsidR="00551E4B" w:rsidRPr="00E34A40" w:rsidRDefault="00551E4B" w:rsidP="00551E4B">
      <w:pPr>
        <w:rPr>
          <w:bCs/>
          <w:sz w:val="24"/>
          <w:szCs w:val="24"/>
        </w:rPr>
      </w:pPr>
      <w:r w:rsidRPr="00E34A40">
        <w:rPr>
          <w:bCs/>
          <w:sz w:val="24"/>
          <w:szCs w:val="24"/>
        </w:rPr>
        <w:t xml:space="preserve">                   ‘Julia Domna’s Building Patronage, </w:t>
      </w:r>
      <w:r w:rsidR="008B44B0">
        <w:rPr>
          <w:bCs/>
          <w:sz w:val="24"/>
          <w:szCs w:val="24"/>
        </w:rPr>
        <w:t>Imperial</w:t>
      </w:r>
      <w:r w:rsidRPr="00E34A40">
        <w:rPr>
          <w:bCs/>
          <w:sz w:val="24"/>
          <w:szCs w:val="24"/>
        </w:rPr>
        <w:t xml:space="preserve"> Family Roles and the Severan Revival of Moral Legislation’, </w:t>
      </w:r>
      <w:r w:rsidRPr="00E34A40">
        <w:rPr>
          <w:bCs/>
          <w:i/>
          <w:iCs/>
          <w:sz w:val="24"/>
          <w:szCs w:val="24"/>
        </w:rPr>
        <w:t>Historia: Zeitschrift für Alte Geschichte</w:t>
      </w:r>
      <w:r w:rsidRPr="00E34A40">
        <w:rPr>
          <w:bCs/>
          <w:i/>
          <w:sz w:val="24"/>
          <w:szCs w:val="24"/>
        </w:rPr>
        <w:t xml:space="preserve"> Bd. 53 H. 1</w:t>
      </w:r>
      <w:r w:rsidRPr="00E34A40">
        <w:rPr>
          <w:bCs/>
          <w:sz w:val="24"/>
          <w:szCs w:val="24"/>
        </w:rPr>
        <w:t xml:space="preserve"> (2004), pp. 61-72.</w:t>
      </w:r>
    </w:p>
    <w:p w:rsidR="00551E4B" w:rsidRPr="00E34A40" w:rsidRDefault="00551E4B" w:rsidP="00551E4B">
      <w:pPr>
        <w:rPr>
          <w:bCs/>
          <w:sz w:val="24"/>
          <w:szCs w:val="24"/>
        </w:rPr>
      </w:pPr>
      <w:r w:rsidRPr="00E34A40">
        <w:rPr>
          <w:sz w:val="24"/>
          <w:szCs w:val="24"/>
        </w:rPr>
        <w:t xml:space="preserve">                   ‘The Septizodium of </w:t>
      </w:r>
      <w:r w:rsidR="00F630A0">
        <w:rPr>
          <w:sz w:val="24"/>
          <w:szCs w:val="24"/>
        </w:rPr>
        <w:t>Septimius</w:t>
      </w:r>
      <w:r w:rsidRPr="00E34A40">
        <w:rPr>
          <w:sz w:val="24"/>
          <w:szCs w:val="24"/>
        </w:rPr>
        <w:t xml:space="preserve"> Severus </w:t>
      </w:r>
      <w:r w:rsidR="009C7AF1" w:rsidRPr="00E34A40">
        <w:rPr>
          <w:sz w:val="24"/>
          <w:szCs w:val="24"/>
        </w:rPr>
        <w:t>Revisited</w:t>
      </w:r>
      <w:r w:rsidRPr="00E34A40">
        <w:rPr>
          <w:sz w:val="24"/>
          <w:szCs w:val="24"/>
        </w:rPr>
        <w:t xml:space="preserve">: the Monument in its Historical and Urban Context’, </w:t>
      </w:r>
      <w:r w:rsidRPr="00E34A40">
        <w:rPr>
          <w:i/>
          <w:sz w:val="24"/>
          <w:szCs w:val="24"/>
        </w:rPr>
        <w:t>Latomus T. 60 Fasc. 3</w:t>
      </w:r>
      <w:r w:rsidRPr="00E34A40">
        <w:rPr>
          <w:sz w:val="24"/>
          <w:szCs w:val="24"/>
        </w:rPr>
        <w:t xml:space="preserve"> (Juillet-Septembre 2001), pp. 653-670.</w:t>
      </w:r>
    </w:p>
    <w:p w:rsidR="00551E4B" w:rsidRPr="00E34A40" w:rsidRDefault="00551E4B" w:rsidP="00551E4B">
      <w:pPr>
        <w:rPr>
          <w:bCs/>
          <w:sz w:val="24"/>
          <w:szCs w:val="24"/>
        </w:rPr>
      </w:pPr>
      <w:r w:rsidRPr="00E34A40">
        <w:rPr>
          <w:bCs/>
          <w:sz w:val="24"/>
          <w:szCs w:val="24"/>
        </w:rPr>
        <w:lastRenderedPageBreak/>
        <w:t xml:space="preserve">Gowers, E., ‘The Anatomy of Rome from Capitol to Cloaca’, </w:t>
      </w:r>
      <w:proofErr w:type="gramStart"/>
      <w:r w:rsidRPr="00E34A40">
        <w:rPr>
          <w:bCs/>
          <w:i/>
          <w:sz w:val="24"/>
          <w:szCs w:val="24"/>
        </w:rPr>
        <w:t>The</w:t>
      </w:r>
      <w:proofErr w:type="gramEnd"/>
      <w:r w:rsidRPr="00E34A40">
        <w:rPr>
          <w:bCs/>
          <w:i/>
          <w:sz w:val="24"/>
          <w:szCs w:val="24"/>
        </w:rPr>
        <w:t xml:space="preserve"> Journal of Roman Studies Vol. 85</w:t>
      </w:r>
      <w:r w:rsidRPr="00E34A40">
        <w:rPr>
          <w:bCs/>
          <w:sz w:val="24"/>
          <w:szCs w:val="24"/>
        </w:rPr>
        <w:t xml:space="preserve"> (1995), pp. 23-32.</w:t>
      </w:r>
    </w:p>
    <w:p w:rsidR="00551E4B" w:rsidRPr="00E34A40" w:rsidRDefault="00551E4B" w:rsidP="00551E4B">
      <w:pPr>
        <w:autoSpaceDE w:val="0"/>
        <w:autoSpaceDN w:val="0"/>
        <w:adjustRightInd w:val="0"/>
        <w:spacing w:after="0" w:line="240" w:lineRule="auto"/>
        <w:rPr>
          <w:sz w:val="24"/>
          <w:szCs w:val="24"/>
        </w:rPr>
      </w:pPr>
      <w:r w:rsidRPr="00E34A40">
        <w:rPr>
          <w:rFonts w:cs="AGaramond-Regular"/>
          <w:sz w:val="24"/>
          <w:szCs w:val="24"/>
        </w:rPr>
        <w:t>Graham, S., ‘Counting bricks and stacking wood: providing the physical fabric’,</w:t>
      </w:r>
      <w:r w:rsidRPr="00E34A40">
        <w:rPr>
          <w:sz w:val="24"/>
          <w:szCs w:val="24"/>
        </w:rPr>
        <w:t xml:space="preserve"> in Erdkamp, P (ed.), </w:t>
      </w:r>
      <w:r w:rsidRPr="00E34A40">
        <w:rPr>
          <w:i/>
          <w:sz w:val="24"/>
          <w:szCs w:val="24"/>
        </w:rPr>
        <w:t>The Cambridge Companion to Ancient Rome</w:t>
      </w:r>
      <w:r w:rsidRPr="00E34A40">
        <w:rPr>
          <w:sz w:val="24"/>
          <w:szCs w:val="24"/>
        </w:rPr>
        <w:t xml:space="preserve"> (Cambridge, 2013), pp. 278-296.</w:t>
      </w:r>
    </w:p>
    <w:p w:rsidR="00551E4B" w:rsidRPr="00E34A40" w:rsidRDefault="00551E4B" w:rsidP="00551E4B">
      <w:pPr>
        <w:autoSpaceDE w:val="0"/>
        <w:autoSpaceDN w:val="0"/>
        <w:adjustRightInd w:val="0"/>
        <w:spacing w:after="0" w:line="240" w:lineRule="auto"/>
        <w:rPr>
          <w:sz w:val="24"/>
          <w:szCs w:val="24"/>
        </w:rPr>
      </w:pPr>
    </w:p>
    <w:p w:rsidR="00551E4B" w:rsidRPr="00E34A40" w:rsidRDefault="00551E4B" w:rsidP="00551E4B">
      <w:pPr>
        <w:jc w:val="both"/>
        <w:rPr>
          <w:bCs/>
          <w:sz w:val="24"/>
          <w:szCs w:val="24"/>
        </w:rPr>
      </w:pPr>
      <w:r w:rsidRPr="00E34A40">
        <w:rPr>
          <w:bCs/>
          <w:sz w:val="24"/>
          <w:szCs w:val="24"/>
        </w:rPr>
        <w:t>Greatrex</w:t>
      </w:r>
      <w:r w:rsidR="009C7AF1">
        <w:rPr>
          <w:bCs/>
          <w:sz w:val="24"/>
          <w:szCs w:val="24"/>
        </w:rPr>
        <w:t>,</w:t>
      </w:r>
      <w:r w:rsidRPr="00E34A40">
        <w:rPr>
          <w:bCs/>
          <w:sz w:val="24"/>
          <w:szCs w:val="24"/>
        </w:rPr>
        <w:t xml:space="preserve"> G., ‘Lawyers and Historians in Late Antiquity’, in Mathisen, R.W. (ed.), </w:t>
      </w:r>
      <w:r w:rsidRPr="00E34A40">
        <w:rPr>
          <w:bCs/>
          <w:i/>
          <w:iCs/>
          <w:sz w:val="24"/>
          <w:szCs w:val="24"/>
        </w:rPr>
        <w:t>Law, Society, and Authority in Late Antiquity</w:t>
      </w:r>
      <w:r w:rsidRPr="00E34A40">
        <w:rPr>
          <w:bCs/>
          <w:sz w:val="24"/>
          <w:szCs w:val="24"/>
        </w:rPr>
        <w:t xml:space="preserve"> (Oxford, 2001), pp. 148-161.</w:t>
      </w:r>
    </w:p>
    <w:p w:rsidR="00551E4B" w:rsidRPr="00E34A40" w:rsidRDefault="00551E4B" w:rsidP="00551E4B">
      <w:pPr>
        <w:rPr>
          <w:bCs/>
          <w:i/>
          <w:sz w:val="24"/>
          <w:szCs w:val="24"/>
        </w:rPr>
      </w:pPr>
      <w:r w:rsidRPr="00E34A40">
        <w:rPr>
          <w:bCs/>
          <w:sz w:val="24"/>
          <w:szCs w:val="24"/>
        </w:rPr>
        <w:t xml:space="preserve">Grig, L., ‘Deconstruction the Symbolic City: Jerome as Guide to Late Antique Rome’, </w:t>
      </w:r>
      <w:r w:rsidRPr="00E34A40">
        <w:rPr>
          <w:bCs/>
          <w:i/>
          <w:sz w:val="24"/>
          <w:szCs w:val="24"/>
        </w:rPr>
        <w:t xml:space="preserve">Papers of the British School at Rome Vol. 80 </w:t>
      </w:r>
      <w:r w:rsidRPr="00E34A40">
        <w:rPr>
          <w:bCs/>
          <w:sz w:val="24"/>
          <w:szCs w:val="24"/>
        </w:rPr>
        <w:t>(2012), pp. 125-143.</w:t>
      </w:r>
    </w:p>
    <w:p w:rsidR="00551E4B" w:rsidRPr="00E34A40" w:rsidRDefault="00551E4B" w:rsidP="00551E4B">
      <w:pPr>
        <w:rPr>
          <w:sz w:val="24"/>
          <w:szCs w:val="24"/>
        </w:rPr>
      </w:pPr>
      <w:r w:rsidRPr="00E34A40">
        <w:rPr>
          <w:sz w:val="24"/>
          <w:szCs w:val="24"/>
        </w:rPr>
        <w:t xml:space="preserve">               </w:t>
      </w:r>
      <w:proofErr w:type="gramStart"/>
      <w:r w:rsidRPr="00E34A40">
        <w:rPr>
          <w:sz w:val="24"/>
          <w:szCs w:val="24"/>
        </w:rPr>
        <w:t>‘Competing Capitals, Competing Re</w:t>
      </w:r>
      <w:r w:rsidR="009C7AF1">
        <w:rPr>
          <w:sz w:val="24"/>
          <w:szCs w:val="24"/>
        </w:rPr>
        <w:t>presentations: Late Antique Cit</w:t>
      </w:r>
      <w:r w:rsidRPr="00E34A40">
        <w:rPr>
          <w:sz w:val="24"/>
          <w:szCs w:val="24"/>
        </w:rPr>
        <w:t xml:space="preserve">yscapes in Words and Pictures‘, in </w:t>
      </w:r>
      <w:r w:rsidRPr="00E34A40">
        <w:rPr>
          <w:i/>
          <w:iCs/>
          <w:sz w:val="24"/>
          <w:szCs w:val="24"/>
        </w:rPr>
        <w:t>Two Romes Rome and Constantinople in Late Antiquity</w:t>
      </w:r>
      <w:r w:rsidRPr="00E34A40">
        <w:rPr>
          <w:sz w:val="24"/>
          <w:szCs w:val="24"/>
        </w:rPr>
        <w:t xml:space="preserve"> (Oxford, 2012), pp. 31-52.</w:t>
      </w:r>
      <w:proofErr w:type="gramEnd"/>
    </w:p>
    <w:p w:rsidR="00551E4B" w:rsidRPr="00E34A40" w:rsidRDefault="00551E4B" w:rsidP="00551E4B">
      <w:pPr>
        <w:jc w:val="both"/>
        <w:rPr>
          <w:bCs/>
          <w:sz w:val="24"/>
          <w:szCs w:val="24"/>
        </w:rPr>
      </w:pPr>
      <w:r w:rsidRPr="00E34A40">
        <w:rPr>
          <w:sz w:val="24"/>
          <w:szCs w:val="24"/>
        </w:rPr>
        <w:t xml:space="preserve">              ‘Introduction: From Rome to Constantinople’, in </w:t>
      </w:r>
      <w:r w:rsidRPr="00E34A40">
        <w:rPr>
          <w:i/>
          <w:iCs/>
          <w:sz w:val="24"/>
          <w:szCs w:val="24"/>
        </w:rPr>
        <w:t>Two Romes Rome and Constantinople in Late Antiquity</w:t>
      </w:r>
      <w:r w:rsidRPr="00E34A40">
        <w:rPr>
          <w:sz w:val="24"/>
          <w:szCs w:val="24"/>
        </w:rPr>
        <w:t xml:space="preserve"> (Oxford, 2012), pp. 3-30.</w:t>
      </w:r>
    </w:p>
    <w:p w:rsidR="00551E4B" w:rsidRPr="00E34A40" w:rsidRDefault="00551E4B" w:rsidP="00551E4B">
      <w:pPr>
        <w:rPr>
          <w:sz w:val="24"/>
          <w:szCs w:val="24"/>
        </w:rPr>
      </w:pPr>
      <w:proofErr w:type="gramStart"/>
      <w:r w:rsidRPr="00E34A40">
        <w:rPr>
          <w:sz w:val="24"/>
          <w:szCs w:val="24"/>
        </w:rPr>
        <w:t>Gruijs, A., ‘</w:t>
      </w:r>
      <w:r w:rsidR="009C7AF1" w:rsidRPr="00E34A40">
        <w:rPr>
          <w:sz w:val="24"/>
          <w:szCs w:val="24"/>
        </w:rPr>
        <w:t>Codicology</w:t>
      </w:r>
      <w:r w:rsidRPr="00E34A40">
        <w:rPr>
          <w:sz w:val="24"/>
          <w:szCs w:val="24"/>
        </w:rPr>
        <w:t xml:space="preserve"> or the Archaeology of the book?</w:t>
      </w:r>
      <w:proofErr w:type="gramEnd"/>
      <w:r w:rsidRPr="00E34A40">
        <w:rPr>
          <w:sz w:val="24"/>
          <w:szCs w:val="24"/>
        </w:rPr>
        <w:t xml:space="preserve"> </w:t>
      </w:r>
      <w:proofErr w:type="gramStart"/>
      <w:r w:rsidRPr="00E34A40">
        <w:rPr>
          <w:sz w:val="24"/>
          <w:szCs w:val="24"/>
        </w:rPr>
        <w:t xml:space="preserve">A false dilemma’, </w:t>
      </w:r>
      <w:r w:rsidRPr="00E34A40">
        <w:rPr>
          <w:i/>
          <w:sz w:val="24"/>
          <w:szCs w:val="24"/>
        </w:rPr>
        <w:t xml:space="preserve">English version of the Inaugural lecture of Dr Gruijs, Reader in Auxiliary Historical </w:t>
      </w:r>
      <w:r w:rsidR="009C7AF1" w:rsidRPr="00E34A40">
        <w:rPr>
          <w:i/>
          <w:sz w:val="24"/>
          <w:szCs w:val="24"/>
        </w:rPr>
        <w:t>Studies</w:t>
      </w:r>
      <w:r w:rsidRPr="00E34A40">
        <w:rPr>
          <w:i/>
          <w:sz w:val="24"/>
          <w:szCs w:val="24"/>
        </w:rPr>
        <w:t xml:space="preserve"> at the University of Nijmegen</w:t>
      </w:r>
      <w:r w:rsidRPr="00E34A40">
        <w:rPr>
          <w:sz w:val="24"/>
          <w:szCs w:val="24"/>
        </w:rPr>
        <w:t xml:space="preserve"> (1971), pp. 87-108.</w:t>
      </w:r>
      <w:proofErr w:type="gramEnd"/>
    </w:p>
    <w:p w:rsidR="00551E4B" w:rsidRPr="00E34A40" w:rsidRDefault="00551E4B" w:rsidP="00551E4B">
      <w:pPr>
        <w:rPr>
          <w:sz w:val="24"/>
          <w:szCs w:val="24"/>
        </w:rPr>
      </w:pPr>
      <w:r w:rsidRPr="00E34A40">
        <w:rPr>
          <w:sz w:val="24"/>
          <w:szCs w:val="24"/>
        </w:rPr>
        <w:t xml:space="preserve">Heather, P., ‘Running the Empire: Bureaucrats, Curials and Senators’, </w:t>
      </w:r>
      <w:r w:rsidRPr="00E34A40">
        <w:rPr>
          <w:bCs/>
          <w:sz w:val="24"/>
          <w:szCs w:val="24"/>
          <w:lang w:eastAsia="zh-TW"/>
        </w:rPr>
        <w:t>in Gwyn, D (ed.)</w:t>
      </w:r>
      <w:proofErr w:type="gramStart"/>
      <w:r w:rsidRPr="00E34A40">
        <w:rPr>
          <w:bCs/>
          <w:sz w:val="24"/>
          <w:szCs w:val="24"/>
          <w:lang w:eastAsia="zh-TW"/>
        </w:rPr>
        <w:t>.,</w:t>
      </w:r>
      <w:proofErr w:type="gramEnd"/>
      <w:r w:rsidRPr="00E34A40">
        <w:rPr>
          <w:bCs/>
          <w:sz w:val="24"/>
          <w:szCs w:val="24"/>
          <w:lang w:eastAsia="zh-TW"/>
        </w:rPr>
        <w:t xml:space="preserve"> </w:t>
      </w:r>
      <w:r w:rsidRPr="00E34A40">
        <w:rPr>
          <w:bCs/>
          <w:i/>
          <w:sz w:val="24"/>
          <w:szCs w:val="24"/>
          <w:lang w:eastAsia="zh-TW"/>
        </w:rPr>
        <w:t>A.H.M. Jones and the Later Roman Empire</w:t>
      </w:r>
      <w:r w:rsidRPr="00E34A40">
        <w:rPr>
          <w:bCs/>
          <w:sz w:val="24"/>
          <w:szCs w:val="24"/>
          <w:lang w:eastAsia="zh-TW"/>
        </w:rPr>
        <w:t xml:space="preserve"> (Leiden, 2008), pp. 97-120.</w:t>
      </w:r>
    </w:p>
    <w:p w:rsidR="00551E4B" w:rsidRPr="00E34A40" w:rsidRDefault="00551E4B" w:rsidP="00551E4B">
      <w:pPr>
        <w:rPr>
          <w:sz w:val="24"/>
          <w:szCs w:val="24"/>
        </w:rPr>
      </w:pPr>
      <w:r w:rsidRPr="00E34A40">
        <w:rPr>
          <w:sz w:val="24"/>
          <w:szCs w:val="24"/>
        </w:rPr>
        <w:t>Hansen, I.L., ‘Muses as Models: Learning and the Complicity of Authority’, in Bell, S., and Hansen, I.L. (</w:t>
      </w:r>
      <w:proofErr w:type="gramStart"/>
      <w:r w:rsidRPr="00E34A40">
        <w:rPr>
          <w:sz w:val="24"/>
          <w:szCs w:val="24"/>
        </w:rPr>
        <w:t>eds</w:t>
      </w:r>
      <w:proofErr w:type="gramEnd"/>
      <w:r w:rsidRPr="00E34A40">
        <w:rPr>
          <w:sz w:val="24"/>
          <w:szCs w:val="24"/>
        </w:rPr>
        <w:t xml:space="preserve">), </w:t>
      </w:r>
      <w:r w:rsidRPr="00E34A40">
        <w:rPr>
          <w:i/>
          <w:sz w:val="24"/>
          <w:szCs w:val="24"/>
        </w:rPr>
        <w:t>Role Models in the Roman World Identity and Assimilation</w:t>
      </w:r>
      <w:r w:rsidRPr="00E34A40">
        <w:rPr>
          <w:sz w:val="24"/>
          <w:szCs w:val="24"/>
        </w:rPr>
        <w:t xml:space="preserve"> (Michigan, 2008), pp. 273-286.</w:t>
      </w:r>
    </w:p>
    <w:p w:rsidR="00551E4B" w:rsidRPr="00E34A40" w:rsidRDefault="00551E4B" w:rsidP="00551E4B">
      <w:pPr>
        <w:rPr>
          <w:sz w:val="24"/>
          <w:szCs w:val="24"/>
        </w:rPr>
      </w:pPr>
      <w:r w:rsidRPr="00E34A40">
        <w:rPr>
          <w:sz w:val="24"/>
          <w:szCs w:val="24"/>
        </w:rPr>
        <w:t xml:space="preserve">Harries, J., ‘Church and State in the Notitia Galliarum’, </w:t>
      </w:r>
      <w:proofErr w:type="gramStart"/>
      <w:r w:rsidRPr="00E34A40">
        <w:rPr>
          <w:i/>
          <w:sz w:val="24"/>
          <w:szCs w:val="24"/>
        </w:rPr>
        <w:t>The</w:t>
      </w:r>
      <w:proofErr w:type="gramEnd"/>
      <w:r w:rsidRPr="00E34A40">
        <w:rPr>
          <w:i/>
          <w:sz w:val="24"/>
          <w:szCs w:val="24"/>
        </w:rPr>
        <w:t xml:space="preserve"> Journal of Roman Studies Vol. 68 </w:t>
      </w:r>
      <w:r w:rsidRPr="00E34A40">
        <w:rPr>
          <w:sz w:val="24"/>
          <w:szCs w:val="24"/>
        </w:rPr>
        <w:t>(1978), pp. 26-43.</w:t>
      </w:r>
    </w:p>
    <w:p w:rsidR="00551E4B" w:rsidRPr="00E34A40" w:rsidRDefault="00551E4B" w:rsidP="00551E4B">
      <w:pPr>
        <w:rPr>
          <w:sz w:val="24"/>
          <w:szCs w:val="24"/>
        </w:rPr>
      </w:pPr>
      <w:r w:rsidRPr="00E34A40">
        <w:rPr>
          <w:sz w:val="24"/>
          <w:szCs w:val="24"/>
        </w:rPr>
        <w:t xml:space="preserve">Harris, W.V., ‘Introduction: Rome in Late Antiquity’, in Harris, W.V., </w:t>
      </w:r>
      <w:proofErr w:type="gramStart"/>
      <w:r w:rsidRPr="00E34A40">
        <w:rPr>
          <w:i/>
          <w:sz w:val="24"/>
          <w:szCs w:val="24"/>
        </w:rPr>
        <w:t>The</w:t>
      </w:r>
      <w:proofErr w:type="gramEnd"/>
      <w:r w:rsidRPr="00E34A40">
        <w:rPr>
          <w:i/>
          <w:sz w:val="24"/>
          <w:szCs w:val="24"/>
        </w:rPr>
        <w:t xml:space="preserve"> Transformation of Vrbs Roma in Late Antiquity</w:t>
      </w:r>
      <w:r w:rsidRPr="00E34A40">
        <w:rPr>
          <w:sz w:val="24"/>
          <w:szCs w:val="24"/>
        </w:rPr>
        <w:t xml:space="preserve"> (Portsmouth, 1999), pp. 9-14.</w:t>
      </w:r>
    </w:p>
    <w:p w:rsidR="00551E4B" w:rsidRPr="00E34A40" w:rsidRDefault="00551E4B" w:rsidP="00551E4B">
      <w:pPr>
        <w:autoSpaceDE w:val="0"/>
        <w:autoSpaceDN w:val="0"/>
        <w:adjustRightInd w:val="0"/>
        <w:spacing w:after="0" w:line="240" w:lineRule="auto"/>
        <w:jc w:val="both"/>
        <w:rPr>
          <w:rFonts w:cs="AGaramond-Regular"/>
          <w:sz w:val="24"/>
          <w:szCs w:val="24"/>
        </w:rPr>
      </w:pPr>
      <w:proofErr w:type="gramStart"/>
      <w:r w:rsidRPr="00E34A40">
        <w:rPr>
          <w:rFonts w:cs="AGaramond-Regular"/>
          <w:sz w:val="24"/>
          <w:szCs w:val="24"/>
        </w:rPr>
        <w:t xml:space="preserve">Henderson, G., ‘Emulation and invention in Carolingian art’, in McKitterick, R (ed.), </w:t>
      </w:r>
      <w:r w:rsidRPr="00E34A40">
        <w:rPr>
          <w:rFonts w:cs="AGaramond-Regular"/>
          <w:i/>
          <w:sz w:val="24"/>
          <w:szCs w:val="24"/>
        </w:rPr>
        <w:t>Carolingian Culture emulation and innovation</w:t>
      </w:r>
      <w:r w:rsidRPr="00E34A40">
        <w:rPr>
          <w:rFonts w:cs="AGaramond-Regular"/>
          <w:sz w:val="24"/>
          <w:szCs w:val="24"/>
        </w:rPr>
        <w:t xml:space="preserve"> (Cambridge, 1994), pp. 248-273.</w:t>
      </w:r>
      <w:proofErr w:type="gramEnd"/>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rPr>
          <w:sz w:val="24"/>
          <w:szCs w:val="24"/>
        </w:rPr>
      </w:pPr>
      <w:r w:rsidRPr="00E34A40">
        <w:rPr>
          <w:sz w:val="24"/>
          <w:szCs w:val="24"/>
        </w:rPr>
        <w:t xml:space="preserve">Hermann, H., ‘The Forum Transformed’, </w:t>
      </w:r>
      <w:r w:rsidRPr="00E34A40">
        <w:rPr>
          <w:i/>
          <w:sz w:val="24"/>
          <w:szCs w:val="24"/>
        </w:rPr>
        <w:t>Places 5 (1)</w:t>
      </w:r>
      <w:r w:rsidRPr="00E34A40">
        <w:rPr>
          <w:sz w:val="24"/>
          <w:szCs w:val="24"/>
        </w:rPr>
        <w:t xml:space="preserve"> (1988), pp. 25-27.</w:t>
      </w:r>
    </w:p>
    <w:p w:rsidR="00551E4B" w:rsidRPr="00E34A40" w:rsidRDefault="00551E4B" w:rsidP="00551E4B">
      <w:pPr>
        <w:rPr>
          <w:sz w:val="24"/>
          <w:szCs w:val="24"/>
        </w:rPr>
      </w:pPr>
      <w:r w:rsidRPr="00E34A40">
        <w:rPr>
          <w:sz w:val="24"/>
          <w:szCs w:val="24"/>
        </w:rPr>
        <w:t xml:space="preserve">Hermansen, G., ‘The Population of </w:t>
      </w:r>
      <w:r w:rsidR="008B44B0">
        <w:rPr>
          <w:sz w:val="24"/>
          <w:szCs w:val="24"/>
        </w:rPr>
        <w:t>Imperial</w:t>
      </w:r>
      <w:r w:rsidRPr="00E34A40">
        <w:rPr>
          <w:sz w:val="24"/>
          <w:szCs w:val="24"/>
        </w:rPr>
        <w:t xml:space="preserve"> Rome: The Regionaries’ </w:t>
      </w:r>
      <w:r w:rsidRPr="00E34A40">
        <w:rPr>
          <w:rFonts w:cs="Sabon-Roman"/>
          <w:i/>
          <w:iCs/>
          <w:color w:val="231F20"/>
          <w:sz w:val="24"/>
          <w:szCs w:val="24"/>
          <w:lang w:val="de-DE"/>
        </w:rPr>
        <w:t xml:space="preserve">Historia: Zeitschrift für Alte Geschichte Bd. 27 H. 1 </w:t>
      </w:r>
      <w:r w:rsidRPr="00E34A40">
        <w:rPr>
          <w:rFonts w:cs="Sabon-Roman"/>
          <w:color w:val="231F20"/>
          <w:sz w:val="24"/>
          <w:szCs w:val="24"/>
          <w:lang w:val="de-DE"/>
        </w:rPr>
        <w:t>(1978)</w:t>
      </w:r>
      <w:r w:rsidRPr="00E34A40">
        <w:rPr>
          <w:sz w:val="24"/>
          <w:szCs w:val="24"/>
        </w:rPr>
        <w:t>, pp. 129-168.</w:t>
      </w:r>
    </w:p>
    <w:p w:rsidR="00551E4B" w:rsidRPr="00E34A40" w:rsidRDefault="00551E4B" w:rsidP="00551E4B">
      <w:pPr>
        <w:rPr>
          <w:sz w:val="24"/>
          <w:szCs w:val="24"/>
        </w:rPr>
      </w:pPr>
      <w:r w:rsidRPr="00E34A40">
        <w:rPr>
          <w:sz w:val="24"/>
          <w:szCs w:val="24"/>
        </w:rPr>
        <w:t xml:space="preserve">Hökerberg, H., ‘Contextualising the periphery. </w:t>
      </w:r>
      <w:proofErr w:type="gramStart"/>
      <w:r w:rsidRPr="00E34A40">
        <w:rPr>
          <w:sz w:val="24"/>
          <w:szCs w:val="24"/>
        </w:rPr>
        <w:t xml:space="preserve">New conceptions of urban heritage in Rome’, </w:t>
      </w:r>
      <w:r w:rsidRPr="00E34A40">
        <w:rPr>
          <w:i/>
          <w:iCs/>
          <w:sz w:val="24"/>
          <w:szCs w:val="24"/>
        </w:rPr>
        <w:t>International Journal of Heritage Studies Vol. 19 No. 3</w:t>
      </w:r>
      <w:r w:rsidRPr="00E34A40">
        <w:rPr>
          <w:sz w:val="24"/>
          <w:szCs w:val="24"/>
        </w:rPr>
        <w:t xml:space="preserve"> (2013), pp. 243-258.</w:t>
      </w:r>
      <w:proofErr w:type="gramEnd"/>
    </w:p>
    <w:p w:rsidR="00551E4B" w:rsidRPr="00E34A40" w:rsidRDefault="00551E4B" w:rsidP="00551E4B">
      <w:pPr>
        <w:rPr>
          <w:sz w:val="24"/>
          <w:szCs w:val="24"/>
        </w:rPr>
      </w:pPr>
      <w:r w:rsidRPr="00E34A40">
        <w:rPr>
          <w:sz w:val="24"/>
          <w:szCs w:val="24"/>
        </w:rPr>
        <w:lastRenderedPageBreak/>
        <w:t>Holleran, C., ‘The development of public entertainment venues in Rome and Italy’, in Lomas, K., and Cornell, T. (</w:t>
      </w:r>
      <w:proofErr w:type="gramStart"/>
      <w:r w:rsidRPr="00E34A40">
        <w:rPr>
          <w:sz w:val="24"/>
          <w:szCs w:val="24"/>
        </w:rPr>
        <w:t>eds</w:t>
      </w:r>
      <w:proofErr w:type="gramEnd"/>
      <w:r w:rsidRPr="00E34A40">
        <w:rPr>
          <w:sz w:val="24"/>
          <w:szCs w:val="24"/>
        </w:rPr>
        <w:t xml:space="preserve">), </w:t>
      </w:r>
      <w:r w:rsidRPr="00E34A40">
        <w:rPr>
          <w:i/>
          <w:iCs/>
          <w:sz w:val="24"/>
          <w:szCs w:val="24"/>
        </w:rPr>
        <w:t>‘Bread and Circuses’ Euergetism and municipal patronage in Roman Italy</w:t>
      </w:r>
      <w:r w:rsidRPr="00E34A40">
        <w:rPr>
          <w:sz w:val="24"/>
          <w:szCs w:val="24"/>
        </w:rPr>
        <w:t xml:space="preserve"> (London, 2003), pp. 46-60.</w:t>
      </w:r>
    </w:p>
    <w:p w:rsidR="00551E4B" w:rsidRPr="00E34A40" w:rsidRDefault="00551E4B" w:rsidP="00551E4B">
      <w:pPr>
        <w:rPr>
          <w:sz w:val="24"/>
          <w:szCs w:val="24"/>
        </w:rPr>
      </w:pPr>
      <w:r w:rsidRPr="00E34A40">
        <w:rPr>
          <w:sz w:val="24"/>
          <w:szCs w:val="24"/>
        </w:rPr>
        <w:t xml:space="preserve">                       ‘The Street Life of Ancient Rome’, in Laurence, R., and Newsome, D.J. (</w:t>
      </w:r>
      <w:proofErr w:type="gramStart"/>
      <w:r w:rsidRPr="00E34A40">
        <w:rPr>
          <w:sz w:val="24"/>
          <w:szCs w:val="24"/>
        </w:rPr>
        <w:t>eds</w:t>
      </w:r>
      <w:proofErr w:type="gramEnd"/>
      <w:r w:rsidRPr="00E34A40">
        <w:rPr>
          <w:sz w:val="24"/>
          <w:szCs w:val="24"/>
        </w:rPr>
        <w:t xml:space="preserve">), </w:t>
      </w:r>
      <w:r w:rsidRPr="00E34A40">
        <w:rPr>
          <w:i/>
          <w:iCs/>
          <w:sz w:val="24"/>
          <w:szCs w:val="24"/>
        </w:rPr>
        <w:t>Rome, Ostia, Pompeii Movement and Space</w:t>
      </w:r>
      <w:r w:rsidRPr="00E34A40">
        <w:rPr>
          <w:sz w:val="24"/>
          <w:szCs w:val="24"/>
        </w:rPr>
        <w:t xml:space="preserve"> (Oxford, 2011)</w:t>
      </w:r>
      <w:r w:rsidRPr="00E34A40">
        <w:rPr>
          <w:sz w:val="24"/>
          <w:szCs w:val="24"/>
          <w:lang w:eastAsia="zh-TW"/>
        </w:rPr>
        <w:t>, pp. 245-261.</w:t>
      </w:r>
    </w:p>
    <w:p w:rsidR="00551E4B" w:rsidRPr="00E34A40" w:rsidRDefault="00551E4B" w:rsidP="00551E4B">
      <w:pPr>
        <w:rPr>
          <w:sz w:val="24"/>
          <w:szCs w:val="24"/>
        </w:rPr>
      </w:pPr>
      <w:r w:rsidRPr="00E34A40">
        <w:rPr>
          <w:sz w:val="24"/>
          <w:szCs w:val="24"/>
        </w:rPr>
        <w:t>Hölscher, T., ‘The Transformation of Victory into Power: From Event to Structure’, in Dillon, S., and Welch, K.E. (</w:t>
      </w:r>
      <w:proofErr w:type="gramStart"/>
      <w:r w:rsidRPr="00E34A40">
        <w:rPr>
          <w:sz w:val="24"/>
          <w:szCs w:val="24"/>
        </w:rPr>
        <w:t>eds</w:t>
      </w:r>
      <w:proofErr w:type="gramEnd"/>
      <w:r w:rsidRPr="00E34A40">
        <w:rPr>
          <w:sz w:val="24"/>
          <w:szCs w:val="24"/>
        </w:rPr>
        <w:t xml:space="preserve">), </w:t>
      </w:r>
      <w:r w:rsidRPr="00E34A40">
        <w:rPr>
          <w:i/>
          <w:sz w:val="24"/>
          <w:szCs w:val="24"/>
        </w:rPr>
        <w:t>Representations of War in Ancient Rome</w:t>
      </w:r>
      <w:r w:rsidRPr="00E34A40">
        <w:rPr>
          <w:sz w:val="24"/>
          <w:szCs w:val="24"/>
        </w:rPr>
        <w:t xml:space="preserve"> (Cambridge, 2006), pp. 27-48.</w:t>
      </w:r>
    </w:p>
    <w:p w:rsidR="00551E4B" w:rsidRPr="00E34A40" w:rsidRDefault="00551E4B" w:rsidP="00551E4B">
      <w:pPr>
        <w:rPr>
          <w:sz w:val="24"/>
          <w:szCs w:val="24"/>
        </w:rPr>
      </w:pPr>
      <w:r w:rsidRPr="00E34A40">
        <w:rPr>
          <w:sz w:val="24"/>
          <w:szCs w:val="24"/>
        </w:rPr>
        <w:t xml:space="preserve">Hook, D., ‘Some Codicological Observations on British Library MS Egerton 289’, </w:t>
      </w:r>
      <w:r>
        <w:rPr>
          <w:i/>
          <w:sz w:val="24"/>
          <w:szCs w:val="24"/>
        </w:rPr>
        <w:t>Bulletin</w:t>
      </w:r>
      <w:r w:rsidRPr="00E34A40">
        <w:rPr>
          <w:i/>
          <w:sz w:val="24"/>
          <w:szCs w:val="24"/>
        </w:rPr>
        <w:t xml:space="preserve"> of Hispanic Studies 75:4 </w:t>
      </w:r>
      <w:r w:rsidRPr="00E34A40">
        <w:rPr>
          <w:sz w:val="24"/>
          <w:szCs w:val="24"/>
        </w:rPr>
        <w:t>(1998), pp. 437-451.</w:t>
      </w:r>
    </w:p>
    <w:p w:rsidR="00551E4B" w:rsidRPr="00E34A40" w:rsidRDefault="00551E4B" w:rsidP="00551E4B">
      <w:pPr>
        <w:rPr>
          <w:sz w:val="24"/>
          <w:szCs w:val="24"/>
        </w:rPr>
      </w:pPr>
      <w:r w:rsidRPr="00E34A40">
        <w:rPr>
          <w:sz w:val="24"/>
          <w:szCs w:val="24"/>
          <w:lang w:eastAsia="zh-TW"/>
        </w:rPr>
        <w:t>Hope, V., ‘</w:t>
      </w:r>
      <w:proofErr w:type="gramStart"/>
      <w:r w:rsidRPr="00E34A40">
        <w:rPr>
          <w:sz w:val="24"/>
          <w:szCs w:val="24"/>
          <w:lang w:eastAsia="zh-TW"/>
        </w:rPr>
        <w:t>The</w:t>
      </w:r>
      <w:proofErr w:type="gramEnd"/>
      <w:r w:rsidRPr="00E34A40">
        <w:rPr>
          <w:sz w:val="24"/>
          <w:szCs w:val="24"/>
          <w:lang w:eastAsia="zh-TW"/>
        </w:rPr>
        <w:t xml:space="preserve"> city of Rome: capital and symbol’,</w:t>
      </w:r>
      <w:r w:rsidRPr="00E34A40">
        <w:rPr>
          <w:sz w:val="24"/>
          <w:szCs w:val="24"/>
        </w:rPr>
        <w:t xml:space="preserve"> in Huskinson, J. (ed.), </w:t>
      </w:r>
      <w:r w:rsidRPr="00E34A40">
        <w:rPr>
          <w:i/>
          <w:iCs/>
          <w:sz w:val="24"/>
          <w:szCs w:val="24"/>
        </w:rPr>
        <w:t>Experiencing Rome Culture, Identity, and Power in the Roman Empire</w:t>
      </w:r>
      <w:r w:rsidRPr="00E34A40">
        <w:rPr>
          <w:sz w:val="24"/>
          <w:szCs w:val="24"/>
        </w:rPr>
        <w:t xml:space="preserve"> (London, 2000), pp. 63-94</w:t>
      </w:r>
    </w:p>
    <w:p w:rsidR="00551E4B" w:rsidRPr="00E34A40" w:rsidRDefault="00551E4B" w:rsidP="00551E4B">
      <w:pPr>
        <w:rPr>
          <w:sz w:val="24"/>
          <w:szCs w:val="24"/>
        </w:rPr>
      </w:pPr>
      <w:r w:rsidRPr="00E34A40">
        <w:rPr>
          <w:sz w:val="24"/>
          <w:szCs w:val="24"/>
        </w:rPr>
        <w:t>Hopkins, J., ‘The ‘</w:t>
      </w:r>
      <w:r w:rsidR="00182EFE">
        <w:rPr>
          <w:sz w:val="24"/>
          <w:szCs w:val="24"/>
        </w:rPr>
        <w:t>sacred</w:t>
      </w:r>
      <w:r w:rsidRPr="00E34A40">
        <w:rPr>
          <w:sz w:val="24"/>
          <w:szCs w:val="24"/>
        </w:rPr>
        <w:t xml:space="preserve"> sewer’: tradition and religion in the Cloaca Maxima’, in Bradley, M. (ed.), </w:t>
      </w:r>
      <w:r w:rsidRPr="00E34A40">
        <w:rPr>
          <w:i/>
          <w:iCs/>
          <w:sz w:val="24"/>
          <w:szCs w:val="24"/>
        </w:rPr>
        <w:t>Rome, Pollution and Propriety Dirt, Disease and Hygiene in the Eternal City from Antiquity to Modernity</w:t>
      </w:r>
      <w:r w:rsidRPr="00E34A40">
        <w:rPr>
          <w:sz w:val="24"/>
          <w:szCs w:val="24"/>
        </w:rPr>
        <w:t xml:space="preserve"> (Cambridge, 2012), pp. 81-102.</w:t>
      </w:r>
    </w:p>
    <w:p w:rsidR="00551E4B" w:rsidRPr="00E34A40" w:rsidRDefault="00551E4B" w:rsidP="00551E4B">
      <w:pPr>
        <w:rPr>
          <w:sz w:val="24"/>
          <w:szCs w:val="24"/>
        </w:rPr>
      </w:pPr>
      <w:r w:rsidRPr="00E34A40">
        <w:rPr>
          <w:sz w:val="24"/>
          <w:szCs w:val="24"/>
        </w:rPr>
        <w:t>Hopkins, K., ‘Conquest by book’, in Beard, M., Bowman, A.K., Corbier, M., Cornell, T., Franklin Jr, J.L., Hanson, A., Hopkins, K., Horsfall, N. (</w:t>
      </w:r>
      <w:proofErr w:type="gramStart"/>
      <w:r w:rsidRPr="00E34A40">
        <w:rPr>
          <w:sz w:val="24"/>
          <w:szCs w:val="24"/>
        </w:rPr>
        <w:t>eds</w:t>
      </w:r>
      <w:proofErr w:type="gramEnd"/>
      <w:r w:rsidRPr="00E34A40">
        <w:rPr>
          <w:sz w:val="24"/>
          <w:szCs w:val="24"/>
        </w:rPr>
        <w:t xml:space="preserve">), </w:t>
      </w:r>
      <w:r w:rsidRPr="00E34A40">
        <w:rPr>
          <w:i/>
          <w:sz w:val="24"/>
          <w:szCs w:val="24"/>
        </w:rPr>
        <w:t>Literacy in the Roman World</w:t>
      </w:r>
      <w:r w:rsidRPr="00E34A40">
        <w:rPr>
          <w:sz w:val="24"/>
          <w:szCs w:val="24"/>
        </w:rPr>
        <w:t xml:space="preserve"> (Ann Arbor, 1991), pp. 133-159.</w:t>
      </w: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Humfress, C., ‘Civil Law and Social Life’, in Lenski, N. (ed.), </w:t>
      </w:r>
      <w:proofErr w:type="gramStart"/>
      <w:r w:rsidRPr="00E34A40">
        <w:rPr>
          <w:rFonts w:asciiTheme="minorHAnsi" w:eastAsiaTheme="majorEastAsia" w:hAnsiTheme="minorHAnsi"/>
        </w:rPr>
        <w:t>The</w:t>
      </w:r>
      <w:proofErr w:type="gramEnd"/>
      <w:r w:rsidRPr="00E34A40">
        <w:rPr>
          <w:rFonts w:asciiTheme="minorHAnsi" w:eastAsiaTheme="majorEastAsia" w:hAnsiTheme="minorHAnsi"/>
        </w:rPr>
        <w:t xml:space="preserve"> Cambridge Companion to the Age of Constantine (Cambridge, 2006), pp. 205-226.</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pStyle w:val="Default"/>
        <w:rPr>
          <w:rFonts w:asciiTheme="minorHAnsi" w:hAnsiTheme="minorHAnsi"/>
        </w:rPr>
      </w:pPr>
      <w:r w:rsidRPr="00E34A40">
        <w:rPr>
          <w:rFonts w:asciiTheme="minorHAnsi" w:eastAsiaTheme="majorEastAsia" w:hAnsiTheme="minorHAnsi"/>
        </w:rPr>
        <w:t>Hunt, E.D., ‘</w:t>
      </w:r>
      <w:r w:rsidR="008B44B0">
        <w:rPr>
          <w:rFonts w:asciiTheme="minorHAnsi" w:eastAsiaTheme="majorEastAsia" w:hAnsiTheme="minorHAnsi"/>
        </w:rPr>
        <w:t>Imperial</w:t>
      </w:r>
      <w:r w:rsidRPr="00E34A40">
        <w:rPr>
          <w:rFonts w:asciiTheme="minorHAnsi" w:eastAsiaTheme="majorEastAsia" w:hAnsiTheme="minorHAnsi"/>
        </w:rPr>
        <w:t xml:space="preserve"> Building at Rome </w:t>
      </w:r>
      <w:proofErr w:type="gramStart"/>
      <w:r w:rsidRPr="00E34A40">
        <w:rPr>
          <w:rFonts w:asciiTheme="minorHAnsi" w:eastAsiaTheme="majorEastAsia" w:hAnsiTheme="minorHAnsi"/>
        </w:rPr>
        <w:t>The</w:t>
      </w:r>
      <w:proofErr w:type="gramEnd"/>
      <w:r w:rsidRPr="00E34A40">
        <w:rPr>
          <w:rFonts w:asciiTheme="minorHAnsi" w:eastAsiaTheme="majorEastAsia" w:hAnsiTheme="minorHAnsi"/>
        </w:rPr>
        <w:t xml:space="preserve"> Role of Constantine’, </w:t>
      </w:r>
      <w:r w:rsidRPr="00E34A40">
        <w:rPr>
          <w:rFonts w:asciiTheme="minorHAnsi" w:hAnsiTheme="minorHAnsi"/>
        </w:rPr>
        <w:t xml:space="preserve">in Lomas, K., and Cornell, T. (eds), </w:t>
      </w:r>
      <w:r w:rsidRPr="00E34A40">
        <w:rPr>
          <w:rFonts w:asciiTheme="minorHAnsi" w:hAnsiTheme="minorHAnsi"/>
          <w:i/>
          <w:iCs/>
        </w:rPr>
        <w:t>‘Bread and Circuses’ Euergetism and municipal patronage in Roman Italy</w:t>
      </w:r>
      <w:r w:rsidRPr="00E34A40">
        <w:rPr>
          <w:rFonts w:asciiTheme="minorHAnsi" w:hAnsiTheme="minorHAnsi"/>
        </w:rPr>
        <w:t xml:space="preserve"> (London, 2003), pp. 105-124.</w:t>
      </w:r>
    </w:p>
    <w:p w:rsidR="00551E4B" w:rsidRPr="00E34A40" w:rsidRDefault="00551E4B" w:rsidP="00551E4B">
      <w:pPr>
        <w:pStyle w:val="Default"/>
        <w:rPr>
          <w:rFonts w:asciiTheme="minorHAnsi" w:hAnsiTheme="minorHAnsi"/>
        </w:rPr>
      </w:pPr>
    </w:p>
    <w:p w:rsidR="00551E4B" w:rsidRPr="00E34A40" w:rsidRDefault="00551E4B" w:rsidP="00551E4B">
      <w:pPr>
        <w:autoSpaceDE w:val="0"/>
        <w:autoSpaceDN w:val="0"/>
        <w:adjustRightInd w:val="0"/>
        <w:spacing w:after="0" w:line="240" w:lineRule="auto"/>
        <w:jc w:val="both"/>
        <w:rPr>
          <w:rFonts w:cs="AGaramond-Regular"/>
          <w:sz w:val="24"/>
          <w:szCs w:val="24"/>
        </w:rPr>
      </w:pPr>
      <w:proofErr w:type="gramStart"/>
      <w:r w:rsidRPr="00E34A40">
        <w:rPr>
          <w:rFonts w:cs="AGaramond-Regular"/>
          <w:sz w:val="24"/>
          <w:szCs w:val="24"/>
        </w:rPr>
        <w:t xml:space="preserve">Innes, M., and McKitterick, R., ‘The writing of history’, in McKitterick, R (ed.), </w:t>
      </w:r>
      <w:r w:rsidRPr="00E34A40">
        <w:rPr>
          <w:rFonts w:cs="AGaramond-Regular"/>
          <w:i/>
          <w:sz w:val="24"/>
          <w:szCs w:val="24"/>
        </w:rPr>
        <w:t>Carolingian Culture emulation and innovation</w:t>
      </w:r>
      <w:r w:rsidRPr="00E34A40">
        <w:rPr>
          <w:rFonts w:cs="AGaramond-Regular"/>
          <w:sz w:val="24"/>
          <w:szCs w:val="24"/>
        </w:rPr>
        <w:t xml:space="preserve"> (Cambridge, 1994), pp. 193-220.</w:t>
      </w:r>
      <w:proofErr w:type="gramEnd"/>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Jakab, E., ‘Introduction: Archives in the Roman Empire’, in Faraguna, M (ed.), </w:t>
      </w:r>
      <w:r w:rsidRPr="00E34A40">
        <w:rPr>
          <w:rFonts w:asciiTheme="minorHAnsi" w:eastAsiaTheme="majorEastAsia" w:hAnsiTheme="minorHAnsi"/>
          <w:i/>
        </w:rPr>
        <w:t>Legal Documents in Ancient Societies IV: Archives and Archival Documents in Ancient Societies</w:t>
      </w:r>
      <w:r w:rsidRPr="00E34A40">
        <w:rPr>
          <w:rFonts w:asciiTheme="minorHAnsi" w:eastAsiaTheme="majorEastAsia" w:hAnsiTheme="minorHAnsi"/>
        </w:rPr>
        <w:t xml:space="preserve"> (Trieste, 2011), pp. 269-272.</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rFonts w:cstheme="minorHAnsi"/>
          <w:sz w:val="24"/>
          <w:szCs w:val="24"/>
        </w:rPr>
      </w:pPr>
      <w:r w:rsidRPr="00E34A40">
        <w:rPr>
          <w:rFonts w:cstheme="minorHAnsi"/>
          <w:sz w:val="24"/>
          <w:szCs w:val="24"/>
        </w:rPr>
        <w:t xml:space="preserve">James, </w:t>
      </w:r>
      <w:proofErr w:type="gramStart"/>
      <w:r w:rsidRPr="00E34A40">
        <w:rPr>
          <w:rFonts w:cstheme="minorHAnsi"/>
          <w:sz w:val="24"/>
          <w:szCs w:val="24"/>
        </w:rPr>
        <w:t>Edward.,</w:t>
      </w:r>
      <w:proofErr w:type="gramEnd"/>
      <w:r w:rsidRPr="00E34A40">
        <w:rPr>
          <w:rFonts w:cstheme="minorHAnsi"/>
          <w:sz w:val="24"/>
          <w:szCs w:val="24"/>
        </w:rPr>
        <w:t xml:space="preserve"> ‘The Rise and Function of the Concept of “Late Antiquity”, </w:t>
      </w:r>
      <w:r w:rsidRPr="00E34A40">
        <w:rPr>
          <w:rFonts w:cstheme="minorHAnsi"/>
          <w:i/>
          <w:sz w:val="24"/>
          <w:szCs w:val="24"/>
        </w:rPr>
        <w:t xml:space="preserve">Journal of Late Antiquity Vol. 1 No.1 </w:t>
      </w:r>
      <w:r w:rsidRPr="00E34A40">
        <w:rPr>
          <w:rFonts w:cstheme="minorHAnsi"/>
          <w:sz w:val="24"/>
          <w:szCs w:val="24"/>
        </w:rPr>
        <w:t>(Baltimore, 2008), pp. 20-30.</w:t>
      </w: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 xml:space="preserve">Jenkyns, R., ‘The Legacy of Rome’, in Jenkyns, R (ed.), </w:t>
      </w:r>
      <w:proofErr w:type="gramStart"/>
      <w:r w:rsidRPr="00E34A40">
        <w:rPr>
          <w:rFonts w:cs="AGaramond-Regular"/>
          <w:i/>
          <w:sz w:val="24"/>
          <w:szCs w:val="24"/>
        </w:rPr>
        <w:t>The</w:t>
      </w:r>
      <w:proofErr w:type="gramEnd"/>
      <w:r w:rsidRPr="00E34A40">
        <w:rPr>
          <w:rFonts w:cs="AGaramond-Regular"/>
          <w:i/>
          <w:sz w:val="24"/>
          <w:szCs w:val="24"/>
        </w:rPr>
        <w:t xml:space="preserve"> Legacy of Rome A New Appraisal</w:t>
      </w:r>
      <w:r w:rsidRPr="00E34A40">
        <w:rPr>
          <w:rFonts w:cs="AGaramond-Regular"/>
          <w:sz w:val="24"/>
          <w:szCs w:val="24"/>
        </w:rPr>
        <w:t xml:space="preserve"> (Oxford, 1992), pp. 1-36.</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Jenny, L., and Watts, R., ‘Genetic Criticism and its Myths’, </w:t>
      </w:r>
      <w:r w:rsidRPr="00E34A40">
        <w:rPr>
          <w:rFonts w:asciiTheme="minorHAnsi" w:eastAsiaTheme="majorEastAsia" w:hAnsiTheme="minorHAnsi"/>
          <w:i/>
        </w:rPr>
        <w:t xml:space="preserve">Yale French Studies No. 89 Drafts </w:t>
      </w:r>
      <w:r w:rsidRPr="00E34A40">
        <w:rPr>
          <w:rFonts w:asciiTheme="minorHAnsi" w:eastAsiaTheme="majorEastAsia" w:hAnsiTheme="minorHAnsi"/>
        </w:rPr>
        <w:t>(1996), pp. 9-25.</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pStyle w:val="Default"/>
        <w:rPr>
          <w:rFonts w:asciiTheme="minorHAnsi" w:eastAsiaTheme="majorEastAsia" w:hAnsiTheme="minorHAnsi"/>
          <w:bCs/>
        </w:rPr>
      </w:pPr>
      <w:r w:rsidRPr="00E34A40">
        <w:rPr>
          <w:rFonts w:asciiTheme="minorHAnsi" w:eastAsiaTheme="majorEastAsia" w:hAnsiTheme="minorHAnsi"/>
          <w:bCs/>
        </w:rPr>
        <w:t xml:space="preserve">Jones, A.H.M., ‘The Date and Value of the Verona List’, </w:t>
      </w:r>
      <w:proofErr w:type="gramStart"/>
      <w:r w:rsidRPr="00E34A40">
        <w:rPr>
          <w:rFonts w:asciiTheme="minorHAnsi" w:eastAsiaTheme="majorEastAsia" w:hAnsiTheme="minorHAnsi"/>
          <w:bCs/>
          <w:i/>
        </w:rPr>
        <w:t>The</w:t>
      </w:r>
      <w:proofErr w:type="gramEnd"/>
      <w:r w:rsidRPr="00E34A40">
        <w:rPr>
          <w:rFonts w:asciiTheme="minorHAnsi" w:eastAsiaTheme="majorEastAsia" w:hAnsiTheme="minorHAnsi"/>
          <w:bCs/>
          <w:i/>
        </w:rPr>
        <w:t xml:space="preserve"> Journal of Roman Studies Vol. 44</w:t>
      </w:r>
      <w:r w:rsidRPr="00E34A40">
        <w:rPr>
          <w:rFonts w:asciiTheme="minorHAnsi" w:eastAsiaTheme="majorEastAsia" w:hAnsiTheme="minorHAnsi"/>
          <w:bCs/>
        </w:rPr>
        <w:t xml:space="preserve"> 1954), pp. 21-29.</w:t>
      </w:r>
    </w:p>
    <w:p w:rsidR="00551E4B" w:rsidRPr="00E34A40" w:rsidRDefault="00551E4B" w:rsidP="00551E4B">
      <w:pPr>
        <w:pStyle w:val="Default"/>
        <w:rPr>
          <w:rFonts w:asciiTheme="minorHAnsi" w:eastAsiaTheme="majorEastAsia" w:hAnsiTheme="minorHAnsi"/>
          <w:bCs/>
        </w:rPr>
      </w:pPr>
    </w:p>
    <w:p w:rsidR="00551E4B" w:rsidRPr="00E34A40" w:rsidRDefault="00551E4B" w:rsidP="00551E4B">
      <w:pPr>
        <w:pStyle w:val="Default"/>
        <w:rPr>
          <w:rFonts w:asciiTheme="minorHAnsi" w:eastAsiaTheme="majorEastAsia" w:hAnsiTheme="minorHAnsi"/>
          <w:bCs/>
        </w:rPr>
      </w:pPr>
      <w:r w:rsidRPr="00E34A40">
        <w:rPr>
          <w:rFonts w:asciiTheme="minorHAnsi" w:eastAsiaTheme="majorEastAsia" w:hAnsiTheme="minorHAnsi"/>
          <w:bCs/>
        </w:rPr>
        <w:t xml:space="preserve">                         ‘Collegiate Prefectures’, </w:t>
      </w:r>
      <w:proofErr w:type="gramStart"/>
      <w:r w:rsidRPr="00E34A40">
        <w:rPr>
          <w:rFonts w:asciiTheme="minorHAnsi" w:eastAsiaTheme="majorEastAsia" w:hAnsiTheme="minorHAnsi"/>
          <w:bCs/>
          <w:i/>
        </w:rPr>
        <w:t>The</w:t>
      </w:r>
      <w:proofErr w:type="gramEnd"/>
      <w:r w:rsidRPr="00E34A40">
        <w:rPr>
          <w:rFonts w:asciiTheme="minorHAnsi" w:eastAsiaTheme="majorEastAsia" w:hAnsiTheme="minorHAnsi"/>
          <w:bCs/>
          <w:i/>
        </w:rPr>
        <w:t xml:space="preserve"> Journal of Roman Studies Vol. 54 Parts 1 and 2</w:t>
      </w:r>
      <w:r w:rsidRPr="00E34A40">
        <w:rPr>
          <w:rFonts w:asciiTheme="minorHAnsi" w:eastAsiaTheme="majorEastAsia" w:hAnsiTheme="minorHAnsi"/>
          <w:bCs/>
        </w:rPr>
        <w:t xml:space="preserve"> (1964), pp. 78-89.</w:t>
      </w:r>
    </w:p>
    <w:p w:rsidR="00551E4B" w:rsidRPr="00E34A40" w:rsidRDefault="00551E4B" w:rsidP="00551E4B">
      <w:pPr>
        <w:pStyle w:val="Default"/>
        <w:rPr>
          <w:rFonts w:asciiTheme="minorHAnsi" w:eastAsiaTheme="majorEastAsia" w:hAnsiTheme="minorHAnsi"/>
          <w:bCs/>
        </w:rPr>
      </w:pPr>
    </w:p>
    <w:p w:rsidR="00551E4B" w:rsidRPr="00E34A40" w:rsidRDefault="00551E4B" w:rsidP="00551E4B">
      <w:pPr>
        <w:pStyle w:val="Default"/>
        <w:rPr>
          <w:rFonts w:asciiTheme="minorHAnsi" w:eastAsiaTheme="majorEastAsia" w:hAnsiTheme="minorHAnsi"/>
          <w:bCs/>
        </w:rPr>
      </w:pPr>
      <w:r w:rsidRPr="00E34A40">
        <w:rPr>
          <w:rFonts w:asciiTheme="minorHAnsi" w:hAnsiTheme="minorHAnsi"/>
        </w:rPr>
        <w:t xml:space="preserve">                           ‘The Roman Civil Service (Clerical and Sub-Clerical Grades)’, </w:t>
      </w:r>
      <w:proofErr w:type="gramStart"/>
      <w:r w:rsidRPr="00E34A40">
        <w:rPr>
          <w:rFonts w:asciiTheme="minorHAnsi" w:hAnsiTheme="minorHAnsi"/>
          <w:i/>
        </w:rPr>
        <w:t>The</w:t>
      </w:r>
      <w:proofErr w:type="gramEnd"/>
      <w:r w:rsidRPr="00E34A40">
        <w:rPr>
          <w:rFonts w:asciiTheme="minorHAnsi" w:hAnsiTheme="minorHAnsi"/>
          <w:i/>
        </w:rPr>
        <w:t xml:space="preserve"> Journal of Roman Studies</w:t>
      </w:r>
      <w:r w:rsidRPr="00E34A40">
        <w:rPr>
          <w:rFonts w:asciiTheme="minorHAnsi" w:hAnsiTheme="minorHAnsi"/>
        </w:rPr>
        <w:t xml:space="preserve"> Vol. 39 Parts 1 &amp; 2 (Society for the Promotion of Roman Studies, London, 1920), pp. 38-55.</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sz w:val="24"/>
          <w:szCs w:val="24"/>
        </w:rPr>
      </w:pPr>
      <w:r w:rsidRPr="00E34A40">
        <w:rPr>
          <w:rFonts w:cs="Sabon-Roman"/>
          <w:color w:val="231F20"/>
          <w:sz w:val="24"/>
          <w:szCs w:val="24"/>
        </w:rPr>
        <w:t xml:space="preserve">Kaufman, David B., ‘Horrea Romana: Roman Storehouses’, </w:t>
      </w:r>
      <w:proofErr w:type="gramStart"/>
      <w:r w:rsidRPr="00E34A40">
        <w:rPr>
          <w:rFonts w:cs="Sabon-Roman"/>
          <w:i/>
          <w:iCs/>
          <w:color w:val="231F20"/>
          <w:sz w:val="24"/>
          <w:szCs w:val="24"/>
        </w:rPr>
        <w:t>The</w:t>
      </w:r>
      <w:proofErr w:type="gramEnd"/>
      <w:r w:rsidRPr="00E34A40">
        <w:rPr>
          <w:rFonts w:cs="Sabon-Roman"/>
          <w:i/>
          <w:iCs/>
          <w:color w:val="231F20"/>
          <w:sz w:val="24"/>
          <w:szCs w:val="24"/>
        </w:rPr>
        <w:t xml:space="preserve"> Classical Weekly Vol. 23 No. 7</w:t>
      </w:r>
      <w:r w:rsidRPr="00E34A40">
        <w:rPr>
          <w:rFonts w:cs="Sabon-Roman"/>
          <w:color w:val="231F20"/>
          <w:sz w:val="24"/>
          <w:szCs w:val="24"/>
        </w:rPr>
        <w:t xml:space="preserve"> (1929), pp. 49-54.</w:t>
      </w:r>
    </w:p>
    <w:p w:rsidR="00551E4B" w:rsidRPr="00E34A40" w:rsidRDefault="00551E4B" w:rsidP="00551E4B">
      <w:pPr>
        <w:rPr>
          <w:sz w:val="24"/>
          <w:szCs w:val="24"/>
        </w:rPr>
      </w:pPr>
      <w:r w:rsidRPr="00E34A40">
        <w:rPr>
          <w:sz w:val="24"/>
          <w:szCs w:val="24"/>
        </w:rPr>
        <w:t xml:space="preserve">Keller, L.F., ‘A Heritage from Rome: The Administrator as Doer’, </w:t>
      </w:r>
      <w:r w:rsidRPr="00E34A40">
        <w:rPr>
          <w:i/>
          <w:sz w:val="24"/>
          <w:szCs w:val="24"/>
        </w:rPr>
        <w:t>Dialogue Vol. 10 No. 2</w:t>
      </w:r>
      <w:r w:rsidRPr="00E34A40">
        <w:rPr>
          <w:sz w:val="24"/>
          <w:szCs w:val="24"/>
        </w:rPr>
        <w:t xml:space="preserve"> (1988), pp. 49-75.</w:t>
      </w:r>
    </w:p>
    <w:p w:rsidR="00551E4B" w:rsidRPr="00E34A40" w:rsidRDefault="00551E4B" w:rsidP="00551E4B">
      <w:pPr>
        <w:rPr>
          <w:sz w:val="24"/>
          <w:szCs w:val="24"/>
        </w:rPr>
      </w:pPr>
      <w:r w:rsidRPr="00E34A40">
        <w:rPr>
          <w:sz w:val="24"/>
          <w:szCs w:val="24"/>
        </w:rPr>
        <w:t xml:space="preserve">Kelly, B., ‘Policing and Security’, in Erdkamp, P (ed.), </w:t>
      </w:r>
      <w:proofErr w:type="gramStart"/>
      <w:r w:rsidRPr="00E34A40">
        <w:rPr>
          <w:i/>
          <w:sz w:val="24"/>
          <w:szCs w:val="24"/>
        </w:rPr>
        <w:t>The</w:t>
      </w:r>
      <w:proofErr w:type="gramEnd"/>
      <w:r w:rsidRPr="00E34A40">
        <w:rPr>
          <w:i/>
          <w:sz w:val="24"/>
          <w:szCs w:val="24"/>
        </w:rPr>
        <w:t xml:space="preserve"> Cambridge Companion to Ancient Rome</w:t>
      </w:r>
      <w:r w:rsidRPr="00E34A40">
        <w:rPr>
          <w:sz w:val="24"/>
          <w:szCs w:val="24"/>
        </w:rPr>
        <w:t xml:space="preserve"> (Cambridge, 2013), pp. 410-424.</w:t>
      </w:r>
    </w:p>
    <w:p w:rsidR="00551E4B" w:rsidRPr="00E34A40" w:rsidRDefault="00551E4B" w:rsidP="00551E4B">
      <w:pPr>
        <w:rPr>
          <w:sz w:val="24"/>
          <w:szCs w:val="24"/>
        </w:rPr>
      </w:pPr>
      <w:r w:rsidRPr="00E34A40">
        <w:rPr>
          <w:rFonts w:eastAsia="Arial Unicode MS" w:cstheme="minorHAnsi"/>
          <w:sz w:val="24"/>
          <w:szCs w:val="24"/>
          <w:lang w:eastAsia="en-GB"/>
        </w:rPr>
        <w:t xml:space="preserve">                ‘Riot Control and </w:t>
      </w:r>
      <w:r w:rsidR="008B44B0">
        <w:rPr>
          <w:rFonts w:eastAsia="Arial Unicode MS" w:cstheme="minorHAnsi"/>
          <w:sz w:val="24"/>
          <w:szCs w:val="24"/>
          <w:lang w:eastAsia="en-GB"/>
        </w:rPr>
        <w:t>Imperial</w:t>
      </w:r>
      <w:r w:rsidRPr="00E34A40">
        <w:rPr>
          <w:rFonts w:eastAsia="Arial Unicode MS" w:cstheme="minorHAnsi"/>
          <w:sz w:val="24"/>
          <w:szCs w:val="24"/>
          <w:lang w:eastAsia="en-GB"/>
        </w:rPr>
        <w:t xml:space="preserve"> Ideology in the Roman Empire’, </w:t>
      </w:r>
      <w:r w:rsidRPr="00E34A40">
        <w:rPr>
          <w:rFonts w:eastAsia="Arial Unicode MS" w:cstheme="minorHAnsi"/>
          <w:i/>
          <w:sz w:val="24"/>
          <w:szCs w:val="24"/>
          <w:lang w:eastAsia="en-GB"/>
        </w:rPr>
        <w:t xml:space="preserve">Phoenix Vol. 61 No. 1/2 </w:t>
      </w:r>
      <w:r w:rsidRPr="00E34A40">
        <w:rPr>
          <w:rFonts w:eastAsia="Arial Unicode MS" w:cstheme="minorHAnsi"/>
          <w:sz w:val="24"/>
          <w:szCs w:val="24"/>
          <w:lang w:eastAsia="en-GB"/>
        </w:rPr>
        <w:t>(Toronto, 2007), pp. 150-176.</w:t>
      </w:r>
    </w:p>
    <w:p w:rsidR="00551E4B" w:rsidRPr="00E34A40" w:rsidRDefault="00551E4B" w:rsidP="00551E4B">
      <w:pPr>
        <w:shd w:val="clear" w:color="auto" w:fill="FFFFFF"/>
        <w:spacing w:after="0" w:line="240" w:lineRule="auto"/>
        <w:rPr>
          <w:rFonts w:eastAsiaTheme="majorEastAsia"/>
          <w:sz w:val="24"/>
          <w:szCs w:val="24"/>
        </w:rPr>
      </w:pPr>
      <w:r w:rsidRPr="00E34A40">
        <w:rPr>
          <w:rFonts w:cstheme="minorHAnsi"/>
          <w:sz w:val="24"/>
          <w:szCs w:val="24"/>
        </w:rPr>
        <w:t xml:space="preserve">Kelly, C., ‘Bureaucracy and Government’, </w:t>
      </w:r>
      <w:r w:rsidRPr="00E34A40">
        <w:rPr>
          <w:rFonts w:eastAsiaTheme="majorEastAsia"/>
          <w:sz w:val="24"/>
          <w:szCs w:val="24"/>
        </w:rPr>
        <w:t xml:space="preserve">in Lenski, N. (ed.), </w:t>
      </w:r>
      <w:proofErr w:type="gramStart"/>
      <w:r w:rsidRPr="00E34A40">
        <w:rPr>
          <w:rFonts w:eastAsiaTheme="majorEastAsia"/>
          <w:sz w:val="24"/>
          <w:szCs w:val="24"/>
        </w:rPr>
        <w:t>The</w:t>
      </w:r>
      <w:proofErr w:type="gramEnd"/>
      <w:r w:rsidRPr="00E34A40">
        <w:rPr>
          <w:rFonts w:eastAsiaTheme="majorEastAsia"/>
          <w:sz w:val="24"/>
          <w:szCs w:val="24"/>
        </w:rPr>
        <w:t xml:space="preserve"> Cambridge Companion to the Age of Constantine (Cambridge, 2006), pp. 183-204.</w:t>
      </w:r>
    </w:p>
    <w:p w:rsidR="00551E4B" w:rsidRPr="00E34A40" w:rsidRDefault="00551E4B" w:rsidP="00551E4B">
      <w:pPr>
        <w:shd w:val="clear" w:color="auto" w:fill="FFFFFF"/>
        <w:spacing w:after="0" w:line="240" w:lineRule="auto"/>
        <w:rPr>
          <w:rFonts w:eastAsiaTheme="majorEastAsia"/>
          <w:sz w:val="24"/>
          <w:szCs w:val="24"/>
        </w:rPr>
      </w:pPr>
    </w:p>
    <w:p w:rsidR="00551E4B" w:rsidRPr="00E34A40" w:rsidRDefault="00551E4B" w:rsidP="00551E4B">
      <w:pPr>
        <w:rPr>
          <w:rFonts w:eastAsia="Arial Unicode MS" w:cstheme="minorHAnsi"/>
          <w:sz w:val="24"/>
          <w:szCs w:val="24"/>
          <w:lang w:eastAsia="en-GB"/>
        </w:rPr>
      </w:pPr>
      <w:r w:rsidRPr="00E34A40">
        <w:rPr>
          <w:rFonts w:cstheme="minorHAnsi"/>
          <w:sz w:val="24"/>
          <w:szCs w:val="24"/>
        </w:rPr>
        <w:t xml:space="preserve">                 ‘</w:t>
      </w:r>
      <w:r w:rsidR="0087599E">
        <w:rPr>
          <w:rFonts w:cstheme="minorHAnsi"/>
          <w:sz w:val="24"/>
          <w:szCs w:val="24"/>
        </w:rPr>
        <w:t>Emperors</w:t>
      </w:r>
      <w:r w:rsidRPr="00E34A40">
        <w:rPr>
          <w:rFonts w:cstheme="minorHAnsi"/>
          <w:sz w:val="24"/>
          <w:szCs w:val="24"/>
        </w:rPr>
        <w:t xml:space="preserve">, government and bureaucracy’, in </w:t>
      </w:r>
      <w:r w:rsidRPr="00E34A40">
        <w:rPr>
          <w:rFonts w:eastAsia="Arial Unicode MS" w:cstheme="minorHAnsi"/>
          <w:sz w:val="24"/>
          <w:szCs w:val="24"/>
          <w:lang w:eastAsia="en-GB"/>
        </w:rPr>
        <w:t xml:space="preserve">Cameron, A., and Garnsey, P., </w:t>
      </w:r>
      <w:r w:rsidRPr="00E34A40">
        <w:rPr>
          <w:rFonts w:eastAsia="Arial Unicode MS" w:cstheme="minorHAnsi"/>
          <w:i/>
          <w:sz w:val="24"/>
          <w:szCs w:val="24"/>
          <w:lang w:eastAsia="en-GB"/>
        </w:rPr>
        <w:t xml:space="preserve">The Cambridge Ancient History Volume XIII </w:t>
      </w:r>
      <w:proofErr w:type="gramStart"/>
      <w:r w:rsidRPr="00E34A40">
        <w:rPr>
          <w:rFonts w:eastAsia="Arial Unicode MS" w:cstheme="minorHAnsi"/>
          <w:i/>
          <w:sz w:val="24"/>
          <w:szCs w:val="24"/>
          <w:lang w:eastAsia="en-GB"/>
        </w:rPr>
        <w:t>The</w:t>
      </w:r>
      <w:proofErr w:type="gramEnd"/>
      <w:r w:rsidRPr="00E34A40">
        <w:rPr>
          <w:rFonts w:eastAsia="Arial Unicode MS" w:cstheme="minorHAnsi"/>
          <w:i/>
          <w:sz w:val="24"/>
          <w:szCs w:val="24"/>
          <w:lang w:eastAsia="en-GB"/>
        </w:rPr>
        <w:t xml:space="preserve"> Late Empire, A.D. 337-425</w:t>
      </w:r>
      <w:r w:rsidRPr="00E34A40">
        <w:rPr>
          <w:rFonts w:eastAsia="Arial Unicode MS" w:cstheme="minorHAnsi"/>
          <w:sz w:val="24"/>
          <w:szCs w:val="24"/>
          <w:lang w:eastAsia="en-GB"/>
        </w:rPr>
        <w:t xml:space="preserve"> (Cambridge University Press, 1998), pp. 138-183.</w:t>
      </w:r>
    </w:p>
    <w:p w:rsidR="00551E4B" w:rsidRPr="00E34A40" w:rsidRDefault="00551E4B" w:rsidP="00551E4B">
      <w:pPr>
        <w:rPr>
          <w:sz w:val="24"/>
          <w:szCs w:val="24"/>
        </w:rPr>
      </w:pPr>
      <w:r w:rsidRPr="00E34A40">
        <w:rPr>
          <w:sz w:val="24"/>
          <w:szCs w:val="24"/>
        </w:rPr>
        <w:t xml:space="preserve">                 ‘Later Roman bureaucracy: going through the files’, in Bowman, A.K., and Woolf, G. (</w:t>
      </w:r>
      <w:proofErr w:type="gramStart"/>
      <w:r w:rsidRPr="00E34A40">
        <w:rPr>
          <w:sz w:val="24"/>
          <w:szCs w:val="24"/>
        </w:rPr>
        <w:t>eds</w:t>
      </w:r>
      <w:proofErr w:type="gramEnd"/>
      <w:r w:rsidRPr="00E34A40">
        <w:rPr>
          <w:sz w:val="24"/>
          <w:szCs w:val="24"/>
        </w:rPr>
        <w:t xml:space="preserve">), </w:t>
      </w:r>
      <w:r w:rsidRPr="00E34A40">
        <w:rPr>
          <w:i/>
          <w:sz w:val="24"/>
          <w:szCs w:val="24"/>
        </w:rPr>
        <w:t>Literacy and Power in the Ancient World</w:t>
      </w:r>
      <w:r w:rsidRPr="00E34A40">
        <w:rPr>
          <w:sz w:val="24"/>
          <w:szCs w:val="24"/>
        </w:rPr>
        <w:t xml:space="preserve"> (Cambridge, 1994), pp. 161-176.</w:t>
      </w:r>
    </w:p>
    <w:p w:rsidR="00551E4B" w:rsidRPr="00E34A40" w:rsidRDefault="00551E4B" w:rsidP="00551E4B">
      <w:pPr>
        <w:rPr>
          <w:sz w:val="24"/>
          <w:szCs w:val="24"/>
        </w:rPr>
      </w:pPr>
      <w:r w:rsidRPr="00E34A40">
        <w:rPr>
          <w:sz w:val="24"/>
          <w:szCs w:val="24"/>
        </w:rPr>
        <w:t xml:space="preserve">Kerr, L., ‘A Topography of Death: the buildings of the </w:t>
      </w:r>
      <w:r w:rsidR="008B44B0">
        <w:rPr>
          <w:sz w:val="24"/>
          <w:szCs w:val="24"/>
        </w:rPr>
        <w:t>emperor</w:t>
      </w:r>
      <w:r w:rsidRPr="00E34A40">
        <w:rPr>
          <w:sz w:val="24"/>
          <w:szCs w:val="24"/>
        </w:rPr>
        <w:t xml:space="preserve"> Maxentius on the Via Appia’, in Carruthers, M., van Driel-Murray, C., Gardener, A., Lucas, J., Revell, L., and Swift, E. (eds), </w:t>
      </w:r>
      <w:r w:rsidRPr="00E34A40">
        <w:rPr>
          <w:i/>
          <w:sz w:val="24"/>
          <w:szCs w:val="24"/>
        </w:rPr>
        <w:t>TRAC 2001 Proceedings of the Eleventh Annual Theoretical Roman Archaeology Conference</w:t>
      </w:r>
      <w:r w:rsidRPr="00E34A40">
        <w:rPr>
          <w:sz w:val="24"/>
          <w:szCs w:val="24"/>
        </w:rPr>
        <w:t xml:space="preserve"> (Oxford, 2002), pp. 24-33.</w:t>
      </w:r>
    </w:p>
    <w:p w:rsidR="00551E4B" w:rsidRPr="00E34A40" w:rsidRDefault="00551E4B" w:rsidP="00551E4B">
      <w:pPr>
        <w:rPr>
          <w:sz w:val="24"/>
          <w:szCs w:val="24"/>
        </w:rPr>
      </w:pPr>
      <w:r w:rsidRPr="00E34A40">
        <w:rPr>
          <w:sz w:val="24"/>
          <w:szCs w:val="24"/>
        </w:rPr>
        <w:t xml:space="preserve">König, A., ‘Knowledge and power in Frontinus’ </w:t>
      </w:r>
      <w:r w:rsidRPr="00E34A40">
        <w:rPr>
          <w:i/>
          <w:iCs/>
          <w:sz w:val="24"/>
          <w:szCs w:val="24"/>
        </w:rPr>
        <w:t>On Aqueducts</w:t>
      </w:r>
      <w:r w:rsidRPr="00E34A40">
        <w:rPr>
          <w:sz w:val="24"/>
          <w:szCs w:val="24"/>
        </w:rPr>
        <w:t xml:space="preserve">’, König, J., and Whitmarsh, T., ‘Ordering knowledge’, in König, J., and Whitmarsh, T. (eds), </w:t>
      </w:r>
      <w:r w:rsidRPr="00E34A40">
        <w:rPr>
          <w:i/>
          <w:iCs/>
          <w:sz w:val="24"/>
          <w:szCs w:val="24"/>
        </w:rPr>
        <w:t>Ordering Knowledge in the Roman Empire</w:t>
      </w:r>
      <w:r w:rsidRPr="00E34A40">
        <w:rPr>
          <w:sz w:val="24"/>
          <w:szCs w:val="24"/>
        </w:rPr>
        <w:t xml:space="preserve"> (Cambridge, 2007), pp. 177-205.</w:t>
      </w:r>
    </w:p>
    <w:p w:rsidR="00551E4B" w:rsidRPr="00E34A40" w:rsidRDefault="00551E4B" w:rsidP="00551E4B">
      <w:pPr>
        <w:rPr>
          <w:sz w:val="24"/>
          <w:szCs w:val="24"/>
        </w:rPr>
      </w:pPr>
      <w:r w:rsidRPr="00E34A40">
        <w:rPr>
          <w:sz w:val="24"/>
          <w:szCs w:val="24"/>
        </w:rPr>
        <w:t>König, J., and Whitmarsh, T., ‘Ordering Knowledge’, in König, J., and Whitmarsh, T. (</w:t>
      </w:r>
      <w:proofErr w:type="gramStart"/>
      <w:r w:rsidRPr="00E34A40">
        <w:rPr>
          <w:sz w:val="24"/>
          <w:szCs w:val="24"/>
        </w:rPr>
        <w:t>eds</w:t>
      </w:r>
      <w:proofErr w:type="gramEnd"/>
      <w:r w:rsidRPr="00E34A40">
        <w:rPr>
          <w:sz w:val="24"/>
          <w:szCs w:val="24"/>
        </w:rPr>
        <w:t xml:space="preserve">), </w:t>
      </w:r>
      <w:r w:rsidRPr="00E34A40">
        <w:rPr>
          <w:i/>
          <w:sz w:val="24"/>
          <w:szCs w:val="24"/>
        </w:rPr>
        <w:t>Ordering Knowledge in the Roman Empire</w:t>
      </w:r>
      <w:r w:rsidRPr="00E34A40">
        <w:rPr>
          <w:sz w:val="24"/>
          <w:szCs w:val="24"/>
        </w:rPr>
        <w:t xml:space="preserve"> (Cambridge, 2007), pp. 3-40.</w:t>
      </w:r>
    </w:p>
    <w:p w:rsidR="00551E4B" w:rsidRPr="00E34A40" w:rsidRDefault="00551E4B" w:rsidP="00551E4B">
      <w:pPr>
        <w:tabs>
          <w:tab w:val="left" w:pos="4536"/>
        </w:tabs>
        <w:rPr>
          <w:sz w:val="24"/>
          <w:szCs w:val="24"/>
        </w:rPr>
      </w:pPr>
      <w:r w:rsidRPr="00E34A40">
        <w:rPr>
          <w:sz w:val="24"/>
          <w:szCs w:val="24"/>
        </w:rPr>
        <w:lastRenderedPageBreak/>
        <w:t xml:space="preserve">Koortbojian, M., ‘Crossing the </w:t>
      </w:r>
      <w:r w:rsidRPr="00E34A40">
        <w:rPr>
          <w:i/>
          <w:sz w:val="24"/>
          <w:szCs w:val="24"/>
        </w:rPr>
        <w:t>pomerium</w:t>
      </w:r>
      <w:r w:rsidRPr="00E34A40">
        <w:rPr>
          <w:sz w:val="24"/>
          <w:szCs w:val="24"/>
        </w:rPr>
        <w:t xml:space="preserve">: </w:t>
      </w:r>
      <w:r w:rsidRPr="00E34A40">
        <w:rPr>
          <w:i/>
          <w:sz w:val="24"/>
          <w:szCs w:val="24"/>
        </w:rPr>
        <w:t>The armed ruler at Rome</w:t>
      </w:r>
      <w:r w:rsidRPr="00E34A40">
        <w:rPr>
          <w:sz w:val="24"/>
          <w:szCs w:val="24"/>
        </w:rPr>
        <w:t>’, in Ewald, B.C., and Noreña, C.F. (</w:t>
      </w:r>
      <w:proofErr w:type="gramStart"/>
      <w:r w:rsidRPr="00E34A40">
        <w:rPr>
          <w:sz w:val="24"/>
          <w:szCs w:val="24"/>
        </w:rPr>
        <w:t>eds</w:t>
      </w:r>
      <w:proofErr w:type="gramEnd"/>
      <w:r w:rsidRPr="00E34A40">
        <w:rPr>
          <w:sz w:val="24"/>
          <w:szCs w:val="24"/>
        </w:rPr>
        <w:t xml:space="preserve">), </w:t>
      </w:r>
      <w:r w:rsidRPr="00E34A40">
        <w:rPr>
          <w:i/>
          <w:sz w:val="24"/>
          <w:szCs w:val="24"/>
        </w:rPr>
        <w:t xml:space="preserve">The </w:t>
      </w:r>
      <w:r w:rsidR="008B44B0">
        <w:rPr>
          <w:i/>
          <w:sz w:val="24"/>
          <w:szCs w:val="24"/>
        </w:rPr>
        <w:t>Emperor</w:t>
      </w:r>
      <w:r w:rsidRPr="00E34A40">
        <w:rPr>
          <w:i/>
          <w:sz w:val="24"/>
          <w:szCs w:val="24"/>
        </w:rPr>
        <w:t xml:space="preserve"> and Rome Space, Representation, and Ritual</w:t>
      </w:r>
      <w:r>
        <w:rPr>
          <w:sz w:val="24"/>
          <w:szCs w:val="24"/>
        </w:rPr>
        <w:t xml:space="preserve"> (Cambridge, 2010), pp. 247-</w:t>
      </w:r>
      <w:r w:rsidRPr="00E34A40">
        <w:rPr>
          <w:sz w:val="24"/>
          <w:szCs w:val="24"/>
        </w:rPr>
        <w:t>273.</w:t>
      </w:r>
    </w:p>
    <w:p w:rsidR="00551E4B" w:rsidRPr="00E34A40" w:rsidRDefault="00551E4B" w:rsidP="00551E4B">
      <w:pPr>
        <w:rPr>
          <w:rFonts w:cs="Sabon-Roman"/>
          <w:color w:val="231F20"/>
          <w:sz w:val="24"/>
          <w:szCs w:val="24"/>
          <w:lang w:val="de-DE"/>
        </w:rPr>
      </w:pPr>
      <w:r w:rsidRPr="00E34A40">
        <w:rPr>
          <w:rFonts w:cs="Sabon-Roman"/>
          <w:color w:val="231F20"/>
          <w:sz w:val="24"/>
          <w:szCs w:val="24"/>
        </w:rPr>
        <w:t xml:space="preserve">Kulikowski, M., ‘The “Notitia Dignitatum” as a Historical Source’, </w:t>
      </w:r>
      <w:r w:rsidRPr="00E34A40">
        <w:rPr>
          <w:rFonts w:cs="Sabon-Roman"/>
          <w:i/>
          <w:iCs/>
          <w:color w:val="231F20"/>
          <w:sz w:val="24"/>
          <w:szCs w:val="24"/>
          <w:lang w:val="de-DE"/>
        </w:rPr>
        <w:t>Historia: Zeitschrift für Alte Geschichte Bd. 49 H. 3</w:t>
      </w:r>
      <w:r w:rsidRPr="00E34A40">
        <w:rPr>
          <w:rFonts w:cs="Sabon-Roman"/>
          <w:color w:val="231F20"/>
          <w:sz w:val="24"/>
          <w:szCs w:val="24"/>
          <w:lang w:val="de-DE"/>
        </w:rPr>
        <w:t xml:space="preserve"> (2000), pp. 358-377.</w:t>
      </w: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Lenski, N., ‘Introduction’, in Lenski, N. (ed.), </w:t>
      </w:r>
      <w:r w:rsidRPr="00E34A40">
        <w:rPr>
          <w:rFonts w:asciiTheme="minorHAnsi" w:eastAsiaTheme="majorEastAsia" w:hAnsiTheme="minorHAnsi"/>
          <w:i/>
          <w:iCs/>
        </w:rPr>
        <w:t>The Cambridge Companion to the Age of Constantine</w:t>
      </w:r>
      <w:r w:rsidRPr="00E34A40">
        <w:rPr>
          <w:rFonts w:asciiTheme="minorHAnsi" w:eastAsiaTheme="majorEastAsia" w:hAnsiTheme="minorHAnsi"/>
        </w:rPr>
        <w:t xml:space="preserve"> (Cambridge, 2006), pp. 1-13.</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pStyle w:val="Default"/>
        <w:rPr>
          <w:rFonts w:asciiTheme="minorHAnsi" w:hAnsiTheme="minorHAnsi"/>
        </w:rPr>
      </w:pPr>
      <w:r w:rsidRPr="00E34A40">
        <w:rPr>
          <w:rFonts w:asciiTheme="minorHAnsi" w:hAnsiTheme="minorHAnsi"/>
        </w:rPr>
        <w:t xml:space="preserve">                </w:t>
      </w:r>
      <w:proofErr w:type="gramStart"/>
      <w:r w:rsidRPr="00E34A40">
        <w:rPr>
          <w:rFonts w:asciiTheme="minorHAnsi" w:hAnsiTheme="minorHAnsi"/>
        </w:rPr>
        <w:t xml:space="preserve">‘Evoking the Pagan Past: Instinctu divinitatis and Constantine’s Capture of Rome’, </w:t>
      </w:r>
      <w:r w:rsidRPr="00E34A40">
        <w:rPr>
          <w:rFonts w:asciiTheme="minorHAnsi" w:hAnsiTheme="minorHAnsi"/>
          <w:i/>
          <w:iCs/>
        </w:rPr>
        <w:t>Journal of Late Antiquity Vol. 1 No. 2</w:t>
      </w:r>
      <w:r w:rsidRPr="00E34A40">
        <w:rPr>
          <w:rFonts w:asciiTheme="minorHAnsi" w:hAnsiTheme="minorHAnsi"/>
        </w:rPr>
        <w:t xml:space="preserve"> (2008), pp. 204-257.</w:t>
      </w:r>
      <w:proofErr w:type="gramEnd"/>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                   ‘The Reign of Constantine’, in Lenski, N. (ed.), </w:t>
      </w:r>
      <w:proofErr w:type="gramStart"/>
      <w:r w:rsidRPr="00E34A40">
        <w:rPr>
          <w:rFonts w:asciiTheme="minorHAnsi" w:eastAsiaTheme="majorEastAsia" w:hAnsiTheme="minorHAnsi"/>
          <w:i/>
          <w:iCs/>
        </w:rPr>
        <w:t>The</w:t>
      </w:r>
      <w:proofErr w:type="gramEnd"/>
      <w:r w:rsidRPr="00E34A40">
        <w:rPr>
          <w:rFonts w:asciiTheme="minorHAnsi" w:eastAsiaTheme="majorEastAsia" w:hAnsiTheme="minorHAnsi"/>
          <w:i/>
          <w:iCs/>
        </w:rPr>
        <w:t xml:space="preserve"> Cambridge Companion to the Age of Constantine</w:t>
      </w:r>
      <w:r w:rsidRPr="00E34A40">
        <w:rPr>
          <w:rFonts w:asciiTheme="minorHAnsi" w:eastAsiaTheme="majorEastAsia" w:hAnsiTheme="minorHAnsi"/>
        </w:rPr>
        <w:t xml:space="preserve"> (Cambridge, 2006), pp. 59-90.</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sz w:val="24"/>
          <w:szCs w:val="24"/>
        </w:rPr>
      </w:pPr>
      <w:r w:rsidRPr="00E34A40">
        <w:rPr>
          <w:rFonts w:cs="Sabon-Roman"/>
          <w:color w:val="231F20"/>
          <w:sz w:val="24"/>
          <w:szCs w:val="24"/>
          <w:lang w:val="de-DE"/>
        </w:rPr>
        <w:t xml:space="preserve">Laurence, R., ‘Literature and the Spatial Turn‘, in </w:t>
      </w:r>
      <w:r w:rsidRPr="00E34A40">
        <w:rPr>
          <w:sz w:val="24"/>
          <w:szCs w:val="24"/>
        </w:rPr>
        <w:t xml:space="preserve">Laurence, R., </w:t>
      </w:r>
      <w:proofErr w:type="gramStart"/>
      <w:r w:rsidRPr="00E34A40">
        <w:rPr>
          <w:sz w:val="24"/>
          <w:szCs w:val="24"/>
        </w:rPr>
        <w:t>and</w:t>
      </w:r>
      <w:proofErr w:type="gramEnd"/>
      <w:r w:rsidRPr="00E34A40">
        <w:rPr>
          <w:sz w:val="24"/>
          <w:szCs w:val="24"/>
        </w:rPr>
        <w:t xml:space="preserve"> Newsome, D.J. (eds), </w:t>
      </w:r>
      <w:r w:rsidRPr="00E34A40">
        <w:rPr>
          <w:i/>
          <w:iCs/>
          <w:sz w:val="24"/>
          <w:szCs w:val="24"/>
        </w:rPr>
        <w:t>Rome, Ostia, Pompeii Movement and Space</w:t>
      </w:r>
      <w:r w:rsidRPr="00E34A40">
        <w:rPr>
          <w:sz w:val="24"/>
          <w:szCs w:val="24"/>
        </w:rPr>
        <w:t xml:space="preserve"> (Oxford, 2011), pp. 81-99.</w:t>
      </w:r>
    </w:p>
    <w:p w:rsidR="00551E4B" w:rsidRPr="00E34A40" w:rsidRDefault="00551E4B" w:rsidP="00551E4B">
      <w:pPr>
        <w:rPr>
          <w:rFonts w:cs="Sabon-Roman"/>
          <w:color w:val="231F20"/>
          <w:sz w:val="24"/>
          <w:szCs w:val="24"/>
        </w:rPr>
      </w:pPr>
      <w:r w:rsidRPr="00E34A40">
        <w:rPr>
          <w:rFonts w:cs="Sabon-Roman"/>
          <w:color w:val="231F20"/>
          <w:sz w:val="24"/>
          <w:szCs w:val="24"/>
        </w:rPr>
        <w:t xml:space="preserve">                         ‘Writing the Roman metropolis’, in Parkins, H.M. (ed.), </w:t>
      </w:r>
      <w:r w:rsidRPr="00E34A40">
        <w:rPr>
          <w:rFonts w:cs="Sabon-Roman"/>
          <w:i/>
          <w:color w:val="231F20"/>
          <w:sz w:val="24"/>
          <w:szCs w:val="24"/>
        </w:rPr>
        <w:t xml:space="preserve">Roman Urbanism </w:t>
      </w:r>
      <w:proofErr w:type="gramStart"/>
      <w:r w:rsidRPr="00E34A40">
        <w:rPr>
          <w:rFonts w:cs="Sabon-Roman"/>
          <w:i/>
          <w:color w:val="231F20"/>
          <w:sz w:val="24"/>
          <w:szCs w:val="24"/>
        </w:rPr>
        <w:t>Beyond</w:t>
      </w:r>
      <w:proofErr w:type="gramEnd"/>
      <w:r w:rsidRPr="00E34A40">
        <w:rPr>
          <w:rFonts w:cs="Sabon-Roman"/>
          <w:i/>
          <w:color w:val="231F20"/>
          <w:sz w:val="24"/>
          <w:szCs w:val="24"/>
        </w:rPr>
        <w:t xml:space="preserve"> the Consumer City</w:t>
      </w:r>
      <w:r w:rsidRPr="00E34A40">
        <w:rPr>
          <w:rFonts w:cs="Sabon-Roman"/>
          <w:color w:val="231F20"/>
          <w:sz w:val="24"/>
          <w:szCs w:val="24"/>
        </w:rPr>
        <w:t>, pp. 1-20.</w:t>
      </w:r>
    </w:p>
    <w:p w:rsidR="00551E4B" w:rsidRPr="00E34A40" w:rsidRDefault="00551E4B" w:rsidP="00551E4B">
      <w:pPr>
        <w:rPr>
          <w:bCs/>
          <w:sz w:val="24"/>
          <w:szCs w:val="24"/>
          <w:lang w:eastAsia="zh-TW"/>
        </w:rPr>
      </w:pPr>
      <w:r w:rsidRPr="00E34A40">
        <w:rPr>
          <w:rFonts w:cs="Sabon-Roman"/>
          <w:color w:val="231F20"/>
          <w:sz w:val="24"/>
          <w:szCs w:val="24"/>
        </w:rPr>
        <w:t xml:space="preserve">Lavan, L., ‘A.H.M. Jones and “The Cities” 1964-2004’, </w:t>
      </w:r>
      <w:r w:rsidRPr="00E34A40">
        <w:rPr>
          <w:bCs/>
          <w:sz w:val="24"/>
          <w:szCs w:val="24"/>
          <w:lang w:eastAsia="zh-TW"/>
        </w:rPr>
        <w:t>in Gwyn, D (ed.)</w:t>
      </w:r>
      <w:proofErr w:type="gramStart"/>
      <w:r w:rsidRPr="00E34A40">
        <w:rPr>
          <w:bCs/>
          <w:sz w:val="24"/>
          <w:szCs w:val="24"/>
          <w:lang w:eastAsia="zh-TW"/>
        </w:rPr>
        <w:t>.,</w:t>
      </w:r>
      <w:proofErr w:type="gramEnd"/>
      <w:r w:rsidRPr="00E34A40">
        <w:rPr>
          <w:bCs/>
          <w:sz w:val="24"/>
          <w:szCs w:val="24"/>
          <w:lang w:eastAsia="zh-TW"/>
        </w:rPr>
        <w:t xml:space="preserve"> </w:t>
      </w:r>
      <w:r w:rsidRPr="00E34A40">
        <w:rPr>
          <w:bCs/>
          <w:i/>
          <w:sz w:val="24"/>
          <w:szCs w:val="24"/>
          <w:lang w:eastAsia="zh-TW"/>
        </w:rPr>
        <w:t>A.H.M. Jones and the Later Roman Empire</w:t>
      </w:r>
      <w:r w:rsidRPr="00E34A40">
        <w:rPr>
          <w:bCs/>
          <w:sz w:val="24"/>
          <w:szCs w:val="24"/>
          <w:lang w:eastAsia="zh-TW"/>
        </w:rPr>
        <w:t xml:space="preserve"> (Leiden, 2008), pp. 167-192.</w:t>
      </w: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Lenski, N., ‘Introduction’, in Lenski, N. (ed.), The Cambridge Companion to the Age of Constantine (Cambridge, 2006), pp. 1-13.</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sz w:val="24"/>
          <w:szCs w:val="24"/>
        </w:rPr>
      </w:pPr>
      <w:r w:rsidRPr="00E34A40">
        <w:rPr>
          <w:sz w:val="24"/>
          <w:szCs w:val="24"/>
        </w:rPr>
        <w:t xml:space="preserve">                   </w:t>
      </w:r>
      <w:proofErr w:type="gramStart"/>
      <w:r w:rsidRPr="00E34A40">
        <w:rPr>
          <w:sz w:val="24"/>
          <w:szCs w:val="24"/>
        </w:rPr>
        <w:t xml:space="preserve">‘Evoking the Pagan Past: Instinctu divinitatis and Constantine’s Capture of Rome’, </w:t>
      </w:r>
      <w:r w:rsidRPr="00E34A40">
        <w:rPr>
          <w:i/>
          <w:iCs/>
          <w:sz w:val="24"/>
          <w:szCs w:val="24"/>
        </w:rPr>
        <w:t>Journal of Late Antiquity Vol. 1 No. 2</w:t>
      </w:r>
      <w:r w:rsidRPr="00E34A40">
        <w:rPr>
          <w:sz w:val="24"/>
          <w:szCs w:val="24"/>
        </w:rPr>
        <w:t xml:space="preserve"> (2008), pp. 204-257.</w:t>
      </w:r>
      <w:proofErr w:type="gramEnd"/>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                   ‘The Reign of Constantine’, in Lenski, N. (ed.), </w:t>
      </w:r>
      <w:proofErr w:type="gramStart"/>
      <w:r w:rsidRPr="00E34A40">
        <w:rPr>
          <w:rFonts w:asciiTheme="minorHAnsi" w:eastAsiaTheme="majorEastAsia" w:hAnsiTheme="minorHAnsi"/>
        </w:rPr>
        <w:t>The</w:t>
      </w:r>
      <w:proofErr w:type="gramEnd"/>
      <w:r w:rsidRPr="00E34A40">
        <w:rPr>
          <w:rFonts w:asciiTheme="minorHAnsi" w:eastAsiaTheme="majorEastAsia" w:hAnsiTheme="minorHAnsi"/>
        </w:rPr>
        <w:t xml:space="preserve"> Cambridge Companion to the Age of Constantine (Cambridge, 2006), pp. 59-90.</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sz w:val="24"/>
          <w:szCs w:val="24"/>
        </w:rPr>
      </w:pPr>
      <w:r w:rsidRPr="00E34A40">
        <w:rPr>
          <w:sz w:val="24"/>
          <w:szCs w:val="24"/>
        </w:rPr>
        <w:t xml:space="preserve">Lentin, A., ‘Edward Gibbon ‘The Golden Age of the Antonines’, </w:t>
      </w:r>
      <w:r w:rsidRPr="00E34A40">
        <w:rPr>
          <w:i/>
          <w:sz w:val="24"/>
          <w:szCs w:val="24"/>
        </w:rPr>
        <w:t xml:space="preserve">History Today Vol. 31 </w:t>
      </w:r>
      <w:r w:rsidRPr="00E34A40">
        <w:rPr>
          <w:sz w:val="24"/>
          <w:szCs w:val="24"/>
        </w:rPr>
        <w:t>(1981), pp. 33-39.</w:t>
      </w:r>
    </w:p>
    <w:p w:rsidR="00551E4B" w:rsidRPr="00E34A40" w:rsidRDefault="00551E4B" w:rsidP="00551E4B">
      <w:pPr>
        <w:rPr>
          <w:sz w:val="24"/>
          <w:szCs w:val="24"/>
        </w:rPr>
      </w:pPr>
      <w:r w:rsidRPr="00E34A40">
        <w:rPr>
          <w:sz w:val="24"/>
          <w:szCs w:val="24"/>
        </w:rPr>
        <w:t xml:space="preserve">Lernout, G., ‘Genetic Criticism and Philology’, </w:t>
      </w:r>
      <w:r w:rsidRPr="00E34A40">
        <w:rPr>
          <w:i/>
          <w:sz w:val="24"/>
          <w:szCs w:val="24"/>
        </w:rPr>
        <w:t xml:space="preserve">Text Vol. 14 </w:t>
      </w:r>
      <w:r w:rsidRPr="00E34A40">
        <w:rPr>
          <w:sz w:val="24"/>
          <w:szCs w:val="24"/>
        </w:rPr>
        <w:t>(2002), pp. 53-75.</w:t>
      </w:r>
    </w:p>
    <w:p w:rsidR="00551E4B" w:rsidRPr="00E34A40" w:rsidRDefault="00551E4B" w:rsidP="00551E4B">
      <w:pPr>
        <w:rPr>
          <w:bCs/>
          <w:sz w:val="24"/>
          <w:szCs w:val="24"/>
          <w:lang w:eastAsia="zh-TW"/>
        </w:rPr>
      </w:pPr>
      <w:r w:rsidRPr="00E34A40">
        <w:rPr>
          <w:sz w:val="24"/>
          <w:szCs w:val="24"/>
        </w:rPr>
        <w:t xml:space="preserve">Liebeschuetz, W., ‘A.H.M. Jones and the Later Roman Empire’, </w:t>
      </w:r>
      <w:r w:rsidRPr="00E34A40">
        <w:rPr>
          <w:bCs/>
          <w:sz w:val="24"/>
          <w:szCs w:val="24"/>
          <w:lang w:eastAsia="zh-TW"/>
        </w:rPr>
        <w:t>in Gwyn, D (ed.)</w:t>
      </w:r>
      <w:proofErr w:type="gramStart"/>
      <w:r w:rsidRPr="00E34A40">
        <w:rPr>
          <w:bCs/>
          <w:sz w:val="24"/>
          <w:szCs w:val="24"/>
          <w:lang w:eastAsia="zh-TW"/>
        </w:rPr>
        <w:t>.,</w:t>
      </w:r>
      <w:proofErr w:type="gramEnd"/>
      <w:r w:rsidRPr="00E34A40">
        <w:rPr>
          <w:bCs/>
          <w:sz w:val="24"/>
          <w:szCs w:val="24"/>
          <w:lang w:eastAsia="zh-TW"/>
        </w:rPr>
        <w:t xml:space="preserve"> </w:t>
      </w:r>
      <w:r w:rsidRPr="00E34A40">
        <w:rPr>
          <w:bCs/>
          <w:i/>
          <w:sz w:val="24"/>
          <w:szCs w:val="24"/>
          <w:lang w:eastAsia="zh-TW"/>
        </w:rPr>
        <w:t>A.H.M. Jones and the Later Roman Empire</w:t>
      </w:r>
      <w:r w:rsidRPr="00E34A40">
        <w:rPr>
          <w:bCs/>
          <w:sz w:val="24"/>
          <w:szCs w:val="24"/>
          <w:lang w:eastAsia="zh-TW"/>
        </w:rPr>
        <w:t xml:space="preserve"> (Leiden, 2008), pp. 251-270.</w:t>
      </w:r>
    </w:p>
    <w:p w:rsidR="00551E4B" w:rsidRPr="00E34A40" w:rsidRDefault="00551E4B" w:rsidP="00551E4B">
      <w:pPr>
        <w:rPr>
          <w:bCs/>
          <w:sz w:val="24"/>
          <w:szCs w:val="24"/>
          <w:lang w:eastAsia="zh-TW"/>
        </w:rPr>
      </w:pPr>
      <w:r w:rsidRPr="00E34A40">
        <w:rPr>
          <w:bCs/>
          <w:sz w:val="24"/>
          <w:szCs w:val="24"/>
          <w:lang w:eastAsia="zh-TW"/>
        </w:rPr>
        <w:t xml:space="preserve">                                 </w:t>
      </w:r>
      <w:proofErr w:type="gramStart"/>
      <w:r w:rsidRPr="00E34A40">
        <w:rPr>
          <w:bCs/>
          <w:sz w:val="24"/>
          <w:szCs w:val="24"/>
          <w:lang w:eastAsia="zh-TW"/>
        </w:rPr>
        <w:t xml:space="preserve">‘The end of the ancient city’, in Rich, J. (ed.), </w:t>
      </w:r>
      <w:r w:rsidRPr="00E34A40">
        <w:rPr>
          <w:bCs/>
          <w:i/>
          <w:sz w:val="24"/>
          <w:szCs w:val="24"/>
          <w:lang w:eastAsia="zh-TW"/>
        </w:rPr>
        <w:t>The City in Late Antiquity</w:t>
      </w:r>
      <w:r w:rsidRPr="00E34A40">
        <w:rPr>
          <w:bCs/>
          <w:sz w:val="24"/>
          <w:szCs w:val="24"/>
          <w:lang w:eastAsia="zh-TW"/>
        </w:rPr>
        <w:t xml:space="preserve"> (London, 1992), pp. 1-49.</w:t>
      </w:r>
      <w:proofErr w:type="gramEnd"/>
    </w:p>
    <w:p w:rsidR="00551E4B" w:rsidRPr="00E34A40" w:rsidRDefault="00551E4B" w:rsidP="00551E4B">
      <w:pPr>
        <w:rPr>
          <w:sz w:val="24"/>
          <w:szCs w:val="24"/>
        </w:rPr>
      </w:pPr>
      <w:r w:rsidRPr="00E34A40">
        <w:rPr>
          <w:sz w:val="24"/>
          <w:szCs w:val="24"/>
        </w:rPr>
        <w:lastRenderedPageBreak/>
        <w:t>Lomas, K., and Cornell, T., ‘’Introduction: patronage and benefaction in ancient Italy’, in Lomas, K., and Cornell, T. (</w:t>
      </w:r>
      <w:proofErr w:type="gramStart"/>
      <w:r w:rsidRPr="00E34A40">
        <w:rPr>
          <w:sz w:val="24"/>
          <w:szCs w:val="24"/>
        </w:rPr>
        <w:t>eds</w:t>
      </w:r>
      <w:proofErr w:type="gramEnd"/>
      <w:r w:rsidRPr="00E34A40">
        <w:rPr>
          <w:sz w:val="24"/>
          <w:szCs w:val="24"/>
        </w:rPr>
        <w:t xml:space="preserve">), </w:t>
      </w:r>
      <w:r w:rsidRPr="00E34A40">
        <w:rPr>
          <w:i/>
          <w:iCs/>
          <w:sz w:val="24"/>
          <w:szCs w:val="24"/>
        </w:rPr>
        <w:t>‘Bread and Circuses’ Euergetism and municipal patronage in Roman Italy</w:t>
      </w:r>
      <w:r w:rsidRPr="00E34A40">
        <w:rPr>
          <w:sz w:val="24"/>
          <w:szCs w:val="24"/>
        </w:rPr>
        <w:t xml:space="preserve"> (London, 2003), pp. 1-11.</w:t>
      </w: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Lomas, K., ‘Public building, urban renewal and euergetism in early </w:t>
      </w:r>
      <w:r w:rsidR="008B44B0">
        <w:rPr>
          <w:rFonts w:asciiTheme="minorHAnsi" w:eastAsiaTheme="majorEastAsia" w:hAnsiTheme="minorHAnsi"/>
        </w:rPr>
        <w:t>Imperial</w:t>
      </w:r>
      <w:r w:rsidRPr="00E34A40">
        <w:rPr>
          <w:rFonts w:asciiTheme="minorHAnsi" w:eastAsiaTheme="majorEastAsia" w:hAnsiTheme="minorHAnsi"/>
        </w:rPr>
        <w:t xml:space="preserve"> Italy’, </w:t>
      </w:r>
      <w:r w:rsidRPr="00E34A40">
        <w:rPr>
          <w:rFonts w:asciiTheme="minorHAnsi" w:hAnsiTheme="minorHAnsi"/>
        </w:rPr>
        <w:t>in Lomas, K., and Cornell, T.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iCs/>
        </w:rPr>
        <w:t>‘Bread and Circuses’ Euergetism and municipal patronage in Roman Italy</w:t>
      </w:r>
      <w:r w:rsidRPr="00E34A40">
        <w:rPr>
          <w:rFonts w:asciiTheme="minorHAnsi" w:hAnsiTheme="minorHAnsi"/>
        </w:rPr>
        <w:t xml:space="preserve"> (London, 2003), pp</w:t>
      </w:r>
      <w:r w:rsidRPr="00E34A40">
        <w:rPr>
          <w:rFonts w:asciiTheme="minorHAnsi" w:eastAsiaTheme="majorEastAsia" w:hAnsiTheme="minorHAnsi"/>
        </w:rPr>
        <w:t>. 28-45.</w:t>
      </w:r>
    </w:p>
    <w:p w:rsidR="00551E4B" w:rsidRPr="00E34A40" w:rsidRDefault="00551E4B" w:rsidP="00551E4B">
      <w:pPr>
        <w:pStyle w:val="Default"/>
        <w:rPr>
          <w:rFonts w:asciiTheme="minorHAnsi" w:eastAsiaTheme="majorEastAsia" w:hAnsiTheme="minorHAnsi"/>
        </w:rPr>
      </w:pPr>
    </w:p>
    <w:p w:rsidR="00551E4B"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Lusnia, S., ‘Urban Planning and Sculptural Display in Severan Rome: Reconstructing the Septizodium and Its Role in Dynastic Politics’, </w:t>
      </w:r>
      <w:r w:rsidRPr="00E34A40">
        <w:rPr>
          <w:rFonts w:asciiTheme="minorHAnsi" w:eastAsiaTheme="majorEastAsia" w:hAnsiTheme="minorHAnsi"/>
          <w:i/>
        </w:rPr>
        <w:t>American Journal of Archaeology Vol. 108 No. 4</w:t>
      </w:r>
      <w:r w:rsidRPr="00E34A40">
        <w:rPr>
          <w:rFonts w:asciiTheme="minorHAnsi" w:eastAsiaTheme="majorEastAsia" w:hAnsiTheme="minorHAnsi"/>
        </w:rPr>
        <w:t xml:space="preserve"> (2004), pp. 517-544.</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sz w:val="24"/>
          <w:szCs w:val="24"/>
        </w:rPr>
      </w:pPr>
      <w:r w:rsidRPr="00E34A40">
        <w:rPr>
          <w:rFonts w:eastAsiaTheme="majorEastAsia"/>
          <w:sz w:val="24"/>
          <w:szCs w:val="24"/>
        </w:rPr>
        <w:t xml:space="preserve">                      ‘Battle Imagery and Politics on the Severan Arch in the Roman Forum’, </w:t>
      </w:r>
      <w:r w:rsidRPr="00E34A40">
        <w:rPr>
          <w:sz w:val="24"/>
          <w:szCs w:val="24"/>
        </w:rPr>
        <w:t>in Dillon, S., and Welch, K.E. (</w:t>
      </w:r>
      <w:proofErr w:type="gramStart"/>
      <w:r w:rsidRPr="00E34A40">
        <w:rPr>
          <w:sz w:val="24"/>
          <w:szCs w:val="24"/>
        </w:rPr>
        <w:t>eds</w:t>
      </w:r>
      <w:proofErr w:type="gramEnd"/>
      <w:r w:rsidRPr="00E34A40">
        <w:rPr>
          <w:sz w:val="24"/>
          <w:szCs w:val="24"/>
        </w:rPr>
        <w:t xml:space="preserve">), </w:t>
      </w:r>
      <w:r w:rsidRPr="00E34A40">
        <w:rPr>
          <w:i/>
          <w:sz w:val="24"/>
          <w:szCs w:val="24"/>
        </w:rPr>
        <w:t>Representations of War in Ancient Rome</w:t>
      </w:r>
      <w:r w:rsidRPr="00E34A40">
        <w:rPr>
          <w:sz w:val="24"/>
          <w:szCs w:val="24"/>
        </w:rPr>
        <w:t xml:space="preserve"> (Cambridge, 2006), pp. 272-299.</w:t>
      </w: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 xml:space="preserve">                      </w:t>
      </w:r>
      <w:proofErr w:type="gramStart"/>
      <w:r w:rsidRPr="00E34A40">
        <w:rPr>
          <w:rFonts w:asciiTheme="minorHAnsi" w:eastAsiaTheme="majorEastAsia" w:hAnsiTheme="minorHAnsi"/>
        </w:rPr>
        <w:t xml:space="preserve">‘Julia Domna’s Coinage and Severan Dynastic Propaganda’, </w:t>
      </w:r>
      <w:r w:rsidRPr="00E34A40">
        <w:rPr>
          <w:rFonts w:asciiTheme="minorHAnsi" w:eastAsiaTheme="majorEastAsia" w:hAnsiTheme="minorHAnsi"/>
          <w:i/>
        </w:rPr>
        <w:t>Latomus Vol. 54</w:t>
      </w:r>
      <w:r w:rsidRPr="00E34A40">
        <w:rPr>
          <w:rFonts w:asciiTheme="minorHAnsi" w:eastAsiaTheme="majorEastAsia" w:hAnsiTheme="minorHAnsi"/>
        </w:rPr>
        <w:t xml:space="preserve"> (1995), pp. 119-140.</w:t>
      </w:r>
      <w:proofErr w:type="gramEnd"/>
    </w:p>
    <w:p w:rsidR="00551E4B" w:rsidRPr="00E34A40" w:rsidRDefault="00551E4B" w:rsidP="00551E4B">
      <w:pPr>
        <w:rPr>
          <w:sz w:val="24"/>
          <w:szCs w:val="24"/>
        </w:rPr>
      </w:pPr>
    </w:p>
    <w:p w:rsidR="00551E4B" w:rsidRPr="00E34A40" w:rsidRDefault="00551E4B" w:rsidP="00551E4B">
      <w:pPr>
        <w:rPr>
          <w:sz w:val="24"/>
          <w:szCs w:val="24"/>
        </w:rPr>
      </w:pPr>
      <w:r w:rsidRPr="00E34A40">
        <w:rPr>
          <w:sz w:val="24"/>
          <w:szCs w:val="24"/>
        </w:rPr>
        <w:t>Machado, C., ‘Aristocratic Houses and the Making of Late Antique Rome’, in Grig, L. and Kelly, G. (</w:t>
      </w:r>
      <w:proofErr w:type="gramStart"/>
      <w:r w:rsidRPr="00E34A40">
        <w:rPr>
          <w:sz w:val="24"/>
          <w:szCs w:val="24"/>
        </w:rPr>
        <w:t>eds</w:t>
      </w:r>
      <w:proofErr w:type="gramEnd"/>
      <w:r w:rsidRPr="00E34A40">
        <w:rPr>
          <w:sz w:val="24"/>
          <w:szCs w:val="24"/>
        </w:rPr>
        <w:t xml:space="preserve">), </w:t>
      </w:r>
      <w:r w:rsidRPr="00E34A40">
        <w:rPr>
          <w:i/>
          <w:iCs/>
          <w:sz w:val="24"/>
          <w:szCs w:val="24"/>
        </w:rPr>
        <w:t>Two Romes Rome and Constantinople in Late Antiquity</w:t>
      </w:r>
      <w:r w:rsidRPr="00E34A40">
        <w:rPr>
          <w:sz w:val="24"/>
          <w:szCs w:val="24"/>
        </w:rPr>
        <w:t xml:space="preserve"> (Oxford, 2012), pp. 136-158.</w:t>
      </w:r>
    </w:p>
    <w:p w:rsidR="00551E4B" w:rsidRPr="00E34A40" w:rsidRDefault="00551E4B" w:rsidP="00551E4B">
      <w:pPr>
        <w:rPr>
          <w:sz w:val="24"/>
          <w:szCs w:val="24"/>
        </w:rPr>
      </w:pPr>
      <w:r w:rsidRPr="00E34A40">
        <w:rPr>
          <w:rFonts w:eastAsiaTheme="majorEastAsia"/>
          <w:sz w:val="24"/>
          <w:szCs w:val="24"/>
        </w:rPr>
        <w:t xml:space="preserve">                           ‘Building the Past: Monuments and Memory in the </w:t>
      </w:r>
      <w:r w:rsidRPr="00E34A40">
        <w:rPr>
          <w:rFonts w:eastAsiaTheme="majorEastAsia"/>
          <w:i/>
          <w:sz w:val="24"/>
          <w:szCs w:val="24"/>
        </w:rPr>
        <w:t>Forum Romanum</w:t>
      </w:r>
      <w:r w:rsidRPr="00E34A40">
        <w:rPr>
          <w:rFonts w:eastAsiaTheme="majorEastAsia"/>
          <w:sz w:val="24"/>
          <w:szCs w:val="24"/>
        </w:rPr>
        <w:t xml:space="preserve">’, </w:t>
      </w:r>
      <w:r w:rsidRPr="00E34A40">
        <w:rPr>
          <w:sz w:val="24"/>
          <w:szCs w:val="24"/>
        </w:rPr>
        <w:t>in Bowden, W., Gutteridge, A., and Machado, C. (</w:t>
      </w:r>
      <w:proofErr w:type="gramStart"/>
      <w:r w:rsidRPr="00E34A40">
        <w:rPr>
          <w:sz w:val="24"/>
          <w:szCs w:val="24"/>
        </w:rPr>
        <w:t>eds</w:t>
      </w:r>
      <w:proofErr w:type="gramEnd"/>
      <w:r w:rsidRPr="00E34A40">
        <w:rPr>
          <w:sz w:val="24"/>
          <w:szCs w:val="24"/>
        </w:rPr>
        <w:t xml:space="preserve">), </w:t>
      </w:r>
      <w:r w:rsidRPr="00E34A40">
        <w:rPr>
          <w:i/>
          <w:sz w:val="24"/>
          <w:szCs w:val="24"/>
        </w:rPr>
        <w:t>Social and Political Life in Late Antiquity</w:t>
      </w:r>
      <w:r w:rsidRPr="00E34A40">
        <w:rPr>
          <w:sz w:val="24"/>
          <w:szCs w:val="24"/>
        </w:rPr>
        <w:t xml:space="preserve"> (Leiden, 2006), pp. 157-192.</w:t>
      </w:r>
    </w:p>
    <w:p w:rsidR="00551E4B" w:rsidRPr="00E34A40" w:rsidRDefault="00551E4B" w:rsidP="00551E4B">
      <w:pPr>
        <w:rPr>
          <w:rFonts w:eastAsia="Arial Unicode MS" w:cstheme="minorHAnsi"/>
          <w:sz w:val="24"/>
          <w:szCs w:val="24"/>
          <w:lang w:eastAsia="en-GB"/>
        </w:rPr>
      </w:pPr>
      <w:r w:rsidRPr="00E34A40">
        <w:rPr>
          <w:rFonts w:eastAsia="Arial Unicode MS" w:cstheme="minorHAnsi"/>
          <w:sz w:val="24"/>
          <w:szCs w:val="24"/>
          <w:lang w:eastAsia="en-GB"/>
        </w:rPr>
        <w:t xml:space="preserve">MacMullen, R., ‘Personal Power in the Roman Empire’, </w:t>
      </w:r>
      <w:proofErr w:type="gramStart"/>
      <w:r w:rsidRPr="00E34A40">
        <w:rPr>
          <w:rFonts w:eastAsia="Arial Unicode MS" w:cstheme="minorHAnsi"/>
          <w:i/>
          <w:sz w:val="24"/>
          <w:szCs w:val="24"/>
          <w:lang w:eastAsia="en-GB"/>
        </w:rPr>
        <w:t>The</w:t>
      </w:r>
      <w:proofErr w:type="gramEnd"/>
      <w:r w:rsidRPr="00E34A40">
        <w:rPr>
          <w:rFonts w:eastAsia="Arial Unicode MS" w:cstheme="minorHAnsi"/>
          <w:i/>
          <w:sz w:val="24"/>
          <w:szCs w:val="24"/>
          <w:lang w:eastAsia="en-GB"/>
        </w:rPr>
        <w:t xml:space="preserve"> American Journal of Philology Vol. 107 No. 4</w:t>
      </w:r>
      <w:r w:rsidRPr="00E34A40">
        <w:rPr>
          <w:rFonts w:eastAsia="Arial Unicode MS" w:cstheme="minorHAnsi"/>
          <w:sz w:val="24"/>
          <w:szCs w:val="24"/>
          <w:lang w:eastAsia="en-GB"/>
        </w:rPr>
        <w:t xml:space="preserve"> (Baltimore, 1986), pp. 512-524.</w:t>
      </w:r>
    </w:p>
    <w:p w:rsidR="00551E4B" w:rsidRPr="00E34A40" w:rsidRDefault="00551E4B" w:rsidP="00551E4B">
      <w:pPr>
        <w:rPr>
          <w:rFonts w:eastAsia="Arial Unicode MS" w:cstheme="minorHAnsi"/>
          <w:sz w:val="24"/>
          <w:szCs w:val="24"/>
          <w:lang w:eastAsia="en-GB"/>
        </w:rPr>
      </w:pPr>
      <w:r w:rsidRPr="00E34A40">
        <w:rPr>
          <w:rFonts w:eastAsia="Arial Unicode MS" w:cstheme="minorHAnsi"/>
          <w:sz w:val="24"/>
          <w:szCs w:val="24"/>
          <w:lang w:eastAsia="en-GB"/>
        </w:rPr>
        <w:t xml:space="preserve">                            ‘The Power of the Roman Empire’, </w:t>
      </w:r>
      <w:r w:rsidRPr="00E34A40">
        <w:rPr>
          <w:rFonts w:eastAsia="Arial Unicode MS" w:cstheme="minorHAnsi"/>
          <w:i/>
          <w:sz w:val="24"/>
          <w:szCs w:val="24"/>
          <w:lang w:eastAsia="en-GB"/>
        </w:rPr>
        <w:t>Historia Bd. 55.4</w:t>
      </w:r>
      <w:r w:rsidRPr="00E34A40">
        <w:rPr>
          <w:rFonts w:eastAsia="Arial Unicode MS" w:cstheme="minorHAnsi"/>
          <w:sz w:val="24"/>
          <w:szCs w:val="24"/>
          <w:lang w:eastAsia="en-GB"/>
        </w:rPr>
        <w:t xml:space="preserve"> (Stuttgart, 2006), pp. 471-481.</w:t>
      </w:r>
    </w:p>
    <w:p w:rsidR="00551E4B" w:rsidRPr="00E34A40" w:rsidRDefault="00551E4B" w:rsidP="00551E4B">
      <w:pPr>
        <w:rPr>
          <w:sz w:val="24"/>
          <w:szCs w:val="24"/>
        </w:rPr>
      </w:pPr>
      <w:r w:rsidRPr="00E34A40">
        <w:rPr>
          <w:sz w:val="24"/>
          <w:szCs w:val="24"/>
        </w:rPr>
        <w:t xml:space="preserve">Malmberg, S., and Bjur, H., ‘Movement and Urban Development at Two City Gates in Rome </w:t>
      </w:r>
      <w:proofErr w:type="gramStart"/>
      <w:r w:rsidRPr="00E34A40">
        <w:rPr>
          <w:sz w:val="24"/>
          <w:szCs w:val="24"/>
        </w:rPr>
        <w:t>The</w:t>
      </w:r>
      <w:proofErr w:type="gramEnd"/>
      <w:r w:rsidRPr="00E34A40">
        <w:rPr>
          <w:sz w:val="24"/>
          <w:szCs w:val="24"/>
        </w:rPr>
        <w:t xml:space="preserve"> </w:t>
      </w:r>
      <w:r w:rsidRPr="00E34A40">
        <w:rPr>
          <w:i/>
          <w:iCs/>
          <w:sz w:val="24"/>
          <w:szCs w:val="24"/>
        </w:rPr>
        <w:t>Porta Esquilina</w:t>
      </w:r>
      <w:r w:rsidRPr="00E34A40">
        <w:rPr>
          <w:sz w:val="24"/>
          <w:szCs w:val="24"/>
        </w:rPr>
        <w:t xml:space="preserve"> and </w:t>
      </w:r>
      <w:r w:rsidRPr="00E34A40">
        <w:rPr>
          <w:i/>
          <w:iCs/>
          <w:sz w:val="24"/>
          <w:szCs w:val="24"/>
        </w:rPr>
        <w:t>Porta Tiburtina</w:t>
      </w:r>
      <w:r w:rsidRPr="00E34A40">
        <w:rPr>
          <w:sz w:val="24"/>
          <w:szCs w:val="24"/>
        </w:rPr>
        <w:t xml:space="preserve">’, in Laurence, R., and Newsome, D.J. (eds), </w:t>
      </w:r>
      <w:r w:rsidRPr="00E34A40">
        <w:rPr>
          <w:i/>
          <w:iCs/>
          <w:sz w:val="24"/>
          <w:szCs w:val="24"/>
        </w:rPr>
        <w:t>Rome, Ostia, Pompeii Movement and Space</w:t>
      </w:r>
      <w:r w:rsidRPr="00E34A40">
        <w:rPr>
          <w:sz w:val="24"/>
          <w:szCs w:val="24"/>
        </w:rPr>
        <w:t xml:space="preserve"> (Oxford, 2011), pp. 360-385.</w:t>
      </w:r>
    </w:p>
    <w:p w:rsidR="00551E4B" w:rsidRPr="00E34A40" w:rsidRDefault="00551E4B" w:rsidP="00551E4B">
      <w:pPr>
        <w:rPr>
          <w:sz w:val="24"/>
          <w:szCs w:val="24"/>
        </w:rPr>
      </w:pPr>
      <w:r w:rsidRPr="00E34A40">
        <w:rPr>
          <w:sz w:val="24"/>
          <w:szCs w:val="24"/>
        </w:rPr>
        <w:t>Mann, J.C., ‘What was the Notitia Dignitatum for?</w:t>
      </w:r>
      <w:proofErr w:type="gramStart"/>
      <w:r w:rsidRPr="00E34A40">
        <w:rPr>
          <w:sz w:val="24"/>
          <w:szCs w:val="24"/>
        </w:rPr>
        <w:t>’,</w:t>
      </w:r>
      <w:proofErr w:type="gramEnd"/>
      <w:r w:rsidRPr="00E34A40">
        <w:rPr>
          <w:sz w:val="24"/>
          <w:szCs w:val="24"/>
        </w:rPr>
        <w:t xml:space="preserve"> in Goodburn, R., and Bartholomew, P., (eds) </w:t>
      </w:r>
      <w:r w:rsidRPr="00E34A40">
        <w:rPr>
          <w:i/>
          <w:sz w:val="24"/>
          <w:szCs w:val="24"/>
        </w:rPr>
        <w:t>Aspects of the Notitia Dignitatum</w:t>
      </w:r>
      <w:r w:rsidRPr="00E34A40">
        <w:rPr>
          <w:sz w:val="24"/>
          <w:szCs w:val="24"/>
        </w:rPr>
        <w:t xml:space="preserve"> (Oxford, 1976), pp. 1-10.</w:t>
      </w:r>
    </w:p>
    <w:p w:rsidR="00551E4B" w:rsidRPr="00E34A40" w:rsidRDefault="00551E4B" w:rsidP="00551E4B">
      <w:pPr>
        <w:rPr>
          <w:sz w:val="24"/>
          <w:szCs w:val="24"/>
        </w:rPr>
      </w:pPr>
      <w:r w:rsidRPr="00E34A40">
        <w:rPr>
          <w:sz w:val="24"/>
          <w:szCs w:val="24"/>
        </w:rPr>
        <w:t xml:space="preserve">                     ‘The Notitia Dignitatum: Dating and Survival’, </w:t>
      </w:r>
      <w:r w:rsidRPr="00E34A40">
        <w:rPr>
          <w:i/>
          <w:sz w:val="24"/>
          <w:szCs w:val="24"/>
        </w:rPr>
        <w:t>Britannia Vol. 22</w:t>
      </w:r>
      <w:r w:rsidRPr="00E34A40">
        <w:rPr>
          <w:sz w:val="24"/>
          <w:szCs w:val="24"/>
        </w:rPr>
        <w:t xml:space="preserve"> (1991), pp. 215-219.</w:t>
      </w:r>
    </w:p>
    <w:p w:rsidR="00551E4B" w:rsidRPr="00E34A40" w:rsidRDefault="00551E4B" w:rsidP="00551E4B">
      <w:pPr>
        <w:rPr>
          <w:sz w:val="24"/>
          <w:szCs w:val="24"/>
        </w:rPr>
      </w:pPr>
      <w:r w:rsidRPr="00E34A40">
        <w:rPr>
          <w:sz w:val="24"/>
          <w:szCs w:val="24"/>
        </w:rPr>
        <w:t xml:space="preserve">                     ‘The Organization of Frumentarii’, </w:t>
      </w:r>
      <w:r w:rsidRPr="00E34A40">
        <w:rPr>
          <w:i/>
          <w:sz w:val="24"/>
          <w:szCs w:val="24"/>
        </w:rPr>
        <w:t xml:space="preserve">Zeitschrift für Papyrologie und Epigraphik Bd. 74 </w:t>
      </w:r>
      <w:r w:rsidRPr="00E34A40">
        <w:rPr>
          <w:sz w:val="24"/>
          <w:szCs w:val="24"/>
        </w:rPr>
        <w:t>(1988), pp. 149-150.</w:t>
      </w:r>
    </w:p>
    <w:p w:rsidR="00551E4B" w:rsidRPr="00E34A40" w:rsidRDefault="00551E4B" w:rsidP="00551E4B">
      <w:pPr>
        <w:rPr>
          <w:sz w:val="24"/>
          <w:szCs w:val="24"/>
        </w:rPr>
      </w:pPr>
      <w:r w:rsidRPr="00E34A40">
        <w:rPr>
          <w:sz w:val="24"/>
          <w:szCs w:val="24"/>
        </w:rPr>
        <w:lastRenderedPageBreak/>
        <w:t xml:space="preserve">                     ‘Epigraphic Consciousness’, </w:t>
      </w:r>
      <w:proofErr w:type="gramStart"/>
      <w:r w:rsidRPr="00E34A40">
        <w:rPr>
          <w:i/>
          <w:sz w:val="24"/>
          <w:szCs w:val="24"/>
        </w:rPr>
        <w:t>The</w:t>
      </w:r>
      <w:proofErr w:type="gramEnd"/>
      <w:r w:rsidRPr="00E34A40">
        <w:rPr>
          <w:i/>
          <w:sz w:val="24"/>
          <w:szCs w:val="24"/>
        </w:rPr>
        <w:t xml:space="preserve"> Journal of Roman Studies Vol. 75</w:t>
      </w:r>
      <w:r w:rsidRPr="00E34A40">
        <w:rPr>
          <w:sz w:val="24"/>
          <w:szCs w:val="24"/>
        </w:rPr>
        <w:t xml:space="preserve"> (1985), pp. 204-206.</w:t>
      </w:r>
    </w:p>
    <w:p w:rsidR="00551E4B" w:rsidRPr="00E34A40" w:rsidRDefault="00551E4B" w:rsidP="00551E4B">
      <w:pPr>
        <w:tabs>
          <w:tab w:val="left" w:pos="4536"/>
        </w:tabs>
        <w:rPr>
          <w:sz w:val="24"/>
          <w:szCs w:val="24"/>
        </w:rPr>
      </w:pPr>
      <w:r w:rsidRPr="00E34A40">
        <w:rPr>
          <w:sz w:val="24"/>
          <w:szCs w:val="24"/>
        </w:rPr>
        <w:t>Marlowe, E., ‘</w:t>
      </w:r>
      <w:r w:rsidRPr="00E34A40">
        <w:rPr>
          <w:i/>
          <w:sz w:val="24"/>
          <w:szCs w:val="24"/>
        </w:rPr>
        <w:t>Liberator urbis suae</w:t>
      </w:r>
      <w:r w:rsidRPr="00E34A40">
        <w:rPr>
          <w:sz w:val="24"/>
          <w:szCs w:val="24"/>
        </w:rPr>
        <w:t>: Constantine and the Ghost of Maxentius’, in Ewald, B.C., and Noreña, C.F. (</w:t>
      </w:r>
      <w:proofErr w:type="gramStart"/>
      <w:r w:rsidRPr="00E34A40">
        <w:rPr>
          <w:sz w:val="24"/>
          <w:szCs w:val="24"/>
        </w:rPr>
        <w:t>eds</w:t>
      </w:r>
      <w:proofErr w:type="gramEnd"/>
      <w:r w:rsidRPr="00E34A40">
        <w:rPr>
          <w:sz w:val="24"/>
          <w:szCs w:val="24"/>
        </w:rPr>
        <w:t xml:space="preserve">), </w:t>
      </w:r>
      <w:r w:rsidRPr="00E34A40">
        <w:rPr>
          <w:i/>
          <w:sz w:val="24"/>
          <w:szCs w:val="24"/>
        </w:rPr>
        <w:t xml:space="preserve">The </w:t>
      </w:r>
      <w:r w:rsidR="008B44B0">
        <w:rPr>
          <w:i/>
          <w:sz w:val="24"/>
          <w:szCs w:val="24"/>
        </w:rPr>
        <w:t>Emperor</w:t>
      </w:r>
      <w:r w:rsidRPr="00E34A40">
        <w:rPr>
          <w:i/>
          <w:sz w:val="24"/>
          <w:szCs w:val="24"/>
        </w:rPr>
        <w:t xml:space="preserve"> and Rome Space, Representation, and Ritual</w:t>
      </w:r>
      <w:r w:rsidRPr="00E34A40">
        <w:rPr>
          <w:sz w:val="24"/>
          <w:szCs w:val="24"/>
        </w:rPr>
        <w:t xml:space="preserve"> (Cambridge, 2010), pp. 199-220.</w:t>
      </w:r>
    </w:p>
    <w:p w:rsidR="00551E4B" w:rsidRPr="00E34A40" w:rsidRDefault="00551E4B" w:rsidP="00551E4B">
      <w:pPr>
        <w:rPr>
          <w:sz w:val="24"/>
          <w:szCs w:val="24"/>
        </w:rPr>
      </w:pPr>
      <w:r w:rsidRPr="00E34A40">
        <w:rPr>
          <w:sz w:val="24"/>
          <w:szCs w:val="24"/>
        </w:rPr>
        <w:t>Mathisen, R.W., ‘</w:t>
      </w:r>
      <w:r w:rsidR="008B44B0">
        <w:rPr>
          <w:sz w:val="24"/>
          <w:szCs w:val="24"/>
        </w:rPr>
        <w:t>Imperial</w:t>
      </w:r>
      <w:r w:rsidRPr="00E34A40">
        <w:rPr>
          <w:sz w:val="24"/>
          <w:szCs w:val="24"/>
        </w:rPr>
        <w:t xml:space="preserve"> Honorifics and </w:t>
      </w:r>
      <w:r w:rsidR="008B44B0">
        <w:rPr>
          <w:sz w:val="24"/>
          <w:szCs w:val="24"/>
        </w:rPr>
        <w:t>Senatorial</w:t>
      </w:r>
      <w:r w:rsidRPr="00E34A40">
        <w:rPr>
          <w:sz w:val="24"/>
          <w:szCs w:val="24"/>
        </w:rPr>
        <w:t xml:space="preserve"> Status in Late Roman Legal Documents’, in Mathisen, R.W. (ed.), </w:t>
      </w:r>
      <w:r w:rsidRPr="00E34A40">
        <w:rPr>
          <w:i/>
          <w:iCs/>
          <w:sz w:val="24"/>
          <w:szCs w:val="24"/>
        </w:rPr>
        <w:t>Law, Society, and Authority in Late Antiquity</w:t>
      </w:r>
      <w:r w:rsidRPr="00E34A40">
        <w:rPr>
          <w:sz w:val="24"/>
          <w:szCs w:val="24"/>
        </w:rPr>
        <w:t xml:space="preserve"> (Oxford, 2001), pp. 179-207.</w:t>
      </w:r>
    </w:p>
    <w:p w:rsidR="00551E4B" w:rsidRPr="00E34A40" w:rsidRDefault="00551E4B" w:rsidP="00551E4B">
      <w:pPr>
        <w:rPr>
          <w:sz w:val="24"/>
          <w:szCs w:val="24"/>
        </w:rPr>
      </w:pPr>
      <w:r w:rsidRPr="00E34A40">
        <w:rPr>
          <w:sz w:val="24"/>
          <w:szCs w:val="24"/>
        </w:rPr>
        <w:t xml:space="preserve">                              ‘Catalogues of Barbarians in Late Antiquity’, in Mathisen, R.W., and Shanzer, D., </w:t>
      </w:r>
      <w:r w:rsidRPr="00E34A40">
        <w:rPr>
          <w:i/>
          <w:sz w:val="24"/>
          <w:szCs w:val="24"/>
        </w:rPr>
        <w:t>Romans, Barbarians, and the Transformation of the Roman World</w:t>
      </w:r>
      <w:r w:rsidRPr="00E34A40">
        <w:rPr>
          <w:sz w:val="24"/>
          <w:szCs w:val="24"/>
        </w:rPr>
        <w:t xml:space="preserve"> (Farnham, 2011), pp. 17-32.  </w:t>
      </w:r>
    </w:p>
    <w:p w:rsidR="00551E4B" w:rsidRPr="00E34A40" w:rsidRDefault="00551E4B" w:rsidP="00551E4B">
      <w:pPr>
        <w:rPr>
          <w:sz w:val="24"/>
          <w:szCs w:val="24"/>
        </w:rPr>
      </w:pPr>
      <w:r w:rsidRPr="00E34A40">
        <w:rPr>
          <w:sz w:val="24"/>
          <w:szCs w:val="24"/>
        </w:rPr>
        <w:t xml:space="preserve">Mattingly, H., ‘The </w:t>
      </w:r>
      <w:r w:rsidR="008B44B0">
        <w:rPr>
          <w:sz w:val="24"/>
          <w:szCs w:val="24"/>
        </w:rPr>
        <w:t>Imperial</w:t>
      </w:r>
      <w:r w:rsidRPr="00E34A40">
        <w:rPr>
          <w:sz w:val="24"/>
          <w:szCs w:val="24"/>
        </w:rPr>
        <w:t xml:space="preserve"> Recovery’, in Cook, S.A., Adcock, F.E., Charlesworth, M.P., and Baynes, N.H. (eds), in </w:t>
      </w:r>
      <w:r w:rsidRPr="00E34A40">
        <w:rPr>
          <w:i/>
          <w:sz w:val="24"/>
          <w:szCs w:val="24"/>
        </w:rPr>
        <w:t>The Cambridge Ancient History XII A.D. 193-324</w:t>
      </w:r>
      <w:r w:rsidRPr="00E34A40">
        <w:rPr>
          <w:sz w:val="24"/>
          <w:szCs w:val="24"/>
        </w:rPr>
        <w:t xml:space="preserve"> (Cambridge, 1961), pp. 297-351.</w:t>
      </w:r>
    </w:p>
    <w:p w:rsidR="00551E4B" w:rsidRPr="00E34A40" w:rsidRDefault="00551E4B" w:rsidP="00551E4B">
      <w:pPr>
        <w:rPr>
          <w:sz w:val="24"/>
          <w:szCs w:val="24"/>
        </w:rPr>
      </w:pPr>
      <w:r w:rsidRPr="00E34A40">
        <w:rPr>
          <w:sz w:val="24"/>
          <w:szCs w:val="24"/>
        </w:rPr>
        <w:t xml:space="preserve">Matthews, J., ‘The </w:t>
      </w:r>
      <w:r w:rsidRPr="00E34A40">
        <w:rPr>
          <w:i/>
          <w:iCs/>
          <w:sz w:val="24"/>
          <w:szCs w:val="24"/>
        </w:rPr>
        <w:t>Notitia Urbis Constantinopolitanae</w:t>
      </w:r>
      <w:r w:rsidRPr="00E34A40">
        <w:rPr>
          <w:sz w:val="24"/>
          <w:szCs w:val="24"/>
        </w:rPr>
        <w:t xml:space="preserve">’, in Grig, L. and Kelly, G. (eds), </w:t>
      </w:r>
      <w:r w:rsidRPr="00E34A40">
        <w:rPr>
          <w:i/>
          <w:iCs/>
          <w:sz w:val="24"/>
          <w:szCs w:val="24"/>
        </w:rPr>
        <w:t>Two Romes Rome and Constantinople in Late Antiquity</w:t>
      </w:r>
      <w:r w:rsidRPr="00E34A40">
        <w:rPr>
          <w:sz w:val="24"/>
          <w:szCs w:val="24"/>
        </w:rPr>
        <w:t xml:space="preserve"> (Oxford, 2012), pp. 81-115.</w:t>
      </w:r>
    </w:p>
    <w:p w:rsidR="00551E4B" w:rsidRPr="00E34A40" w:rsidRDefault="00551E4B" w:rsidP="00551E4B">
      <w:pPr>
        <w:rPr>
          <w:sz w:val="24"/>
          <w:szCs w:val="24"/>
        </w:rPr>
      </w:pPr>
      <w:r w:rsidRPr="00E34A40">
        <w:rPr>
          <w:sz w:val="24"/>
          <w:szCs w:val="24"/>
        </w:rPr>
        <w:t>Mayer, E., ‘Civil War and Public Dissent: the State Monuments of the Decentralised Roman Empire’, in Bowden, W., Gutteridge, A., and Machado, C. (</w:t>
      </w:r>
      <w:proofErr w:type="gramStart"/>
      <w:r w:rsidRPr="00E34A40">
        <w:rPr>
          <w:sz w:val="24"/>
          <w:szCs w:val="24"/>
        </w:rPr>
        <w:t>eds</w:t>
      </w:r>
      <w:proofErr w:type="gramEnd"/>
      <w:r w:rsidRPr="00E34A40">
        <w:rPr>
          <w:sz w:val="24"/>
          <w:szCs w:val="24"/>
        </w:rPr>
        <w:t xml:space="preserve">), </w:t>
      </w:r>
      <w:r w:rsidRPr="00E34A40">
        <w:rPr>
          <w:i/>
          <w:sz w:val="24"/>
          <w:szCs w:val="24"/>
        </w:rPr>
        <w:t>Social and Political Life in Late Antiquity</w:t>
      </w:r>
      <w:r w:rsidRPr="00E34A40">
        <w:rPr>
          <w:sz w:val="24"/>
          <w:szCs w:val="24"/>
        </w:rPr>
        <w:t xml:space="preserve"> (Leiden, 2006), pp. 141-156.</w:t>
      </w:r>
    </w:p>
    <w:p w:rsidR="00551E4B" w:rsidRPr="00E34A40" w:rsidRDefault="00551E4B" w:rsidP="00551E4B">
      <w:pPr>
        <w:pStyle w:val="Default"/>
        <w:rPr>
          <w:rFonts w:asciiTheme="minorHAnsi" w:hAnsiTheme="minorHAnsi"/>
          <w:bCs/>
          <w:lang w:eastAsia="zh-TW"/>
        </w:rPr>
      </w:pPr>
      <w:r w:rsidRPr="00E34A40">
        <w:rPr>
          <w:rFonts w:asciiTheme="minorHAnsi" w:eastAsiaTheme="majorEastAsia" w:hAnsiTheme="minorHAnsi"/>
        </w:rPr>
        <w:t xml:space="preserve">                   ‘Propaganda, staged applause, or local politics? Public monuments from Augustus to Septimius Severus’, </w:t>
      </w:r>
      <w:r w:rsidRPr="00E34A40">
        <w:rPr>
          <w:rFonts w:asciiTheme="minorHAnsi" w:hAnsiTheme="minorHAnsi"/>
        </w:rPr>
        <w:t>in</w:t>
      </w:r>
      <w:r w:rsidRPr="00E34A40">
        <w:rPr>
          <w:rFonts w:asciiTheme="minorHAnsi" w:hAnsiTheme="minorHAnsi"/>
          <w:bCs/>
        </w:rPr>
        <w:t xml:space="preserve"> Ewald, B.C., and Noreña, C.F. (eds), </w:t>
      </w:r>
      <w:r w:rsidRPr="00E34A40">
        <w:rPr>
          <w:rFonts w:asciiTheme="minorHAnsi" w:hAnsiTheme="minorHAnsi"/>
          <w:bCs/>
          <w:i/>
          <w:iCs/>
        </w:rPr>
        <w:t xml:space="preserve">The </w:t>
      </w:r>
      <w:r w:rsidR="008B44B0">
        <w:rPr>
          <w:rFonts w:asciiTheme="minorHAnsi" w:hAnsiTheme="minorHAnsi"/>
          <w:bCs/>
          <w:i/>
          <w:iCs/>
        </w:rPr>
        <w:t>Emperor</w:t>
      </w:r>
      <w:r w:rsidRPr="00E34A40">
        <w:rPr>
          <w:rFonts w:asciiTheme="minorHAnsi" w:hAnsiTheme="minorHAnsi"/>
          <w:bCs/>
          <w:i/>
          <w:iCs/>
        </w:rPr>
        <w:t xml:space="preserve"> and Rome Space, Representation, and Ritual</w:t>
      </w:r>
      <w:r w:rsidRPr="00E34A40">
        <w:rPr>
          <w:rFonts w:asciiTheme="minorHAnsi" w:hAnsiTheme="minorHAnsi"/>
          <w:bCs/>
        </w:rPr>
        <w:t xml:space="preserve"> (Cambridge, 2011)</w:t>
      </w:r>
      <w:r w:rsidRPr="00E34A40">
        <w:rPr>
          <w:rFonts w:asciiTheme="minorHAnsi" w:hAnsiTheme="minorHAnsi"/>
          <w:bCs/>
          <w:lang w:eastAsia="zh-TW"/>
        </w:rPr>
        <w:t>, pp. 111-134.</w:t>
      </w:r>
    </w:p>
    <w:p w:rsidR="00551E4B" w:rsidRPr="00E34A40" w:rsidRDefault="00551E4B" w:rsidP="00551E4B">
      <w:pPr>
        <w:pStyle w:val="Default"/>
        <w:rPr>
          <w:rFonts w:asciiTheme="minorHAnsi" w:hAnsiTheme="minorHAnsi"/>
          <w:bCs/>
          <w:lang w:eastAsia="zh-TW"/>
        </w:rPr>
      </w:pPr>
    </w:p>
    <w:p w:rsidR="00551E4B" w:rsidRPr="00E34A40" w:rsidRDefault="00551E4B" w:rsidP="00551E4B">
      <w:pPr>
        <w:pStyle w:val="Default"/>
        <w:rPr>
          <w:rFonts w:asciiTheme="minorHAnsi" w:hAnsiTheme="minorHAnsi"/>
          <w:bCs/>
          <w:lang w:eastAsia="zh-TW"/>
        </w:rPr>
      </w:pPr>
      <w:r w:rsidRPr="00E34A40">
        <w:rPr>
          <w:rFonts w:asciiTheme="minorHAnsi" w:hAnsiTheme="minorHAnsi"/>
          <w:bCs/>
          <w:lang w:eastAsia="zh-TW"/>
        </w:rPr>
        <w:t xml:space="preserve">Mayer, R., ‘Impressions of Rome’, </w:t>
      </w:r>
      <w:r w:rsidRPr="00E34A40">
        <w:rPr>
          <w:rFonts w:asciiTheme="minorHAnsi" w:hAnsiTheme="minorHAnsi"/>
          <w:bCs/>
          <w:i/>
          <w:lang w:eastAsia="zh-TW"/>
        </w:rPr>
        <w:t>Greece &amp; Rome Vol. 54 No. 2</w:t>
      </w:r>
      <w:r w:rsidRPr="00E34A40">
        <w:rPr>
          <w:rFonts w:asciiTheme="minorHAnsi" w:hAnsiTheme="minorHAnsi"/>
          <w:bCs/>
          <w:lang w:eastAsia="zh-TW"/>
        </w:rPr>
        <w:t xml:space="preserve"> (2007), pp. 156-177.</w:t>
      </w:r>
    </w:p>
    <w:p w:rsidR="00551E4B" w:rsidRPr="00E34A40" w:rsidRDefault="00551E4B" w:rsidP="00551E4B">
      <w:pPr>
        <w:pStyle w:val="Default"/>
        <w:rPr>
          <w:rFonts w:asciiTheme="minorHAnsi" w:hAnsiTheme="minorHAnsi"/>
          <w:bCs/>
          <w:lang w:eastAsia="zh-TW"/>
        </w:rPr>
      </w:pPr>
    </w:p>
    <w:p w:rsidR="00551E4B" w:rsidRPr="00E34A40" w:rsidRDefault="00551E4B" w:rsidP="00551E4B">
      <w:pPr>
        <w:pStyle w:val="Default"/>
        <w:rPr>
          <w:rFonts w:asciiTheme="minorHAnsi" w:hAnsiTheme="minorHAnsi"/>
          <w:bCs/>
          <w:lang w:eastAsia="zh-TW"/>
        </w:rPr>
      </w:pPr>
      <w:r w:rsidRPr="00E34A40">
        <w:rPr>
          <w:rFonts w:asciiTheme="minorHAnsi" w:hAnsiTheme="minorHAnsi"/>
        </w:rPr>
        <w:t xml:space="preserve">Mayr-Harting, H., ‘Charlemagne, the Saxons, and the </w:t>
      </w:r>
      <w:r w:rsidR="008B44B0">
        <w:rPr>
          <w:rFonts w:asciiTheme="minorHAnsi" w:hAnsiTheme="minorHAnsi"/>
        </w:rPr>
        <w:t>Imperial</w:t>
      </w:r>
      <w:r w:rsidRPr="00E34A40">
        <w:rPr>
          <w:rFonts w:asciiTheme="minorHAnsi" w:hAnsiTheme="minorHAnsi"/>
        </w:rPr>
        <w:t xml:space="preserve"> Coronation of 800’, </w:t>
      </w:r>
      <w:proofErr w:type="gramStart"/>
      <w:r w:rsidRPr="00E34A40">
        <w:rPr>
          <w:rFonts w:asciiTheme="minorHAnsi" w:hAnsiTheme="minorHAnsi"/>
          <w:i/>
        </w:rPr>
        <w:t>The</w:t>
      </w:r>
      <w:proofErr w:type="gramEnd"/>
      <w:r w:rsidRPr="00E34A40">
        <w:rPr>
          <w:rFonts w:asciiTheme="minorHAnsi" w:hAnsiTheme="minorHAnsi"/>
          <w:i/>
        </w:rPr>
        <w:t xml:space="preserve"> English Historical Review Vol. 111 No. 444 </w:t>
      </w:r>
      <w:r w:rsidRPr="00E34A40">
        <w:rPr>
          <w:rFonts w:asciiTheme="minorHAnsi" w:hAnsiTheme="minorHAnsi"/>
        </w:rPr>
        <w:t>(1996), pp. 1113-1133.</w:t>
      </w:r>
    </w:p>
    <w:p w:rsidR="00551E4B" w:rsidRPr="00E34A40" w:rsidRDefault="00551E4B" w:rsidP="00551E4B">
      <w:pPr>
        <w:rPr>
          <w:sz w:val="24"/>
          <w:szCs w:val="24"/>
        </w:rPr>
      </w:pPr>
      <w:r w:rsidRPr="00E34A40">
        <w:rPr>
          <w:rFonts w:cs="SabonLTPro-Roman"/>
          <w:sz w:val="24"/>
          <w:szCs w:val="24"/>
        </w:rPr>
        <w:t xml:space="preserve">McKitterick, R., ‘The Carolingian Renaissance of Culture and Learning’, in Story, J. (ed.), </w:t>
      </w:r>
      <w:r w:rsidRPr="00E34A40">
        <w:rPr>
          <w:rFonts w:cs="SabonLTPro-Roman"/>
          <w:i/>
          <w:sz w:val="24"/>
          <w:szCs w:val="24"/>
        </w:rPr>
        <w:t>Charlemagne: Empire and Society</w:t>
      </w:r>
      <w:r w:rsidRPr="00E34A40">
        <w:rPr>
          <w:rFonts w:cs="SabonLTPro-Roman"/>
          <w:sz w:val="24"/>
          <w:szCs w:val="24"/>
        </w:rPr>
        <w:t xml:space="preserve"> (Manchester, 2005), pp. 160-162.</w:t>
      </w:r>
    </w:p>
    <w:p w:rsidR="00551E4B" w:rsidRPr="00E34A40" w:rsidRDefault="00551E4B" w:rsidP="00551E4B">
      <w:pPr>
        <w:rPr>
          <w:rFonts w:eastAsia="Arial Unicode MS" w:cstheme="minorHAnsi"/>
          <w:sz w:val="24"/>
          <w:szCs w:val="24"/>
          <w:lang w:eastAsia="en-GB"/>
        </w:rPr>
      </w:pPr>
      <w:r w:rsidRPr="00E34A40">
        <w:rPr>
          <w:rFonts w:cstheme="minorHAnsi"/>
          <w:sz w:val="24"/>
          <w:szCs w:val="24"/>
        </w:rPr>
        <w:t xml:space="preserve">McCormick, </w:t>
      </w:r>
      <w:proofErr w:type="gramStart"/>
      <w:r w:rsidRPr="00E34A40">
        <w:rPr>
          <w:rFonts w:cstheme="minorHAnsi"/>
          <w:sz w:val="24"/>
          <w:szCs w:val="24"/>
        </w:rPr>
        <w:t>Michael.,</w:t>
      </w:r>
      <w:proofErr w:type="gramEnd"/>
      <w:r w:rsidRPr="00E34A40">
        <w:rPr>
          <w:rFonts w:cstheme="minorHAnsi"/>
          <w:sz w:val="24"/>
          <w:szCs w:val="24"/>
        </w:rPr>
        <w:t xml:space="preserve"> ‘</w:t>
      </w:r>
      <w:r w:rsidR="008B44B0">
        <w:rPr>
          <w:rFonts w:cstheme="minorHAnsi"/>
          <w:sz w:val="24"/>
          <w:szCs w:val="24"/>
        </w:rPr>
        <w:t>Emperor</w:t>
      </w:r>
      <w:r w:rsidRPr="00E34A40">
        <w:rPr>
          <w:rFonts w:cstheme="minorHAnsi"/>
          <w:sz w:val="24"/>
          <w:szCs w:val="24"/>
        </w:rPr>
        <w:t xml:space="preserve"> and court’, </w:t>
      </w:r>
      <w:r w:rsidRPr="00E34A40">
        <w:rPr>
          <w:rFonts w:eastAsia="Arial Unicode MS" w:cstheme="minorHAnsi"/>
          <w:sz w:val="24"/>
          <w:szCs w:val="24"/>
          <w:lang w:eastAsia="en-GB"/>
        </w:rPr>
        <w:t xml:space="preserve">in Cameron, A., Ward-Perkins, B., and Whitby, M., </w:t>
      </w:r>
      <w:r w:rsidRPr="00E34A40">
        <w:rPr>
          <w:rFonts w:eastAsia="Arial Unicode MS" w:cstheme="minorHAnsi"/>
          <w:i/>
          <w:sz w:val="24"/>
          <w:szCs w:val="24"/>
          <w:lang w:eastAsia="en-GB"/>
        </w:rPr>
        <w:t>The Cambridge Ancient History Volume XIV Late Antiquity: Empire and Successors A.D. 425 -600</w:t>
      </w:r>
      <w:r w:rsidRPr="00E34A40">
        <w:rPr>
          <w:rFonts w:eastAsia="Arial Unicode MS" w:cstheme="minorHAnsi"/>
          <w:sz w:val="24"/>
          <w:szCs w:val="24"/>
          <w:lang w:eastAsia="en-GB"/>
        </w:rPr>
        <w:t xml:space="preserve"> (Cambridge University Press, Cambridge, 2000), pp. 135-163</w:t>
      </w:r>
    </w:p>
    <w:p w:rsidR="00551E4B" w:rsidRPr="00E34A40" w:rsidRDefault="00551E4B" w:rsidP="00551E4B">
      <w:pPr>
        <w:autoSpaceDE w:val="0"/>
        <w:autoSpaceDN w:val="0"/>
        <w:adjustRightInd w:val="0"/>
        <w:spacing w:after="0" w:line="240" w:lineRule="auto"/>
        <w:jc w:val="both"/>
        <w:rPr>
          <w:rFonts w:cs="AGaramond-Regular"/>
          <w:sz w:val="24"/>
          <w:szCs w:val="24"/>
        </w:rPr>
      </w:pPr>
      <w:proofErr w:type="gramStart"/>
      <w:r w:rsidRPr="00E34A40">
        <w:rPr>
          <w:rFonts w:cs="AGaramond-Regular"/>
          <w:sz w:val="24"/>
          <w:szCs w:val="24"/>
        </w:rPr>
        <w:t xml:space="preserve">Mckitterick, R., ‘The Legacy of the Carolingians’, in McKitterick, R (ed.), </w:t>
      </w:r>
      <w:r w:rsidRPr="00E34A40">
        <w:rPr>
          <w:rFonts w:cs="AGaramond-Regular"/>
          <w:i/>
          <w:sz w:val="24"/>
          <w:szCs w:val="24"/>
        </w:rPr>
        <w:t>Carolingian Culture emulation and innovation</w:t>
      </w:r>
      <w:r w:rsidRPr="00E34A40">
        <w:rPr>
          <w:rFonts w:cs="AGaramond-Regular"/>
          <w:sz w:val="24"/>
          <w:szCs w:val="24"/>
        </w:rPr>
        <w:t xml:space="preserve"> (Cambridge, 1994), pp. 317-323.</w:t>
      </w:r>
      <w:proofErr w:type="gramEnd"/>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autoSpaceDE w:val="0"/>
        <w:autoSpaceDN w:val="0"/>
        <w:adjustRightInd w:val="0"/>
        <w:spacing w:after="0" w:line="240" w:lineRule="auto"/>
        <w:rPr>
          <w:rFonts w:cs="SabonLTPro-Roman"/>
          <w:sz w:val="24"/>
          <w:szCs w:val="24"/>
        </w:rPr>
      </w:pPr>
      <w:r w:rsidRPr="00E34A40">
        <w:rPr>
          <w:rFonts w:cs="SabonLTPro-Roman"/>
          <w:sz w:val="24"/>
          <w:szCs w:val="24"/>
        </w:rPr>
        <w:t xml:space="preserve">                             ‘The Carolingian Renaissance of Culture and Learning’, in Story, J. (ed.), </w:t>
      </w:r>
      <w:r w:rsidRPr="00E34A40">
        <w:rPr>
          <w:rFonts w:cs="SabonLTPro-Roman"/>
          <w:i/>
          <w:sz w:val="24"/>
          <w:szCs w:val="24"/>
        </w:rPr>
        <w:t>Charlemagne: Empire and Society</w:t>
      </w:r>
      <w:r w:rsidRPr="00E34A40">
        <w:rPr>
          <w:rFonts w:cs="SabonLTPro-Roman"/>
          <w:sz w:val="24"/>
          <w:szCs w:val="24"/>
        </w:rPr>
        <w:t xml:space="preserve"> (Manchester, 2005), pp. 151-166.</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rPr>
          <w:sz w:val="24"/>
          <w:szCs w:val="24"/>
        </w:rPr>
      </w:pPr>
      <w:r w:rsidRPr="00E34A40">
        <w:rPr>
          <w:sz w:val="24"/>
          <w:szCs w:val="24"/>
        </w:rPr>
        <w:t xml:space="preserve">Merrill, E.T., ‘The Date of Notitia and Curiosum’, </w:t>
      </w:r>
      <w:r w:rsidRPr="00E34A40">
        <w:rPr>
          <w:i/>
          <w:sz w:val="24"/>
          <w:szCs w:val="24"/>
        </w:rPr>
        <w:t>Classical Philology Vol. 1 No. 2</w:t>
      </w:r>
      <w:r w:rsidRPr="00E34A40">
        <w:rPr>
          <w:sz w:val="24"/>
          <w:szCs w:val="24"/>
        </w:rPr>
        <w:t xml:space="preserve"> (1906), pp. 133-144.</w:t>
      </w:r>
    </w:p>
    <w:p w:rsidR="00551E4B" w:rsidRPr="00E34A40" w:rsidRDefault="00551E4B" w:rsidP="00551E4B">
      <w:pPr>
        <w:rPr>
          <w:rFonts w:cs="Sabon-Roman"/>
          <w:color w:val="231F20"/>
          <w:sz w:val="24"/>
          <w:szCs w:val="24"/>
        </w:rPr>
      </w:pPr>
      <w:r w:rsidRPr="00E34A40">
        <w:rPr>
          <w:rFonts w:cs="Sabon-Roman"/>
          <w:color w:val="231F20"/>
          <w:sz w:val="24"/>
          <w:szCs w:val="24"/>
        </w:rPr>
        <w:t xml:space="preserve">                       </w:t>
      </w:r>
      <w:r w:rsidRPr="00E34A40">
        <w:rPr>
          <w:rFonts w:cs="Sabon-Roman"/>
          <w:color w:val="231F20"/>
          <w:sz w:val="24"/>
          <w:szCs w:val="24"/>
          <w:lang w:val="de-DE"/>
        </w:rPr>
        <w:t xml:space="preserve"> ‘The Bodleian MS of the Notitia</w:t>
      </w:r>
      <w:r w:rsidRPr="00E34A40">
        <w:rPr>
          <w:rFonts w:cs="Sabon-Roman"/>
          <w:color w:val="231F20"/>
          <w:sz w:val="24"/>
          <w:szCs w:val="24"/>
        </w:rPr>
        <w:t xml:space="preserve">’, </w:t>
      </w:r>
      <w:r w:rsidRPr="00E34A40">
        <w:rPr>
          <w:rFonts w:cs="Sabon-Roman"/>
          <w:i/>
          <w:color w:val="231F20"/>
          <w:sz w:val="24"/>
          <w:szCs w:val="24"/>
        </w:rPr>
        <w:t>Classical Philology Vol. 3 No. 2</w:t>
      </w:r>
      <w:r w:rsidRPr="00E34A40">
        <w:rPr>
          <w:rFonts w:cs="Sabon-Roman"/>
          <w:color w:val="231F20"/>
          <w:sz w:val="24"/>
          <w:szCs w:val="24"/>
        </w:rPr>
        <w:t xml:space="preserve"> (1908), pp. 190-195.</w:t>
      </w:r>
    </w:p>
    <w:p w:rsidR="00551E4B" w:rsidRPr="00E34A40" w:rsidRDefault="00551E4B" w:rsidP="00551E4B">
      <w:pPr>
        <w:jc w:val="both"/>
        <w:rPr>
          <w:sz w:val="24"/>
          <w:szCs w:val="24"/>
        </w:rPr>
      </w:pPr>
      <w:r w:rsidRPr="00E34A40">
        <w:rPr>
          <w:rFonts w:cs="Sabon-Roman"/>
          <w:color w:val="231F20"/>
          <w:sz w:val="24"/>
          <w:szCs w:val="24"/>
          <w:lang w:val="de-DE"/>
        </w:rPr>
        <w:t xml:space="preserve">Miles, R., </w:t>
      </w:r>
      <w:r w:rsidRPr="00E34A40">
        <w:rPr>
          <w:rFonts w:cs="Sabon-Roman"/>
          <w:color w:val="231F20"/>
          <w:sz w:val="24"/>
          <w:szCs w:val="24"/>
        </w:rPr>
        <w:t xml:space="preserve">‘Communicating culture, identity and power’, in </w:t>
      </w:r>
      <w:r w:rsidRPr="00E34A40">
        <w:rPr>
          <w:sz w:val="24"/>
          <w:szCs w:val="24"/>
        </w:rPr>
        <w:t xml:space="preserve">Huskinson, J. (ed.), </w:t>
      </w:r>
      <w:r w:rsidRPr="00E34A40">
        <w:rPr>
          <w:i/>
          <w:iCs/>
          <w:sz w:val="24"/>
          <w:szCs w:val="24"/>
        </w:rPr>
        <w:t>Experiencing Rome Culture, Identity, and Power in the Roman Empire</w:t>
      </w:r>
      <w:r w:rsidRPr="00E34A40">
        <w:rPr>
          <w:sz w:val="24"/>
          <w:szCs w:val="24"/>
        </w:rPr>
        <w:t xml:space="preserve"> (London, 2000), pp. 29-62.</w:t>
      </w:r>
    </w:p>
    <w:p w:rsidR="00551E4B" w:rsidRPr="00E34A40" w:rsidRDefault="00551E4B" w:rsidP="00551E4B">
      <w:pPr>
        <w:rPr>
          <w:sz w:val="24"/>
          <w:szCs w:val="24"/>
        </w:rPr>
      </w:pPr>
      <w:r w:rsidRPr="00E34A40">
        <w:rPr>
          <w:sz w:val="24"/>
          <w:szCs w:val="24"/>
        </w:rPr>
        <w:t xml:space="preserve">                   ‘Introduction: constructing identities in late antiquity’, in Richard Miles (ed.), </w:t>
      </w:r>
      <w:r w:rsidRPr="00E34A40">
        <w:rPr>
          <w:i/>
          <w:sz w:val="24"/>
          <w:szCs w:val="24"/>
        </w:rPr>
        <w:t>Constructing Identities in Late Antique Society</w:t>
      </w:r>
      <w:r w:rsidRPr="00E34A40">
        <w:rPr>
          <w:sz w:val="24"/>
          <w:szCs w:val="24"/>
        </w:rPr>
        <w:t xml:space="preserve"> (Routledge, London, 2002), pp. 1-15.</w:t>
      </w:r>
    </w:p>
    <w:p w:rsidR="00551E4B" w:rsidRPr="00E34A40" w:rsidRDefault="00551E4B" w:rsidP="00551E4B">
      <w:pPr>
        <w:pStyle w:val="Default"/>
        <w:rPr>
          <w:rFonts w:asciiTheme="minorHAnsi" w:hAnsiTheme="minorHAnsi"/>
        </w:rPr>
      </w:pPr>
      <w:r w:rsidRPr="00E34A40">
        <w:rPr>
          <w:rFonts w:asciiTheme="minorHAnsi" w:hAnsiTheme="minorHAnsi"/>
        </w:rPr>
        <w:t xml:space="preserve">Millar, F., ‘Empire and City, Augustus to Julian: Obligations, Excuses and Status’, </w:t>
      </w:r>
      <w:proofErr w:type="gramStart"/>
      <w:r w:rsidRPr="00E34A40">
        <w:rPr>
          <w:rFonts w:asciiTheme="minorHAnsi" w:hAnsiTheme="minorHAnsi"/>
          <w:i/>
          <w:iCs/>
        </w:rPr>
        <w:t>The</w:t>
      </w:r>
      <w:proofErr w:type="gramEnd"/>
      <w:r w:rsidRPr="00E34A40">
        <w:rPr>
          <w:rFonts w:asciiTheme="minorHAnsi" w:hAnsiTheme="minorHAnsi"/>
          <w:i/>
          <w:iCs/>
        </w:rPr>
        <w:t xml:space="preserve"> Journal of Roman Studies Vol. 73</w:t>
      </w:r>
      <w:r w:rsidRPr="00E34A40">
        <w:rPr>
          <w:rFonts w:asciiTheme="minorHAnsi" w:hAnsiTheme="minorHAnsi"/>
        </w:rPr>
        <w:t xml:space="preserve"> (1983), pp. 76-96.</w:t>
      </w:r>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hAnsiTheme="minorHAnsi"/>
        </w:rPr>
      </w:pPr>
      <w:r w:rsidRPr="00E34A40">
        <w:rPr>
          <w:rFonts w:asciiTheme="minorHAnsi" w:hAnsiTheme="minorHAnsi"/>
        </w:rPr>
        <w:t xml:space="preserve">Miller, R.D., ‘Monumental Rome’, in Erdkamp, P (ed.), </w:t>
      </w:r>
      <w:proofErr w:type="gramStart"/>
      <w:r w:rsidRPr="00E34A40">
        <w:rPr>
          <w:rFonts w:asciiTheme="minorHAnsi" w:hAnsiTheme="minorHAnsi"/>
          <w:i/>
        </w:rPr>
        <w:t>The</w:t>
      </w:r>
      <w:proofErr w:type="gramEnd"/>
      <w:r w:rsidRPr="00E34A40">
        <w:rPr>
          <w:rFonts w:asciiTheme="minorHAnsi" w:hAnsiTheme="minorHAnsi"/>
          <w:i/>
        </w:rPr>
        <w:t xml:space="preserve"> Cambridge Companion to Ancient Rome</w:t>
      </w:r>
      <w:r w:rsidRPr="00E34A40">
        <w:rPr>
          <w:rFonts w:asciiTheme="minorHAnsi" w:hAnsiTheme="minorHAnsi"/>
        </w:rPr>
        <w:t xml:space="preserve"> (Cambridge, 2013), pp. 190-204.</w:t>
      </w:r>
    </w:p>
    <w:p w:rsidR="00551E4B" w:rsidRPr="00E34A40" w:rsidRDefault="00551E4B" w:rsidP="00551E4B">
      <w:pPr>
        <w:pStyle w:val="Default"/>
        <w:rPr>
          <w:rFonts w:asciiTheme="minorHAnsi" w:hAnsiTheme="minorHAnsi"/>
        </w:rPr>
      </w:pPr>
    </w:p>
    <w:p w:rsidR="00551E4B" w:rsidRPr="00E34A40" w:rsidRDefault="00551E4B" w:rsidP="00551E4B">
      <w:pPr>
        <w:rPr>
          <w:sz w:val="24"/>
          <w:szCs w:val="24"/>
        </w:rPr>
      </w:pPr>
      <w:proofErr w:type="gramStart"/>
      <w:r w:rsidRPr="00E34A40">
        <w:rPr>
          <w:sz w:val="24"/>
          <w:szCs w:val="24"/>
        </w:rPr>
        <w:t xml:space="preserve">Mommsen, T., “Über den Chronographen vom J. 354,” </w:t>
      </w:r>
      <w:r w:rsidRPr="00E34A40">
        <w:rPr>
          <w:i/>
          <w:sz w:val="24"/>
          <w:szCs w:val="24"/>
        </w:rPr>
        <w:t xml:space="preserve">Abhandlungen der Königlich Sächsischen Gesellschaft der Wissenschaften, phil.-hist. Klasse 1 </w:t>
      </w:r>
      <w:r w:rsidRPr="00E34A40">
        <w:rPr>
          <w:sz w:val="24"/>
          <w:szCs w:val="24"/>
        </w:rPr>
        <w:t>(Leipzig, 1850), pp. 536-579.</w:t>
      </w:r>
      <w:proofErr w:type="gramEnd"/>
    </w:p>
    <w:p w:rsidR="00551E4B" w:rsidRPr="00E34A40" w:rsidRDefault="00551E4B" w:rsidP="00551E4B">
      <w:pPr>
        <w:pStyle w:val="Default"/>
        <w:rPr>
          <w:rFonts w:asciiTheme="minorHAnsi" w:hAnsiTheme="minorHAnsi" w:cs="Sabon-Roman"/>
          <w:color w:val="231F20"/>
        </w:rPr>
      </w:pPr>
      <w:r w:rsidRPr="00E34A40">
        <w:rPr>
          <w:rFonts w:asciiTheme="minorHAnsi" w:hAnsiTheme="minorHAnsi"/>
        </w:rPr>
        <w:t xml:space="preserve">Morley, N., ‘Cities in context: urban systems in Roman Italy’, </w:t>
      </w:r>
      <w:r w:rsidRPr="00E34A40">
        <w:rPr>
          <w:rFonts w:asciiTheme="minorHAnsi" w:hAnsiTheme="minorHAnsi" w:cs="Sabon-Roman"/>
          <w:color w:val="231F20"/>
        </w:rPr>
        <w:t xml:space="preserve">in Parkins, H.M. (ed.), </w:t>
      </w:r>
      <w:r w:rsidRPr="00E34A40">
        <w:rPr>
          <w:rFonts w:asciiTheme="minorHAnsi" w:hAnsiTheme="minorHAnsi" w:cs="Sabon-Roman"/>
          <w:i/>
          <w:color w:val="231F20"/>
        </w:rPr>
        <w:t xml:space="preserve">Roman Urbanism </w:t>
      </w:r>
      <w:proofErr w:type="gramStart"/>
      <w:r w:rsidRPr="00E34A40">
        <w:rPr>
          <w:rFonts w:asciiTheme="minorHAnsi" w:hAnsiTheme="minorHAnsi" w:cs="Sabon-Roman"/>
          <w:i/>
          <w:color w:val="231F20"/>
        </w:rPr>
        <w:t>Beyond</w:t>
      </w:r>
      <w:proofErr w:type="gramEnd"/>
      <w:r w:rsidRPr="00E34A40">
        <w:rPr>
          <w:rFonts w:asciiTheme="minorHAnsi" w:hAnsiTheme="minorHAnsi" w:cs="Sabon-Roman"/>
          <w:i/>
          <w:color w:val="231F20"/>
        </w:rPr>
        <w:t xml:space="preserve"> the Consumer City</w:t>
      </w:r>
      <w:r w:rsidRPr="00E34A40">
        <w:rPr>
          <w:rFonts w:asciiTheme="minorHAnsi" w:hAnsiTheme="minorHAnsi" w:cs="Sabon-Roman"/>
          <w:color w:val="231F20"/>
        </w:rPr>
        <w:t>, pp. 42-58.</w:t>
      </w:r>
    </w:p>
    <w:p w:rsidR="00551E4B" w:rsidRPr="00E34A40" w:rsidRDefault="00551E4B" w:rsidP="00551E4B">
      <w:pPr>
        <w:pStyle w:val="Default"/>
        <w:rPr>
          <w:rFonts w:asciiTheme="minorHAnsi" w:hAnsiTheme="minorHAnsi" w:cs="Sabon-Roman"/>
          <w:color w:val="231F20"/>
        </w:rPr>
      </w:pPr>
    </w:p>
    <w:p w:rsidR="00551E4B" w:rsidRPr="00E34A40" w:rsidRDefault="00551E4B" w:rsidP="00551E4B">
      <w:pPr>
        <w:pStyle w:val="Default"/>
        <w:rPr>
          <w:rFonts w:asciiTheme="minorHAnsi" w:hAnsiTheme="minorHAnsi"/>
          <w:bCs/>
        </w:rPr>
      </w:pPr>
      <w:r w:rsidRPr="00E34A40">
        <w:rPr>
          <w:rFonts w:asciiTheme="minorHAnsi" w:hAnsiTheme="minorHAnsi" w:cs="Sabon-Roman"/>
          <w:color w:val="231F20"/>
        </w:rPr>
        <w:t xml:space="preserve">                     ‘Migration and the Metropolis’, in </w:t>
      </w:r>
      <w:r w:rsidRPr="00E34A40">
        <w:rPr>
          <w:rFonts w:asciiTheme="minorHAnsi" w:hAnsiTheme="minorHAnsi"/>
          <w:bCs/>
        </w:rPr>
        <w:t>Edward, C., and Woolf, G. (</w:t>
      </w:r>
      <w:proofErr w:type="gramStart"/>
      <w:r w:rsidRPr="00E34A40">
        <w:rPr>
          <w:rFonts w:asciiTheme="minorHAnsi" w:hAnsiTheme="minorHAnsi"/>
          <w:bCs/>
        </w:rPr>
        <w:t>eds</w:t>
      </w:r>
      <w:proofErr w:type="gramEnd"/>
      <w:r w:rsidRPr="00E34A40">
        <w:rPr>
          <w:rFonts w:asciiTheme="minorHAnsi" w:hAnsiTheme="minorHAnsi"/>
          <w:bCs/>
        </w:rPr>
        <w:t xml:space="preserve">), </w:t>
      </w:r>
      <w:r w:rsidRPr="00E34A40">
        <w:rPr>
          <w:rFonts w:asciiTheme="minorHAnsi" w:hAnsiTheme="minorHAnsi"/>
          <w:bCs/>
          <w:i/>
        </w:rPr>
        <w:t>Rome the Cosmopolis</w:t>
      </w:r>
      <w:r w:rsidRPr="00E34A40">
        <w:rPr>
          <w:rFonts w:asciiTheme="minorHAnsi" w:hAnsiTheme="minorHAnsi"/>
          <w:bCs/>
        </w:rPr>
        <w:t xml:space="preserve"> (Cambridge, 2006), pp. 147-157.</w:t>
      </w:r>
    </w:p>
    <w:p w:rsidR="00551E4B" w:rsidRPr="00E34A40" w:rsidRDefault="00551E4B" w:rsidP="00551E4B">
      <w:pPr>
        <w:pStyle w:val="Default"/>
        <w:rPr>
          <w:rFonts w:asciiTheme="minorHAnsi" w:hAnsiTheme="minorHAnsi" w:cs="Sabon-Roman"/>
          <w:color w:val="231F20"/>
        </w:rPr>
      </w:pPr>
    </w:p>
    <w:p w:rsidR="00551E4B" w:rsidRPr="00E34A40" w:rsidRDefault="00551E4B" w:rsidP="00551E4B">
      <w:pPr>
        <w:rPr>
          <w:sz w:val="24"/>
          <w:szCs w:val="24"/>
        </w:rPr>
      </w:pPr>
      <w:r w:rsidRPr="00E34A40">
        <w:rPr>
          <w:sz w:val="24"/>
          <w:szCs w:val="24"/>
        </w:rPr>
        <w:t xml:space="preserve">Neudecker, R., ‘Archives, books and </w:t>
      </w:r>
      <w:r w:rsidR="00182EFE">
        <w:rPr>
          <w:sz w:val="24"/>
          <w:szCs w:val="24"/>
        </w:rPr>
        <w:t>sacred</w:t>
      </w:r>
      <w:r w:rsidRPr="00E34A40">
        <w:rPr>
          <w:sz w:val="24"/>
          <w:szCs w:val="24"/>
        </w:rPr>
        <w:t xml:space="preserve"> space in Rome’, in König, J., Oikonomopoulou, K., and Woolf, G. (</w:t>
      </w:r>
      <w:proofErr w:type="gramStart"/>
      <w:r w:rsidRPr="00E34A40">
        <w:rPr>
          <w:sz w:val="24"/>
          <w:szCs w:val="24"/>
        </w:rPr>
        <w:t>eds</w:t>
      </w:r>
      <w:proofErr w:type="gramEnd"/>
      <w:r w:rsidRPr="00E34A40">
        <w:rPr>
          <w:sz w:val="24"/>
          <w:szCs w:val="24"/>
        </w:rPr>
        <w:t xml:space="preserve">), </w:t>
      </w:r>
      <w:r w:rsidRPr="00E34A40">
        <w:rPr>
          <w:i/>
          <w:sz w:val="24"/>
          <w:szCs w:val="24"/>
        </w:rPr>
        <w:t>Ancient Libraries</w:t>
      </w:r>
      <w:r w:rsidRPr="00E34A40">
        <w:rPr>
          <w:sz w:val="24"/>
          <w:szCs w:val="24"/>
        </w:rPr>
        <w:t xml:space="preserve"> (Cambridge, 2013), pp. 312-331.</w:t>
      </w:r>
    </w:p>
    <w:p w:rsidR="00551E4B" w:rsidRPr="00E34A40" w:rsidRDefault="00551E4B" w:rsidP="00551E4B">
      <w:pPr>
        <w:pStyle w:val="Default"/>
        <w:rPr>
          <w:rFonts w:asciiTheme="minorHAnsi" w:hAnsiTheme="minorHAnsi"/>
        </w:rPr>
      </w:pPr>
      <w:r w:rsidRPr="00E34A40">
        <w:rPr>
          <w:rFonts w:asciiTheme="minorHAnsi" w:hAnsiTheme="minorHAnsi"/>
        </w:rPr>
        <w:t>Newby, Z., ‘Art at the Crossroads? Themes and styles in Severan art’, in Swain, S., Harrison, S., and Elsner, J.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rPr>
        <w:t>Severan Culture</w:t>
      </w:r>
      <w:r w:rsidRPr="00E34A40">
        <w:rPr>
          <w:rFonts w:asciiTheme="minorHAnsi" w:hAnsiTheme="minorHAnsi"/>
        </w:rPr>
        <w:t xml:space="preserve"> (Cambridge, 2007), pp. 201-249.</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pStyle w:val="Default"/>
        <w:rPr>
          <w:rFonts w:asciiTheme="minorHAnsi" w:hAnsiTheme="minorHAnsi"/>
        </w:rPr>
      </w:pPr>
      <w:r w:rsidRPr="00E34A40">
        <w:rPr>
          <w:rFonts w:asciiTheme="minorHAnsi" w:hAnsiTheme="minorHAnsi"/>
        </w:rPr>
        <w:t>Newsome, D.J., ‘Introduction: Making Movement Meaningful’, in Laurence, R., and Newsome, D.J.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iCs/>
        </w:rPr>
        <w:t>Rome, Ostia, Pompeii Movement and Space</w:t>
      </w:r>
      <w:r w:rsidRPr="00E34A40">
        <w:rPr>
          <w:rFonts w:asciiTheme="minorHAnsi" w:hAnsiTheme="minorHAnsi"/>
        </w:rPr>
        <w:t xml:space="preserve"> (Oxford, 2011), pp. 1-56.</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pStyle w:val="Default"/>
        <w:rPr>
          <w:rFonts w:asciiTheme="minorHAnsi" w:hAnsiTheme="minorHAnsi"/>
        </w:rPr>
      </w:pPr>
      <w:r w:rsidRPr="00E34A40">
        <w:rPr>
          <w:rFonts w:asciiTheme="minorHAnsi" w:hAnsiTheme="minorHAnsi"/>
        </w:rPr>
        <w:t>Nicholls, M., ‘Roman libraries as public buildings in the cities of the Empire’, in König, J., Oikonomopoulou, K., and Woolf, G.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rPr>
        <w:t>Ancient Libraries</w:t>
      </w:r>
      <w:r w:rsidRPr="00E34A40">
        <w:rPr>
          <w:rFonts w:asciiTheme="minorHAnsi" w:hAnsiTheme="minorHAnsi"/>
        </w:rPr>
        <w:t xml:space="preserve"> (Cambridge, 2013), pp. 261-276.</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Nicolet, C., ‘Augustus, Government, and the Propertied Classes’, in Millar, F., and Segal, E. (</w:t>
      </w:r>
      <w:proofErr w:type="gramStart"/>
      <w:r w:rsidRPr="00E34A40">
        <w:rPr>
          <w:rFonts w:cs="AGaramond-Regular"/>
          <w:sz w:val="24"/>
          <w:szCs w:val="24"/>
        </w:rPr>
        <w:t>eds</w:t>
      </w:r>
      <w:proofErr w:type="gramEnd"/>
      <w:r w:rsidRPr="00E34A40">
        <w:rPr>
          <w:rFonts w:cs="AGaramond-Regular"/>
          <w:sz w:val="24"/>
          <w:szCs w:val="24"/>
        </w:rPr>
        <w:t xml:space="preserve">), </w:t>
      </w:r>
      <w:r w:rsidRPr="00E34A40">
        <w:rPr>
          <w:rFonts w:cs="AGaramond-Regular"/>
          <w:i/>
          <w:sz w:val="24"/>
          <w:szCs w:val="24"/>
        </w:rPr>
        <w:t>Caesar Augustus: Seven Aspects</w:t>
      </w:r>
      <w:r w:rsidRPr="00E34A40">
        <w:rPr>
          <w:rFonts w:cs="AGaramond-Regular"/>
          <w:sz w:val="24"/>
          <w:szCs w:val="24"/>
        </w:rPr>
        <w:t xml:space="preserve"> (Oxford, 2002), pp. 89-128.</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 xml:space="preserve">Noble, T.F.X., ‘Tradition and Learning in Search of Ideology’, in Sullivan, E (ed.), </w:t>
      </w:r>
      <w:r w:rsidRPr="00E34A40">
        <w:rPr>
          <w:rFonts w:cs="AGaramond-Regular"/>
          <w:i/>
          <w:sz w:val="24"/>
          <w:szCs w:val="24"/>
        </w:rPr>
        <w:t>“The Gentle Voices of Teachers” Aspects of Learning in the Carolingian Age</w:t>
      </w:r>
      <w:r w:rsidRPr="00E34A40">
        <w:rPr>
          <w:rFonts w:cs="AGaramond-Regular"/>
          <w:sz w:val="24"/>
          <w:szCs w:val="24"/>
        </w:rPr>
        <w:t xml:space="preserve"> (Columbus, 1995), pp. 227-260.</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rPr>
          <w:rFonts w:cs="Times New Roman"/>
          <w:sz w:val="24"/>
          <w:szCs w:val="24"/>
        </w:rPr>
      </w:pPr>
      <w:r w:rsidRPr="00E34A40">
        <w:rPr>
          <w:rFonts w:cs="Times New Roman"/>
          <w:sz w:val="24"/>
          <w:szCs w:val="24"/>
        </w:rPr>
        <w:lastRenderedPageBreak/>
        <w:t xml:space="preserve">                         ‘Paradoxes and </w:t>
      </w:r>
      <w:r w:rsidR="009C7AF1" w:rsidRPr="00E34A40">
        <w:rPr>
          <w:rFonts w:cs="Times New Roman"/>
          <w:sz w:val="24"/>
          <w:szCs w:val="24"/>
        </w:rPr>
        <w:t>Possibilities</w:t>
      </w:r>
      <w:r w:rsidRPr="00E34A40">
        <w:rPr>
          <w:rFonts w:cs="Times New Roman"/>
          <w:sz w:val="24"/>
          <w:szCs w:val="24"/>
        </w:rPr>
        <w:t xml:space="preserve"> in the Sources for Roman Society in the Early Middle Ages’, in Abulafia, D., Arbel, B., Kennedy, H., Magdalino, P., Meyerson, M., and Simon, L.J(eds)., </w:t>
      </w:r>
      <w:r w:rsidRPr="00E34A40">
        <w:rPr>
          <w:rFonts w:cs="Times New Roman"/>
          <w:i/>
          <w:sz w:val="24"/>
          <w:szCs w:val="24"/>
        </w:rPr>
        <w:t>The Medieval Mediterranean Peoples, Economies and Cultures, 400-1453 Vol. 28</w:t>
      </w:r>
      <w:r w:rsidRPr="00E34A40">
        <w:rPr>
          <w:rFonts w:cs="Times New Roman"/>
          <w:sz w:val="24"/>
          <w:szCs w:val="24"/>
        </w:rPr>
        <w:t xml:space="preserve"> (Boston, 2000), pp. 55-84.</w:t>
      </w:r>
    </w:p>
    <w:p w:rsidR="00551E4B" w:rsidRPr="00E34A40" w:rsidRDefault="00551E4B" w:rsidP="00551E4B">
      <w:pPr>
        <w:jc w:val="both"/>
        <w:rPr>
          <w:sz w:val="24"/>
          <w:szCs w:val="24"/>
        </w:rPr>
      </w:pPr>
      <w:r w:rsidRPr="00E34A40">
        <w:rPr>
          <w:sz w:val="24"/>
          <w:szCs w:val="24"/>
        </w:rPr>
        <w:t xml:space="preserve">Oldham, R.D., ‘The Antonine Itinerary of the Aurelian Road between Aix and Arles’, </w:t>
      </w:r>
      <w:proofErr w:type="gramStart"/>
      <w:r w:rsidRPr="00E34A40">
        <w:rPr>
          <w:i/>
          <w:sz w:val="24"/>
          <w:szCs w:val="24"/>
        </w:rPr>
        <w:t>The</w:t>
      </w:r>
      <w:proofErr w:type="gramEnd"/>
      <w:r w:rsidRPr="00E34A40">
        <w:rPr>
          <w:i/>
          <w:sz w:val="24"/>
          <w:szCs w:val="24"/>
        </w:rPr>
        <w:t xml:space="preserve"> Geographical Journal Vol. 72 No. 1</w:t>
      </w:r>
      <w:r w:rsidRPr="00E34A40">
        <w:rPr>
          <w:sz w:val="24"/>
          <w:szCs w:val="24"/>
        </w:rPr>
        <w:t xml:space="preserve"> (1928), pp. 58-60.</w:t>
      </w:r>
    </w:p>
    <w:p w:rsidR="00551E4B" w:rsidRPr="00E34A40" w:rsidRDefault="00551E4B" w:rsidP="00551E4B">
      <w:pPr>
        <w:rPr>
          <w:rFonts w:cstheme="minorHAnsi"/>
          <w:sz w:val="24"/>
          <w:szCs w:val="24"/>
        </w:rPr>
      </w:pPr>
      <w:r w:rsidRPr="00E34A40">
        <w:rPr>
          <w:rFonts w:cstheme="minorHAnsi"/>
          <w:sz w:val="24"/>
          <w:szCs w:val="24"/>
        </w:rPr>
        <w:t xml:space="preserve">Osgood, </w:t>
      </w:r>
      <w:proofErr w:type="gramStart"/>
      <w:r w:rsidRPr="00E34A40">
        <w:rPr>
          <w:rFonts w:cstheme="minorHAnsi"/>
          <w:sz w:val="24"/>
          <w:szCs w:val="24"/>
        </w:rPr>
        <w:t>Josiah.,</w:t>
      </w:r>
      <w:proofErr w:type="gramEnd"/>
      <w:r w:rsidRPr="00E34A40">
        <w:rPr>
          <w:rFonts w:cstheme="minorHAnsi"/>
          <w:sz w:val="24"/>
          <w:szCs w:val="24"/>
        </w:rPr>
        <w:t xml:space="preserve"> ‘The education of Paulinus of Pella: learning in the late empire’, in McGill, Scott., Sogno, Cristiana., &amp; Watts, Edward. (</w:t>
      </w:r>
      <w:proofErr w:type="gramStart"/>
      <w:r w:rsidRPr="00E34A40">
        <w:rPr>
          <w:rFonts w:cstheme="minorHAnsi"/>
          <w:sz w:val="24"/>
          <w:szCs w:val="24"/>
        </w:rPr>
        <w:t>eds</w:t>
      </w:r>
      <w:proofErr w:type="gramEnd"/>
      <w:r w:rsidRPr="00E34A40">
        <w:rPr>
          <w:rFonts w:cstheme="minorHAnsi"/>
          <w:sz w:val="24"/>
          <w:szCs w:val="24"/>
        </w:rPr>
        <w:t xml:space="preserve">), </w:t>
      </w:r>
      <w:r w:rsidRPr="00E34A40">
        <w:rPr>
          <w:rFonts w:cstheme="minorHAnsi"/>
          <w:i/>
          <w:sz w:val="24"/>
          <w:szCs w:val="24"/>
        </w:rPr>
        <w:t>Yale Classical Studies Volume 34 From the Tetrarchs to the Theodosians Later Roman History and Culture, 284-450 CE</w:t>
      </w:r>
      <w:r w:rsidRPr="00E34A40">
        <w:rPr>
          <w:rFonts w:cstheme="minorHAnsi"/>
          <w:sz w:val="24"/>
          <w:szCs w:val="24"/>
        </w:rPr>
        <w:t xml:space="preserve"> (Cambridge University Press, Cambridge, 2010), pp. 135-152.</w:t>
      </w:r>
    </w:p>
    <w:p w:rsidR="00551E4B" w:rsidRPr="00E34A40" w:rsidRDefault="00551E4B" w:rsidP="00551E4B">
      <w:pPr>
        <w:rPr>
          <w:sz w:val="24"/>
          <w:szCs w:val="24"/>
        </w:rPr>
      </w:pPr>
      <w:r w:rsidRPr="00E34A40">
        <w:rPr>
          <w:sz w:val="24"/>
          <w:szCs w:val="24"/>
        </w:rPr>
        <w:t xml:space="preserve">Packer, J.E., ‘Housing and Population in </w:t>
      </w:r>
      <w:r w:rsidR="008B44B0">
        <w:rPr>
          <w:sz w:val="24"/>
          <w:szCs w:val="24"/>
        </w:rPr>
        <w:t>Imperial</w:t>
      </w:r>
      <w:r w:rsidRPr="00E34A40">
        <w:rPr>
          <w:sz w:val="24"/>
          <w:szCs w:val="24"/>
        </w:rPr>
        <w:t xml:space="preserve"> Ostia and Rome’, </w:t>
      </w:r>
      <w:proofErr w:type="gramStart"/>
      <w:r w:rsidRPr="00E34A40">
        <w:rPr>
          <w:i/>
          <w:sz w:val="24"/>
          <w:szCs w:val="24"/>
        </w:rPr>
        <w:t>The</w:t>
      </w:r>
      <w:proofErr w:type="gramEnd"/>
      <w:r w:rsidRPr="00E34A40">
        <w:rPr>
          <w:i/>
          <w:sz w:val="24"/>
          <w:szCs w:val="24"/>
        </w:rPr>
        <w:t xml:space="preserve"> Journal of Roman Studies Vol. 57 No. ½ </w:t>
      </w:r>
      <w:r w:rsidRPr="00E34A40">
        <w:rPr>
          <w:sz w:val="24"/>
          <w:szCs w:val="24"/>
        </w:rPr>
        <w:t>(1967), pp. 80-95.</w:t>
      </w:r>
    </w:p>
    <w:p w:rsidR="00551E4B" w:rsidRPr="00E34A40" w:rsidRDefault="00551E4B" w:rsidP="00551E4B">
      <w:pPr>
        <w:rPr>
          <w:sz w:val="24"/>
          <w:szCs w:val="24"/>
        </w:rPr>
      </w:pPr>
      <w:r w:rsidRPr="00E34A40">
        <w:rPr>
          <w:sz w:val="24"/>
          <w:szCs w:val="24"/>
        </w:rPr>
        <w:t xml:space="preserve">Palmer. R.E.A., ‘Customs on Market Goods Imported into the City of Rome’, </w:t>
      </w:r>
      <w:r w:rsidRPr="00E34A40">
        <w:rPr>
          <w:i/>
          <w:sz w:val="24"/>
          <w:szCs w:val="24"/>
        </w:rPr>
        <w:t>Memoirs of the American Academy in Rome Vol. 36</w:t>
      </w:r>
      <w:r w:rsidRPr="00E34A40">
        <w:rPr>
          <w:sz w:val="24"/>
          <w:szCs w:val="24"/>
        </w:rPr>
        <w:t xml:space="preserve"> </w:t>
      </w:r>
      <w:proofErr w:type="gramStart"/>
      <w:r w:rsidRPr="00E34A40">
        <w:rPr>
          <w:i/>
          <w:sz w:val="24"/>
          <w:szCs w:val="24"/>
        </w:rPr>
        <w:t>The</w:t>
      </w:r>
      <w:proofErr w:type="gramEnd"/>
      <w:r w:rsidRPr="00E34A40">
        <w:rPr>
          <w:i/>
          <w:sz w:val="24"/>
          <w:szCs w:val="24"/>
        </w:rPr>
        <w:t xml:space="preserve"> Seaborne Commerce of Ancient Rome: Studies in Archaeology and History</w:t>
      </w:r>
      <w:r w:rsidRPr="00E34A40">
        <w:rPr>
          <w:sz w:val="24"/>
          <w:szCs w:val="24"/>
        </w:rPr>
        <w:t xml:space="preserve"> (1980), pp. 217-233.</w:t>
      </w:r>
    </w:p>
    <w:p w:rsidR="00551E4B" w:rsidRPr="00E34A40" w:rsidRDefault="00551E4B" w:rsidP="00551E4B">
      <w:pPr>
        <w:pStyle w:val="Default"/>
        <w:rPr>
          <w:rFonts w:asciiTheme="minorHAnsi" w:eastAsiaTheme="majorEastAsia" w:hAnsiTheme="minorHAnsi"/>
        </w:rPr>
      </w:pPr>
      <w:r w:rsidRPr="00E34A40">
        <w:rPr>
          <w:rFonts w:asciiTheme="minorHAnsi" w:eastAsiaTheme="majorEastAsia" w:hAnsiTheme="minorHAnsi"/>
        </w:rPr>
        <w:t>Patterson, J.R., ‘</w:t>
      </w:r>
      <w:proofErr w:type="gramStart"/>
      <w:r w:rsidRPr="00E34A40">
        <w:rPr>
          <w:rFonts w:asciiTheme="minorHAnsi" w:eastAsiaTheme="majorEastAsia" w:hAnsiTheme="minorHAnsi"/>
        </w:rPr>
        <w:t>The</w:t>
      </w:r>
      <w:proofErr w:type="gramEnd"/>
      <w:r w:rsidRPr="00E34A40">
        <w:rPr>
          <w:rFonts w:asciiTheme="minorHAnsi" w:eastAsiaTheme="majorEastAsia" w:hAnsiTheme="minorHAnsi"/>
        </w:rPr>
        <w:t xml:space="preserve"> City of Rome Revisited: From Mid-Republic to Mid-Empire*’, </w:t>
      </w:r>
      <w:r w:rsidRPr="00E34A40">
        <w:rPr>
          <w:rFonts w:asciiTheme="minorHAnsi" w:eastAsiaTheme="majorEastAsia" w:hAnsiTheme="minorHAnsi"/>
          <w:i/>
          <w:iCs/>
        </w:rPr>
        <w:t>Journal of Roman Studies Vol 100</w:t>
      </w:r>
      <w:r w:rsidRPr="00E34A40">
        <w:rPr>
          <w:rFonts w:asciiTheme="minorHAnsi" w:eastAsiaTheme="majorEastAsia" w:hAnsiTheme="minorHAnsi"/>
        </w:rPr>
        <w:t xml:space="preserve"> (2010), pp. 210-232.</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pStyle w:val="Default"/>
        <w:rPr>
          <w:rFonts w:asciiTheme="minorHAnsi" w:eastAsiaTheme="majorEastAsia" w:hAnsiTheme="minorHAnsi"/>
        </w:rPr>
      </w:pPr>
      <w:r w:rsidRPr="00E34A40">
        <w:rPr>
          <w:rFonts w:asciiTheme="minorHAnsi" w:hAnsiTheme="minorHAnsi" w:cs="Sabon-RomanOsF"/>
          <w:bCs/>
        </w:rPr>
        <w:t xml:space="preserve">                            ‘The </w:t>
      </w:r>
      <w:r w:rsidR="008B44B0">
        <w:rPr>
          <w:rFonts w:asciiTheme="minorHAnsi" w:hAnsiTheme="minorHAnsi" w:cs="Sabon-RomanOsF"/>
          <w:bCs/>
        </w:rPr>
        <w:t>emperor</w:t>
      </w:r>
      <w:r w:rsidRPr="00E34A40">
        <w:rPr>
          <w:rFonts w:asciiTheme="minorHAnsi" w:hAnsiTheme="minorHAnsi" w:cs="Sabon-RomanOsF"/>
          <w:bCs/>
        </w:rPr>
        <w:t xml:space="preserve"> and the cities of Italy’, </w:t>
      </w:r>
      <w:r w:rsidRPr="00E34A40">
        <w:rPr>
          <w:rFonts w:asciiTheme="minorHAnsi" w:hAnsiTheme="minorHAnsi"/>
        </w:rPr>
        <w:t>in Lomas, K., and Cornell, T.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iCs/>
        </w:rPr>
        <w:t>‘Bread and Circuses’ Euergetism and municipal patronage in Roman Italy</w:t>
      </w:r>
      <w:r w:rsidRPr="00E34A40">
        <w:rPr>
          <w:rFonts w:asciiTheme="minorHAnsi" w:hAnsiTheme="minorHAnsi"/>
        </w:rPr>
        <w:t xml:space="preserve"> (London, 2003), pp. 89-104.</w:t>
      </w:r>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sz w:val="24"/>
          <w:szCs w:val="24"/>
        </w:rPr>
      </w:pPr>
      <w:proofErr w:type="gramStart"/>
      <w:r w:rsidRPr="00E34A40">
        <w:rPr>
          <w:sz w:val="24"/>
          <w:szCs w:val="24"/>
        </w:rPr>
        <w:t>Peachin, M. [Review], ‘</w:t>
      </w:r>
      <w:r w:rsidRPr="00E34A40">
        <w:rPr>
          <w:i/>
          <w:sz w:val="24"/>
          <w:szCs w:val="24"/>
        </w:rPr>
        <w:t>Empire of Honour.</w:t>
      </w:r>
      <w:proofErr w:type="gramEnd"/>
      <w:r w:rsidRPr="00E34A40">
        <w:rPr>
          <w:i/>
          <w:sz w:val="24"/>
          <w:szCs w:val="24"/>
        </w:rPr>
        <w:t xml:space="preserve"> The Art of Government in the Roman World</w:t>
      </w:r>
      <w:r w:rsidRPr="00E34A40">
        <w:rPr>
          <w:sz w:val="24"/>
          <w:szCs w:val="24"/>
        </w:rPr>
        <w:t xml:space="preserve"> by J.E. Lendon’, </w:t>
      </w:r>
      <w:r w:rsidRPr="00E34A40">
        <w:rPr>
          <w:i/>
          <w:sz w:val="24"/>
          <w:szCs w:val="24"/>
        </w:rPr>
        <w:t>Bryn Mawr Classical Review 98.3.06</w:t>
      </w:r>
      <w:r w:rsidRPr="00E34A40">
        <w:rPr>
          <w:sz w:val="24"/>
          <w:szCs w:val="24"/>
        </w:rPr>
        <w:t xml:space="preserve"> (1998)</w:t>
      </w:r>
    </w:p>
    <w:p w:rsidR="00551E4B" w:rsidRPr="00E34A40" w:rsidRDefault="00551E4B" w:rsidP="00551E4B">
      <w:pPr>
        <w:rPr>
          <w:sz w:val="24"/>
          <w:szCs w:val="24"/>
        </w:rPr>
      </w:pPr>
      <w:r w:rsidRPr="00E34A40">
        <w:rPr>
          <w:sz w:val="24"/>
          <w:szCs w:val="24"/>
          <w:lang w:val="de-DE"/>
        </w:rPr>
        <w:t xml:space="preserve">                                        ‘Prosopographic Notes from the Law Codes’, </w:t>
      </w:r>
      <w:r w:rsidRPr="00E34A40">
        <w:rPr>
          <w:i/>
          <w:iCs/>
          <w:sz w:val="24"/>
          <w:szCs w:val="24"/>
          <w:lang w:val="de-DE"/>
        </w:rPr>
        <w:t>Historia: Zeitschrift für Alte Geschichte Bd. 84</w:t>
      </w:r>
      <w:r w:rsidRPr="00E34A40">
        <w:rPr>
          <w:sz w:val="24"/>
          <w:szCs w:val="24"/>
          <w:lang w:val="de-DE"/>
        </w:rPr>
        <w:t xml:space="preserve"> (1990), pp. 105-112.</w:t>
      </w:r>
    </w:p>
    <w:p w:rsidR="00551E4B" w:rsidRPr="00E34A40" w:rsidRDefault="00551E4B" w:rsidP="00551E4B">
      <w:pPr>
        <w:jc w:val="both"/>
        <w:rPr>
          <w:sz w:val="24"/>
          <w:szCs w:val="24"/>
        </w:rPr>
      </w:pPr>
      <w:r w:rsidRPr="00E34A40">
        <w:rPr>
          <w:sz w:val="24"/>
          <w:szCs w:val="24"/>
        </w:rPr>
        <w:t>Petsalis-Diomidis, A., ‘Landscape, transformation, and divine epiphany’, in Swain, S., Harrison, S., and Elsner, J. (</w:t>
      </w:r>
      <w:proofErr w:type="gramStart"/>
      <w:r w:rsidRPr="00E34A40">
        <w:rPr>
          <w:sz w:val="24"/>
          <w:szCs w:val="24"/>
        </w:rPr>
        <w:t>eds</w:t>
      </w:r>
      <w:proofErr w:type="gramEnd"/>
      <w:r w:rsidRPr="00E34A40">
        <w:rPr>
          <w:sz w:val="24"/>
          <w:szCs w:val="24"/>
        </w:rPr>
        <w:t xml:space="preserve">), </w:t>
      </w:r>
      <w:r w:rsidRPr="00E34A40">
        <w:rPr>
          <w:i/>
          <w:sz w:val="24"/>
          <w:szCs w:val="24"/>
        </w:rPr>
        <w:t>Severan Culture</w:t>
      </w:r>
      <w:r w:rsidRPr="00E34A40">
        <w:rPr>
          <w:sz w:val="24"/>
          <w:szCs w:val="24"/>
        </w:rPr>
        <w:t xml:space="preserve"> (Cambridge, 2007), pp. 250-289.</w:t>
      </w:r>
    </w:p>
    <w:p w:rsidR="00551E4B" w:rsidRPr="00E34A40" w:rsidRDefault="00551E4B" w:rsidP="00551E4B">
      <w:pPr>
        <w:rPr>
          <w:sz w:val="24"/>
          <w:szCs w:val="24"/>
        </w:rPr>
      </w:pPr>
      <w:r w:rsidRPr="00E34A40">
        <w:rPr>
          <w:sz w:val="24"/>
          <w:szCs w:val="24"/>
        </w:rPr>
        <w:t xml:space="preserve">Platner, S., ‘The Pomerium and Roma Quadrata’, </w:t>
      </w:r>
      <w:r w:rsidRPr="00E34A40">
        <w:rPr>
          <w:i/>
          <w:sz w:val="24"/>
          <w:szCs w:val="24"/>
        </w:rPr>
        <w:t xml:space="preserve">American Journal of Philology Vol. 22 No. 4 </w:t>
      </w:r>
      <w:r w:rsidRPr="00E34A40">
        <w:rPr>
          <w:sz w:val="24"/>
          <w:szCs w:val="24"/>
        </w:rPr>
        <w:t>(1901), pp. 420-425.</w:t>
      </w:r>
    </w:p>
    <w:p w:rsidR="00551E4B" w:rsidRPr="00E34A40" w:rsidRDefault="00551E4B" w:rsidP="00551E4B">
      <w:pPr>
        <w:rPr>
          <w:sz w:val="24"/>
          <w:szCs w:val="24"/>
        </w:rPr>
      </w:pPr>
      <w:r w:rsidRPr="00E34A40">
        <w:rPr>
          <w:sz w:val="24"/>
          <w:szCs w:val="24"/>
        </w:rPr>
        <w:t xml:space="preserve">Pollini, J., </w:t>
      </w:r>
      <w:r w:rsidRPr="00E34A40">
        <w:rPr>
          <w:i/>
          <w:sz w:val="24"/>
          <w:szCs w:val="24"/>
        </w:rPr>
        <w:t>From Republic to Empire Rhetoric, Religion, and Power in the Visual Culture of Ancient Rome</w:t>
      </w:r>
      <w:r w:rsidRPr="00E34A40">
        <w:rPr>
          <w:sz w:val="24"/>
          <w:szCs w:val="24"/>
        </w:rPr>
        <w:t xml:space="preserve"> (Norman, 2012)</w:t>
      </w:r>
    </w:p>
    <w:p w:rsidR="00551E4B" w:rsidRPr="00E34A40" w:rsidRDefault="00551E4B" w:rsidP="00551E4B">
      <w:pPr>
        <w:pStyle w:val="Default"/>
        <w:rPr>
          <w:rFonts w:asciiTheme="minorHAnsi" w:hAnsiTheme="minorHAnsi"/>
          <w:bCs/>
          <w:lang w:eastAsia="zh-TW"/>
        </w:rPr>
      </w:pPr>
      <w:r w:rsidRPr="00E34A40">
        <w:rPr>
          <w:rFonts w:asciiTheme="minorHAnsi" w:eastAsiaTheme="majorEastAsia" w:hAnsiTheme="minorHAnsi"/>
          <w:bCs/>
        </w:rPr>
        <w:t>Potter, D.S., ‘</w:t>
      </w:r>
      <w:proofErr w:type="gramStart"/>
      <w:r w:rsidRPr="00E34A40">
        <w:rPr>
          <w:rFonts w:asciiTheme="minorHAnsi" w:eastAsiaTheme="majorEastAsia" w:hAnsiTheme="minorHAnsi"/>
          <w:bCs/>
        </w:rPr>
        <w:t>The</w:t>
      </w:r>
      <w:proofErr w:type="gramEnd"/>
      <w:r w:rsidRPr="00E34A40">
        <w:rPr>
          <w:rFonts w:asciiTheme="minorHAnsi" w:eastAsiaTheme="majorEastAsia" w:hAnsiTheme="minorHAnsi"/>
          <w:bCs/>
        </w:rPr>
        <w:t xml:space="preserve"> Shape of Roman History: The Fate of the Governing Class’, in Potter, D. (ed.), </w:t>
      </w:r>
      <w:r w:rsidRPr="00E34A40">
        <w:rPr>
          <w:rFonts w:asciiTheme="minorHAnsi" w:eastAsiaTheme="majorEastAsia" w:hAnsiTheme="minorHAnsi"/>
          <w:bCs/>
          <w:i/>
          <w:iCs/>
        </w:rPr>
        <w:t xml:space="preserve">A Companion to the Roman Empire </w:t>
      </w:r>
      <w:r w:rsidRPr="00E34A40">
        <w:rPr>
          <w:rFonts w:asciiTheme="minorHAnsi" w:eastAsiaTheme="majorEastAsia" w:hAnsiTheme="minorHAnsi"/>
          <w:bCs/>
        </w:rPr>
        <w:t>(Oxford, 2006)</w:t>
      </w:r>
      <w:r w:rsidRPr="00E34A40">
        <w:rPr>
          <w:rFonts w:asciiTheme="minorHAnsi" w:hAnsiTheme="minorHAnsi"/>
          <w:bCs/>
          <w:lang w:eastAsia="zh-TW"/>
        </w:rPr>
        <w:t>, pp. 1-20.</w:t>
      </w:r>
    </w:p>
    <w:p w:rsidR="00551E4B" w:rsidRPr="00E34A40" w:rsidRDefault="00551E4B" w:rsidP="00551E4B">
      <w:pPr>
        <w:pStyle w:val="Default"/>
        <w:rPr>
          <w:rFonts w:asciiTheme="minorHAnsi" w:hAnsiTheme="minorHAnsi"/>
          <w:bCs/>
          <w:lang w:eastAsia="zh-TW"/>
        </w:rPr>
      </w:pPr>
    </w:p>
    <w:p w:rsidR="00551E4B" w:rsidRPr="00E34A40" w:rsidRDefault="00551E4B" w:rsidP="00551E4B">
      <w:pPr>
        <w:pStyle w:val="Default"/>
        <w:rPr>
          <w:rFonts w:asciiTheme="minorHAnsi" w:hAnsiTheme="minorHAnsi"/>
          <w:bCs/>
          <w:lang w:eastAsia="zh-TW"/>
        </w:rPr>
      </w:pPr>
      <w:r w:rsidRPr="00E34A40">
        <w:rPr>
          <w:rFonts w:asciiTheme="minorHAnsi" w:hAnsiTheme="minorHAnsi"/>
          <w:bCs/>
          <w:lang w:eastAsia="zh-TW"/>
        </w:rPr>
        <w:lastRenderedPageBreak/>
        <w:t xml:space="preserve">                      ‘The Transformation of the Empire: 235-337 CE’, </w:t>
      </w:r>
      <w:r w:rsidRPr="00E34A40">
        <w:rPr>
          <w:rFonts w:asciiTheme="minorHAnsi" w:eastAsiaTheme="majorEastAsia" w:hAnsiTheme="minorHAnsi"/>
          <w:bCs/>
        </w:rPr>
        <w:t xml:space="preserve">in Potter, D. (ed.), </w:t>
      </w:r>
      <w:r w:rsidRPr="00E34A40">
        <w:rPr>
          <w:rFonts w:asciiTheme="minorHAnsi" w:eastAsiaTheme="majorEastAsia" w:hAnsiTheme="minorHAnsi"/>
          <w:bCs/>
          <w:i/>
          <w:iCs/>
        </w:rPr>
        <w:t xml:space="preserve">A Companion to the Roman Empire </w:t>
      </w:r>
      <w:r w:rsidRPr="00E34A40">
        <w:rPr>
          <w:rFonts w:asciiTheme="minorHAnsi" w:eastAsiaTheme="majorEastAsia" w:hAnsiTheme="minorHAnsi"/>
          <w:bCs/>
        </w:rPr>
        <w:t>(Oxford, 2006)</w:t>
      </w:r>
      <w:r w:rsidRPr="00E34A40">
        <w:rPr>
          <w:rFonts w:asciiTheme="minorHAnsi" w:hAnsiTheme="minorHAnsi"/>
          <w:bCs/>
          <w:lang w:eastAsia="zh-TW"/>
        </w:rPr>
        <w:t>, pp. 153-174.</w:t>
      </w:r>
    </w:p>
    <w:p w:rsidR="00551E4B" w:rsidRPr="00E34A40" w:rsidRDefault="00551E4B" w:rsidP="00551E4B">
      <w:pPr>
        <w:pStyle w:val="Default"/>
        <w:rPr>
          <w:rFonts w:asciiTheme="minorHAnsi" w:hAnsiTheme="minorHAnsi"/>
          <w:bCs/>
          <w:lang w:eastAsia="zh-TW"/>
        </w:rPr>
      </w:pPr>
    </w:p>
    <w:p w:rsidR="00551E4B" w:rsidRPr="00E34A40" w:rsidRDefault="00551E4B" w:rsidP="00551E4B">
      <w:pPr>
        <w:pStyle w:val="Default"/>
        <w:rPr>
          <w:rFonts w:asciiTheme="minorHAnsi" w:hAnsiTheme="minorHAnsi"/>
          <w:bCs/>
          <w:lang w:eastAsia="zh-TW"/>
        </w:rPr>
      </w:pPr>
      <w:r w:rsidRPr="00E34A40">
        <w:rPr>
          <w:rFonts w:asciiTheme="minorHAnsi" w:hAnsiTheme="minorHAnsi"/>
          <w:bCs/>
          <w:lang w:eastAsia="zh-TW"/>
        </w:rPr>
        <w:t xml:space="preserve">                      ‘The unity of the Roman Empire’, in McGill, S., Sogno, C., and Watts, E. (</w:t>
      </w:r>
      <w:proofErr w:type="gramStart"/>
      <w:r w:rsidRPr="00E34A40">
        <w:rPr>
          <w:rFonts w:asciiTheme="minorHAnsi" w:hAnsiTheme="minorHAnsi"/>
          <w:bCs/>
          <w:lang w:eastAsia="zh-TW"/>
        </w:rPr>
        <w:t>eds</w:t>
      </w:r>
      <w:proofErr w:type="gramEnd"/>
      <w:r w:rsidRPr="00E34A40">
        <w:rPr>
          <w:rFonts w:asciiTheme="minorHAnsi" w:hAnsiTheme="minorHAnsi"/>
          <w:bCs/>
          <w:lang w:eastAsia="zh-TW"/>
        </w:rPr>
        <w:t xml:space="preserve">), </w:t>
      </w:r>
      <w:r w:rsidRPr="00E34A40">
        <w:rPr>
          <w:rFonts w:asciiTheme="minorHAnsi" w:hAnsiTheme="minorHAnsi"/>
          <w:bCs/>
          <w:i/>
          <w:iCs/>
          <w:lang w:eastAsia="zh-TW"/>
        </w:rPr>
        <w:t>From the Tetrarchs to the Theodosian Later Roman History and Culture 284-450 CE</w:t>
      </w:r>
      <w:r w:rsidRPr="00E34A40">
        <w:rPr>
          <w:rFonts w:asciiTheme="minorHAnsi" w:hAnsiTheme="minorHAnsi"/>
          <w:bCs/>
          <w:lang w:eastAsia="zh-TW"/>
        </w:rPr>
        <w:t xml:space="preserve"> (Cambridge, 2010), pp. 13-32.</w:t>
      </w:r>
    </w:p>
    <w:p w:rsidR="00551E4B" w:rsidRPr="00E34A40" w:rsidRDefault="00551E4B" w:rsidP="00551E4B">
      <w:pPr>
        <w:pStyle w:val="Default"/>
        <w:rPr>
          <w:rFonts w:asciiTheme="minorHAnsi" w:hAnsiTheme="minorHAnsi"/>
          <w:bCs/>
          <w:lang w:eastAsia="zh-TW"/>
        </w:rPr>
      </w:pPr>
    </w:p>
    <w:p w:rsidR="00551E4B" w:rsidRPr="00E34A40" w:rsidRDefault="00551E4B" w:rsidP="00551E4B">
      <w:pPr>
        <w:autoSpaceDE w:val="0"/>
        <w:autoSpaceDN w:val="0"/>
        <w:adjustRightInd w:val="0"/>
        <w:spacing w:after="0" w:line="240" w:lineRule="auto"/>
        <w:jc w:val="both"/>
        <w:rPr>
          <w:sz w:val="24"/>
          <w:szCs w:val="24"/>
        </w:rPr>
      </w:pPr>
      <w:r w:rsidRPr="00E34A40">
        <w:rPr>
          <w:rFonts w:cs="AGaramond-Regular"/>
          <w:sz w:val="24"/>
          <w:szCs w:val="24"/>
        </w:rPr>
        <w:t xml:space="preserve">Purcell, N., ‘‘Romans, play on!’ city of the Games’, </w:t>
      </w:r>
      <w:r w:rsidRPr="00E34A40">
        <w:rPr>
          <w:i/>
          <w:sz w:val="24"/>
          <w:szCs w:val="24"/>
        </w:rPr>
        <w:t>The Cambridge Companion to Ancient Rome</w:t>
      </w:r>
      <w:r w:rsidRPr="00E34A40">
        <w:rPr>
          <w:sz w:val="24"/>
          <w:szCs w:val="24"/>
        </w:rPr>
        <w:t xml:space="preserve"> (Cambridge, 2013), pp. 441-460.</w:t>
      </w:r>
    </w:p>
    <w:p w:rsidR="00551E4B" w:rsidRPr="00E34A40" w:rsidRDefault="00551E4B" w:rsidP="00551E4B">
      <w:pPr>
        <w:autoSpaceDE w:val="0"/>
        <w:autoSpaceDN w:val="0"/>
        <w:adjustRightInd w:val="0"/>
        <w:spacing w:after="0" w:line="240" w:lineRule="auto"/>
        <w:jc w:val="both"/>
        <w:rPr>
          <w:sz w:val="24"/>
          <w:szCs w:val="24"/>
        </w:rPr>
      </w:pP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 xml:space="preserve">                    ‘The City of Rome’, in Jenkyns, R (ed.), </w:t>
      </w:r>
      <w:proofErr w:type="gramStart"/>
      <w:r w:rsidRPr="00E34A40">
        <w:rPr>
          <w:rFonts w:cs="AGaramond-Regular"/>
          <w:i/>
          <w:sz w:val="24"/>
          <w:szCs w:val="24"/>
        </w:rPr>
        <w:t>The</w:t>
      </w:r>
      <w:proofErr w:type="gramEnd"/>
      <w:r w:rsidRPr="00E34A40">
        <w:rPr>
          <w:rFonts w:cs="AGaramond-Regular"/>
          <w:i/>
          <w:sz w:val="24"/>
          <w:szCs w:val="24"/>
        </w:rPr>
        <w:t xml:space="preserve"> Legacy of Rome A New Appraisal</w:t>
      </w:r>
      <w:r w:rsidRPr="00E34A40">
        <w:rPr>
          <w:rFonts w:cs="AGaramond-Regular"/>
          <w:sz w:val="24"/>
          <w:szCs w:val="24"/>
        </w:rPr>
        <w:t xml:space="preserve"> (Oxford, 1992), pp. 421-454.</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 xml:space="preserve">                      </w:t>
      </w:r>
      <w:proofErr w:type="gramStart"/>
      <w:r w:rsidRPr="00E34A40">
        <w:rPr>
          <w:sz w:val="24"/>
          <w:szCs w:val="24"/>
        </w:rPr>
        <w:t xml:space="preserve">‘The populace of Rome in late antiquity: problems of classification and historical description’, in Harris, W.V., </w:t>
      </w:r>
      <w:r w:rsidRPr="00E34A40">
        <w:rPr>
          <w:i/>
          <w:sz w:val="24"/>
          <w:szCs w:val="24"/>
        </w:rPr>
        <w:t>The Transformation of Vrbs Roma in Late Antiquity</w:t>
      </w:r>
      <w:r w:rsidRPr="00E34A40">
        <w:rPr>
          <w:sz w:val="24"/>
          <w:szCs w:val="24"/>
        </w:rPr>
        <w:t xml:space="preserve"> (Portsmouth, 1999), pp. 135-162.</w:t>
      </w:r>
      <w:proofErr w:type="gramEnd"/>
    </w:p>
    <w:p w:rsidR="00551E4B" w:rsidRPr="00E34A40" w:rsidRDefault="00551E4B" w:rsidP="00551E4B">
      <w:pPr>
        <w:autoSpaceDE w:val="0"/>
        <w:autoSpaceDN w:val="0"/>
        <w:adjustRightInd w:val="0"/>
        <w:spacing w:after="0" w:line="240" w:lineRule="auto"/>
        <w:jc w:val="both"/>
        <w:rPr>
          <w:sz w:val="24"/>
          <w:szCs w:val="24"/>
        </w:rPr>
      </w:pPr>
    </w:p>
    <w:p w:rsidR="00551E4B" w:rsidRPr="00E34A40" w:rsidRDefault="00551E4B" w:rsidP="00551E4B">
      <w:pPr>
        <w:rPr>
          <w:sz w:val="24"/>
          <w:szCs w:val="24"/>
        </w:rPr>
      </w:pPr>
      <w:r w:rsidRPr="00E34A40">
        <w:rPr>
          <w:sz w:val="24"/>
          <w:szCs w:val="24"/>
        </w:rPr>
        <w:t xml:space="preserve">Rainbird, J.S., ‘The Fire Stations of </w:t>
      </w:r>
      <w:r w:rsidR="008B44B0">
        <w:rPr>
          <w:sz w:val="24"/>
          <w:szCs w:val="24"/>
        </w:rPr>
        <w:t>Imperial</w:t>
      </w:r>
      <w:r w:rsidRPr="00E34A40">
        <w:rPr>
          <w:sz w:val="24"/>
          <w:szCs w:val="24"/>
        </w:rPr>
        <w:t xml:space="preserve"> Rome’, </w:t>
      </w:r>
      <w:r w:rsidRPr="00E34A40">
        <w:rPr>
          <w:i/>
          <w:sz w:val="24"/>
          <w:szCs w:val="24"/>
        </w:rPr>
        <w:t>Papers of the British School at Rome Vol. 54</w:t>
      </w:r>
      <w:r w:rsidRPr="00E34A40">
        <w:rPr>
          <w:sz w:val="24"/>
          <w:szCs w:val="24"/>
        </w:rPr>
        <w:t xml:space="preserve"> (1986), pp. 147-169.</w:t>
      </w:r>
    </w:p>
    <w:p w:rsidR="00551E4B" w:rsidRPr="00E34A40" w:rsidRDefault="00551E4B" w:rsidP="00551E4B">
      <w:pPr>
        <w:rPr>
          <w:rFonts w:cs="Sabon-Roman"/>
          <w:color w:val="231F20"/>
          <w:sz w:val="24"/>
          <w:szCs w:val="24"/>
        </w:rPr>
      </w:pPr>
      <w:r w:rsidRPr="00E34A40">
        <w:rPr>
          <w:rFonts w:cs="Sabon-Roman"/>
          <w:color w:val="231F20"/>
          <w:sz w:val="24"/>
          <w:szCs w:val="24"/>
        </w:rPr>
        <w:t xml:space="preserve">Rankov, N.B., ‘Frumentarii, the Castra Peregrina and the Provincial Officia’, </w:t>
      </w:r>
      <w:r w:rsidRPr="00E34A40">
        <w:rPr>
          <w:rFonts w:cs="Sabon-Roman"/>
          <w:i/>
          <w:color w:val="231F20"/>
          <w:sz w:val="24"/>
          <w:szCs w:val="24"/>
        </w:rPr>
        <w:t>Zeitschrift für Papyrologie und Epigraphik Bd. 80</w:t>
      </w:r>
      <w:r w:rsidRPr="00E34A40">
        <w:rPr>
          <w:rFonts w:cs="Sabon-Roman"/>
          <w:color w:val="231F20"/>
          <w:sz w:val="24"/>
          <w:szCs w:val="24"/>
        </w:rPr>
        <w:t xml:space="preserve"> (1990), pp. 176-182.</w:t>
      </w:r>
    </w:p>
    <w:p w:rsidR="00551E4B" w:rsidRPr="00E34A40" w:rsidRDefault="00551E4B" w:rsidP="00551E4B">
      <w:pPr>
        <w:rPr>
          <w:sz w:val="24"/>
          <w:szCs w:val="24"/>
        </w:rPr>
      </w:pPr>
      <w:r w:rsidRPr="00E34A40">
        <w:rPr>
          <w:sz w:val="24"/>
          <w:szCs w:val="24"/>
        </w:rPr>
        <w:t xml:space="preserve">Reed, N, ‘Pattern and Purpose in the Antonine Itinerary, </w:t>
      </w:r>
      <w:proofErr w:type="gramStart"/>
      <w:r w:rsidRPr="00E34A40">
        <w:rPr>
          <w:i/>
          <w:sz w:val="24"/>
          <w:szCs w:val="24"/>
        </w:rPr>
        <w:t>The</w:t>
      </w:r>
      <w:proofErr w:type="gramEnd"/>
      <w:r w:rsidRPr="00E34A40">
        <w:rPr>
          <w:i/>
          <w:sz w:val="24"/>
          <w:szCs w:val="24"/>
        </w:rPr>
        <w:t xml:space="preserve"> American Journal of Philology Vol. 99 No. 2</w:t>
      </w:r>
      <w:r w:rsidRPr="00E34A40">
        <w:rPr>
          <w:sz w:val="24"/>
          <w:szCs w:val="24"/>
        </w:rPr>
        <w:t xml:space="preserve"> (1978), pp. 228-254.</w:t>
      </w:r>
    </w:p>
    <w:p w:rsidR="00551E4B" w:rsidRPr="00E34A40" w:rsidRDefault="00551E4B" w:rsidP="00551E4B">
      <w:pPr>
        <w:rPr>
          <w:rFonts w:cs="Sabon-Roman"/>
          <w:color w:val="231F20"/>
          <w:sz w:val="24"/>
          <w:szCs w:val="24"/>
        </w:rPr>
      </w:pPr>
      <w:r w:rsidRPr="00E34A40">
        <w:rPr>
          <w:sz w:val="24"/>
          <w:szCs w:val="24"/>
        </w:rPr>
        <w:t xml:space="preserve">Rees, R., ‘Images and Image: A Re-Examination of Tetrarchic Iconography’, </w:t>
      </w:r>
      <w:r w:rsidRPr="00E34A40">
        <w:rPr>
          <w:i/>
          <w:iCs/>
          <w:sz w:val="24"/>
          <w:szCs w:val="24"/>
        </w:rPr>
        <w:t>Greece &amp; Rome Second Series Vol. 40 No. 2</w:t>
      </w:r>
      <w:r w:rsidRPr="00E34A40">
        <w:rPr>
          <w:sz w:val="24"/>
          <w:szCs w:val="24"/>
        </w:rPr>
        <w:t xml:space="preserve"> (1993), pp. 181-200.</w:t>
      </w:r>
    </w:p>
    <w:p w:rsidR="00551E4B" w:rsidRPr="00E34A40" w:rsidRDefault="00551E4B" w:rsidP="00551E4B">
      <w:pPr>
        <w:rPr>
          <w:sz w:val="24"/>
          <w:szCs w:val="24"/>
        </w:rPr>
      </w:pPr>
      <w:r w:rsidRPr="00E34A40">
        <w:rPr>
          <w:sz w:val="24"/>
          <w:szCs w:val="24"/>
        </w:rPr>
        <w:t>Reynolds, D.W., ‘</w:t>
      </w:r>
      <w:proofErr w:type="gramStart"/>
      <w:r w:rsidRPr="00E34A40">
        <w:rPr>
          <w:sz w:val="24"/>
          <w:szCs w:val="24"/>
        </w:rPr>
        <w:t>The</w:t>
      </w:r>
      <w:proofErr w:type="gramEnd"/>
      <w:r w:rsidRPr="00E34A40">
        <w:rPr>
          <w:sz w:val="24"/>
          <w:szCs w:val="24"/>
        </w:rPr>
        <w:t xml:space="preserve"> Lost Architecture of Ancient Rome: Insights from the Severan Plan and the Regionary Catalogues’, </w:t>
      </w:r>
      <w:r w:rsidRPr="00E34A40">
        <w:rPr>
          <w:i/>
          <w:sz w:val="24"/>
          <w:szCs w:val="24"/>
        </w:rPr>
        <w:t>Expedition Vol. 39 No. 2</w:t>
      </w:r>
      <w:r w:rsidRPr="00E34A40">
        <w:rPr>
          <w:sz w:val="24"/>
          <w:szCs w:val="24"/>
        </w:rPr>
        <w:t xml:space="preserve"> (1997), pp. 15-24.</w:t>
      </w:r>
    </w:p>
    <w:p w:rsidR="00551E4B" w:rsidRPr="00E34A40" w:rsidRDefault="00551E4B" w:rsidP="00551E4B">
      <w:pPr>
        <w:rPr>
          <w:sz w:val="24"/>
          <w:szCs w:val="24"/>
        </w:rPr>
      </w:pPr>
      <w:r w:rsidRPr="00E34A40">
        <w:rPr>
          <w:sz w:val="24"/>
          <w:szCs w:val="24"/>
        </w:rPr>
        <w:t xml:space="preserve">Reynolds, P.K.B., and Ashby, T., ‘The Castra Peregrinorum’, </w:t>
      </w:r>
      <w:proofErr w:type="gramStart"/>
      <w:r w:rsidRPr="00E34A40">
        <w:rPr>
          <w:i/>
          <w:sz w:val="24"/>
          <w:szCs w:val="24"/>
        </w:rPr>
        <w:t>The</w:t>
      </w:r>
      <w:proofErr w:type="gramEnd"/>
      <w:r w:rsidRPr="00E34A40">
        <w:rPr>
          <w:i/>
          <w:sz w:val="24"/>
          <w:szCs w:val="24"/>
        </w:rPr>
        <w:t xml:space="preserve"> Journal of Roman Studies Vol. 13 </w:t>
      </w:r>
      <w:r w:rsidRPr="00E34A40">
        <w:rPr>
          <w:sz w:val="24"/>
          <w:szCs w:val="24"/>
        </w:rPr>
        <w:t>(1923), pp. 152-167.</w:t>
      </w:r>
    </w:p>
    <w:p w:rsidR="00551E4B" w:rsidRPr="00E34A40" w:rsidRDefault="00551E4B" w:rsidP="00551E4B">
      <w:pPr>
        <w:rPr>
          <w:sz w:val="24"/>
          <w:szCs w:val="24"/>
        </w:rPr>
      </w:pPr>
      <w:r w:rsidRPr="00E34A40">
        <w:rPr>
          <w:sz w:val="24"/>
          <w:szCs w:val="24"/>
        </w:rPr>
        <w:t xml:space="preserve">                                                          ‘The Troops Quartered in the Castra Peregrinorum’, </w:t>
      </w:r>
      <w:r w:rsidRPr="00E34A40">
        <w:rPr>
          <w:i/>
          <w:sz w:val="24"/>
          <w:szCs w:val="24"/>
        </w:rPr>
        <w:t>The Journal of Roman Studies Vol. 13</w:t>
      </w:r>
      <w:r w:rsidRPr="00E34A40">
        <w:rPr>
          <w:sz w:val="24"/>
          <w:szCs w:val="24"/>
        </w:rPr>
        <w:t xml:space="preserve"> (1923), pp. 168-189.</w:t>
      </w:r>
    </w:p>
    <w:p w:rsidR="00551E4B" w:rsidRPr="00E34A40" w:rsidRDefault="00551E4B" w:rsidP="00551E4B">
      <w:pPr>
        <w:pStyle w:val="Default"/>
        <w:rPr>
          <w:rFonts w:asciiTheme="minorHAnsi" w:eastAsiaTheme="majorEastAsia" w:hAnsiTheme="minorHAnsi"/>
        </w:rPr>
      </w:pPr>
      <w:proofErr w:type="gramStart"/>
      <w:r w:rsidRPr="00E34A40">
        <w:rPr>
          <w:rFonts w:asciiTheme="minorHAnsi" w:eastAsiaTheme="majorEastAsia" w:hAnsiTheme="minorHAnsi"/>
        </w:rPr>
        <w:t xml:space="preserve">Richmond, I.A., ‘The Relation of the Praetorian Camp to Aurelian’s Wall of Rome’, </w:t>
      </w:r>
      <w:r w:rsidRPr="00E34A40">
        <w:rPr>
          <w:rFonts w:asciiTheme="minorHAnsi" w:eastAsiaTheme="majorEastAsia" w:hAnsiTheme="minorHAnsi"/>
          <w:i/>
          <w:iCs/>
        </w:rPr>
        <w:t>Papers of the British School at Rome Vol. 10</w:t>
      </w:r>
      <w:r w:rsidRPr="00E34A40">
        <w:rPr>
          <w:rFonts w:asciiTheme="minorHAnsi" w:eastAsiaTheme="majorEastAsia" w:hAnsiTheme="minorHAnsi"/>
        </w:rPr>
        <w:t xml:space="preserve"> (1927), pp. 12-22.</w:t>
      </w:r>
      <w:proofErr w:type="gramEnd"/>
    </w:p>
    <w:p w:rsidR="00551E4B" w:rsidRPr="00E34A40" w:rsidRDefault="00551E4B" w:rsidP="00551E4B">
      <w:pPr>
        <w:pStyle w:val="Default"/>
        <w:rPr>
          <w:rFonts w:asciiTheme="minorHAnsi" w:eastAsiaTheme="majorEastAsia" w:hAnsiTheme="minorHAnsi"/>
        </w:rPr>
      </w:pPr>
    </w:p>
    <w:p w:rsidR="00551E4B" w:rsidRPr="00E34A40" w:rsidRDefault="00551E4B" w:rsidP="00551E4B">
      <w:pPr>
        <w:rPr>
          <w:rFonts w:eastAsiaTheme="minorEastAsia"/>
          <w:sz w:val="24"/>
          <w:szCs w:val="24"/>
          <w:lang w:val="de-DE"/>
        </w:rPr>
      </w:pPr>
      <w:r w:rsidRPr="00E34A40">
        <w:rPr>
          <w:sz w:val="24"/>
          <w:szCs w:val="24"/>
          <w:lang w:val="de-DE"/>
        </w:rPr>
        <w:t xml:space="preserve">Richter, O., ‘Insula’, </w:t>
      </w:r>
      <w:r w:rsidRPr="00E34A40">
        <w:rPr>
          <w:i/>
          <w:sz w:val="24"/>
          <w:szCs w:val="24"/>
          <w:lang w:val="de-DE"/>
        </w:rPr>
        <w:t>Hermes 20, Bd. H. 1</w:t>
      </w:r>
      <w:r w:rsidRPr="00E34A40">
        <w:rPr>
          <w:sz w:val="24"/>
          <w:szCs w:val="24"/>
          <w:lang w:val="de-DE"/>
        </w:rPr>
        <w:t xml:space="preserve"> (1885), pp. 91-100.</w:t>
      </w:r>
    </w:p>
    <w:p w:rsidR="00551E4B" w:rsidRPr="00E34A40" w:rsidRDefault="00551E4B" w:rsidP="00551E4B">
      <w:pPr>
        <w:rPr>
          <w:sz w:val="24"/>
          <w:szCs w:val="24"/>
        </w:rPr>
      </w:pPr>
      <w:r w:rsidRPr="00E34A40">
        <w:rPr>
          <w:sz w:val="24"/>
          <w:szCs w:val="24"/>
        </w:rPr>
        <w:t>Rives, J.B. [Review], ‘</w:t>
      </w:r>
      <w:r w:rsidR="008B44B0">
        <w:rPr>
          <w:i/>
          <w:sz w:val="24"/>
          <w:szCs w:val="24"/>
        </w:rPr>
        <w:t>Imperial</w:t>
      </w:r>
      <w:r w:rsidRPr="00E34A40">
        <w:rPr>
          <w:i/>
          <w:sz w:val="24"/>
          <w:szCs w:val="24"/>
        </w:rPr>
        <w:t xml:space="preserve"> Ideology and Provincial Loyalty in the Roman Empire</w:t>
      </w:r>
      <w:r w:rsidRPr="00E34A40">
        <w:rPr>
          <w:sz w:val="24"/>
          <w:szCs w:val="24"/>
        </w:rPr>
        <w:t xml:space="preserve"> by Clifford Ando’, </w:t>
      </w:r>
      <w:r w:rsidRPr="00E34A40">
        <w:rPr>
          <w:i/>
          <w:sz w:val="24"/>
          <w:szCs w:val="24"/>
        </w:rPr>
        <w:t>Electronic Antiquity Vol. 6 No. 1</w:t>
      </w:r>
      <w:r w:rsidRPr="00E34A40">
        <w:rPr>
          <w:sz w:val="24"/>
          <w:szCs w:val="24"/>
        </w:rPr>
        <w:t xml:space="preserve"> (2001)</w:t>
      </w:r>
    </w:p>
    <w:p w:rsidR="00551E4B" w:rsidRPr="00E34A40" w:rsidRDefault="00551E4B" w:rsidP="00551E4B">
      <w:pPr>
        <w:autoSpaceDE w:val="0"/>
        <w:autoSpaceDN w:val="0"/>
        <w:adjustRightInd w:val="0"/>
        <w:spacing w:after="0" w:line="240" w:lineRule="auto"/>
        <w:rPr>
          <w:sz w:val="24"/>
          <w:szCs w:val="24"/>
        </w:rPr>
      </w:pPr>
      <w:r w:rsidRPr="00E34A40">
        <w:rPr>
          <w:sz w:val="24"/>
          <w:szCs w:val="24"/>
        </w:rPr>
        <w:lastRenderedPageBreak/>
        <w:t xml:space="preserve">Rivet, A.L.F., ‘The Notitia </w:t>
      </w:r>
      <w:r w:rsidR="009C7AF1" w:rsidRPr="00E34A40">
        <w:rPr>
          <w:sz w:val="24"/>
          <w:szCs w:val="24"/>
        </w:rPr>
        <w:t>Galliarum</w:t>
      </w:r>
      <w:r w:rsidRPr="00E34A40">
        <w:rPr>
          <w:sz w:val="24"/>
          <w:szCs w:val="24"/>
        </w:rPr>
        <w:t>’, in Goodburn, R., and Bartholomew, P., (</w:t>
      </w:r>
      <w:proofErr w:type="gramStart"/>
      <w:r w:rsidRPr="00E34A40">
        <w:rPr>
          <w:sz w:val="24"/>
          <w:szCs w:val="24"/>
        </w:rPr>
        <w:t>eds</w:t>
      </w:r>
      <w:proofErr w:type="gramEnd"/>
      <w:r w:rsidRPr="00E34A40">
        <w:rPr>
          <w:sz w:val="24"/>
          <w:szCs w:val="24"/>
        </w:rPr>
        <w:t xml:space="preserve">) </w:t>
      </w:r>
      <w:r w:rsidRPr="00E34A40">
        <w:rPr>
          <w:i/>
          <w:sz w:val="24"/>
          <w:szCs w:val="24"/>
        </w:rPr>
        <w:t>Aspects of the Notitia Dignitatum</w:t>
      </w:r>
      <w:r w:rsidRPr="00E34A40">
        <w:rPr>
          <w:sz w:val="24"/>
          <w:szCs w:val="24"/>
        </w:rPr>
        <w:t xml:space="preserve"> (Oxford, 1976), pp. 119-142.</w:t>
      </w:r>
    </w:p>
    <w:p w:rsidR="00551E4B" w:rsidRPr="00E34A40" w:rsidRDefault="00551E4B" w:rsidP="00551E4B">
      <w:pPr>
        <w:autoSpaceDE w:val="0"/>
        <w:autoSpaceDN w:val="0"/>
        <w:adjustRightInd w:val="0"/>
        <w:spacing w:after="0" w:line="240" w:lineRule="auto"/>
        <w:rPr>
          <w:sz w:val="24"/>
          <w:szCs w:val="24"/>
        </w:rPr>
      </w:pPr>
    </w:p>
    <w:p w:rsidR="00551E4B" w:rsidRPr="00E34A40" w:rsidRDefault="00551E4B" w:rsidP="00551E4B">
      <w:pPr>
        <w:rPr>
          <w:sz w:val="24"/>
          <w:szCs w:val="24"/>
        </w:rPr>
      </w:pPr>
      <w:r w:rsidRPr="00E34A40">
        <w:rPr>
          <w:sz w:val="24"/>
          <w:szCs w:val="24"/>
        </w:rPr>
        <w:t xml:space="preserve">Robathan, D.M., ‘The Basilica Argentaria’, </w:t>
      </w:r>
      <w:proofErr w:type="gramStart"/>
      <w:r w:rsidRPr="00E34A40">
        <w:rPr>
          <w:i/>
          <w:sz w:val="24"/>
          <w:szCs w:val="24"/>
        </w:rPr>
        <w:t>The</w:t>
      </w:r>
      <w:proofErr w:type="gramEnd"/>
      <w:r w:rsidRPr="00E34A40">
        <w:rPr>
          <w:i/>
          <w:sz w:val="24"/>
          <w:szCs w:val="24"/>
        </w:rPr>
        <w:t xml:space="preserve"> American Journal of Philology Vol. 55</w:t>
      </w:r>
      <w:r w:rsidRPr="00E34A40">
        <w:rPr>
          <w:sz w:val="24"/>
          <w:szCs w:val="24"/>
        </w:rPr>
        <w:t xml:space="preserve"> (1934), pp. 74-76.</w:t>
      </w:r>
    </w:p>
    <w:p w:rsidR="00551E4B" w:rsidRPr="00E34A40" w:rsidRDefault="00551E4B" w:rsidP="00551E4B">
      <w:pPr>
        <w:rPr>
          <w:sz w:val="24"/>
          <w:szCs w:val="24"/>
        </w:rPr>
      </w:pPr>
      <w:r w:rsidRPr="00E34A40">
        <w:rPr>
          <w:sz w:val="24"/>
          <w:szCs w:val="24"/>
        </w:rPr>
        <w:t xml:space="preserve">Rodgers, R.H., ‘Curatores Aquarum’, </w:t>
      </w:r>
      <w:r w:rsidRPr="00E34A40">
        <w:rPr>
          <w:i/>
          <w:iCs/>
          <w:sz w:val="24"/>
          <w:szCs w:val="24"/>
        </w:rPr>
        <w:t>Harvard Studies in Classical Philology Vol. 86</w:t>
      </w:r>
      <w:r w:rsidRPr="00E34A40">
        <w:rPr>
          <w:sz w:val="24"/>
          <w:szCs w:val="24"/>
        </w:rPr>
        <w:t xml:space="preserve"> (1982), pp. 171-180.</w:t>
      </w:r>
    </w:p>
    <w:p w:rsidR="00551E4B" w:rsidRPr="00E34A40" w:rsidRDefault="00551E4B" w:rsidP="00551E4B">
      <w:pPr>
        <w:pStyle w:val="Default"/>
        <w:rPr>
          <w:rFonts w:asciiTheme="minorHAnsi" w:hAnsiTheme="minorHAnsi"/>
        </w:rPr>
      </w:pPr>
      <w:r w:rsidRPr="00E34A40">
        <w:rPr>
          <w:rFonts w:asciiTheme="minorHAnsi" w:hAnsiTheme="minorHAnsi"/>
        </w:rPr>
        <w:t xml:space="preserve">Rodwell, W., ‘Milestones, Civic Territories and the Antonine Itinerary’, </w:t>
      </w:r>
      <w:r w:rsidRPr="00E34A40">
        <w:rPr>
          <w:rFonts w:asciiTheme="minorHAnsi" w:hAnsiTheme="minorHAnsi"/>
          <w:i/>
        </w:rPr>
        <w:t xml:space="preserve">Britannia Vol. 6 </w:t>
      </w:r>
      <w:r w:rsidRPr="00E34A40">
        <w:rPr>
          <w:rFonts w:asciiTheme="minorHAnsi" w:hAnsiTheme="minorHAnsi"/>
        </w:rPr>
        <w:t>(1975), pp. 76-101.</w:t>
      </w:r>
    </w:p>
    <w:p w:rsidR="00551E4B" w:rsidRPr="00E34A40" w:rsidRDefault="00551E4B" w:rsidP="00551E4B">
      <w:pPr>
        <w:pStyle w:val="Default"/>
        <w:rPr>
          <w:rFonts w:asciiTheme="minorHAnsi" w:hAnsiTheme="minorHAnsi"/>
        </w:rPr>
      </w:pP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SabonLTPro-Roman"/>
          <w:sz w:val="24"/>
          <w:szCs w:val="24"/>
        </w:rPr>
        <w:t xml:space="preserve">Romagosa, A., ‘The Carolingian Renaissance and Christian Humanism’, </w:t>
      </w:r>
      <w:r w:rsidRPr="00E34A40">
        <w:rPr>
          <w:rFonts w:cs="SabonLTPro-Roman"/>
          <w:i/>
          <w:sz w:val="24"/>
          <w:szCs w:val="24"/>
        </w:rPr>
        <w:t xml:space="preserve">Logos: A Journal of Catholic Thought and Culture Vol. 6 No. 4 </w:t>
      </w:r>
      <w:r w:rsidRPr="00E34A40">
        <w:rPr>
          <w:rFonts w:cs="SabonLTPro-Roman"/>
          <w:sz w:val="24"/>
          <w:szCs w:val="24"/>
        </w:rPr>
        <w:t>(2003), pp. 136-149.</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autoSpaceDE w:val="0"/>
        <w:autoSpaceDN w:val="0"/>
        <w:adjustRightInd w:val="0"/>
        <w:spacing w:after="0" w:line="240" w:lineRule="auto"/>
        <w:jc w:val="both"/>
        <w:rPr>
          <w:rFonts w:cs="AGaramond-Regular"/>
          <w:sz w:val="24"/>
          <w:szCs w:val="24"/>
        </w:rPr>
      </w:pPr>
      <w:r w:rsidRPr="00E34A40">
        <w:rPr>
          <w:rFonts w:cs="AGaramond-Regular"/>
          <w:sz w:val="24"/>
          <w:szCs w:val="24"/>
        </w:rPr>
        <w:t xml:space="preserve">Rouse, R.H., ‘The Transmission of the Texts’, in Jenkyns, R (ed.), </w:t>
      </w:r>
      <w:proofErr w:type="gramStart"/>
      <w:r w:rsidRPr="00E34A40">
        <w:rPr>
          <w:rFonts w:cs="AGaramond-Regular"/>
          <w:i/>
          <w:sz w:val="24"/>
          <w:szCs w:val="24"/>
        </w:rPr>
        <w:t>The</w:t>
      </w:r>
      <w:proofErr w:type="gramEnd"/>
      <w:r w:rsidRPr="00E34A40">
        <w:rPr>
          <w:rFonts w:cs="AGaramond-Regular"/>
          <w:i/>
          <w:sz w:val="24"/>
          <w:szCs w:val="24"/>
        </w:rPr>
        <w:t xml:space="preserve"> Legacy of Rome A New Appraisal</w:t>
      </w:r>
      <w:r w:rsidRPr="00E34A40">
        <w:rPr>
          <w:rFonts w:cs="AGaramond-Regular"/>
          <w:sz w:val="24"/>
          <w:szCs w:val="24"/>
        </w:rPr>
        <w:t xml:space="preserve"> (Oxford, 1992), pp. 37-60.</w:t>
      </w:r>
    </w:p>
    <w:p w:rsidR="00551E4B" w:rsidRPr="00E34A40" w:rsidRDefault="00551E4B" w:rsidP="00551E4B">
      <w:pPr>
        <w:autoSpaceDE w:val="0"/>
        <w:autoSpaceDN w:val="0"/>
        <w:adjustRightInd w:val="0"/>
        <w:spacing w:after="0" w:line="240" w:lineRule="auto"/>
        <w:jc w:val="both"/>
        <w:rPr>
          <w:rFonts w:cs="AGaramond-Regular"/>
          <w:sz w:val="24"/>
          <w:szCs w:val="24"/>
        </w:rPr>
      </w:pPr>
    </w:p>
    <w:p w:rsidR="00551E4B" w:rsidRPr="00E34A40" w:rsidRDefault="00551E4B" w:rsidP="00551E4B">
      <w:pPr>
        <w:pStyle w:val="Default"/>
        <w:rPr>
          <w:rFonts w:asciiTheme="minorHAnsi" w:hAnsiTheme="minorHAnsi"/>
        </w:rPr>
      </w:pPr>
      <w:r w:rsidRPr="00E34A40">
        <w:rPr>
          <w:rFonts w:asciiTheme="minorHAnsi" w:hAnsiTheme="minorHAnsi"/>
        </w:rPr>
        <w:t xml:space="preserve">Rowland, I., ‘Roma Aeterna’, in Erdkamp, P (ed.), </w:t>
      </w:r>
      <w:proofErr w:type="gramStart"/>
      <w:r w:rsidRPr="00E34A40">
        <w:rPr>
          <w:rFonts w:asciiTheme="minorHAnsi" w:hAnsiTheme="minorHAnsi"/>
          <w:i/>
        </w:rPr>
        <w:t>The</w:t>
      </w:r>
      <w:proofErr w:type="gramEnd"/>
      <w:r w:rsidRPr="00E34A40">
        <w:rPr>
          <w:rFonts w:asciiTheme="minorHAnsi" w:hAnsiTheme="minorHAnsi"/>
          <w:i/>
        </w:rPr>
        <w:t xml:space="preserve"> Cambridge Companion to Ancient Rome</w:t>
      </w:r>
      <w:r w:rsidRPr="00E34A40">
        <w:rPr>
          <w:rFonts w:asciiTheme="minorHAnsi" w:hAnsiTheme="minorHAnsi"/>
        </w:rPr>
        <w:t xml:space="preserve"> (Cambridge, 2013), pp. 558-574.</w:t>
      </w:r>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hAnsiTheme="minorHAnsi"/>
        </w:rPr>
      </w:pPr>
      <w:proofErr w:type="gramStart"/>
      <w:r w:rsidRPr="00E34A40">
        <w:rPr>
          <w:rFonts w:asciiTheme="minorHAnsi" w:hAnsiTheme="minorHAnsi"/>
        </w:rPr>
        <w:t xml:space="preserve">Rowland Jr, R.J., ‘The ‘Very Poor’ and the Grain Dole at Rome and Oxyrhynchus’, </w:t>
      </w:r>
      <w:r w:rsidRPr="00E34A40">
        <w:rPr>
          <w:rFonts w:asciiTheme="minorHAnsi" w:hAnsiTheme="minorHAnsi"/>
          <w:i/>
          <w:iCs/>
        </w:rPr>
        <w:t>Zeitschrift für Papyrologie und Epigraphik</w:t>
      </w:r>
      <w:r w:rsidRPr="00E34A40">
        <w:rPr>
          <w:rFonts w:asciiTheme="minorHAnsi" w:hAnsiTheme="minorHAnsi"/>
        </w:rPr>
        <w:t xml:space="preserve"> </w:t>
      </w:r>
      <w:r w:rsidRPr="00E34A40">
        <w:rPr>
          <w:rFonts w:asciiTheme="minorHAnsi" w:hAnsiTheme="minorHAnsi"/>
          <w:i/>
          <w:iCs/>
        </w:rPr>
        <w:t>Bd. 21</w:t>
      </w:r>
      <w:r w:rsidRPr="00E34A40">
        <w:rPr>
          <w:rFonts w:asciiTheme="minorHAnsi" w:hAnsiTheme="minorHAnsi"/>
        </w:rPr>
        <w:t xml:space="preserve"> (1976), pp. 69-73.</w:t>
      </w:r>
      <w:proofErr w:type="gramEnd"/>
    </w:p>
    <w:p w:rsidR="00551E4B" w:rsidRPr="00E34A40" w:rsidRDefault="00551E4B" w:rsidP="00551E4B">
      <w:pPr>
        <w:pStyle w:val="Default"/>
        <w:rPr>
          <w:rFonts w:asciiTheme="minorHAnsi" w:hAnsiTheme="minorHAnsi"/>
        </w:rPr>
      </w:pPr>
    </w:p>
    <w:p w:rsidR="00551E4B" w:rsidRPr="00E34A40" w:rsidRDefault="00551E4B" w:rsidP="00551E4B">
      <w:pPr>
        <w:rPr>
          <w:sz w:val="24"/>
          <w:szCs w:val="24"/>
        </w:rPr>
      </w:pPr>
      <w:r w:rsidRPr="00E34A40">
        <w:rPr>
          <w:sz w:val="24"/>
          <w:szCs w:val="24"/>
        </w:rPr>
        <w:t xml:space="preserve">Ruggini, L.C., ‘Rome in Late Antiquity: Clientship, Urban Topography, and Prosopography’, </w:t>
      </w:r>
      <w:r w:rsidRPr="00E34A40">
        <w:rPr>
          <w:i/>
          <w:iCs/>
          <w:sz w:val="24"/>
          <w:szCs w:val="24"/>
        </w:rPr>
        <w:t>Classical Philology Vol. 98 No. 4</w:t>
      </w:r>
      <w:r w:rsidRPr="00E34A40">
        <w:rPr>
          <w:sz w:val="24"/>
          <w:szCs w:val="24"/>
        </w:rPr>
        <w:t xml:space="preserve"> (2003), pp. 366-382.</w:t>
      </w:r>
    </w:p>
    <w:p w:rsidR="00551E4B" w:rsidRPr="00E34A40" w:rsidRDefault="00551E4B" w:rsidP="00551E4B">
      <w:pPr>
        <w:rPr>
          <w:sz w:val="24"/>
          <w:szCs w:val="24"/>
        </w:rPr>
      </w:pPr>
      <w:r w:rsidRPr="00E34A40">
        <w:rPr>
          <w:sz w:val="24"/>
          <w:szCs w:val="24"/>
        </w:rPr>
        <w:t xml:space="preserve">Salisbury, F.S., ‘On the Date of the ‘Notitia Dignitatum’’, </w:t>
      </w:r>
      <w:proofErr w:type="gramStart"/>
      <w:r w:rsidRPr="00E34A40">
        <w:rPr>
          <w:i/>
          <w:sz w:val="24"/>
          <w:szCs w:val="24"/>
        </w:rPr>
        <w:t>The</w:t>
      </w:r>
      <w:proofErr w:type="gramEnd"/>
      <w:r w:rsidRPr="00E34A40">
        <w:rPr>
          <w:i/>
          <w:sz w:val="24"/>
          <w:szCs w:val="24"/>
        </w:rPr>
        <w:t xml:space="preserve"> Journal of Roman Studies Vol. 17</w:t>
      </w:r>
      <w:r w:rsidRPr="00E34A40">
        <w:rPr>
          <w:sz w:val="24"/>
          <w:szCs w:val="24"/>
        </w:rPr>
        <w:t xml:space="preserve"> (1927), pp. 102-106.</w:t>
      </w:r>
    </w:p>
    <w:p w:rsidR="00551E4B" w:rsidRPr="00E34A40" w:rsidRDefault="00551E4B" w:rsidP="00551E4B">
      <w:pPr>
        <w:rPr>
          <w:sz w:val="24"/>
          <w:szCs w:val="24"/>
        </w:rPr>
      </w:pPr>
      <w:r w:rsidRPr="00E34A40">
        <w:rPr>
          <w:sz w:val="24"/>
          <w:szCs w:val="24"/>
        </w:rPr>
        <w:t xml:space="preserve">Salway, B., ‘Putting the World in Order: Mapping in Roman Texts’, in Talbert, R.J.A (ed.), </w:t>
      </w:r>
      <w:r w:rsidRPr="00E34A40">
        <w:rPr>
          <w:i/>
          <w:sz w:val="24"/>
          <w:szCs w:val="24"/>
        </w:rPr>
        <w:t>Ancient Perspectives: maps and their place Mesopotamia, Egypt, and Rome</w:t>
      </w:r>
      <w:r w:rsidRPr="00E34A40">
        <w:rPr>
          <w:sz w:val="24"/>
          <w:szCs w:val="24"/>
        </w:rPr>
        <w:t xml:space="preserve"> (Chicago, 2012), pp. 193-234.</w:t>
      </w:r>
    </w:p>
    <w:p w:rsidR="00551E4B" w:rsidRPr="00E34A40" w:rsidRDefault="00551E4B" w:rsidP="00551E4B">
      <w:pPr>
        <w:rPr>
          <w:sz w:val="24"/>
          <w:szCs w:val="24"/>
        </w:rPr>
      </w:pPr>
      <w:r w:rsidRPr="00E34A40">
        <w:rPr>
          <w:sz w:val="24"/>
          <w:szCs w:val="24"/>
        </w:rPr>
        <w:t xml:space="preserve">                     ‘The Nature and Genesis of the Peutinger Map’, </w:t>
      </w:r>
      <w:r w:rsidRPr="00E34A40">
        <w:rPr>
          <w:i/>
          <w:sz w:val="24"/>
          <w:szCs w:val="24"/>
        </w:rPr>
        <w:t xml:space="preserve">Imago Mundi Vol. 57 No. 2 </w:t>
      </w:r>
      <w:r w:rsidRPr="00E34A40">
        <w:rPr>
          <w:sz w:val="24"/>
          <w:szCs w:val="24"/>
        </w:rPr>
        <w:t>(2005), pp. 119-135.</w:t>
      </w:r>
    </w:p>
    <w:p w:rsidR="00551E4B" w:rsidRPr="00E34A40" w:rsidRDefault="00551E4B" w:rsidP="00551E4B">
      <w:pPr>
        <w:rPr>
          <w:bCs/>
          <w:sz w:val="24"/>
          <w:szCs w:val="24"/>
          <w:lang w:eastAsia="zh-TW"/>
        </w:rPr>
      </w:pPr>
      <w:r w:rsidRPr="00E34A40">
        <w:rPr>
          <w:sz w:val="24"/>
          <w:szCs w:val="24"/>
        </w:rPr>
        <w:t xml:space="preserve">Sarantis, A., ‘Arnold Hugh Martin Jones (1904-1970)’, </w:t>
      </w:r>
      <w:r w:rsidRPr="00E34A40">
        <w:rPr>
          <w:bCs/>
          <w:sz w:val="24"/>
          <w:szCs w:val="24"/>
          <w:lang w:eastAsia="zh-TW"/>
        </w:rPr>
        <w:t>in Gwyn, D (ed.)</w:t>
      </w:r>
      <w:proofErr w:type="gramStart"/>
      <w:r w:rsidRPr="00E34A40">
        <w:rPr>
          <w:bCs/>
          <w:sz w:val="24"/>
          <w:szCs w:val="24"/>
          <w:lang w:eastAsia="zh-TW"/>
        </w:rPr>
        <w:t>.,</w:t>
      </w:r>
      <w:proofErr w:type="gramEnd"/>
      <w:r w:rsidRPr="00E34A40">
        <w:rPr>
          <w:bCs/>
          <w:sz w:val="24"/>
          <w:szCs w:val="24"/>
          <w:lang w:eastAsia="zh-TW"/>
        </w:rPr>
        <w:t xml:space="preserve"> </w:t>
      </w:r>
      <w:r w:rsidRPr="00E34A40">
        <w:rPr>
          <w:bCs/>
          <w:i/>
          <w:sz w:val="24"/>
          <w:szCs w:val="24"/>
          <w:lang w:eastAsia="zh-TW"/>
        </w:rPr>
        <w:t>A.H.M. Jones and the Later Roman Empire</w:t>
      </w:r>
      <w:r w:rsidRPr="00E34A40">
        <w:rPr>
          <w:bCs/>
          <w:sz w:val="24"/>
          <w:szCs w:val="24"/>
          <w:lang w:eastAsia="zh-TW"/>
        </w:rPr>
        <w:t xml:space="preserve"> (Leiden, 2008), pp. 3-24.</w:t>
      </w:r>
    </w:p>
    <w:p w:rsidR="00551E4B" w:rsidRPr="00E34A40" w:rsidRDefault="00551E4B" w:rsidP="00551E4B">
      <w:pPr>
        <w:rPr>
          <w:sz w:val="24"/>
          <w:szCs w:val="24"/>
          <w:lang w:eastAsia="zh-CN"/>
        </w:rPr>
      </w:pPr>
      <w:r w:rsidRPr="00E34A40">
        <w:rPr>
          <w:sz w:val="24"/>
          <w:szCs w:val="24"/>
          <w:lang w:eastAsia="zh-CN"/>
        </w:rPr>
        <w:t xml:space="preserve">Scarborough, J., ‘Aurelian: Questions and Problems’, </w:t>
      </w:r>
      <w:proofErr w:type="gramStart"/>
      <w:r w:rsidRPr="00E34A40">
        <w:rPr>
          <w:i/>
          <w:iCs/>
          <w:sz w:val="24"/>
          <w:szCs w:val="24"/>
          <w:lang w:eastAsia="zh-CN"/>
        </w:rPr>
        <w:t>The</w:t>
      </w:r>
      <w:proofErr w:type="gramEnd"/>
      <w:r w:rsidRPr="00E34A40">
        <w:rPr>
          <w:i/>
          <w:iCs/>
          <w:sz w:val="24"/>
          <w:szCs w:val="24"/>
          <w:lang w:eastAsia="zh-CN"/>
        </w:rPr>
        <w:t xml:space="preserve"> Classical Journal Vol. 68 No. 4</w:t>
      </w:r>
      <w:r w:rsidRPr="00E34A40">
        <w:rPr>
          <w:sz w:val="24"/>
          <w:szCs w:val="24"/>
          <w:lang w:eastAsia="zh-CN"/>
        </w:rPr>
        <w:t xml:space="preserve"> (1973), pp. 334-345.</w:t>
      </w:r>
    </w:p>
    <w:p w:rsidR="00551E4B" w:rsidRPr="00E34A40" w:rsidRDefault="00551E4B" w:rsidP="00551E4B">
      <w:pPr>
        <w:autoSpaceDE w:val="0"/>
        <w:autoSpaceDN w:val="0"/>
        <w:adjustRightInd w:val="0"/>
        <w:spacing w:after="0" w:line="240" w:lineRule="auto"/>
        <w:rPr>
          <w:rFonts w:cs="Times New Roman"/>
          <w:sz w:val="24"/>
          <w:szCs w:val="24"/>
        </w:rPr>
      </w:pPr>
      <w:r w:rsidRPr="00E34A40">
        <w:rPr>
          <w:rFonts w:cs="Times New Roman"/>
          <w:sz w:val="24"/>
          <w:szCs w:val="24"/>
        </w:rPr>
        <w:t xml:space="preserve">Schieffer, R., ‘Charlemagne and Rome’, in Abulafia, D., Arbel, B., Kennedy, H., Magdalino, P., Meyerson, M., and Simon, </w:t>
      </w:r>
      <w:r w:rsidR="009C7AF1" w:rsidRPr="00E34A40">
        <w:rPr>
          <w:rFonts w:cs="Times New Roman"/>
          <w:sz w:val="24"/>
          <w:szCs w:val="24"/>
        </w:rPr>
        <w:t>L.J (</w:t>
      </w:r>
      <w:r w:rsidRPr="00E34A40">
        <w:rPr>
          <w:rFonts w:cs="Times New Roman"/>
          <w:sz w:val="24"/>
          <w:szCs w:val="24"/>
        </w:rPr>
        <w:t>eds)</w:t>
      </w:r>
      <w:proofErr w:type="gramStart"/>
      <w:r w:rsidRPr="00E34A40">
        <w:rPr>
          <w:rFonts w:cs="Times New Roman"/>
          <w:sz w:val="24"/>
          <w:szCs w:val="24"/>
        </w:rPr>
        <w:t>.,</w:t>
      </w:r>
      <w:proofErr w:type="gramEnd"/>
      <w:r w:rsidRPr="00E34A40">
        <w:rPr>
          <w:rFonts w:cs="Times New Roman"/>
          <w:sz w:val="24"/>
          <w:szCs w:val="24"/>
        </w:rPr>
        <w:t xml:space="preserve"> </w:t>
      </w:r>
      <w:r w:rsidRPr="00E34A40">
        <w:rPr>
          <w:rFonts w:cs="Times New Roman"/>
          <w:i/>
          <w:sz w:val="24"/>
          <w:szCs w:val="24"/>
        </w:rPr>
        <w:t>The Medieval Mediterranean Peoples, Economies and Cultures, 400-1453 Vol. 28</w:t>
      </w:r>
      <w:r w:rsidRPr="00E34A40">
        <w:rPr>
          <w:rFonts w:cs="Times New Roman"/>
          <w:sz w:val="24"/>
          <w:szCs w:val="24"/>
        </w:rPr>
        <w:t xml:space="preserve"> (Boston, 2000), pp. 279-296.</w:t>
      </w:r>
    </w:p>
    <w:p w:rsidR="00551E4B" w:rsidRPr="00E34A40" w:rsidRDefault="00551E4B" w:rsidP="00551E4B">
      <w:pPr>
        <w:autoSpaceDE w:val="0"/>
        <w:autoSpaceDN w:val="0"/>
        <w:adjustRightInd w:val="0"/>
        <w:spacing w:after="0" w:line="240" w:lineRule="auto"/>
        <w:rPr>
          <w:rFonts w:cs="Times New Roman"/>
          <w:sz w:val="24"/>
          <w:szCs w:val="24"/>
        </w:rPr>
      </w:pPr>
    </w:p>
    <w:p w:rsidR="00551E4B" w:rsidRPr="00E34A40" w:rsidRDefault="00551E4B" w:rsidP="00551E4B">
      <w:pPr>
        <w:rPr>
          <w:sz w:val="24"/>
          <w:szCs w:val="24"/>
        </w:rPr>
      </w:pPr>
      <w:r w:rsidRPr="00E34A40">
        <w:rPr>
          <w:sz w:val="24"/>
          <w:szCs w:val="24"/>
        </w:rPr>
        <w:lastRenderedPageBreak/>
        <w:t xml:space="preserve">Scrivner, B., ‘Carolingian Monastic Library Catalogs and Medieval Classification of Knowledge’, </w:t>
      </w:r>
      <w:proofErr w:type="gramStart"/>
      <w:r w:rsidRPr="00E34A40">
        <w:rPr>
          <w:i/>
          <w:sz w:val="24"/>
          <w:szCs w:val="24"/>
        </w:rPr>
        <w:t>The</w:t>
      </w:r>
      <w:proofErr w:type="gramEnd"/>
      <w:r w:rsidRPr="00E34A40">
        <w:rPr>
          <w:i/>
          <w:sz w:val="24"/>
          <w:szCs w:val="24"/>
        </w:rPr>
        <w:t xml:space="preserve"> Journal of Library History (1974-1987)</w:t>
      </w:r>
      <w:r w:rsidRPr="00E34A40">
        <w:rPr>
          <w:sz w:val="24"/>
          <w:szCs w:val="24"/>
        </w:rPr>
        <w:t xml:space="preserve"> </w:t>
      </w:r>
      <w:r w:rsidRPr="00E34A40">
        <w:rPr>
          <w:i/>
          <w:sz w:val="24"/>
          <w:szCs w:val="24"/>
        </w:rPr>
        <w:t xml:space="preserve">Vol. 15 No. 4 </w:t>
      </w:r>
      <w:r w:rsidRPr="00E34A40">
        <w:rPr>
          <w:sz w:val="24"/>
          <w:szCs w:val="24"/>
        </w:rPr>
        <w:t>(1980), pp. 427-444.</w:t>
      </w:r>
    </w:p>
    <w:p w:rsidR="00551E4B" w:rsidRPr="00E34A40" w:rsidRDefault="00551E4B" w:rsidP="00551E4B">
      <w:pPr>
        <w:rPr>
          <w:sz w:val="24"/>
          <w:szCs w:val="24"/>
        </w:rPr>
      </w:pPr>
      <w:r w:rsidRPr="00E34A40">
        <w:rPr>
          <w:sz w:val="24"/>
          <w:szCs w:val="24"/>
        </w:rPr>
        <w:t>Sidebottom, H. [Review], ‘</w:t>
      </w:r>
      <w:r w:rsidRPr="00E34A40">
        <w:rPr>
          <w:i/>
          <w:sz w:val="24"/>
          <w:szCs w:val="24"/>
        </w:rPr>
        <w:t>Ideology in the Provinces</w:t>
      </w:r>
      <w:r w:rsidRPr="00E34A40">
        <w:rPr>
          <w:sz w:val="24"/>
          <w:szCs w:val="24"/>
        </w:rPr>
        <w:t xml:space="preserve"> by Clifford Ando’, </w:t>
      </w:r>
      <w:proofErr w:type="gramStart"/>
      <w:r w:rsidRPr="00E34A40">
        <w:rPr>
          <w:i/>
          <w:sz w:val="24"/>
          <w:szCs w:val="24"/>
        </w:rPr>
        <w:t>The</w:t>
      </w:r>
      <w:proofErr w:type="gramEnd"/>
      <w:r w:rsidRPr="00E34A40">
        <w:rPr>
          <w:i/>
          <w:sz w:val="24"/>
          <w:szCs w:val="24"/>
        </w:rPr>
        <w:t xml:space="preserve"> Classical Review Vol. 56 No. 1</w:t>
      </w:r>
      <w:r w:rsidRPr="00E34A40">
        <w:rPr>
          <w:sz w:val="24"/>
          <w:szCs w:val="24"/>
        </w:rPr>
        <w:t xml:space="preserve"> (2006)</w:t>
      </w:r>
    </w:p>
    <w:p w:rsidR="00551E4B" w:rsidRPr="00E34A40" w:rsidRDefault="00551E4B" w:rsidP="00551E4B">
      <w:pPr>
        <w:rPr>
          <w:sz w:val="24"/>
          <w:szCs w:val="24"/>
        </w:rPr>
      </w:pPr>
      <w:r w:rsidRPr="00E34A40">
        <w:rPr>
          <w:sz w:val="24"/>
          <w:szCs w:val="24"/>
        </w:rPr>
        <w:t xml:space="preserve">Singer, D.W., ‘Preparation and Use of Manuscript Catalogues’, </w:t>
      </w:r>
      <w:r w:rsidRPr="00E34A40">
        <w:rPr>
          <w:i/>
          <w:sz w:val="24"/>
          <w:szCs w:val="24"/>
        </w:rPr>
        <w:t>Journal of the Medical Library Association 21</w:t>
      </w:r>
      <w:r w:rsidRPr="00E34A40">
        <w:rPr>
          <w:sz w:val="24"/>
          <w:szCs w:val="24"/>
        </w:rPr>
        <w:t xml:space="preserve"> (1932), pp. 43-45.</w:t>
      </w:r>
    </w:p>
    <w:p w:rsidR="00551E4B" w:rsidRPr="00E34A40" w:rsidRDefault="00551E4B" w:rsidP="00551E4B">
      <w:pPr>
        <w:rPr>
          <w:sz w:val="24"/>
          <w:szCs w:val="24"/>
        </w:rPr>
      </w:pPr>
      <w:r w:rsidRPr="00E34A40">
        <w:rPr>
          <w:sz w:val="24"/>
          <w:szCs w:val="24"/>
        </w:rPr>
        <w:t xml:space="preserve">Sinnigen, W.G., ‘The Origins of the “Frumentarii”’, </w:t>
      </w:r>
      <w:r w:rsidRPr="00E34A40">
        <w:rPr>
          <w:i/>
          <w:sz w:val="24"/>
          <w:szCs w:val="24"/>
        </w:rPr>
        <w:t xml:space="preserve">Memoirs of the American Academy in Rome Vol. 27 </w:t>
      </w:r>
      <w:r w:rsidRPr="00E34A40">
        <w:rPr>
          <w:sz w:val="24"/>
          <w:szCs w:val="24"/>
        </w:rPr>
        <w:t>(1962), pp. 211+213-224.</w:t>
      </w:r>
    </w:p>
    <w:p w:rsidR="00551E4B" w:rsidRPr="00E34A40" w:rsidRDefault="00551E4B" w:rsidP="00551E4B">
      <w:pPr>
        <w:rPr>
          <w:rFonts w:eastAsiaTheme="majorEastAsia"/>
          <w:sz w:val="24"/>
          <w:szCs w:val="24"/>
          <w:lang w:val="de-DE"/>
        </w:rPr>
      </w:pPr>
      <w:r w:rsidRPr="00E34A40">
        <w:rPr>
          <w:sz w:val="24"/>
          <w:szCs w:val="24"/>
        </w:rPr>
        <w:t xml:space="preserve">                                ‘The Vicarius Urbis Romae and the Urban Prefecture’, </w:t>
      </w:r>
      <w:r w:rsidRPr="00E34A40">
        <w:rPr>
          <w:i/>
          <w:iCs/>
          <w:sz w:val="24"/>
          <w:szCs w:val="24"/>
        </w:rPr>
        <w:t>Historia: Zeitschrift für Alte Geschichte, Bd. 8, H. 1</w:t>
      </w:r>
      <w:r w:rsidRPr="00E34A40">
        <w:rPr>
          <w:sz w:val="24"/>
          <w:szCs w:val="24"/>
        </w:rPr>
        <w:t xml:space="preserve"> (1959), pp. 97-112.</w:t>
      </w:r>
    </w:p>
    <w:p w:rsidR="00551E4B" w:rsidRPr="00E34A40" w:rsidRDefault="00551E4B" w:rsidP="00551E4B">
      <w:pPr>
        <w:rPr>
          <w:rFonts w:eastAsiaTheme="majorEastAsia"/>
          <w:bCs/>
          <w:iCs/>
          <w:sz w:val="24"/>
          <w:szCs w:val="24"/>
        </w:rPr>
      </w:pPr>
      <w:r w:rsidRPr="00E34A40">
        <w:rPr>
          <w:rFonts w:eastAsiaTheme="majorEastAsia"/>
          <w:sz w:val="24"/>
          <w:szCs w:val="24"/>
          <w:lang w:val="de-DE"/>
        </w:rPr>
        <w:t>Smith, R., ‘The Construction of the Past in the Roman Empire</w:t>
      </w:r>
      <w:r w:rsidRPr="00E34A40">
        <w:rPr>
          <w:rFonts w:eastAsiaTheme="majorEastAsia"/>
          <w:sz w:val="24"/>
          <w:szCs w:val="24"/>
        </w:rPr>
        <w:t>’</w:t>
      </w:r>
      <w:r w:rsidRPr="00E34A40">
        <w:rPr>
          <w:rFonts w:eastAsiaTheme="majorEastAsia"/>
          <w:sz w:val="24"/>
          <w:szCs w:val="24"/>
          <w:lang w:val="de-DE"/>
        </w:rPr>
        <w:t xml:space="preserve">, </w:t>
      </w:r>
      <w:r w:rsidRPr="00E34A40">
        <w:rPr>
          <w:rFonts w:eastAsiaTheme="majorEastAsia"/>
          <w:bCs/>
          <w:sz w:val="24"/>
          <w:szCs w:val="24"/>
        </w:rPr>
        <w:t xml:space="preserve">in Potter, D. (ed.), </w:t>
      </w:r>
      <w:r w:rsidRPr="00E34A40">
        <w:rPr>
          <w:rFonts w:eastAsiaTheme="majorEastAsia"/>
          <w:bCs/>
          <w:i/>
          <w:iCs/>
          <w:sz w:val="24"/>
          <w:szCs w:val="24"/>
        </w:rPr>
        <w:t>A Companion to the Roman Empire</w:t>
      </w:r>
      <w:r w:rsidRPr="00E34A40">
        <w:rPr>
          <w:rFonts w:eastAsiaTheme="majorEastAsia"/>
          <w:bCs/>
          <w:iCs/>
          <w:sz w:val="24"/>
          <w:szCs w:val="24"/>
        </w:rPr>
        <w:t xml:space="preserve"> (Oxford, 2006), pp. 411-438.</w:t>
      </w:r>
    </w:p>
    <w:p w:rsidR="00551E4B" w:rsidRPr="00E34A40" w:rsidRDefault="00551E4B" w:rsidP="00551E4B">
      <w:pPr>
        <w:pStyle w:val="Default"/>
        <w:rPr>
          <w:rFonts w:asciiTheme="minorHAnsi" w:hAnsiTheme="minorHAnsi"/>
        </w:rPr>
      </w:pPr>
      <w:r w:rsidRPr="00E34A40">
        <w:rPr>
          <w:rFonts w:asciiTheme="minorHAnsi" w:hAnsiTheme="minorHAnsi"/>
        </w:rPr>
        <w:t xml:space="preserve">                  ‘‘Restored utility, eternal city’: patronal imagery at Rome in the fourth century AD’, in Lomas, K., and Cornell, T.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iCs/>
        </w:rPr>
        <w:t>‘Bread and Circuses’ Euergetism and municipal patronage in Roman Italy</w:t>
      </w:r>
      <w:r w:rsidRPr="00E34A40">
        <w:rPr>
          <w:rFonts w:asciiTheme="minorHAnsi" w:hAnsiTheme="minorHAnsi"/>
        </w:rPr>
        <w:t xml:space="preserve"> (London, 2003), pp. 142-166.</w:t>
      </w:r>
    </w:p>
    <w:p w:rsidR="00551E4B" w:rsidRPr="00E34A40" w:rsidRDefault="00551E4B" w:rsidP="00551E4B">
      <w:pPr>
        <w:pStyle w:val="Default"/>
        <w:rPr>
          <w:rFonts w:asciiTheme="minorHAnsi" w:hAnsiTheme="minorHAnsi"/>
        </w:rPr>
      </w:pPr>
    </w:p>
    <w:p w:rsidR="00551E4B" w:rsidRPr="00E34A40" w:rsidRDefault="00551E4B" w:rsidP="00551E4B">
      <w:pPr>
        <w:pStyle w:val="Default"/>
        <w:rPr>
          <w:rFonts w:asciiTheme="minorHAnsi" w:hAnsiTheme="minorHAnsi"/>
        </w:rPr>
      </w:pPr>
      <w:r w:rsidRPr="00E34A40">
        <w:rPr>
          <w:rFonts w:asciiTheme="minorHAnsi" w:hAnsiTheme="minorHAnsi"/>
        </w:rPr>
        <w:t xml:space="preserve">                   ‘Measures of Difference: The Fourth-Century Transformation of the Roman </w:t>
      </w:r>
      <w:r w:rsidR="008B44B0">
        <w:rPr>
          <w:rFonts w:asciiTheme="minorHAnsi" w:hAnsiTheme="minorHAnsi"/>
        </w:rPr>
        <w:t>Imperial</w:t>
      </w:r>
      <w:r w:rsidRPr="00E34A40">
        <w:rPr>
          <w:rFonts w:asciiTheme="minorHAnsi" w:hAnsiTheme="minorHAnsi"/>
        </w:rPr>
        <w:t xml:space="preserve"> Court’, </w:t>
      </w:r>
      <w:r w:rsidRPr="00E34A40">
        <w:rPr>
          <w:rFonts w:asciiTheme="minorHAnsi" w:hAnsiTheme="minorHAnsi"/>
          <w:i/>
          <w:iCs/>
        </w:rPr>
        <w:t>American Journal of Philology Vol. 132 No. 1 (Whole Number 525)</w:t>
      </w:r>
      <w:r w:rsidRPr="00E34A40">
        <w:rPr>
          <w:rFonts w:asciiTheme="minorHAnsi" w:hAnsiTheme="minorHAnsi"/>
        </w:rPr>
        <w:t xml:space="preserve"> (2011), pp. 125-151.</w:t>
      </w:r>
    </w:p>
    <w:p w:rsidR="00551E4B" w:rsidRPr="00E34A40" w:rsidRDefault="00551E4B" w:rsidP="00551E4B">
      <w:pPr>
        <w:pStyle w:val="Default"/>
        <w:rPr>
          <w:rFonts w:asciiTheme="minorHAnsi" w:hAnsiTheme="minorHAnsi"/>
        </w:rPr>
      </w:pPr>
      <w:r w:rsidRPr="00E34A40">
        <w:rPr>
          <w:rFonts w:asciiTheme="minorHAnsi" w:hAnsiTheme="minorHAnsi"/>
        </w:rPr>
        <w:t xml:space="preserve">                </w:t>
      </w:r>
    </w:p>
    <w:p w:rsidR="00551E4B" w:rsidRPr="00E34A40" w:rsidRDefault="00551E4B" w:rsidP="00551E4B">
      <w:pPr>
        <w:pStyle w:val="Default"/>
        <w:rPr>
          <w:rFonts w:asciiTheme="minorHAnsi" w:hAnsiTheme="minorHAnsi"/>
        </w:rPr>
      </w:pPr>
      <w:r w:rsidRPr="00E34A40">
        <w:rPr>
          <w:rFonts w:asciiTheme="minorHAnsi" w:hAnsiTheme="minorHAnsi" w:cs="Sabon-Roman"/>
          <w:color w:val="231F20"/>
          <w:lang w:val="de-DE"/>
        </w:rPr>
        <w:t>Spencer, D., ‘Rome at a gallop: Livy, on not gazing, jumping, or toppling into the void‘, i</w:t>
      </w:r>
      <w:r w:rsidRPr="00E34A40">
        <w:rPr>
          <w:rFonts w:asciiTheme="minorHAnsi" w:hAnsiTheme="minorHAnsi"/>
        </w:rPr>
        <w:t>n Larmour, D.H.J., and Spencer, D.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rPr>
        <w:t>The Sites of Rome Time, Space, Memory</w:t>
      </w:r>
      <w:r w:rsidRPr="00E34A40">
        <w:rPr>
          <w:rFonts w:asciiTheme="minorHAnsi" w:hAnsiTheme="minorHAnsi"/>
        </w:rPr>
        <w:t xml:space="preserve"> (Oxford, 2007), pp. 61-101.</w:t>
      </w:r>
    </w:p>
    <w:p w:rsidR="00551E4B" w:rsidRPr="00E34A40" w:rsidRDefault="00551E4B" w:rsidP="00551E4B">
      <w:pPr>
        <w:pStyle w:val="Default"/>
        <w:rPr>
          <w:rFonts w:asciiTheme="minorHAnsi" w:hAnsiTheme="minorHAnsi"/>
        </w:rPr>
      </w:pPr>
    </w:p>
    <w:p w:rsidR="00551E4B" w:rsidRPr="00E34A40" w:rsidRDefault="00551E4B" w:rsidP="00551E4B">
      <w:pPr>
        <w:pStyle w:val="FootnoteText"/>
        <w:rPr>
          <w:sz w:val="24"/>
          <w:szCs w:val="24"/>
        </w:rPr>
      </w:pPr>
      <w:r w:rsidRPr="00E34A40">
        <w:rPr>
          <w:sz w:val="24"/>
          <w:szCs w:val="24"/>
        </w:rPr>
        <w:t xml:space="preserve">Speidel, M.P., ‘Maxentius’ Praetorians’’, in </w:t>
      </w:r>
      <w:r w:rsidRPr="00E34A40">
        <w:rPr>
          <w:i/>
          <w:sz w:val="24"/>
          <w:szCs w:val="24"/>
        </w:rPr>
        <w:t xml:space="preserve">Roman Army Studies </w:t>
      </w:r>
      <w:r w:rsidRPr="00E34A40">
        <w:rPr>
          <w:sz w:val="24"/>
          <w:szCs w:val="24"/>
        </w:rPr>
        <w:t>(Stuttgart, 1992), pp. 385-389.</w:t>
      </w:r>
    </w:p>
    <w:p w:rsidR="00551E4B" w:rsidRPr="00E34A40" w:rsidRDefault="00551E4B" w:rsidP="00551E4B">
      <w:pPr>
        <w:pStyle w:val="Default"/>
        <w:rPr>
          <w:rFonts w:asciiTheme="minorHAnsi" w:eastAsiaTheme="majorEastAsia" w:hAnsiTheme="minorHAnsi"/>
          <w:lang w:val="de-DE"/>
        </w:rPr>
      </w:pPr>
    </w:p>
    <w:p w:rsidR="00551E4B" w:rsidRPr="00E34A40" w:rsidRDefault="00551E4B" w:rsidP="00551E4B">
      <w:pPr>
        <w:pStyle w:val="Default"/>
        <w:rPr>
          <w:rFonts w:asciiTheme="minorHAnsi" w:eastAsiaTheme="majorEastAsia" w:hAnsiTheme="minorHAnsi"/>
          <w:bCs/>
        </w:rPr>
      </w:pPr>
      <w:r w:rsidRPr="00E34A40">
        <w:rPr>
          <w:rFonts w:asciiTheme="minorHAnsi" w:eastAsiaTheme="majorEastAsia" w:hAnsiTheme="minorHAnsi"/>
          <w:lang w:val="de-DE"/>
        </w:rPr>
        <w:t xml:space="preserve">Stirling, L., </w:t>
      </w:r>
      <w:r w:rsidRPr="00E34A40">
        <w:rPr>
          <w:rFonts w:asciiTheme="minorHAnsi" w:eastAsiaTheme="majorEastAsia" w:hAnsiTheme="minorHAnsi"/>
        </w:rPr>
        <w:t xml:space="preserve">‘Art, Architecture, and Archaeology in the Roman Empire’, in </w:t>
      </w:r>
      <w:r w:rsidRPr="00E34A40">
        <w:rPr>
          <w:rFonts w:asciiTheme="minorHAnsi" w:eastAsiaTheme="majorEastAsia" w:hAnsiTheme="minorHAnsi"/>
          <w:bCs/>
        </w:rPr>
        <w:t xml:space="preserve">Potter, D. (ed.), </w:t>
      </w:r>
      <w:r w:rsidRPr="00E34A40">
        <w:rPr>
          <w:rFonts w:asciiTheme="minorHAnsi" w:eastAsiaTheme="majorEastAsia" w:hAnsiTheme="minorHAnsi"/>
          <w:bCs/>
          <w:i/>
          <w:iCs/>
        </w:rPr>
        <w:t xml:space="preserve">A Companion to the Roman Empire </w:t>
      </w:r>
      <w:r w:rsidRPr="00E34A40">
        <w:rPr>
          <w:rFonts w:asciiTheme="minorHAnsi" w:eastAsiaTheme="majorEastAsia" w:hAnsiTheme="minorHAnsi"/>
          <w:bCs/>
        </w:rPr>
        <w:t>(Oxford, 2006), pp. 75-97.</w:t>
      </w:r>
    </w:p>
    <w:p w:rsidR="00551E4B" w:rsidRPr="00E34A40" w:rsidRDefault="00551E4B" w:rsidP="00551E4B">
      <w:pPr>
        <w:pStyle w:val="Default"/>
        <w:rPr>
          <w:rFonts w:asciiTheme="minorHAnsi" w:eastAsiaTheme="majorEastAsia" w:hAnsiTheme="minorHAnsi"/>
          <w:bCs/>
        </w:rPr>
      </w:pPr>
    </w:p>
    <w:p w:rsidR="00551E4B" w:rsidRPr="00E34A40" w:rsidRDefault="00551E4B" w:rsidP="00551E4B">
      <w:pPr>
        <w:rPr>
          <w:rFonts w:cs="Sabon-Roman"/>
          <w:color w:val="231F20"/>
          <w:sz w:val="24"/>
          <w:szCs w:val="24"/>
        </w:rPr>
      </w:pPr>
      <w:r w:rsidRPr="00E34A40">
        <w:rPr>
          <w:rFonts w:cs="Sabon-Roman"/>
          <w:color w:val="231F20"/>
          <w:sz w:val="24"/>
          <w:szCs w:val="24"/>
        </w:rPr>
        <w:t xml:space="preserve">Storey, G. R., ‘The Meaning of “Insula” in Roman Residential Terminology’, </w:t>
      </w:r>
      <w:r w:rsidRPr="00E34A40">
        <w:rPr>
          <w:rFonts w:cs="Sabon-Roman"/>
          <w:i/>
          <w:iCs/>
          <w:color w:val="231F20"/>
          <w:sz w:val="24"/>
          <w:szCs w:val="24"/>
        </w:rPr>
        <w:t>Memoirs of the American Academy in Rome Vol. 49</w:t>
      </w:r>
      <w:r w:rsidRPr="00E34A40">
        <w:rPr>
          <w:rFonts w:cs="Sabon-Roman"/>
          <w:color w:val="231F20"/>
          <w:sz w:val="24"/>
          <w:szCs w:val="24"/>
        </w:rPr>
        <w:t xml:space="preserve"> (2004), pp. 47-84.</w:t>
      </w:r>
    </w:p>
    <w:p w:rsidR="00551E4B" w:rsidRPr="00E34A40" w:rsidRDefault="00551E4B" w:rsidP="00551E4B">
      <w:pPr>
        <w:rPr>
          <w:rFonts w:cs="Sabon-Roman"/>
          <w:color w:val="231F20"/>
          <w:sz w:val="24"/>
          <w:szCs w:val="24"/>
        </w:rPr>
      </w:pPr>
      <w:r w:rsidRPr="00E34A40">
        <w:rPr>
          <w:rFonts w:cs="Sabon-Roman"/>
          <w:color w:val="231F20"/>
          <w:sz w:val="24"/>
          <w:szCs w:val="24"/>
        </w:rPr>
        <w:t xml:space="preserve">                         ‘Regionaries-Type Insulae 1: Architectural/Residential Units at Ostia’, </w:t>
      </w:r>
      <w:r w:rsidRPr="00E34A40">
        <w:rPr>
          <w:rFonts w:cs="Sabon-Roman"/>
          <w:i/>
          <w:iCs/>
          <w:color w:val="231F20"/>
          <w:sz w:val="24"/>
          <w:szCs w:val="24"/>
        </w:rPr>
        <w:t>American Journal of Archaeology Vol. 105 No. 3</w:t>
      </w:r>
      <w:r w:rsidRPr="00E34A40">
        <w:rPr>
          <w:rFonts w:cs="Sabon-Roman"/>
          <w:color w:val="231F20"/>
          <w:sz w:val="24"/>
          <w:szCs w:val="24"/>
        </w:rPr>
        <w:t xml:space="preserve"> (2001), pp. 389-401.</w:t>
      </w:r>
    </w:p>
    <w:p w:rsidR="00551E4B" w:rsidRPr="00E34A40" w:rsidRDefault="00551E4B" w:rsidP="00551E4B">
      <w:pPr>
        <w:rPr>
          <w:rFonts w:cs="Sabon-Roman"/>
          <w:iCs/>
          <w:color w:val="231F20"/>
          <w:sz w:val="24"/>
          <w:szCs w:val="24"/>
        </w:rPr>
      </w:pPr>
      <w:r w:rsidRPr="00E34A40">
        <w:rPr>
          <w:rFonts w:cs="Sabon-Roman"/>
          <w:color w:val="231F20"/>
          <w:sz w:val="24"/>
          <w:szCs w:val="24"/>
        </w:rPr>
        <w:t xml:space="preserve">                           ‘Regionaries-Type Insulae 2: Architectural/Residential Units at Ostia’, </w:t>
      </w:r>
      <w:r w:rsidRPr="00E34A40">
        <w:rPr>
          <w:rFonts w:cs="Sabon-Roman"/>
          <w:i/>
          <w:iCs/>
          <w:color w:val="231F20"/>
          <w:sz w:val="24"/>
          <w:szCs w:val="24"/>
        </w:rPr>
        <w:t>American Journal of Archaeology Vol. 105 No. 3</w:t>
      </w:r>
      <w:r w:rsidRPr="00E34A40">
        <w:rPr>
          <w:rFonts w:cs="Sabon-Roman"/>
          <w:iCs/>
          <w:color w:val="231F20"/>
          <w:sz w:val="24"/>
          <w:szCs w:val="24"/>
        </w:rPr>
        <w:t xml:space="preserve"> (2001), pp. 411-434.</w:t>
      </w:r>
    </w:p>
    <w:p w:rsidR="00551E4B" w:rsidRPr="00E34A40" w:rsidRDefault="00551E4B" w:rsidP="00551E4B">
      <w:pPr>
        <w:rPr>
          <w:sz w:val="24"/>
          <w:szCs w:val="24"/>
        </w:rPr>
      </w:pPr>
      <w:r w:rsidRPr="00E34A40">
        <w:rPr>
          <w:sz w:val="24"/>
          <w:szCs w:val="24"/>
          <w:lang w:val="de-DE"/>
        </w:rPr>
        <w:t xml:space="preserve">Sumi, G.S., </w:t>
      </w:r>
      <w:r w:rsidRPr="00E34A40">
        <w:rPr>
          <w:sz w:val="24"/>
          <w:szCs w:val="24"/>
        </w:rPr>
        <w:t xml:space="preserve">‘Topography and Ideology: Caesar’s Monument and the </w:t>
      </w:r>
      <w:r w:rsidRPr="00E34A40">
        <w:rPr>
          <w:i/>
          <w:iCs/>
          <w:sz w:val="24"/>
          <w:szCs w:val="24"/>
        </w:rPr>
        <w:t xml:space="preserve">Aedes Divi Ivlii </w:t>
      </w:r>
      <w:r w:rsidRPr="00E34A40">
        <w:rPr>
          <w:sz w:val="24"/>
          <w:szCs w:val="24"/>
        </w:rPr>
        <w:t xml:space="preserve">in Augustan Rome’, </w:t>
      </w:r>
      <w:r w:rsidRPr="00E34A40">
        <w:rPr>
          <w:i/>
          <w:iCs/>
          <w:sz w:val="24"/>
          <w:szCs w:val="24"/>
        </w:rPr>
        <w:t xml:space="preserve">The Classical Quarterly Vol. 61 Issue 01 </w:t>
      </w:r>
      <w:r w:rsidRPr="00E34A40">
        <w:rPr>
          <w:sz w:val="24"/>
          <w:szCs w:val="24"/>
        </w:rPr>
        <w:t>(2011), pp. 205-229.</w:t>
      </w:r>
    </w:p>
    <w:p w:rsidR="00551E4B" w:rsidRPr="00E34A40" w:rsidRDefault="00551E4B" w:rsidP="00551E4B">
      <w:pPr>
        <w:rPr>
          <w:sz w:val="24"/>
          <w:szCs w:val="24"/>
        </w:rPr>
      </w:pPr>
      <w:r w:rsidRPr="00E34A40">
        <w:rPr>
          <w:sz w:val="24"/>
          <w:szCs w:val="24"/>
        </w:rPr>
        <w:lastRenderedPageBreak/>
        <w:t>Syme, R., ‘</w:t>
      </w:r>
      <w:proofErr w:type="gramStart"/>
      <w:r w:rsidRPr="00E34A40">
        <w:rPr>
          <w:sz w:val="24"/>
          <w:szCs w:val="24"/>
        </w:rPr>
        <w:t>The</w:t>
      </w:r>
      <w:proofErr w:type="gramEnd"/>
      <w:r w:rsidRPr="00E34A40">
        <w:rPr>
          <w:sz w:val="24"/>
          <w:szCs w:val="24"/>
        </w:rPr>
        <w:t xml:space="preserve"> Composition of the Historia Augusta: Recent Theories’, </w:t>
      </w:r>
      <w:r w:rsidRPr="00E34A40">
        <w:rPr>
          <w:i/>
          <w:sz w:val="24"/>
          <w:szCs w:val="24"/>
        </w:rPr>
        <w:t>The Journal of Roman Studies Vol. 62</w:t>
      </w:r>
      <w:r w:rsidRPr="00E34A40">
        <w:rPr>
          <w:sz w:val="24"/>
          <w:szCs w:val="24"/>
        </w:rPr>
        <w:t xml:space="preserve"> (1972), pp. 123-133.</w:t>
      </w:r>
    </w:p>
    <w:p w:rsidR="00551E4B" w:rsidRPr="00E34A40" w:rsidRDefault="00551E4B" w:rsidP="00551E4B">
      <w:pPr>
        <w:rPr>
          <w:rFonts w:cs="Sabon-Roman"/>
          <w:color w:val="231F20"/>
          <w:sz w:val="24"/>
          <w:szCs w:val="24"/>
        </w:rPr>
      </w:pPr>
      <w:r w:rsidRPr="00E34A40">
        <w:rPr>
          <w:rFonts w:cs="Sabon-Roman"/>
          <w:color w:val="231F20"/>
          <w:sz w:val="24"/>
          <w:szCs w:val="24"/>
        </w:rPr>
        <w:t xml:space="preserve">Taub, L., ‘The Historical Function of the “Forma Urbis Romae”’, </w:t>
      </w:r>
      <w:r w:rsidRPr="00E34A40">
        <w:rPr>
          <w:rFonts w:cs="Sabon-Roman"/>
          <w:i/>
          <w:iCs/>
          <w:color w:val="231F20"/>
          <w:sz w:val="24"/>
          <w:szCs w:val="24"/>
        </w:rPr>
        <w:t>Imago Mundi Vol. 45</w:t>
      </w:r>
      <w:r w:rsidRPr="00E34A40">
        <w:rPr>
          <w:rFonts w:cs="Sabon-Roman"/>
          <w:color w:val="231F20"/>
          <w:sz w:val="24"/>
          <w:szCs w:val="24"/>
        </w:rPr>
        <w:t xml:space="preserve"> (1993), pp. 9-19.</w:t>
      </w:r>
    </w:p>
    <w:p w:rsidR="00551E4B" w:rsidRPr="00E34A40" w:rsidRDefault="00551E4B" w:rsidP="00551E4B">
      <w:pPr>
        <w:rPr>
          <w:sz w:val="24"/>
          <w:szCs w:val="24"/>
        </w:rPr>
      </w:pPr>
      <w:r w:rsidRPr="00E34A40">
        <w:rPr>
          <w:sz w:val="24"/>
          <w:szCs w:val="24"/>
        </w:rPr>
        <w:t>Taylor, R., ‘</w:t>
      </w:r>
      <w:r w:rsidRPr="00E34A40">
        <w:rPr>
          <w:i/>
          <w:sz w:val="24"/>
          <w:szCs w:val="24"/>
        </w:rPr>
        <w:t>A Citeriobe Ripa Aquae</w:t>
      </w:r>
      <w:r w:rsidRPr="00E34A40">
        <w:rPr>
          <w:sz w:val="24"/>
          <w:szCs w:val="24"/>
        </w:rPr>
        <w:t xml:space="preserve">: Aqueduct River Crossings in the Ancient City of Rome‘, </w:t>
      </w:r>
      <w:r w:rsidRPr="00E34A40">
        <w:rPr>
          <w:i/>
          <w:sz w:val="24"/>
          <w:szCs w:val="24"/>
        </w:rPr>
        <w:t>Papers of the British School at Rome Vol. 63</w:t>
      </w:r>
      <w:r w:rsidRPr="00E34A40">
        <w:rPr>
          <w:sz w:val="24"/>
          <w:szCs w:val="24"/>
        </w:rPr>
        <w:t xml:space="preserve"> (1995), pp. 75-103.</w:t>
      </w:r>
    </w:p>
    <w:p w:rsidR="00551E4B" w:rsidRPr="00E34A40" w:rsidRDefault="00551E4B" w:rsidP="00551E4B">
      <w:pPr>
        <w:rPr>
          <w:sz w:val="24"/>
          <w:szCs w:val="24"/>
        </w:rPr>
      </w:pPr>
      <w:r w:rsidRPr="00E34A40">
        <w:rPr>
          <w:sz w:val="24"/>
          <w:szCs w:val="24"/>
        </w:rPr>
        <w:t>Thomas, E., ‘Metaphor and identity in Severan architecture: the Septizodium at Rome between ‘reality’ and ‘fantasy’, in Swain, S., Harrison, S., and Elsner, J. (</w:t>
      </w:r>
      <w:proofErr w:type="gramStart"/>
      <w:r w:rsidRPr="00E34A40">
        <w:rPr>
          <w:sz w:val="24"/>
          <w:szCs w:val="24"/>
        </w:rPr>
        <w:t>eds</w:t>
      </w:r>
      <w:proofErr w:type="gramEnd"/>
      <w:r w:rsidRPr="00E34A40">
        <w:rPr>
          <w:sz w:val="24"/>
          <w:szCs w:val="24"/>
        </w:rPr>
        <w:t xml:space="preserve">), </w:t>
      </w:r>
      <w:r w:rsidRPr="00E34A40">
        <w:rPr>
          <w:i/>
          <w:sz w:val="24"/>
          <w:szCs w:val="24"/>
        </w:rPr>
        <w:t>Severan Culture</w:t>
      </w:r>
      <w:r w:rsidRPr="00E34A40">
        <w:rPr>
          <w:sz w:val="24"/>
          <w:szCs w:val="24"/>
        </w:rPr>
        <w:t xml:space="preserve"> (Cambridge, 2007), pp. 327-367.</w:t>
      </w:r>
    </w:p>
    <w:p w:rsidR="00551E4B" w:rsidRPr="00E34A40" w:rsidRDefault="00551E4B" w:rsidP="00551E4B">
      <w:pPr>
        <w:rPr>
          <w:sz w:val="24"/>
          <w:szCs w:val="24"/>
        </w:rPr>
      </w:pPr>
      <w:r w:rsidRPr="00E34A40">
        <w:rPr>
          <w:sz w:val="24"/>
          <w:szCs w:val="24"/>
        </w:rPr>
        <w:t>Tomlin, R.S.O., ‘Notitia Dignitatum Omnium, Tam Civilium Quam Militarium’, in Goodburn, R., and Bartholomew, P., (</w:t>
      </w:r>
      <w:proofErr w:type="gramStart"/>
      <w:r w:rsidRPr="00E34A40">
        <w:rPr>
          <w:sz w:val="24"/>
          <w:szCs w:val="24"/>
        </w:rPr>
        <w:t>eds</w:t>
      </w:r>
      <w:proofErr w:type="gramEnd"/>
      <w:r w:rsidRPr="00E34A40">
        <w:rPr>
          <w:sz w:val="24"/>
          <w:szCs w:val="24"/>
        </w:rPr>
        <w:t xml:space="preserve">) </w:t>
      </w:r>
      <w:r w:rsidRPr="00E34A40">
        <w:rPr>
          <w:i/>
          <w:sz w:val="24"/>
          <w:szCs w:val="24"/>
        </w:rPr>
        <w:t>Aspects of the Notitia Dignitatum</w:t>
      </w:r>
      <w:r w:rsidRPr="00E34A40">
        <w:rPr>
          <w:sz w:val="24"/>
          <w:szCs w:val="24"/>
        </w:rPr>
        <w:t xml:space="preserve"> (Oxford, 1976), pp. 189-210.</w:t>
      </w:r>
    </w:p>
    <w:p w:rsidR="00551E4B" w:rsidRPr="00E34A40" w:rsidRDefault="00551E4B" w:rsidP="00551E4B">
      <w:pPr>
        <w:rPr>
          <w:sz w:val="24"/>
          <w:szCs w:val="24"/>
        </w:rPr>
      </w:pPr>
      <w:r w:rsidRPr="00E34A40">
        <w:rPr>
          <w:sz w:val="24"/>
          <w:szCs w:val="24"/>
        </w:rPr>
        <w:t xml:space="preserve">Traina, G., ‘Mapping the world under Theodosius II’, in Kelly, C (ed.), </w:t>
      </w:r>
      <w:r w:rsidRPr="00E34A40">
        <w:rPr>
          <w:i/>
          <w:sz w:val="24"/>
          <w:szCs w:val="24"/>
        </w:rPr>
        <w:t>Theodosius II: Rethinking the Roman Empire in Late Antiquity</w:t>
      </w:r>
      <w:r w:rsidRPr="00E34A40">
        <w:rPr>
          <w:sz w:val="24"/>
          <w:szCs w:val="24"/>
        </w:rPr>
        <w:t xml:space="preserve"> (Cambridge, 2013), pp. 155-171.</w:t>
      </w:r>
    </w:p>
    <w:p w:rsidR="00551E4B" w:rsidRPr="00E34A40" w:rsidRDefault="00551E4B" w:rsidP="00551E4B">
      <w:pPr>
        <w:rPr>
          <w:sz w:val="24"/>
          <w:szCs w:val="24"/>
        </w:rPr>
      </w:pPr>
      <w:r w:rsidRPr="00E34A40">
        <w:rPr>
          <w:sz w:val="24"/>
          <w:szCs w:val="24"/>
        </w:rPr>
        <w:t>Trifló, F., ‘Movement, Gaming, and the Use of Space in the Forum’, in Laurence, R., and Newsome, D.J. (</w:t>
      </w:r>
      <w:proofErr w:type="gramStart"/>
      <w:r w:rsidRPr="00E34A40">
        <w:rPr>
          <w:sz w:val="24"/>
          <w:szCs w:val="24"/>
        </w:rPr>
        <w:t>eds</w:t>
      </w:r>
      <w:proofErr w:type="gramEnd"/>
      <w:r w:rsidRPr="00E34A40">
        <w:rPr>
          <w:sz w:val="24"/>
          <w:szCs w:val="24"/>
        </w:rPr>
        <w:t xml:space="preserve">), </w:t>
      </w:r>
      <w:r w:rsidRPr="00E34A40">
        <w:rPr>
          <w:i/>
          <w:iCs/>
          <w:sz w:val="24"/>
          <w:szCs w:val="24"/>
        </w:rPr>
        <w:t>Rome, Ostia, Pompeii Movement and Space</w:t>
      </w:r>
      <w:r w:rsidRPr="00E34A40">
        <w:rPr>
          <w:sz w:val="24"/>
          <w:szCs w:val="24"/>
        </w:rPr>
        <w:t xml:space="preserve"> (Oxford, 2011), pp. 312-331.</w:t>
      </w:r>
    </w:p>
    <w:p w:rsidR="00551E4B" w:rsidRPr="00E34A40" w:rsidRDefault="00551E4B" w:rsidP="00551E4B">
      <w:pPr>
        <w:rPr>
          <w:sz w:val="24"/>
          <w:szCs w:val="24"/>
        </w:rPr>
      </w:pPr>
      <w:r w:rsidRPr="00E34A40">
        <w:rPr>
          <w:sz w:val="24"/>
          <w:szCs w:val="24"/>
        </w:rPr>
        <w:t>Trimble, J., ‘Visibility and viewing on the Severan Marble Plan’, in Swain, S., Harrison, S., and Elsner, J. (</w:t>
      </w:r>
      <w:proofErr w:type="gramStart"/>
      <w:r w:rsidRPr="00E34A40">
        <w:rPr>
          <w:sz w:val="24"/>
          <w:szCs w:val="24"/>
        </w:rPr>
        <w:t>eds</w:t>
      </w:r>
      <w:proofErr w:type="gramEnd"/>
      <w:r w:rsidRPr="00E34A40">
        <w:rPr>
          <w:sz w:val="24"/>
          <w:szCs w:val="24"/>
        </w:rPr>
        <w:t xml:space="preserve">), </w:t>
      </w:r>
      <w:r w:rsidRPr="00E34A40">
        <w:rPr>
          <w:i/>
          <w:sz w:val="24"/>
          <w:szCs w:val="24"/>
        </w:rPr>
        <w:t>Severan Culture</w:t>
      </w:r>
      <w:r w:rsidRPr="00E34A40">
        <w:rPr>
          <w:sz w:val="24"/>
          <w:szCs w:val="24"/>
        </w:rPr>
        <w:t xml:space="preserve"> (Cambridge, 2007), pp. 368-384.</w:t>
      </w:r>
    </w:p>
    <w:p w:rsidR="00551E4B" w:rsidRPr="00E34A40" w:rsidRDefault="00551E4B" w:rsidP="00551E4B">
      <w:pPr>
        <w:autoSpaceDE w:val="0"/>
        <w:autoSpaceDN w:val="0"/>
        <w:adjustRightInd w:val="0"/>
        <w:spacing w:after="0" w:line="240" w:lineRule="auto"/>
        <w:rPr>
          <w:rFonts w:cs="AGaramond-Regular"/>
          <w:sz w:val="24"/>
          <w:szCs w:val="24"/>
        </w:rPr>
      </w:pPr>
      <w:proofErr w:type="gramStart"/>
      <w:r w:rsidRPr="00E34A40">
        <w:rPr>
          <w:rFonts w:cs="AGaramond-Regular"/>
          <w:sz w:val="24"/>
          <w:szCs w:val="24"/>
        </w:rPr>
        <w:t xml:space="preserve">Tucci, P.L., ‘New fragments of ancient plans of Rome’, </w:t>
      </w:r>
      <w:r w:rsidRPr="00E34A40">
        <w:rPr>
          <w:rFonts w:cs="AGaramond-Regular"/>
          <w:i/>
          <w:sz w:val="24"/>
          <w:szCs w:val="24"/>
        </w:rPr>
        <w:t xml:space="preserve">Journal of Roman Archaeology Vol. 20 </w:t>
      </w:r>
      <w:r w:rsidRPr="00E34A40">
        <w:rPr>
          <w:rFonts w:cs="AGaramond-Regular"/>
          <w:sz w:val="24"/>
          <w:szCs w:val="24"/>
        </w:rPr>
        <w:t>(2007), pp. 469-480.</w:t>
      </w:r>
      <w:proofErr w:type="gramEnd"/>
    </w:p>
    <w:p w:rsidR="00551E4B" w:rsidRPr="00E34A40" w:rsidRDefault="00551E4B" w:rsidP="00551E4B">
      <w:pPr>
        <w:autoSpaceDE w:val="0"/>
        <w:autoSpaceDN w:val="0"/>
        <w:adjustRightInd w:val="0"/>
        <w:spacing w:after="0" w:line="240" w:lineRule="auto"/>
        <w:rPr>
          <w:rFonts w:cs="AGaramond-Regular"/>
          <w:sz w:val="24"/>
          <w:szCs w:val="24"/>
        </w:rPr>
      </w:pPr>
    </w:p>
    <w:p w:rsidR="00551E4B" w:rsidRPr="00E34A40" w:rsidRDefault="00551E4B" w:rsidP="00551E4B">
      <w:pPr>
        <w:rPr>
          <w:bCs/>
          <w:sz w:val="24"/>
          <w:szCs w:val="24"/>
        </w:rPr>
      </w:pPr>
      <w:r w:rsidRPr="00E34A40">
        <w:rPr>
          <w:bCs/>
          <w:sz w:val="24"/>
          <w:szCs w:val="24"/>
        </w:rPr>
        <w:t xml:space="preserve">                    ‘Red-Painted Stones in Roman Architecture’, </w:t>
      </w:r>
      <w:r w:rsidRPr="00E34A40">
        <w:rPr>
          <w:bCs/>
          <w:i/>
          <w:sz w:val="24"/>
          <w:szCs w:val="24"/>
        </w:rPr>
        <w:t>American Journal of Archaeology Vol. 115 No. 4</w:t>
      </w:r>
      <w:r w:rsidRPr="00E34A40">
        <w:rPr>
          <w:bCs/>
          <w:sz w:val="24"/>
          <w:szCs w:val="24"/>
        </w:rPr>
        <w:t xml:space="preserve"> (2011), pp. 589-610.</w:t>
      </w:r>
    </w:p>
    <w:p w:rsidR="00551E4B" w:rsidRPr="00E34A40" w:rsidRDefault="00551E4B" w:rsidP="00551E4B">
      <w:pPr>
        <w:autoSpaceDE w:val="0"/>
        <w:autoSpaceDN w:val="0"/>
        <w:adjustRightInd w:val="0"/>
        <w:spacing w:after="0" w:line="240" w:lineRule="auto"/>
        <w:rPr>
          <w:sz w:val="24"/>
          <w:szCs w:val="24"/>
        </w:rPr>
      </w:pPr>
      <w:r w:rsidRPr="00E34A40">
        <w:rPr>
          <w:rFonts w:cs="AGaramond-Regular"/>
          <w:sz w:val="24"/>
          <w:szCs w:val="24"/>
        </w:rPr>
        <w:t xml:space="preserve">                    ‘Flavian Libraries in the city of Rome’,</w:t>
      </w:r>
      <w:r w:rsidRPr="00E34A40">
        <w:rPr>
          <w:sz w:val="24"/>
          <w:szCs w:val="24"/>
        </w:rPr>
        <w:t xml:space="preserve"> in König, J., Oikonomopoulou, K., and Woolf, G. (</w:t>
      </w:r>
      <w:proofErr w:type="gramStart"/>
      <w:r w:rsidRPr="00E34A40">
        <w:rPr>
          <w:sz w:val="24"/>
          <w:szCs w:val="24"/>
        </w:rPr>
        <w:t>eds</w:t>
      </w:r>
      <w:proofErr w:type="gramEnd"/>
      <w:r w:rsidRPr="00E34A40">
        <w:rPr>
          <w:sz w:val="24"/>
          <w:szCs w:val="24"/>
        </w:rPr>
        <w:t xml:space="preserve">), </w:t>
      </w:r>
      <w:r w:rsidRPr="00E34A40">
        <w:rPr>
          <w:i/>
          <w:sz w:val="24"/>
          <w:szCs w:val="24"/>
        </w:rPr>
        <w:t>Ancient Libraries</w:t>
      </w:r>
      <w:r w:rsidRPr="00E34A40">
        <w:rPr>
          <w:sz w:val="24"/>
          <w:szCs w:val="24"/>
        </w:rPr>
        <w:t xml:space="preserve"> (Cambridge, 2013), pp. 277-311.</w:t>
      </w:r>
    </w:p>
    <w:p w:rsidR="00551E4B" w:rsidRPr="00E34A40" w:rsidRDefault="00551E4B" w:rsidP="00551E4B">
      <w:pPr>
        <w:autoSpaceDE w:val="0"/>
        <w:autoSpaceDN w:val="0"/>
        <w:adjustRightInd w:val="0"/>
        <w:spacing w:after="0" w:line="240" w:lineRule="auto"/>
        <w:rPr>
          <w:sz w:val="24"/>
          <w:szCs w:val="24"/>
        </w:rPr>
      </w:pPr>
    </w:p>
    <w:p w:rsidR="00551E4B" w:rsidRPr="00E34A40" w:rsidRDefault="00551E4B" w:rsidP="00551E4B">
      <w:pPr>
        <w:autoSpaceDE w:val="0"/>
        <w:autoSpaceDN w:val="0"/>
        <w:adjustRightInd w:val="0"/>
        <w:spacing w:after="0" w:line="240" w:lineRule="auto"/>
        <w:rPr>
          <w:rFonts w:cs="AGaramond-Regular"/>
          <w:sz w:val="24"/>
          <w:szCs w:val="24"/>
        </w:rPr>
      </w:pPr>
      <w:r w:rsidRPr="00E34A40">
        <w:rPr>
          <w:rFonts w:cs="AGaramond-Regular"/>
          <w:sz w:val="24"/>
          <w:szCs w:val="24"/>
        </w:rPr>
        <w:t xml:space="preserve">                    ‘Eight Fragments of the Marble Plan of Rome Shedding New Light on the Transtiberim’, </w:t>
      </w:r>
      <w:r w:rsidRPr="00E34A40">
        <w:rPr>
          <w:rFonts w:cs="AGaramond-Regular"/>
          <w:i/>
          <w:sz w:val="24"/>
          <w:szCs w:val="24"/>
        </w:rPr>
        <w:t xml:space="preserve">Papers of the British School at Rome Vol. 72 </w:t>
      </w:r>
      <w:r w:rsidRPr="00E34A40">
        <w:rPr>
          <w:rFonts w:cs="AGaramond-Regular"/>
          <w:sz w:val="24"/>
          <w:szCs w:val="24"/>
        </w:rPr>
        <w:t>(2004), pp. 185-202.</w:t>
      </w:r>
    </w:p>
    <w:p w:rsidR="00551E4B" w:rsidRPr="00E34A40" w:rsidRDefault="00551E4B" w:rsidP="00551E4B">
      <w:pPr>
        <w:autoSpaceDE w:val="0"/>
        <w:autoSpaceDN w:val="0"/>
        <w:adjustRightInd w:val="0"/>
        <w:spacing w:after="0" w:line="240" w:lineRule="auto"/>
        <w:rPr>
          <w:rFonts w:cs="AGaramond-Regular"/>
          <w:sz w:val="24"/>
          <w:szCs w:val="24"/>
        </w:rPr>
      </w:pPr>
    </w:p>
    <w:p w:rsidR="00551E4B" w:rsidRPr="00E34A40" w:rsidRDefault="00551E4B" w:rsidP="00551E4B">
      <w:pPr>
        <w:autoSpaceDE w:val="0"/>
        <w:autoSpaceDN w:val="0"/>
        <w:adjustRightInd w:val="0"/>
        <w:spacing w:after="0" w:line="240" w:lineRule="auto"/>
        <w:rPr>
          <w:rFonts w:cs="AGaramond-Regular"/>
          <w:sz w:val="24"/>
          <w:szCs w:val="24"/>
        </w:rPr>
      </w:pPr>
      <w:r w:rsidRPr="00E34A40">
        <w:rPr>
          <w:rFonts w:cs="AGaramond-Regular"/>
          <w:sz w:val="24"/>
          <w:szCs w:val="24"/>
        </w:rPr>
        <w:t xml:space="preserve">                    </w:t>
      </w:r>
      <w:proofErr w:type="gramStart"/>
      <w:r w:rsidRPr="00E34A40">
        <w:rPr>
          <w:rFonts w:cs="AGaramond-Regular"/>
          <w:sz w:val="24"/>
          <w:szCs w:val="24"/>
        </w:rPr>
        <w:t xml:space="preserve">‘The Marble Plan of the Via Anicia and the Temple of Castor and Pollux </w:t>
      </w:r>
      <w:r w:rsidRPr="00E34A40">
        <w:rPr>
          <w:rFonts w:cs="AGaramond-Regular"/>
          <w:i/>
          <w:sz w:val="24"/>
          <w:szCs w:val="24"/>
        </w:rPr>
        <w:t>in Circo Flaminio</w:t>
      </w:r>
      <w:r w:rsidRPr="00E34A40">
        <w:rPr>
          <w:rFonts w:cs="AGaramond-Regular"/>
          <w:sz w:val="24"/>
          <w:szCs w:val="24"/>
        </w:rPr>
        <w:t xml:space="preserve">: the state of the question’, </w:t>
      </w:r>
      <w:r w:rsidRPr="00E34A40">
        <w:rPr>
          <w:rFonts w:cs="AGaramond-Regular"/>
          <w:i/>
          <w:sz w:val="24"/>
          <w:szCs w:val="24"/>
        </w:rPr>
        <w:t>Papers of the British School at Rome Vol. 81</w:t>
      </w:r>
      <w:r w:rsidRPr="00E34A40">
        <w:rPr>
          <w:rFonts w:cs="AGaramond-Regular"/>
          <w:sz w:val="24"/>
          <w:szCs w:val="24"/>
        </w:rPr>
        <w:t xml:space="preserve"> (2013), pp. 91-127.</w:t>
      </w:r>
      <w:proofErr w:type="gramEnd"/>
    </w:p>
    <w:p w:rsidR="00551E4B" w:rsidRPr="00E34A40" w:rsidRDefault="00551E4B" w:rsidP="00551E4B">
      <w:pPr>
        <w:autoSpaceDE w:val="0"/>
        <w:autoSpaceDN w:val="0"/>
        <w:adjustRightInd w:val="0"/>
        <w:spacing w:after="0" w:line="240" w:lineRule="auto"/>
        <w:rPr>
          <w:rFonts w:cs="AGaramond-Regular"/>
          <w:sz w:val="24"/>
          <w:szCs w:val="24"/>
        </w:rPr>
      </w:pPr>
    </w:p>
    <w:p w:rsidR="00551E4B" w:rsidRPr="00E34A40" w:rsidRDefault="00551E4B" w:rsidP="00551E4B">
      <w:pPr>
        <w:rPr>
          <w:sz w:val="24"/>
          <w:szCs w:val="24"/>
          <w:lang w:eastAsia="zh-CN"/>
        </w:rPr>
      </w:pPr>
      <w:r w:rsidRPr="00E34A40">
        <w:rPr>
          <w:sz w:val="24"/>
          <w:szCs w:val="24"/>
          <w:lang w:eastAsia="zh-CN"/>
        </w:rPr>
        <w:t xml:space="preserve">Van Sickle, C.E., ‘Conservative and Philosophical Influence in the Reign of Diocletian’, </w:t>
      </w:r>
      <w:r w:rsidRPr="00E34A40">
        <w:rPr>
          <w:i/>
          <w:iCs/>
          <w:sz w:val="24"/>
          <w:szCs w:val="24"/>
          <w:lang w:eastAsia="zh-CN"/>
        </w:rPr>
        <w:t>Classical Philology Vol. 27 No. 1</w:t>
      </w:r>
      <w:r w:rsidRPr="00E34A40">
        <w:rPr>
          <w:sz w:val="24"/>
          <w:szCs w:val="24"/>
          <w:lang w:eastAsia="zh-CN"/>
        </w:rPr>
        <w:t xml:space="preserve"> (1932), pp. 51-58.</w:t>
      </w:r>
    </w:p>
    <w:p w:rsidR="00551E4B" w:rsidRPr="00E34A40" w:rsidRDefault="00551E4B" w:rsidP="00551E4B">
      <w:pPr>
        <w:pStyle w:val="Default"/>
        <w:rPr>
          <w:rFonts w:asciiTheme="minorHAnsi" w:hAnsiTheme="minorHAnsi"/>
        </w:rPr>
      </w:pPr>
      <w:r w:rsidRPr="00E34A40">
        <w:rPr>
          <w:rFonts w:asciiTheme="minorHAnsi" w:hAnsiTheme="minorHAnsi"/>
        </w:rPr>
        <w:lastRenderedPageBreak/>
        <w:t xml:space="preserve">Vout, C., ‘Sizing up Rome, or theorizing the overview’, </w:t>
      </w:r>
      <w:r w:rsidRPr="00E34A40">
        <w:rPr>
          <w:rFonts w:asciiTheme="minorHAnsi" w:hAnsiTheme="minorHAnsi" w:cs="Sabon-Roman"/>
          <w:color w:val="231F20"/>
          <w:lang w:val="de-DE"/>
        </w:rPr>
        <w:t>i</w:t>
      </w:r>
      <w:r w:rsidRPr="00E34A40">
        <w:rPr>
          <w:rFonts w:asciiTheme="minorHAnsi" w:hAnsiTheme="minorHAnsi"/>
        </w:rPr>
        <w:t>n Larmour, D.H.J., and Spencer, D. (</w:t>
      </w:r>
      <w:proofErr w:type="gramStart"/>
      <w:r w:rsidRPr="00E34A40">
        <w:rPr>
          <w:rFonts w:asciiTheme="minorHAnsi" w:hAnsiTheme="minorHAnsi"/>
        </w:rPr>
        <w:t>eds</w:t>
      </w:r>
      <w:proofErr w:type="gramEnd"/>
      <w:r w:rsidRPr="00E34A40">
        <w:rPr>
          <w:rFonts w:asciiTheme="minorHAnsi" w:hAnsiTheme="minorHAnsi"/>
        </w:rPr>
        <w:t xml:space="preserve">), </w:t>
      </w:r>
      <w:r w:rsidRPr="00E34A40">
        <w:rPr>
          <w:rFonts w:asciiTheme="minorHAnsi" w:hAnsiTheme="minorHAnsi"/>
          <w:i/>
        </w:rPr>
        <w:t>The Sites of Rome Time, Space, Memory</w:t>
      </w:r>
      <w:r w:rsidRPr="00E34A40">
        <w:rPr>
          <w:rFonts w:asciiTheme="minorHAnsi" w:hAnsiTheme="minorHAnsi"/>
        </w:rPr>
        <w:t xml:space="preserve"> (Oxford, 2007), pp. 295-322.</w:t>
      </w:r>
    </w:p>
    <w:p w:rsidR="00551E4B" w:rsidRPr="00E34A40" w:rsidRDefault="00551E4B" w:rsidP="00551E4B">
      <w:pPr>
        <w:autoSpaceDE w:val="0"/>
        <w:autoSpaceDN w:val="0"/>
        <w:adjustRightInd w:val="0"/>
        <w:spacing w:after="0" w:line="240" w:lineRule="auto"/>
        <w:rPr>
          <w:sz w:val="24"/>
          <w:szCs w:val="24"/>
        </w:rPr>
      </w:pPr>
    </w:p>
    <w:p w:rsidR="00551E4B" w:rsidRPr="00E34A40" w:rsidRDefault="00551E4B" w:rsidP="00551E4B">
      <w:pPr>
        <w:autoSpaceDE w:val="0"/>
        <w:autoSpaceDN w:val="0"/>
        <w:adjustRightInd w:val="0"/>
        <w:spacing w:after="0" w:line="240" w:lineRule="auto"/>
        <w:rPr>
          <w:rFonts w:eastAsiaTheme="majorEastAsia"/>
          <w:sz w:val="24"/>
          <w:szCs w:val="24"/>
        </w:rPr>
      </w:pPr>
      <w:r w:rsidRPr="00E34A40">
        <w:rPr>
          <w:sz w:val="24"/>
          <w:szCs w:val="24"/>
        </w:rPr>
        <w:t>Walker, S., ‘</w:t>
      </w:r>
      <w:r w:rsidRPr="00E34A40">
        <w:rPr>
          <w:i/>
          <w:sz w:val="24"/>
          <w:szCs w:val="24"/>
        </w:rPr>
        <w:t xml:space="preserve">Dignam Congruentemque Splendori Patriae: </w:t>
      </w:r>
      <w:r w:rsidRPr="00E34A40">
        <w:rPr>
          <w:sz w:val="24"/>
          <w:szCs w:val="24"/>
        </w:rPr>
        <w:t>Aspects of Urban Renewal under the Severi’,</w:t>
      </w:r>
      <w:r w:rsidRPr="00E34A40">
        <w:rPr>
          <w:rFonts w:eastAsiaTheme="majorEastAsia"/>
          <w:sz w:val="24"/>
          <w:szCs w:val="24"/>
        </w:rPr>
        <w:t xml:space="preserve"> in Henig, M. (ed.), </w:t>
      </w:r>
      <w:r w:rsidRPr="00E34A40">
        <w:rPr>
          <w:rFonts w:eastAsiaTheme="majorEastAsia"/>
          <w:i/>
          <w:sz w:val="24"/>
          <w:szCs w:val="24"/>
        </w:rPr>
        <w:t>Architecture and Architectural Sculpture in the Roman Empire</w:t>
      </w:r>
      <w:r w:rsidRPr="00E34A40">
        <w:rPr>
          <w:rFonts w:eastAsiaTheme="majorEastAsia"/>
          <w:sz w:val="24"/>
          <w:szCs w:val="24"/>
        </w:rPr>
        <w:t xml:space="preserve"> (Oxford, 1990), pp. 138-142.</w:t>
      </w:r>
    </w:p>
    <w:p w:rsidR="00551E4B" w:rsidRPr="00E34A40" w:rsidRDefault="00551E4B" w:rsidP="00551E4B">
      <w:pPr>
        <w:autoSpaceDE w:val="0"/>
        <w:autoSpaceDN w:val="0"/>
        <w:adjustRightInd w:val="0"/>
        <w:spacing w:after="0" w:line="240" w:lineRule="auto"/>
        <w:rPr>
          <w:rFonts w:eastAsiaTheme="majorEastAsia"/>
          <w:sz w:val="24"/>
          <w:szCs w:val="24"/>
        </w:rPr>
      </w:pPr>
    </w:p>
    <w:p w:rsidR="00551E4B" w:rsidRPr="00E34A40" w:rsidRDefault="00551E4B" w:rsidP="00551E4B">
      <w:pPr>
        <w:autoSpaceDE w:val="0"/>
        <w:autoSpaceDN w:val="0"/>
        <w:adjustRightInd w:val="0"/>
        <w:spacing w:after="0" w:line="240" w:lineRule="auto"/>
        <w:rPr>
          <w:rFonts w:cs="AGaramond-Regular"/>
          <w:sz w:val="24"/>
          <w:szCs w:val="24"/>
        </w:rPr>
      </w:pPr>
      <w:r w:rsidRPr="00E34A40">
        <w:rPr>
          <w:sz w:val="24"/>
          <w:szCs w:val="24"/>
        </w:rPr>
        <w:t>Wallace-Hadrill, A., ‘</w:t>
      </w:r>
      <w:r w:rsidRPr="00E34A40">
        <w:rPr>
          <w:i/>
          <w:sz w:val="24"/>
          <w:szCs w:val="24"/>
        </w:rPr>
        <w:t xml:space="preserve">Mutatio morum: </w:t>
      </w:r>
      <w:r w:rsidRPr="00E34A40">
        <w:rPr>
          <w:sz w:val="24"/>
          <w:szCs w:val="24"/>
        </w:rPr>
        <w:t xml:space="preserve">the idea of a </w:t>
      </w:r>
      <w:proofErr w:type="gramStart"/>
      <w:r w:rsidRPr="00E34A40">
        <w:rPr>
          <w:sz w:val="24"/>
          <w:szCs w:val="24"/>
        </w:rPr>
        <w:t>cultural revolution</w:t>
      </w:r>
      <w:proofErr w:type="gramEnd"/>
      <w:r w:rsidRPr="00E34A40">
        <w:rPr>
          <w:sz w:val="24"/>
          <w:szCs w:val="24"/>
        </w:rPr>
        <w:t xml:space="preserve">’, in Habinek, T., and Schiesaro, A. (eds), </w:t>
      </w:r>
      <w:r w:rsidRPr="00E34A40">
        <w:rPr>
          <w:i/>
          <w:sz w:val="24"/>
          <w:szCs w:val="24"/>
        </w:rPr>
        <w:t>The Roman Cultural Revolution</w:t>
      </w:r>
      <w:r w:rsidRPr="00E34A40">
        <w:rPr>
          <w:sz w:val="24"/>
          <w:szCs w:val="24"/>
        </w:rPr>
        <w:t xml:space="preserve"> (Cambridge, 1997), pp. 2-22.</w:t>
      </w:r>
    </w:p>
    <w:p w:rsidR="00551E4B" w:rsidRPr="00E34A40" w:rsidRDefault="00551E4B" w:rsidP="00551E4B">
      <w:pPr>
        <w:autoSpaceDE w:val="0"/>
        <w:autoSpaceDN w:val="0"/>
        <w:adjustRightInd w:val="0"/>
        <w:spacing w:after="0" w:line="240" w:lineRule="auto"/>
        <w:rPr>
          <w:sz w:val="24"/>
          <w:szCs w:val="24"/>
        </w:rPr>
      </w:pPr>
    </w:p>
    <w:p w:rsidR="00551E4B" w:rsidRPr="00E34A40" w:rsidRDefault="00551E4B" w:rsidP="00551E4B">
      <w:pPr>
        <w:autoSpaceDE w:val="0"/>
        <w:autoSpaceDN w:val="0"/>
        <w:adjustRightInd w:val="0"/>
        <w:spacing w:after="0" w:line="240" w:lineRule="auto"/>
        <w:rPr>
          <w:rFonts w:cs="AGaramond-Regular"/>
          <w:sz w:val="24"/>
          <w:szCs w:val="24"/>
        </w:rPr>
      </w:pPr>
      <w:r w:rsidRPr="00E34A40">
        <w:rPr>
          <w:sz w:val="24"/>
          <w:szCs w:val="24"/>
        </w:rPr>
        <w:t xml:space="preserve">Ward, G., ‘All roads lead to Rome? Frechulf of Lisieux, Augustine and Orosius’, </w:t>
      </w:r>
      <w:r w:rsidRPr="00E34A40">
        <w:rPr>
          <w:i/>
          <w:sz w:val="24"/>
          <w:szCs w:val="24"/>
        </w:rPr>
        <w:t xml:space="preserve">Early Medieval </w:t>
      </w:r>
      <w:proofErr w:type="gramStart"/>
      <w:r w:rsidRPr="00E34A40">
        <w:rPr>
          <w:i/>
          <w:sz w:val="24"/>
          <w:szCs w:val="24"/>
        </w:rPr>
        <w:t xml:space="preserve">Europe  </w:t>
      </w:r>
      <w:r w:rsidRPr="00E34A40">
        <w:rPr>
          <w:sz w:val="24"/>
          <w:szCs w:val="24"/>
        </w:rPr>
        <w:t>22</w:t>
      </w:r>
      <w:proofErr w:type="gramEnd"/>
      <w:r w:rsidRPr="00E34A40">
        <w:rPr>
          <w:sz w:val="24"/>
          <w:szCs w:val="24"/>
        </w:rPr>
        <w:t xml:space="preserve"> (2014), pp. 492-505.</w:t>
      </w:r>
    </w:p>
    <w:p w:rsidR="00551E4B" w:rsidRPr="00E34A40" w:rsidRDefault="00551E4B" w:rsidP="00551E4B">
      <w:pPr>
        <w:autoSpaceDE w:val="0"/>
        <w:autoSpaceDN w:val="0"/>
        <w:adjustRightInd w:val="0"/>
        <w:spacing w:after="0" w:line="240" w:lineRule="auto"/>
        <w:rPr>
          <w:rFonts w:cs="AGaramond-Regular"/>
          <w:sz w:val="24"/>
          <w:szCs w:val="24"/>
        </w:rPr>
      </w:pPr>
    </w:p>
    <w:p w:rsidR="00551E4B" w:rsidRPr="00E34A40" w:rsidRDefault="00551E4B" w:rsidP="00551E4B">
      <w:pPr>
        <w:rPr>
          <w:sz w:val="24"/>
          <w:szCs w:val="24"/>
        </w:rPr>
      </w:pPr>
      <w:r w:rsidRPr="00E34A40">
        <w:rPr>
          <w:sz w:val="24"/>
          <w:szCs w:val="24"/>
        </w:rPr>
        <w:t>Ward-Perkins, B., ‘Old and New Rome Compared: The Rise of Constantinople’, in Grig, L. and Kelly, G. (</w:t>
      </w:r>
      <w:proofErr w:type="gramStart"/>
      <w:r w:rsidRPr="00E34A40">
        <w:rPr>
          <w:sz w:val="24"/>
          <w:szCs w:val="24"/>
        </w:rPr>
        <w:t>eds</w:t>
      </w:r>
      <w:proofErr w:type="gramEnd"/>
      <w:r w:rsidRPr="00E34A40">
        <w:rPr>
          <w:sz w:val="24"/>
          <w:szCs w:val="24"/>
        </w:rPr>
        <w:t xml:space="preserve">), </w:t>
      </w:r>
      <w:r w:rsidRPr="00E34A40">
        <w:rPr>
          <w:i/>
          <w:iCs/>
          <w:sz w:val="24"/>
          <w:szCs w:val="24"/>
        </w:rPr>
        <w:t>Two Romes Rome and Constantinople in Late Antiquity</w:t>
      </w:r>
      <w:r w:rsidRPr="00E34A40">
        <w:rPr>
          <w:sz w:val="24"/>
          <w:szCs w:val="24"/>
        </w:rPr>
        <w:t xml:space="preserve"> (Oxford, 2012), pp. 53-80.</w:t>
      </w:r>
    </w:p>
    <w:p w:rsidR="00551E4B" w:rsidRPr="00E34A40" w:rsidRDefault="00551E4B" w:rsidP="00551E4B">
      <w:pPr>
        <w:rPr>
          <w:sz w:val="24"/>
          <w:szCs w:val="24"/>
        </w:rPr>
      </w:pPr>
      <w:r w:rsidRPr="00E34A40">
        <w:rPr>
          <w:sz w:val="24"/>
          <w:szCs w:val="24"/>
          <w:lang w:val="de-DE"/>
        </w:rPr>
        <w:t xml:space="preserve">                                [Review] ‘Nordh, A., Libellus de Regionibus Urbis Romae (Lund, 1949)’, The Journal of Roman Studies Vol. 40 Parts 1 and 2 (1950), pp. 167-169.</w:t>
      </w:r>
    </w:p>
    <w:p w:rsidR="00551E4B" w:rsidRPr="00E34A40" w:rsidRDefault="00551E4B" w:rsidP="00551E4B">
      <w:pPr>
        <w:rPr>
          <w:sz w:val="24"/>
          <w:szCs w:val="24"/>
        </w:rPr>
      </w:pPr>
      <w:r w:rsidRPr="00E34A40">
        <w:rPr>
          <w:sz w:val="24"/>
          <w:szCs w:val="24"/>
        </w:rPr>
        <w:t xml:space="preserve">Watt, E., ‘Education: Speaking, Thinking, and Socialising’, in Johnson, S.F (ed.), </w:t>
      </w:r>
      <w:proofErr w:type="gramStart"/>
      <w:r w:rsidRPr="00E34A40">
        <w:rPr>
          <w:i/>
          <w:sz w:val="24"/>
          <w:szCs w:val="24"/>
        </w:rPr>
        <w:t>The</w:t>
      </w:r>
      <w:proofErr w:type="gramEnd"/>
      <w:r w:rsidRPr="00E34A40">
        <w:rPr>
          <w:i/>
          <w:sz w:val="24"/>
          <w:szCs w:val="24"/>
        </w:rPr>
        <w:t xml:space="preserve"> Oxford Handbook of Late Antiquity</w:t>
      </w:r>
      <w:r w:rsidRPr="00E34A40">
        <w:rPr>
          <w:sz w:val="24"/>
          <w:szCs w:val="24"/>
        </w:rPr>
        <w:t xml:space="preserve"> (2012), pp. 467-486.</w:t>
      </w:r>
    </w:p>
    <w:p w:rsidR="00551E4B" w:rsidRPr="00E34A40" w:rsidRDefault="00551E4B" w:rsidP="00551E4B">
      <w:pPr>
        <w:rPr>
          <w:sz w:val="24"/>
          <w:szCs w:val="24"/>
        </w:rPr>
      </w:pPr>
      <w:r w:rsidRPr="00E34A40">
        <w:rPr>
          <w:sz w:val="24"/>
          <w:szCs w:val="24"/>
          <w:lang w:val="de-DE"/>
        </w:rPr>
        <w:t>Webb, P.H., ‘The Reforms of Aurelian</w:t>
      </w:r>
      <w:r w:rsidRPr="00E34A40">
        <w:rPr>
          <w:sz w:val="24"/>
          <w:szCs w:val="24"/>
        </w:rPr>
        <w:t xml:space="preserve">’, </w:t>
      </w:r>
      <w:r w:rsidRPr="00E34A40">
        <w:rPr>
          <w:i/>
          <w:sz w:val="24"/>
          <w:szCs w:val="24"/>
        </w:rPr>
        <w:t xml:space="preserve">The Numismatic Chronicle and Journal of the Royal Numismatic Society Fourth Series Vol. 19 </w:t>
      </w:r>
      <w:r w:rsidRPr="00E34A40">
        <w:rPr>
          <w:sz w:val="24"/>
          <w:szCs w:val="24"/>
        </w:rPr>
        <w:t>(1919), pp. 235-243.</w:t>
      </w:r>
    </w:p>
    <w:p w:rsidR="00551E4B" w:rsidRPr="00E34A40" w:rsidRDefault="00551E4B" w:rsidP="00551E4B">
      <w:pPr>
        <w:rPr>
          <w:sz w:val="24"/>
          <w:szCs w:val="24"/>
        </w:rPr>
      </w:pPr>
      <w:r w:rsidRPr="00E34A40">
        <w:rPr>
          <w:sz w:val="24"/>
          <w:szCs w:val="24"/>
        </w:rPr>
        <w:t xml:space="preserve">Weber, M., ‘Power and Domination’, in Weber, M., </w:t>
      </w:r>
      <w:r w:rsidRPr="00E34A40">
        <w:rPr>
          <w:i/>
          <w:sz w:val="24"/>
          <w:szCs w:val="24"/>
        </w:rPr>
        <w:t>Economy and Society: An Outline of Interpretive Sociology</w:t>
      </w:r>
      <w:r w:rsidRPr="00E34A40">
        <w:rPr>
          <w:sz w:val="24"/>
          <w:szCs w:val="24"/>
        </w:rPr>
        <w:t xml:space="preserve">, </w:t>
      </w:r>
      <w:proofErr w:type="gramStart"/>
      <w:r w:rsidRPr="00E34A40">
        <w:rPr>
          <w:sz w:val="24"/>
          <w:szCs w:val="24"/>
        </w:rPr>
        <w:t>eds</w:t>
      </w:r>
      <w:proofErr w:type="gramEnd"/>
      <w:r w:rsidRPr="00E34A40">
        <w:rPr>
          <w:sz w:val="24"/>
          <w:szCs w:val="24"/>
        </w:rPr>
        <w:t xml:space="preserve"> Guenther Roth and Claus Wittich, trans. Max Rheinstein (Berkeley, 1978)</w:t>
      </w:r>
    </w:p>
    <w:p w:rsidR="00551E4B" w:rsidRPr="00E34A40" w:rsidRDefault="00551E4B" w:rsidP="00551E4B">
      <w:pPr>
        <w:rPr>
          <w:sz w:val="24"/>
          <w:szCs w:val="24"/>
          <w:lang w:val="de-DE"/>
        </w:rPr>
      </w:pPr>
      <w:r w:rsidRPr="00E34A40">
        <w:rPr>
          <w:sz w:val="24"/>
          <w:szCs w:val="24"/>
          <w:lang w:val="de-DE"/>
        </w:rPr>
        <w:t xml:space="preserve">                     ‘The Social Causes of the Decay of Ancient Civilization‘, </w:t>
      </w:r>
      <w:r w:rsidRPr="00E34A40">
        <w:rPr>
          <w:i/>
          <w:sz w:val="24"/>
          <w:szCs w:val="24"/>
          <w:lang w:val="de-DE"/>
        </w:rPr>
        <w:t>The Journal of General Education Vol. 5 No. 1</w:t>
      </w:r>
      <w:r w:rsidRPr="00E34A40">
        <w:rPr>
          <w:sz w:val="24"/>
          <w:szCs w:val="24"/>
          <w:lang w:val="de-DE"/>
        </w:rPr>
        <w:t xml:space="preserve"> (1950), pp. 75-88.</w:t>
      </w:r>
    </w:p>
    <w:p w:rsidR="00551E4B" w:rsidRPr="00E34A40" w:rsidRDefault="00551E4B" w:rsidP="00551E4B">
      <w:pPr>
        <w:rPr>
          <w:rFonts w:cstheme="minorHAnsi"/>
          <w:sz w:val="24"/>
          <w:szCs w:val="24"/>
        </w:rPr>
      </w:pPr>
      <w:proofErr w:type="gramStart"/>
      <w:r w:rsidRPr="00E34A40">
        <w:rPr>
          <w:rFonts w:cstheme="minorHAnsi"/>
          <w:sz w:val="24"/>
          <w:szCs w:val="24"/>
        </w:rPr>
        <w:t xml:space="preserve">Whitby, M., ‘The Role of the </w:t>
      </w:r>
      <w:r w:rsidR="008B44B0">
        <w:rPr>
          <w:rFonts w:cstheme="minorHAnsi"/>
          <w:sz w:val="24"/>
          <w:szCs w:val="24"/>
        </w:rPr>
        <w:t>Emperor</w:t>
      </w:r>
      <w:r w:rsidRPr="00E34A40">
        <w:rPr>
          <w:rFonts w:cstheme="minorHAnsi"/>
          <w:sz w:val="24"/>
          <w:szCs w:val="24"/>
        </w:rPr>
        <w:t xml:space="preserve">’, in David Gwynn (ed.), </w:t>
      </w:r>
      <w:r w:rsidRPr="00E34A40">
        <w:rPr>
          <w:rFonts w:cstheme="minorHAnsi"/>
          <w:i/>
          <w:sz w:val="24"/>
          <w:szCs w:val="24"/>
        </w:rPr>
        <w:t xml:space="preserve">A.H.M. Jones and the Later Roman </w:t>
      </w:r>
      <w:r w:rsidR="009C7AF1" w:rsidRPr="00E34A40">
        <w:rPr>
          <w:rFonts w:cstheme="minorHAnsi"/>
          <w:i/>
          <w:sz w:val="24"/>
          <w:szCs w:val="24"/>
        </w:rPr>
        <w:t>Empire:</w:t>
      </w:r>
      <w:r w:rsidRPr="00E34A40">
        <w:rPr>
          <w:rFonts w:cstheme="minorHAnsi"/>
          <w:i/>
          <w:sz w:val="24"/>
          <w:szCs w:val="24"/>
        </w:rPr>
        <w:t xml:space="preserve"> Brill’s Series on the Early Middle Ages, v. 15</w:t>
      </w:r>
      <w:r w:rsidRPr="00E34A40">
        <w:rPr>
          <w:rFonts w:cstheme="minorHAnsi"/>
          <w:sz w:val="24"/>
          <w:szCs w:val="24"/>
        </w:rPr>
        <w:t xml:space="preserve"> (Brill, Boston, 2008), pp. 65-96.</w:t>
      </w:r>
      <w:proofErr w:type="gramEnd"/>
    </w:p>
    <w:p w:rsidR="00551E4B" w:rsidRPr="00E34A40" w:rsidRDefault="00551E4B" w:rsidP="00551E4B">
      <w:pPr>
        <w:rPr>
          <w:rFonts w:cstheme="minorHAnsi"/>
          <w:sz w:val="24"/>
          <w:szCs w:val="24"/>
        </w:rPr>
      </w:pPr>
      <w:r w:rsidRPr="00E34A40">
        <w:rPr>
          <w:rFonts w:cstheme="minorHAnsi"/>
          <w:sz w:val="24"/>
          <w:szCs w:val="24"/>
        </w:rPr>
        <w:t xml:space="preserve">                      ‘Armies and society in the later Roman world’, </w:t>
      </w:r>
      <w:r w:rsidRPr="00E34A40">
        <w:rPr>
          <w:rFonts w:eastAsia="Arial Unicode MS" w:cstheme="minorHAnsi"/>
          <w:sz w:val="24"/>
          <w:szCs w:val="24"/>
          <w:lang w:eastAsia="en-GB"/>
        </w:rPr>
        <w:t xml:space="preserve">in Cameron, A., Ward-Perkins, B., and Whitby, M., </w:t>
      </w:r>
      <w:r w:rsidRPr="00E34A40">
        <w:rPr>
          <w:rFonts w:eastAsia="Arial Unicode MS" w:cstheme="minorHAnsi"/>
          <w:i/>
          <w:sz w:val="24"/>
          <w:szCs w:val="24"/>
          <w:lang w:eastAsia="en-GB"/>
        </w:rPr>
        <w:t>The Cambridge Ancient History Volume XIV Late Antiquity: Empire and Successors A.D. 425 -600</w:t>
      </w:r>
      <w:r w:rsidRPr="00E34A40">
        <w:rPr>
          <w:rFonts w:eastAsia="Arial Unicode MS" w:cstheme="minorHAnsi"/>
          <w:sz w:val="24"/>
          <w:szCs w:val="24"/>
          <w:lang w:eastAsia="en-GB"/>
        </w:rPr>
        <w:t xml:space="preserve"> (Cambridge University Press, Cambridge, 2000), pp. 469-496.</w:t>
      </w:r>
    </w:p>
    <w:p w:rsidR="00551E4B" w:rsidRPr="00E34A40" w:rsidRDefault="00551E4B" w:rsidP="00551E4B">
      <w:pPr>
        <w:rPr>
          <w:sz w:val="24"/>
          <w:szCs w:val="24"/>
        </w:rPr>
      </w:pPr>
      <w:r w:rsidRPr="00E34A40">
        <w:rPr>
          <w:sz w:val="24"/>
          <w:szCs w:val="24"/>
          <w:lang w:val="de-DE"/>
        </w:rPr>
        <w:t xml:space="preserve">Whitehouse, D., </w:t>
      </w:r>
      <w:r w:rsidRPr="00E34A40">
        <w:rPr>
          <w:sz w:val="24"/>
          <w:szCs w:val="24"/>
        </w:rPr>
        <w:t xml:space="preserve">‘The </w:t>
      </w:r>
      <w:r w:rsidRPr="00E34A40">
        <w:rPr>
          <w:i/>
          <w:iCs/>
          <w:sz w:val="24"/>
          <w:szCs w:val="24"/>
        </w:rPr>
        <w:t>Schola Praeconum</w:t>
      </w:r>
      <w:r w:rsidRPr="00E34A40">
        <w:rPr>
          <w:sz w:val="24"/>
          <w:szCs w:val="24"/>
        </w:rPr>
        <w:t xml:space="preserve"> and the food supply of Rome in the fifth century A</w:t>
      </w:r>
      <w:r w:rsidR="009C7AF1">
        <w:rPr>
          <w:sz w:val="24"/>
          <w:szCs w:val="24"/>
        </w:rPr>
        <w:t>.D.’, in Barker, G., and Hodges,</w:t>
      </w:r>
      <w:r w:rsidRPr="00E34A40">
        <w:rPr>
          <w:sz w:val="24"/>
          <w:szCs w:val="24"/>
        </w:rPr>
        <w:t xml:space="preserve"> R. (</w:t>
      </w:r>
      <w:proofErr w:type="gramStart"/>
      <w:r w:rsidRPr="00E34A40">
        <w:rPr>
          <w:sz w:val="24"/>
          <w:szCs w:val="24"/>
        </w:rPr>
        <w:t>eds</w:t>
      </w:r>
      <w:proofErr w:type="gramEnd"/>
      <w:r w:rsidRPr="00E34A40">
        <w:rPr>
          <w:sz w:val="24"/>
          <w:szCs w:val="24"/>
        </w:rPr>
        <w:t xml:space="preserve">), </w:t>
      </w:r>
      <w:r w:rsidRPr="00E34A40">
        <w:rPr>
          <w:i/>
          <w:iCs/>
          <w:sz w:val="24"/>
          <w:szCs w:val="24"/>
        </w:rPr>
        <w:t>Archaeology and Italian Society Prehistoric, Roman and Medieval Studies</w:t>
      </w:r>
      <w:r w:rsidRPr="00E34A40">
        <w:rPr>
          <w:sz w:val="24"/>
          <w:szCs w:val="24"/>
        </w:rPr>
        <w:t xml:space="preserve"> (Oxford, 1982), pp. 191-196.</w:t>
      </w:r>
    </w:p>
    <w:p w:rsidR="00551E4B" w:rsidRPr="00E34A40" w:rsidRDefault="00551E4B" w:rsidP="00551E4B">
      <w:pPr>
        <w:rPr>
          <w:sz w:val="24"/>
          <w:szCs w:val="24"/>
        </w:rPr>
      </w:pPr>
      <w:r w:rsidRPr="00E34A40">
        <w:rPr>
          <w:sz w:val="24"/>
          <w:szCs w:val="24"/>
        </w:rPr>
        <w:t xml:space="preserve">Wilson, A., ‘Late Antique Water-Mills on the Palatine’, </w:t>
      </w:r>
      <w:r w:rsidRPr="00E34A40">
        <w:rPr>
          <w:i/>
          <w:sz w:val="24"/>
          <w:szCs w:val="24"/>
        </w:rPr>
        <w:t>Papers of the British School at Rome Vol. 71</w:t>
      </w:r>
      <w:r w:rsidRPr="00E34A40">
        <w:rPr>
          <w:sz w:val="24"/>
          <w:szCs w:val="24"/>
        </w:rPr>
        <w:t xml:space="preserve"> (2003), pp. 85-109.</w:t>
      </w:r>
    </w:p>
    <w:p w:rsidR="00551E4B" w:rsidRPr="00E34A40" w:rsidRDefault="00551E4B" w:rsidP="00551E4B">
      <w:pPr>
        <w:tabs>
          <w:tab w:val="left" w:pos="6945"/>
        </w:tabs>
        <w:jc w:val="both"/>
        <w:rPr>
          <w:sz w:val="24"/>
          <w:szCs w:val="24"/>
        </w:rPr>
      </w:pPr>
      <w:r w:rsidRPr="00E34A40">
        <w:rPr>
          <w:sz w:val="24"/>
          <w:szCs w:val="24"/>
        </w:rPr>
        <w:lastRenderedPageBreak/>
        <w:t xml:space="preserve">                    ‘Urban Development in the Severan Empire’, in Swain, S., Harrison, S., and Elsner, J. (</w:t>
      </w:r>
      <w:proofErr w:type="gramStart"/>
      <w:r w:rsidRPr="00E34A40">
        <w:rPr>
          <w:sz w:val="24"/>
          <w:szCs w:val="24"/>
        </w:rPr>
        <w:t>eds</w:t>
      </w:r>
      <w:proofErr w:type="gramEnd"/>
      <w:r w:rsidRPr="00E34A40">
        <w:rPr>
          <w:sz w:val="24"/>
          <w:szCs w:val="24"/>
        </w:rPr>
        <w:t xml:space="preserve">), </w:t>
      </w:r>
      <w:r w:rsidRPr="00E34A40">
        <w:rPr>
          <w:i/>
          <w:sz w:val="24"/>
          <w:szCs w:val="24"/>
        </w:rPr>
        <w:t>Severan Culture</w:t>
      </w:r>
      <w:r w:rsidRPr="00E34A40">
        <w:rPr>
          <w:sz w:val="24"/>
          <w:szCs w:val="24"/>
        </w:rPr>
        <w:t xml:space="preserve"> (Cambridge, 2007), pp. 290-326.</w:t>
      </w:r>
    </w:p>
    <w:p w:rsidR="00551E4B" w:rsidRPr="00E34A40" w:rsidRDefault="00551E4B" w:rsidP="00551E4B">
      <w:pPr>
        <w:rPr>
          <w:sz w:val="24"/>
          <w:szCs w:val="24"/>
        </w:rPr>
      </w:pPr>
      <w:r w:rsidRPr="00E34A40">
        <w:rPr>
          <w:sz w:val="24"/>
          <w:szCs w:val="24"/>
        </w:rPr>
        <w:t xml:space="preserve">Wiseman, T.P., ‘The Circus Flaminius’, </w:t>
      </w:r>
      <w:r w:rsidRPr="00E34A40">
        <w:rPr>
          <w:i/>
          <w:sz w:val="24"/>
          <w:szCs w:val="24"/>
        </w:rPr>
        <w:t>Papers of the British School at Rome Vol. 42</w:t>
      </w:r>
      <w:r w:rsidRPr="00E34A40">
        <w:rPr>
          <w:sz w:val="24"/>
          <w:szCs w:val="24"/>
        </w:rPr>
        <w:t xml:space="preserve"> (1974), pp. 3-26.</w:t>
      </w:r>
    </w:p>
    <w:p w:rsidR="00551E4B" w:rsidRPr="00E34A40" w:rsidRDefault="00551E4B" w:rsidP="00551E4B">
      <w:pPr>
        <w:rPr>
          <w:bCs/>
          <w:sz w:val="24"/>
          <w:szCs w:val="24"/>
        </w:rPr>
      </w:pPr>
      <w:r w:rsidRPr="00E34A40">
        <w:rPr>
          <w:sz w:val="24"/>
          <w:szCs w:val="24"/>
        </w:rPr>
        <w:t xml:space="preserve">Woolf, G., ‘The City of Letters’, </w:t>
      </w:r>
      <w:r w:rsidRPr="00E34A40">
        <w:rPr>
          <w:rFonts w:cs="Sabon-Roman"/>
          <w:color w:val="231F20"/>
          <w:sz w:val="24"/>
          <w:szCs w:val="24"/>
        </w:rPr>
        <w:t xml:space="preserve">in </w:t>
      </w:r>
      <w:r w:rsidRPr="00E34A40">
        <w:rPr>
          <w:bCs/>
          <w:sz w:val="24"/>
          <w:szCs w:val="24"/>
        </w:rPr>
        <w:t>Edward, C., and Woolf, G. (</w:t>
      </w:r>
      <w:proofErr w:type="gramStart"/>
      <w:r w:rsidRPr="00E34A40">
        <w:rPr>
          <w:bCs/>
          <w:sz w:val="24"/>
          <w:szCs w:val="24"/>
        </w:rPr>
        <w:t>eds</w:t>
      </w:r>
      <w:proofErr w:type="gramEnd"/>
      <w:r w:rsidRPr="00E34A40">
        <w:rPr>
          <w:bCs/>
          <w:sz w:val="24"/>
          <w:szCs w:val="24"/>
        </w:rPr>
        <w:t xml:space="preserve">), </w:t>
      </w:r>
      <w:r w:rsidRPr="00E34A40">
        <w:rPr>
          <w:bCs/>
          <w:i/>
          <w:sz w:val="24"/>
          <w:szCs w:val="24"/>
        </w:rPr>
        <w:t>Rome the Cosmopolis</w:t>
      </w:r>
      <w:r w:rsidRPr="00E34A40">
        <w:rPr>
          <w:bCs/>
          <w:sz w:val="24"/>
          <w:szCs w:val="24"/>
        </w:rPr>
        <w:t xml:space="preserve"> (Cambridge, 2006), pp. 203-221. </w:t>
      </w:r>
    </w:p>
    <w:p w:rsidR="00551E4B" w:rsidRPr="00E34A40" w:rsidRDefault="00551E4B" w:rsidP="00551E4B">
      <w:pPr>
        <w:rPr>
          <w:bCs/>
          <w:sz w:val="24"/>
          <w:szCs w:val="24"/>
        </w:rPr>
      </w:pPr>
      <w:r w:rsidRPr="00E34A40">
        <w:rPr>
          <w:bCs/>
          <w:sz w:val="24"/>
          <w:szCs w:val="24"/>
        </w:rPr>
        <w:t xml:space="preserve">                   </w:t>
      </w:r>
      <w:r w:rsidRPr="00E34A40">
        <w:rPr>
          <w:sz w:val="24"/>
          <w:szCs w:val="24"/>
        </w:rPr>
        <w:t>‘Power and the spread of writing in the West’, in Bowman, A.K., and Woolf, G. (</w:t>
      </w:r>
      <w:proofErr w:type="gramStart"/>
      <w:r w:rsidRPr="00E34A40">
        <w:rPr>
          <w:sz w:val="24"/>
          <w:szCs w:val="24"/>
        </w:rPr>
        <w:t>eds</w:t>
      </w:r>
      <w:proofErr w:type="gramEnd"/>
      <w:r w:rsidRPr="00E34A40">
        <w:rPr>
          <w:sz w:val="24"/>
          <w:szCs w:val="24"/>
        </w:rPr>
        <w:t xml:space="preserve">), </w:t>
      </w:r>
      <w:r w:rsidRPr="00E34A40">
        <w:rPr>
          <w:i/>
          <w:sz w:val="24"/>
          <w:szCs w:val="24"/>
        </w:rPr>
        <w:t>Literacy and Power in the Ancient World</w:t>
      </w:r>
      <w:r w:rsidRPr="00E34A40">
        <w:rPr>
          <w:sz w:val="24"/>
          <w:szCs w:val="24"/>
        </w:rPr>
        <w:t xml:space="preserve"> (Cambridge, 1994), pp. 84-98.</w:t>
      </w:r>
    </w:p>
    <w:p w:rsidR="00551E4B" w:rsidRPr="00E34A40" w:rsidRDefault="00551E4B" w:rsidP="00551E4B">
      <w:pPr>
        <w:rPr>
          <w:sz w:val="24"/>
          <w:szCs w:val="24"/>
        </w:rPr>
      </w:pPr>
      <w:r w:rsidRPr="00E34A40">
        <w:rPr>
          <w:sz w:val="24"/>
          <w:szCs w:val="24"/>
        </w:rPr>
        <w:t xml:space="preserve">Zanker, P., ‘Augustan Political Symbolism in the Private Sphere’, in Beard, M., Huskinson, J., and Reynolds, J., </w:t>
      </w:r>
      <w:r w:rsidRPr="00E34A40">
        <w:rPr>
          <w:i/>
          <w:sz w:val="24"/>
          <w:szCs w:val="24"/>
        </w:rPr>
        <w:t>Image and Mystery in the Roman World: Three papers given in memory of Jocelyn Toynbee</w:t>
      </w:r>
      <w:r w:rsidRPr="00E34A40">
        <w:rPr>
          <w:sz w:val="24"/>
          <w:szCs w:val="24"/>
        </w:rPr>
        <w:t xml:space="preserve"> (Gloucester, 1988), pp. 1-22.</w:t>
      </w:r>
    </w:p>
    <w:p w:rsidR="00551E4B" w:rsidRPr="00E34A40" w:rsidRDefault="00551E4B" w:rsidP="00551E4B">
      <w:pPr>
        <w:rPr>
          <w:sz w:val="24"/>
          <w:szCs w:val="24"/>
        </w:rPr>
      </w:pPr>
      <w:r w:rsidRPr="00E34A40">
        <w:rPr>
          <w:sz w:val="24"/>
          <w:szCs w:val="24"/>
        </w:rPr>
        <w:t xml:space="preserve">                    ‘</w:t>
      </w:r>
      <w:r w:rsidR="009C7AF1" w:rsidRPr="00E34A40">
        <w:rPr>
          <w:sz w:val="24"/>
          <w:szCs w:val="24"/>
        </w:rPr>
        <w:t>Domitian’s</w:t>
      </w:r>
      <w:r w:rsidRPr="00E34A40">
        <w:rPr>
          <w:sz w:val="24"/>
          <w:szCs w:val="24"/>
        </w:rPr>
        <w:t xml:space="preserve"> Palace on the Palatine and the </w:t>
      </w:r>
      <w:r w:rsidR="008B44B0">
        <w:rPr>
          <w:sz w:val="24"/>
          <w:szCs w:val="24"/>
        </w:rPr>
        <w:t>Imperial</w:t>
      </w:r>
      <w:r w:rsidRPr="00E34A40">
        <w:rPr>
          <w:sz w:val="24"/>
          <w:szCs w:val="24"/>
        </w:rPr>
        <w:t xml:space="preserve"> Image’, in Bowman, A.K., Cotton, H.M., Goodman, M., and Price, S. (</w:t>
      </w:r>
      <w:proofErr w:type="gramStart"/>
      <w:r w:rsidRPr="00E34A40">
        <w:rPr>
          <w:sz w:val="24"/>
          <w:szCs w:val="24"/>
        </w:rPr>
        <w:t>eds</w:t>
      </w:r>
      <w:proofErr w:type="gramEnd"/>
      <w:r w:rsidRPr="00E34A40">
        <w:rPr>
          <w:sz w:val="24"/>
          <w:szCs w:val="24"/>
        </w:rPr>
        <w:t xml:space="preserve">), </w:t>
      </w:r>
      <w:r w:rsidRPr="00E34A40">
        <w:rPr>
          <w:i/>
          <w:sz w:val="24"/>
          <w:szCs w:val="24"/>
        </w:rPr>
        <w:t>Representations of Empire Rome and the Mediterranean World</w:t>
      </w:r>
      <w:r w:rsidRPr="00E34A40">
        <w:rPr>
          <w:sz w:val="24"/>
          <w:szCs w:val="24"/>
        </w:rPr>
        <w:t xml:space="preserve"> (Oxford, 2002), pp. 105-130.</w:t>
      </w:r>
    </w:p>
    <w:p w:rsidR="00551E4B" w:rsidRPr="00E34A40" w:rsidRDefault="00551E4B" w:rsidP="00551E4B">
      <w:pPr>
        <w:rPr>
          <w:sz w:val="24"/>
          <w:szCs w:val="24"/>
        </w:rPr>
      </w:pPr>
      <w:r w:rsidRPr="00E34A40">
        <w:rPr>
          <w:sz w:val="24"/>
          <w:szCs w:val="24"/>
        </w:rPr>
        <w:t xml:space="preserve">                    ‘By the </w:t>
      </w:r>
      <w:r w:rsidR="008B44B0">
        <w:rPr>
          <w:sz w:val="24"/>
          <w:szCs w:val="24"/>
        </w:rPr>
        <w:t>Emperor</w:t>
      </w:r>
      <w:r w:rsidRPr="00E34A40">
        <w:rPr>
          <w:sz w:val="24"/>
          <w:szCs w:val="24"/>
        </w:rPr>
        <w:t>, for the people: “Popular” architecture in Rome’, in Ewald, B.C., and Noreña, C.F. (</w:t>
      </w:r>
      <w:proofErr w:type="gramStart"/>
      <w:r w:rsidRPr="00E34A40">
        <w:rPr>
          <w:sz w:val="24"/>
          <w:szCs w:val="24"/>
        </w:rPr>
        <w:t>eds</w:t>
      </w:r>
      <w:proofErr w:type="gramEnd"/>
      <w:r w:rsidRPr="00E34A40">
        <w:rPr>
          <w:sz w:val="24"/>
          <w:szCs w:val="24"/>
        </w:rPr>
        <w:t xml:space="preserve">), </w:t>
      </w:r>
      <w:r w:rsidRPr="00E34A40">
        <w:rPr>
          <w:i/>
          <w:sz w:val="24"/>
          <w:szCs w:val="24"/>
        </w:rPr>
        <w:t xml:space="preserve">The </w:t>
      </w:r>
      <w:r w:rsidR="008B44B0">
        <w:rPr>
          <w:i/>
          <w:sz w:val="24"/>
          <w:szCs w:val="24"/>
        </w:rPr>
        <w:t>Emperor</w:t>
      </w:r>
      <w:r w:rsidRPr="00E34A40">
        <w:rPr>
          <w:i/>
          <w:sz w:val="24"/>
          <w:szCs w:val="24"/>
        </w:rPr>
        <w:t xml:space="preserve"> and Rome Space, Representation, and Ritual</w:t>
      </w:r>
      <w:r w:rsidRPr="00E34A40">
        <w:rPr>
          <w:sz w:val="24"/>
          <w:szCs w:val="24"/>
        </w:rPr>
        <w:t xml:space="preserve"> (Cambridge, 2010), pp. 45-88.</w:t>
      </w:r>
    </w:p>
    <w:p w:rsidR="00551E4B" w:rsidRPr="00E34A40" w:rsidRDefault="00551E4B" w:rsidP="00551E4B">
      <w:pPr>
        <w:rPr>
          <w:sz w:val="24"/>
          <w:szCs w:val="24"/>
        </w:rPr>
      </w:pPr>
      <w:proofErr w:type="gramStart"/>
      <w:r w:rsidRPr="00E34A40">
        <w:rPr>
          <w:bCs/>
          <w:sz w:val="24"/>
          <w:szCs w:val="24"/>
          <w:lang w:eastAsia="zh-TW"/>
        </w:rPr>
        <w:t xml:space="preserve">Ziolkowski, A., ‘Civic rituals and political spaces in republican and </w:t>
      </w:r>
      <w:r w:rsidR="008B44B0">
        <w:rPr>
          <w:bCs/>
          <w:sz w:val="24"/>
          <w:szCs w:val="24"/>
          <w:lang w:eastAsia="zh-TW"/>
        </w:rPr>
        <w:t>imperial</w:t>
      </w:r>
      <w:r w:rsidRPr="00E34A40">
        <w:rPr>
          <w:bCs/>
          <w:sz w:val="24"/>
          <w:szCs w:val="24"/>
          <w:lang w:eastAsia="zh-TW"/>
        </w:rPr>
        <w:t xml:space="preserve"> Rome’,</w:t>
      </w:r>
      <w:r w:rsidRPr="00E34A40">
        <w:rPr>
          <w:sz w:val="24"/>
          <w:szCs w:val="24"/>
        </w:rPr>
        <w:t xml:space="preserve"> in Erdkamp, P (ed.), </w:t>
      </w:r>
      <w:r w:rsidRPr="00E34A40">
        <w:rPr>
          <w:i/>
          <w:sz w:val="24"/>
          <w:szCs w:val="24"/>
        </w:rPr>
        <w:t>The Cambridge Companion to Ancient Rome</w:t>
      </w:r>
      <w:r w:rsidRPr="00E34A40">
        <w:rPr>
          <w:sz w:val="24"/>
          <w:szCs w:val="24"/>
        </w:rPr>
        <w:t xml:space="preserve"> (Cambridge, 2013), pp. 389-409.</w:t>
      </w:r>
      <w:proofErr w:type="gramEnd"/>
    </w:p>
    <w:p w:rsidR="00551E4B" w:rsidRDefault="00551E4B" w:rsidP="00551E4B">
      <w:pPr>
        <w:rPr>
          <w:sz w:val="24"/>
          <w:szCs w:val="24"/>
          <w:u w:val="single"/>
        </w:rPr>
      </w:pPr>
    </w:p>
    <w:p w:rsidR="006B7CB7" w:rsidRDefault="006B7CB7" w:rsidP="00551E4B">
      <w:pPr>
        <w:rPr>
          <w:sz w:val="24"/>
          <w:szCs w:val="24"/>
          <w:u w:val="single"/>
        </w:rPr>
      </w:pPr>
      <w:r>
        <w:rPr>
          <w:sz w:val="24"/>
          <w:szCs w:val="24"/>
          <w:u w:val="single"/>
        </w:rPr>
        <w:t>Image Sources:</w:t>
      </w:r>
    </w:p>
    <w:p w:rsidR="006B7CB7" w:rsidRDefault="006B7CB7" w:rsidP="00551E4B">
      <w:pPr>
        <w:rPr>
          <w:sz w:val="24"/>
          <w:szCs w:val="24"/>
        </w:rPr>
      </w:pPr>
      <w:proofErr w:type="gramStart"/>
      <w:r>
        <w:rPr>
          <w:i/>
          <w:sz w:val="24"/>
          <w:szCs w:val="24"/>
        </w:rPr>
        <w:t>A Marble Bust of the Emperor Septimius Severus.</w:t>
      </w:r>
      <w:proofErr w:type="gramEnd"/>
      <w:r>
        <w:rPr>
          <w:sz w:val="24"/>
          <w:szCs w:val="24"/>
        </w:rPr>
        <w:t xml:space="preserve"> [Photo] Retrieved from </w:t>
      </w:r>
      <w:r w:rsidRPr="006B7CB7">
        <w:rPr>
          <w:sz w:val="24"/>
          <w:szCs w:val="24"/>
        </w:rPr>
        <w:t>https://upload.wikimedia.org/wikipedia/commons/1/13/Septimius_Severus_busto-Musei_Capitolini.jpg</w:t>
      </w:r>
      <w:r>
        <w:rPr>
          <w:sz w:val="24"/>
          <w:szCs w:val="24"/>
        </w:rPr>
        <w:t xml:space="preserve"> [15/05/2016]</w:t>
      </w:r>
    </w:p>
    <w:p w:rsidR="0085697B" w:rsidRPr="0085697B" w:rsidRDefault="0085697B" w:rsidP="00551E4B">
      <w:pPr>
        <w:rPr>
          <w:sz w:val="24"/>
          <w:szCs w:val="24"/>
        </w:rPr>
      </w:pPr>
      <w:proofErr w:type="gramStart"/>
      <w:r>
        <w:rPr>
          <w:i/>
          <w:sz w:val="24"/>
          <w:szCs w:val="24"/>
        </w:rPr>
        <w:t>Central Mediterranean Section of the Tabula Peutingeriana</w:t>
      </w:r>
      <w:r>
        <w:rPr>
          <w:sz w:val="24"/>
          <w:szCs w:val="24"/>
        </w:rPr>
        <w:t>.</w:t>
      </w:r>
      <w:proofErr w:type="gramEnd"/>
      <w:r>
        <w:rPr>
          <w:sz w:val="24"/>
          <w:szCs w:val="24"/>
        </w:rPr>
        <w:t xml:space="preserve"> [Map] Retrieved from </w:t>
      </w:r>
      <w:r w:rsidRPr="0085697B">
        <w:rPr>
          <w:sz w:val="24"/>
          <w:szCs w:val="24"/>
        </w:rPr>
        <w:t>https://upload.wikimedia.org/wikipedia/commons/e/e9/Part_of_Tabula_Peutingeriana.jpg</w:t>
      </w:r>
      <w:r>
        <w:rPr>
          <w:sz w:val="24"/>
          <w:szCs w:val="24"/>
        </w:rPr>
        <w:t xml:space="preserve"> [15/05/2016]</w:t>
      </w:r>
    </w:p>
    <w:p w:rsidR="0085697B" w:rsidRPr="0085697B" w:rsidRDefault="006B7CB7" w:rsidP="00551E4B">
      <w:pPr>
        <w:rPr>
          <w:sz w:val="24"/>
          <w:szCs w:val="24"/>
        </w:rPr>
      </w:pPr>
      <w:proofErr w:type="gramStart"/>
      <w:r w:rsidRPr="006B7CB7">
        <w:rPr>
          <w:i/>
          <w:sz w:val="24"/>
          <w:szCs w:val="24"/>
        </w:rPr>
        <w:t>The Title Page of the Codex-Calendar of 354</w:t>
      </w:r>
      <w:r w:rsidRPr="006B7CB7">
        <w:rPr>
          <w:sz w:val="24"/>
          <w:szCs w:val="24"/>
        </w:rPr>
        <w:t>.</w:t>
      </w:r>
      <w:proofErr w:type="gramEnd"/>
      <w:r w:rsidRPr="006B7CB7">
        <w:rPr>
          <w:sz w:val="24"/>
          <w:szCs w:val="24"/>
        </w:rPr>
        <w:t xml:space="preserve"> [Frontpiece] Retrieved from https://upload.wikimedia.org/wikipedia/commons/thumb/d/d4/01_dedicatio354.png/270px-01_dedicatio354.png [15/05/2016]</w:t>
      </w:r>
    </w:p>
    <w:p w:rsidR="0085697B" w:rsidRDefault="0085697B" w:rsidP="00551E4B">
      <w:pPr>
        <w:rPr>
          <w:sz w:val="24"/>
          <w:szCs w:val="24"/>
        </w:rPr>
      </w:pPr>
      <w:proofErr w:type="gramStart"/>
      <w:r>
        <w:rPr>
          <w:i/>
          <w:sz w:val="24"/>
          <w:szCs w:val="24"/>
        </w:rPr>
        <w:lastRenderedPageBreak/>
        <w:t>The Wall of the Temple of Peace where the Marble Plan was hung.</w:t>
      </w:r>
      <w:proofErr w:type="gramEnd"/>
      <w:r>
        <w:rPr>
          <w:sz w:val="24"/>
          <w:szCs w:val="24"/>
        </w:rPr>
        <w:t xml:space="preserve"> [Photo] Retrieved from </w:t>
      </w:r>
      <w:r w:rsidRPr="0085697B">
        <w:rPr>
          <w:sz w:val="24"/>
          <w:szCs w:val="24"/>
        </w:rPr>
        <w:t>https://en.wikipedia.org/wiki/Forma_Urbis_Romae#/media/File:RomaTempioPacePareteFormaUrbis.jpg</w:t>
      </w:r>
      <w:r>
        <w:rPr>
          <w:sz w:val="24"/>
          <w:szCs w:val="24"/>
        </w:rPr>
        <w:t xml:space="preserve"> [15/05/2016]</w:t>
      </w:r>
    </w:p>
    <w:p w:rsidR="0085697B" w:rsidRPr="0085697B" w:rsidRDefault="0085697B" w:rsidP="00551E4B">
      <w:pPr>
        <w:rPr>
          <w:sz w:val="24"/>
          <w:szCs w:val="24"/>
        </w:rPr>
      </w:pPr>
    </w:p>
    <w:p w:rsidR="00551E4B" w:rsidRPr="00E34A40" w:rsidRDefault="00551E4B" w:rsidP="00551E4B">
      <w:pPr>
        <w:rPr>
          <w:sz w:val="24"/>
          <w:szCs w:val="24"/>
          <w:u w:val="single"/>
        </w:rPr>
      </w:pPr>
      <w:r w:rsidRPr="00E34A40">
        <w:rPr>
          <w:sz w:val="24"/>
          <w:szCs w:val="24"/>
          <w:u w:val="single"/>
        </w:rPr>
        <w:t>Internet Sources:</w:t>
      </w:r>
    </w:p>
    <w:p w:rsidR="00551E4B" w:rsidRPr="00E34A40" w:rsidRDefault="00551E4B" w:rsidP="00551E4B">
      <w:pPr>
        <w:rPr>
          <w:sz w:val="24"/>
          <w:szCs w:val="24"/>
        </w:rPr>
      </w:pPr>
      <w:proofErr w:type="gramStart"/>
      <w:r w:rsidRPr="00E34A40">
        <w:rPr>
          <w:sz w:val="24"/>
          <w:szCs w:val="24"/>
        </w:rPr>
        <w:t xml:space="preserve">Barbara Bordalejo, ‘Genetic Criticism’, </w:t>
      </w:r>
      <w:r w:rsidRPr="00E34A40">
        <w:rPr>
          <w:i/>
          <w:sz w:val="24"/>
          <w:szCs w:val="24"/>
        </w:rPr>
        <w:t>Textual Scholarship</w:t>
      </w:r>
      <w:r w:rsidRPr="00E34A40">
        <w:rPr>
          <w:sz w:val="24"/>
          <w:szCs w:val="24"/>
        </w:rPr>
        <w:t>, http://www.textualscholarship.org/gencrit/index.html [10/09/2015].</w:t>
      </w:r>
      <w:proofErr w:type="gramEnd"/>
    </w:p>
    <w:p w:rsidR="00551E4B" w:rsidRPr="00E34A40" w:rsidRDefault="00551E4B" w:rsidP="00551E4B">
      <w:pPr>
        <w:rPr>
          <w:sz w:val="24"/>
          <w:szCs w:val="24"/>
        </w:rPr>
      </w:pPr>
      <w:r w:rsidRPr="00E34A40">
        <w:rPr>
          <w:sz w:val="24"/>
          <w:szCs w:val="24"/>
        </w:rPr>
        <w:t xml:space="preserve">Early Church Fathers – Additional Texts, </w:t>
      </w:r>
      <w:r w:rsidRPr="00390C09">
        <w:rPr>
          <w:i/>
          <w:sz w:val="24"/>
          <w:szCs w:val="24"/>
        </w:rPr>
        <w:t>tertullian.org</w:t>
      </w:r>
      <w:r w:rsidRPr="00E34A40">
        <w:rPr>
          <w:sz w:val="24"/>
          <w:szCs w:val="24"/>
        </w:rPr>
        <w:t xml:space="preserve">, </w:t>
      </w:r>
      <w:r w:rsidRPr="00E34A40">
        <w:rPr>
          <w:i/>
          <w:sz w:val="24"/>
          <w:szCs w:val="24"/>
        </w:rPr>
        <w:t xml:space="preserve">http://www.tertullian.org/fathers/index.htm# </w:t>
      </w:r>
    </w:p>
    <w:p w:rsidR="00551E4B" w:rsidRPr="00390C09" w:rsidRDefault="00551E4B" w:rsidP="00551E4B">
      <w:pPr>
        <w:rPr>
          <w:i/>
          <w:sz w:val="24"/>
          <w:szCs w:val="24"/>
        </w:rPr>
      </w:pPr>
      <w:r w:rsidRPr="00390C09">
        <w:rPr>
          <w:i/>
          <w:sz w:val="24"/>
          <w:szCs w:val="24"/>
        </w:rPr>
        <w:t>Lacus Cur</w:t>
      </w:r>
      <w:r w:rsidR="009C7AF1">
        <w:rPr>
          <w:i/>
          <w:sz w:val="24"/>
          <w:szCs w:val="24"/>
        </w:rPr>
        <w:t>t</w:t>
      </w:r>
      <w:r w:rsidRPr="00390C09">
        <w:rPr>
          <w:i/>
          <w:sz w:val="24"/>
          <w:szCs w:val="24"/>
        </w:rPr>
        <w:t>ius – A Gateway to Ancient Rome, http://penelope.uchicago.edu/Thayer/E/Roman/home.html</w:t>
      </w:r>
    </w:p>
    <w:p w:rsidR="00551E4B" w:rsidRPr="00551E4B" w:rsidRDefault="00551E4B" w:rsidP="00551E4B">
      <w:pPr>
        <w:rPr>
          <w:sz w:val="24"/>
          <w:szCs w:val="24"/>
          <w:u w:val="single"/>
        </w:rPr>
        <w:sectPr w:rsidR="00551E4B" w:rsidRPr="00551E4B" w:rsidSect="00AB606C">
          <w:footerReference w:type="default" r:id="rId33"/>
          <w:pgSz w:w="11906" w:h="16838"/>
          <w:pgMar w:top="1440" w:right="1440" w:bottom="1440" w:left="1440" w:header="708" w:footer="708" w:gutter="0"/>
          <w:cols w:space="708"/>
          <w:docGrid w:linePitch="360"/>
        </w:sectPr>
      </w:pPr>
      <w:r w:rsidRPr="00E34A40">
        <w:rPr>
          <w:i/>
          <w:sz w:val="24"/>
          <w:szCs w:val="24"/>
        </w:rPr>
        <w:t>Stanford Digital Forma Urbis Romae Project</w:t>
      </w:r>
      <w:r w:rsidRPr="00E34A40">
        <w:rPr>
          <w:sz w:val="24"/>
          <w:szCs w:val="24"/>
        </w:rPr>
        <w:t xml:space="preserve">, </w:t>
      </w:r>
      <w:r w:rsidR="006B7CB7">
        <w:rPr>
          <w:color w:val="000000"/>
          <w:sz w:val="24"/>
          <w:szCs w:val="24"/>
          <w:shd w:val="clear" w:color="auto" w:fill="FFFFF0"/>
        </w:rPr>
        <w:t>http://formaurbis.stanfor</w:t>
      </w:r>
    </w:p>
    <w:p w:rsidR="00E756D7" w:rsidRPr="000567E4" w:rsidRDefault="00E756D7" w:rsidP="00AB606C">
      <w:pPr>
        <w:spacing w:line="480" w:lineRule="auto"/>
        <w:jc w:val="both"/>
        <w:rPr>
          <w:sz w:val="24"/>
          <w:szCs w:val="24"/>
        </w:rPr>
      </w:pPr>
    </w:p>
    <w:sectPr w:rsidR="00E756D7" w:rsidRPr="000567E4" w:rsidSect="00AB606C">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60C" w:rsidRDefault="00E6260C" w:rsidP="006E1E5C">
      <w:pPr>
        <w:spacing w:after="0" w:line="240" w:lineRule="auto"/>
      </w:pPr>
      <w:r>
        <w:separator/>
      </w:r>
    </w:p>
  </w:endnote>
  <w:endnote w:type="continuationSeparator" w:id="0">
    <w:p w:rsidR="00E6260C" w:rsidRDefault="00E6260C" w:rsidP="006E1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ode">
    <w:altName w:val="Code"/>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RealpageSCH3">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abonLTPro-Roman">
    <w:panose1 w:val="00000000000000000000"/>
    <w:charset w:val="00"/>
    <w:family w:val="auto"/>
    <w:notTrueType/>
    <w:pitch w:val="default"/>
    <w:sig w:usb0="00000003" w:usb1="00000000" w:usb2="00000000" w:usb3="00000000" w:csb0="00000001" w:csb1="00000000"/>
  </w:font>
  <w:font w:name="SabonLTPro-Italic">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Sabon-RomanOs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pPr>
      <w:pStyle w:val="Footer"/>
    </w:pPr>
    <w:r>
      <w:t>Simon Alistair Hosie</w:t>
    </w:r>
    <w:r>
      <w:ptab w:relativeTo="margin" w:alignment="center" w:leader="none"/>
    </w:r>
    <w:r>
      <w:t>Introduction</w:t>
    </w:r>
    <w:r>
      <w:ptab w:relativeTo="margin" w:alignment="right" w:leader="none"/>
    </w:r>
    <w:r>
      <w:t xml:space="preserve">Page </w:t>
    </w:r>
    <w:r>
      <w:fldChar w:fldCharType="begin"/>
    </w:r>
    <w:r>
      <w:instrText xml:space="preserve"> PAGE  \* Arabic  \* MERGEFORMAT </w:instrText>
    </w:r>
    <w:r>
      <w:fldChar w:fldCharType="separate"/>
    </w:r>
    <w:r w:rsidR="004677DE">
      <w:rPr>
        <w:noProof/>
      </w:rPr>
      <w:t>29</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pPr>
      <w:pStyle w:val="Footer"/>
    </w:pPr>
    <w:r>
      <w:t>Simon Alistair Hosie</w:t>
    </w:r>
    <w:r>
      <w:ptab w:relativeTo="margin" w:alignment="center" w:leader="none"/>
    </w:r>
    <w:r>
      <w:ptab w:relativeTo="margin" w:alignment="right" w:leader="none"/>
    </w:r>
    <w:r>
      <w:t xml:space="preserve">Page </w:t>
    </w:r>
    <w:r>
      <w:fldChar w:fldCharType="begin"/>
    </w:r>
    <w:r>
      <w:instrText xml:space="preserve"> PAGE  \* Arabic  \* MERGEFORMAT </w:instrText>
    </w:r>
    <w:r>
      <w:fldChar w:fldCharType="separate"/>
    </w:r>
    <w:r w:rsidR="004677DE">
      <w:rPr>
        <w:noProof/>
      </w:rPr>
      <w:t>191</w:t>
    </w:r>
    <w:r>
      <w:fldChar w:fldCharType="end"/>
    </w:r>
  </w:p>
  <w:p w:rsidR="00EC705D" w:rsidRDefault="00EC70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pPr>
      <w:pStyle w:val="Footer"/>
    </w:pPr>
    <w:r>
      <w:t>Simon Alistair Hosie</w:t>
    </w:r>
    <w:r>
      <w:ptab w:relativeTo="margin" w:alignment="center" w:leader="none"/>
    </w:r>
    <w:r>
      <w:t>Chapter One</w:t>
    </w:r>
    <w:r>
      <w:ptab w:relativeTo="margin" w:alignment="right" w:leader="none"/>
    </w:r>
    <w:r>
      <w:t xml:space="preserve">Page </w:t>
    </w:r>
    <w:r>
      <w:fldChar w:fldCharType="begin"/>
    </w:r>
    <w:r>
      <w:instrText xml:space="preserve"> PAGE  \* Arabic  \* MERGEFORMAT </w:instrText>
    </w:r>
    <w:r>
      <w:fldChar w:fldCharType="separate"/>
    </w:r>
    <w:r w:rsidR="004677DE">
      <w:rPr>
        <w:noProof/>
      </w:rPr>
      <w:t>57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pPr>
      <w:pStyle w:val="Footer"/>
    </w:pPr>
    <w:r>
      <w:t>Simon Alistair Hosie</w:t>
    </w:r>
    <w:r>
      <w:ptab w:relativeTo="margin" w:alignment="center" w:leader="none"/>
    </w:r>
    <w:r>
      <w:t>Chapter Two</w:t>
    </w:r>
    <w:r>
      <w:ptab w:relativeTo="margin" w:alignment="right" w:leader="none"/>
    </w:r>
    <w:r>
      <w:t xml:space="preserve">Page </w:t>
    </w:r>
    <w:r>
      <w:fldChar w:fldCharType="begin"/>
    </w:r>
    <w:r>
      <w:instrText xml:space="preserve"> PAGE  \* Arabic  \* MERGEFORMAT </w:instrText>
    </w:r>
    <w:r>
      <w:fldChar w:fldCharType="separate"/>
    </w:r>
    <w:r w:rsidR="004677DE">
      <w:rPr>
        <w:noProof/>
      </w:rPr>
      <w:t>103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pPr>
      <w:pStyle w:val="Footer"/>
    </w:pPr>
    <w:r>
      <w:t>Simon Alistair Hosie</w:t>
    </w:r>
    <w:r>
      <w:ptab w:relativeTo="margin" w:alignment="center" w:leader="none"/>
    </w:r>
    <w:r>
      <w:t>Chapter Three</w:t>
    </w:r>
    <w:r>
      <w:ptab w:relativeTo="margin" w:alignment="right" w:leader="none"/>
    </w:r>
    <w:r>
      <w:t xml:space="preserve">Page </w:t>
    </w:r>
    <w:r>
      <w:fldChar w:fldCharType="begin"/>
    </w:r>
    <w:r>
      <w:instrText xml:space="preserve"> PAGE  \* Arabic  \* MERGEFORMAT </w:instrText>
    </w:r>
    <w:r>
      <w:fldChar w:fldCharType="separate"/>
    </w:r>
    <w:r w:rsidR="004677DE">
      <w:rPr>
        <w:noProof/>
      </w:rPr>
      <w:t>139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rsidP="002522BC">
    <w:pPr>
      <w:pStyle w:val="Footer"/>
      <w:tabs>
        <w:tab w:val="left" w:pos="1356"/>
      </w:tabs>
    </w:pPr>
    <w:r>
      <w:t>Simon Alistair Hosie</w:t>
    </w:r>
    <w:r>
      <w:tab/>
      <w:t>Conclusion</w:t>
    </w:r>
    <w:r>
      <w:tab/>
      <w:t xml:space="preserve">Page </w:t>
    </w:r>
    <w:sdt>
      <w:sdtPr>
        <w:id w:val="-17357689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677DE">
          <w:rPr>
            <w:noProof/>
          </w:rPr>
          <w:t>148</w:t>
        </w:r>
        <w:r>
          <w:rPr>
            <w:noProof/>
          </w:rPr>
          <w:fldChar w:fldCharType="end"/>
        </w:r>
      </w:sdtContent>
    </w:sdt>
  </w:p>
  <w:p w:rsidR="00EC705D" w:rsidRDefault="00EC70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rsidP="002522BC">
    <w:pPr>
      <w:pStyle w:val="Footer"/>
      <w:tabs>
        <w:tab w:val="left" w:pos="1356"/>
      </w:tabs>
    </w:pPr>
    <w:r>
      <w:t>Simon Alistair Hosie</w:t>
    </w:r>
    <w:r>
      <w:tab/>
      <w:t>Appendix One</w:t>
    </w:r>
    <w:r>
      <w:tab/>
      <w:t xml:space="preserve">Page </w:t>
    </w:r>
    <w:sdt>
      <w:sdtPr>
        <w:id w:val="9563046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677DE">
          <w:rPr>
            <w:noProof/>
          </w:rPr>
          <w:t>152</w:t>
        </w:r>
        <w:r>
          <w:rPr>
            <w:noProof/>
          </w:rPr>
          <w:fldChar w:fldCharType="end"/>
        </w:r>
      </w:sdtContent>
    </w:sdt>
  </w:p>
  <w:p w:rsidR="00EC705D" w:rsidRDefault="00EC70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pPr>
      <w:pStyle w:val="Footer"/>
    </w:pPr>
    <w:r>
      <w:t>Simon Alistair Hosie</w:t>
    </w:r>
    <w:r>
      <w:ptab w:relativeTo="margin" w:alignment="center" w:leader="none"/>
    </w:r>
    <w:r>
      <w:t>Appendix Two</w:t>
    </w:r>
    <w:r>
      <w:ptab w:relativeTo="margin" w:alignment="right" w:leader="none"/>
    </w:r>
    <w:r>
      <w:t xml:space="preserve">Page </w:t>
    </w:r>
    <w:r>
      <w:fldChar w:fldCharType="begin"/>
    </w:r>
    <w:r>
      <w:instrText xml:space="preserve"> PAGE  \* Arabic  \* MERGEFORMAT </w:instrText>
    </w:r>
    <w:r>
      <w:fldChar w:fldCharType="separate"/>
    </w:r>
    <w:r>
      <w:rPr>
        <w:noProof/>
      </w:rPr>
      <w:t>164</w:t>
    </w:r>
    <w:r>
      <w:fldChar w:fldCharType="end"/>
    </w:r>
  </w:p>
  <w:p w:rsidR="00EC705D" w:rsidRDefault="00EC705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pPr>
      <w:pStyle w:val="Footer"/>
    </w:pPr>
    <w:r>
      <w:t>Simon Alistair Hosie</w:t>
    </w:r>
    <w:r>
      <w:ptab w:relativeTo="margin" w:alignment="center" w:leader="none"/>
    </w:r>
    <w:r>
      <w:t>Appendix Two</w:t>
    </w:r>
    <w:r>
      <w:ptab w:relativeTo="margin" w:alignment="right" w:leader="none"/>
    </w:r>
    <w:r>
      <w:t xml:space="preserve">Page </w:t>
    </w:r>
    <w:r>
      <w:fldChar w:fldCharType="begin"/>
    </w:r>
    <w:r>
      <w:instrText xml:space="preserve"> PAGE  \* Arabic  \* MERGEFORMAT </w:instrText>
    </w:r>
    <w:r>
      <w:fldChar w:fldCharType="separate"/>
    </w:r>
    <w:r w:rsidR="004677DE">
      <w:rPr>
        <w:noProof/>
      </w:rPr>
      <w:t>159</w:t>
    </w:r>
    <w:r>
      <w:fldChar w:fldCharType="end"/>
    </w:r>
  </w:p>
  <w:p w:rsidR="00EC705D" w:rsidRDefault="00EC705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5D" w:rsidRDefault="00EC705D">
    <w:pPr>
      <w:pStyle w:val="Footer"/>
    </w:pPr>
    <w:r>
      <w:t>Simon Alistair Hosie</w:t>
    </w:r>
    <w:r>
      <w:ptab w:relativeTo="margin" w:alignment="center" w:leader="none"/>
    </w:r>
    <w:r>
      <w:t>Bibliography</w:t>
    </w:r>
    <w:r>
      <w:ptab w:relativeTo="margin" w:alignment="right" w:leader="none"/>
    </w:r>
    <w:r>
      <w:t xml:space="preserve">Page </w:t>
    </w:r>
    <w:r>
      <w:fldChar w:fldCharType="begin"/>
    </w:r>
    <w:r>
      <w:instrText xml:space="preserve"> PAGE  \* Arabic  \* MERGEFORMAT </w:instrText>
    </w:r>
    <w:r>
      <w:fldChar w:fldCharType="separate"/>
    </w:r>
    <w:r w:rsidR="004677DE">
      <w:rPr>
        <w:noProof/>
      </w:rPr>
      <w:t>190</w:t>
    </w:r>
    <w:r>
      <w:fldChar w:fldCharType="end"/>
    </w:r>
  </w:p>
  <w:p w:rsidR="00EC705D" w:rsidRDefault="00EC70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60C" w:rsidRDefault="00E6260C" w:rsidP="006E1E5C">
      <w:pPr>
        <w:spacing w:after="0" w:line="240" w:lineRule="auto"/>
      </w:pPr>
      <w:r>
        <w:separator/>
      </w:r>
    </w:p>
  </w:footnote>
  <w:footnote w:type="continuationSeparator" w:id="0">
    <w:p w:rsidR="00E6260C" w:rsidRDefault="00E6260C" w:rsidP="006E1E5C">
      <w:pPr>
        <w:spacing w:after="0" w:line="240" w:lineRule="auto"/>
      </w:pPr>
      <w:r>
        <w:continuationSeparator/>
      </w:r>
    </w:p>
  </w:footnote>
  <w:footnote w:id="1">
    <w:p w:rsidR="00EC705D" w:rsidRPr="008B7862" w:rsidRDefault="00EC705D">
      <w:pPr>
        <w:pStyle w:val="FootnoteText"/>
      </w:pPr>
      <w:r w:rsidRPr="008B7862">
        <w:rPr>
          <w:rStyle w:val="FootnoteReference"/>
        </w:rPr>
        <w:footnoteRef/>
      </w:r>
      <w:r w:rsidRPr="008B7862">
        <w:t xml:space="preserve"> </w:t>
      </w:r>
      <w:r w:rsidRPr="008B7862">
        <w:rPr>
          <w:rFonts w:cstheme="minorHAnsi"/>
        </w:rPr>
        <w:t>Reynolds, D.W., ‘</w:t>
      </w:r>
      <w:proofErr w:type="gramStart"/>
      <w:r w:rsidRPr="008B7862">
        <w:rPr>
          <w:rFonts w:cstheme="minorHAnsi"/>
        </w:rPr>
        <w:t>The</w:t>
      </w:r>
      <w:proofErr w:type="gramEnd"/>
      <w:r w:rsidRPr="008B7862">
        <w:rPr>
          <w:rFonts w:cstheme="minorHAnsi"/>
        </w:rPr>
        <w:t xml:space="preserve"> Lost Architecture of Ancient Rome: Insights from the Severan Plan and the Regionary Catalogues’, </w:t>
      </w:r>
      <w:r w:rsidRPr="008B7862">
        <w:rPr>
          <w:rFonts w:cstheme="minorHAnsi"/>
          <w:i/>
        </w:rPr>
        <w:t>Expedition Vol. 39 No. 2</w:t>
      </w:r>
      <w:r w:rsidRPr="008B7862">
        <w:rPr>
          <w:rFonts w:cstheme="minorHAnsi"/>
        </w:rPr>
        <w:t xml:space="preserve"> (1997), P. 16.</w:t>
      </w:r>
    </w:p>
  </w:footnote>
  <w:footnote w:id="2">
    <w:p w:rsidR="00EC705D" w:rsidRPr="008B7862" w:rsidRDefault="00EC705D" w:rsidP="002F6883">
      <w:pPr>
        <w:pStyle w:val="FootnoteText"/>
        <w:tabs>
          <w:tab w:val="right" w:pos="9026"/>
        </w:tabs>
      </w:pPr>
      <w:r w:rsidRPr="008B7862">
        <w:rPr>
          <w:rStyle w:val="FootnoteReference"/>
        </w:rPr>
        <w:footnoteRef/>
      </w:r>
      <w:r w:rsidRPr="008B7862">
        <w:t xml:space="preserve"> </w:t>
      </w:r>
      <w:r w:rsidRPr="008B7862">
        <w:rPr>
          <w:rFonts w:cstheme="minorHAnsi"/>
        </w:rPr>
        <w:t xml:space="preserve">Merrill, E.T., ‘The Date of Notitia and Curiosum’, </w:t>
      </w:r>
      <w:r w:rsidRPr="008B7862">
        <w:rPr>
          <w:rFonts w:cstheme="minorHAnsi"/>
          <w:i/>
        </w:rPr>
        <w:t>Classical Philology Vol. 1 No. 2</w:t>
      </w:r>
      <w:r w:rsidRPr="008B7862">
        <w:rPr>
          <w:rFonts w:cstheme="minorHAnsi"/>
        </w:rPr>
        <w:t xml:space="preserve"> (1906), P. 133.</w:t>
      </w:r>
      <w:r w:rsidRPr="008B7862">
        <w:rPr>
          <w:rFonts w:cstheme="minorHAnsi"/>
        </w:rPr>
        <w:tab/>
      </w:r>
    </w:p>
  </w:footnote>
  <w:footnote w:id="3">
    <w:p w:rsidR="00EC705D" w:rsidRPr="008B7862" w:rsidRDefault="00EC705D" w:rsidP="0048561F">
      <w:pPr>
        <w:pStyle w:val="FootnoteText"/>
      </w:pPr>
      <w:r w:rsidRPr="008B7862">
        <w:rPr>
          <w:rStyle w:val="FootnoteReference"/>
        </w:rPr>
        <w:footnoteRef/>
      </w:r>
      <w:r w:rsidRPr="008B7862">
        <w:t xml:space="preserve"> </w:t>
      </w:r>
      <w:r w:rsidRPr="008B7862">
        <w:rPr>
          <w:i/>
        </w:rPr>
        <w:t>Ibid</w:t>
      </w:r>
      <w:r w:rsidRPr="008B7862">
        <w:t>.</w:t>
      </w:r>
      <w:proofErr w:type="gramStart"/>
      <w:r w:rsidRPr="008B7862">
        <w:t>,  P</w:t>
      </w:r>
      <w:proofErr w:type="gramEnd"/>
      <w:r w:rsidRPr="008B7862">
        <w:t>. 83.</w:t>
      </w:r>
    </w:p>
  </w:footnote>
  <w:footnote w:id="4">
    <w:p w:rsidR="00B13918" w:rsidRDefault="00B13918">
      <w:pPr>
        <w:pStyle w:val="FootnoteText"/>
      </w:pPr>
      <w:r>
        <w:rPr>
          <w:rStyle w:val="FootnoteReference"/>
        </w:rPr>
        <w:footnoteRef/>
      </w:r>
      <w:r>
        <w:t xml:space="preserve"> </w:t>
      </w:r>
      <w:r w:rsidRPr="008B7862">
        <w:t xml:space="preserve">Matthews, </w:t>
      </w:r>
      <w:r w:rsidRPr="008B7862">
        <w:rPr>
          <w:rFonts w:cstheme="minorHAnsi"/>
        </w:rPr>
        <w:t xml:space="preserve">J., ‘The </w:t>
      </w:r>
      <w:r w:rsidRPr="008B7862">
        <w:rPr>
          <w:rFonts w:cstheme="minorHAnsi"/>
          <w:i/>
          <w:iCs/>
        </w:rPr>
        <w:t>Notitia Urbis Constantinopolitanae</w:t>
      </w:r>
      <w:r w:rsidRPr="008B7862">
        <w:rPr>
          <w:rFonts w:cstheme="minorHAnsi"/>
        </w:rPr>
        <w:t xml:space="preserve">’, in Grig, L. and Kelly, G. (eds), </w:t>
      </w:r>
      <w:r w:rsidRPr="008B7862">
        <w:rPr>
          <w:rFonts w:cstheme="minorHAnsi"/>
          <w:i/>
          <w:iCs/>
        </w:rPr>
        <w:t>Two Romes Rome and Constantinople in Late Antiquity</w:t>
      </w:r>
      <w:r w:rsidR="009A303B">
        <w:rPr>
          <w:rFonts w:cstheme="minorHAnsi"/>
        </w:rPr>
        <w:t xml:space="preserve"> (Oxford, 2012), pp. 86-97</w:t>
      </w:r>
      <w:r w:rsidRPr="008B7862">
        <w:rPr>
          <w:rFonts w:cstheme="minorHAnsi"/>
        </w:rPr>
        <w:t>.</w:t>
      </w:r>
      <w:r>
        <w:t xml:space="preserve"> </w:t>
      </w:r>
    </w:p>
  </w:footnote>
  <w:footnote w:id="5">
    <w:p w:rsidR="00EC705D" w:rsidRPr="008B7862" w:rsidRDefault="00EC705D" w:rsidP="00E6660B">
      <w:pPr>
        <w:pStyle w:val="FootnoteText"/>
      </w:pPr>
      <w:r w:rsidRPr="008B7862">
        <w:rPr>
          <w:rStyle w:val="FootnoteReference"/>
        </w:rPr>
        <w:footnoteRef/>
      </w:r>
      <w:r w:rsidRPr="008B7862">
        <w:t xml:space="preserve"> See: Matthews, </w:t>
      </w:r>
      <w:r w:rsidRPr="008B7862">
        <w:rPr>
          <w:rFonts w:cstheme="minorHAnsi"/>
        </w:rPr>
        <w:t xml:space="preserve">J., ‘The </w:t>
      </w:r>
      <w:r w:rsidRPr="008B7862">
        <w:rPr>
          <w:rFonts w:cstheme="minorHAnsi"/>
          <w:i/>
          <w:iCs/>
        </w:rPr>
        <w:t>Notitia Urbis Constantinopolitanae</w:t>
      </w:r>
      <w:r w:rsidRPr="008B7862">
        <w:rPr>
          <w:rFonts w:cstheme="minorHAnsi"/>
        </w:rPr>
        <w:t xml:space="preserve">’, in Grig, L. and Kelly, G. (eds), </w:t>
      </w:r>
      <w:r w:rsidRPr="008B7862">
        <w:rPr>
          <w:rFonts w:cstheme="minorHAnsi"/>
          <w:i/>
          <w:iCs/>
        </w:rPr>
        <w:t>Two Romes Rome and Constantinople in Late Antiquity</w:t>
      </w:r>
      <w:r w:rsidRPr="008B7862">
        <w:rPr>
          <w:rFonts w:cstheme="minorHAnsi"/>
        </w:rPr>
        <w:t xml:space="preserve"> (Oxford, 2012), pp. 81-115 and Bury, J.B., ‘The Date of the Notitia of Constantinople’, </w:t>
      </w:r>
      <w:r w:rsidRPr="008B7862">
        <w:rPr>
          <w:rFonts w:cstheme="minorHAnsi"/>
          <w:i/>
          <w:iCs/>
        </w:rPr>
        <w:t xml:space="preserve">The English Historical Review, Vol. 31 No. 123 </w:t>
      </w:r>
      <w:r w:rsidRPr="008B7862">
        <w:rPr>
          <w:rFonts w:cstheme="minorHAnsi"/>
        </w:rPr>
        <w:t>(1916), pp. 442-443.</w:t>
      </w:r>
    </w:p>
  </w:footnote>
  <w:footnote w:id="6">
    <w:p w:rsidR="00EC705D" w:rsidRPr="008B7862" w:rsidRDefault="00EC705D" w:rsidP="00E6660B">
      <w:pPr>
        <w:pStyle w:val="FootnoteText"/>
      </w:pPr>
      <w:r w:rsidRPr="008B7862">
        <w:rPr>
          <w:rStyle w:val="FootnoteReference"/>
        </w:rPr>
        <w:footnoteRef/>
      </w:r>
      <w:r w:rsidRPr="008B7862">
        <w:t xml:space="preserve"> Matthews, </w:t>
      </w:r>
      <w:r w:rsidRPr="008B7862">
        <w:rPr>
          <w:rFonts w:cstheme="minorHAnsi"/>
        </w:rPr>
        <w:t xml:space="preserve">‘The </w:t>
      </w:r>
      <w:r w:rsidRPr="008B7862">
        <w:rPr>
          <w:rFonts w:cstheme="minorHAnsi"/>
          <w:i/>
          <w:iCs/>
        </w:rPr>
        <w:t>Notitia Urbis</w:t>
      </w:r>
      <w:r w:rsidR="00B13918">
        <w:rPr>
          <w:rFonts w:cstheme="minorHAnsi"/>
          <w:i/>
          <w:iCs/>
        </w:rPr>
        <w:t>’</w:t>
      </w:r>
      <w:r w:rsidRPr="008B7862">
        <w:rPr>
          <w:rFonts w:cstheme="minorHAnsi"/>
        </w:rPr>
        <w:t>, pp. 82-83.</w:t>
      </w:r>
    </w:p>
  </w:footnote>
  <w:footnote w:id="7">
    <w:p w:rsidR="00EC705D" w:rsidRPr="008B7862" w:rsidRDefault="00EC705D" w:rsidP="00E6660B">
      <w:pPr>
        <w:pStyle w:val="FootnoteText"/>
      </w:pPr>
      <w:r w:rsidRPr="008B7862">
        <w:rPr>
          <w:rStyle w:val="FootnoteReference"/>
        </w:rPr>
        <w:footnoteRef/>
      </w:r>
      <w:r w:rsidRPr="008B7862">
        <w:t xml:space="preserve"> </w:t>
      </w:r>
      <w:r w:rsidRPr="008B7862">
        <w:rPr>
          <w:i/>
        </w:rPr>
        <w:t>Ibid</w:t>
      </w:r>
      <w:proofErr w:type="gramStart"/>
      <w:r w:rsidRPr="008B7862">
        <w:rPr>
          <w:i/>
        </w:rPr>
        <w:t>,</w:t>
      </w:r>
      <w:r w:rsidRPr="008B7862">
        <w:t>P</w:t>
      </w:r>
      <w:proofErr w:type="gramEnd"/>
      <w:r w:rsidRPr="008B7862">
        <w:t>. 83.</w:t>
      </w:r>
    </w:p>
  </w:footnote>
  <w:footnote w:id="8">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Ando, C., ‘Decline, </w:t>
      </w:r>
      <w:proofErr w:type="gramStart"/>
      <w:r w:rsidRPr="008B7862">
        <w:rPr>
          <w:rFonts w:cstheme="minorHAnsi"/>
        </w:rPr>
        <w:t>Fall</w:t>
      </w:r>
      <w:proofErr w:type="gramEnd"/>
      <w:r w:rsidRPr="008B7862">
        <w:rPr>
          <w:rFonts w:cstheme="minorHAnsi"/>
        </w:rPr>
        <w:t xml:space="preserve">, and Transformation’, </w:t>
      </w:r>
      <w:r w:rsidRPr="008B7862">
        <w:rPr>
          <w:rFonts w:cstheme="minorHAnsi"/>
          <w:i/>
        </w:rPr>
        <w:t>Journal of Late Antiquity Vol. 1 No. 1</w:t>
      </w:r>
      <w:r w:rsidRPr="008B7862">
        <w:rPr>
          <w:rFonts w:cstheme="minorHAnsi"/>
        </w:rPr>
        <w:t xml:space="preserve"> (Baltimore, 2008), pp. 47-48.</w:t>
      </w:r>
    </w:p>
  </w:footnote>
  <w:footnote w:id="9">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The </w:t>
      </w:r>
      <w:r w:rsidRPr="008B7862">
        <w:rPr>
          <w:rFonts w:cstheme="minorHAnsi"/>
          <w:i/>
        </w:rPr>
        <w:t xml:space="preserve">Annonae </w:t>
      </w:r>
      <w:r w:rsidRPr="008B7862">
        <w:rPr>
          <w:rFonts w:cstheme="minorHAnsi"/>
        </w:rPr>
        <w:t xml:space="preserve">was those foodstuffs, such as bread, wine, pork and olive oil, which were provided subsidised or free by the government to the city of Rome. It was first instituted by Gaius Gracchus in 123 BC. </w:t>
      </w:r>
    </w:p>
  </w:footnote>
  <w:footnote w:id="10">
    <w:p w:rsidR="00EC705D" w:rsidRPr="008B7862" w:rsidRDefault="00EC705D" w:rsidP="006E1E5C">
      <w:pPr>
        <w:pStyle w:val="FootnoteText"/>
        <w:tabs>
          <w:tab w:val="left" w:pos="5174"/>
        </w:tabs>
        <w:rPr>
          <w:rFonts w:cstheme="minorHAnsi"/>
        </w:rPr>
      </w:pPr>
      <w:r w:rsidRPr="008B7862">
        <w:rPr>
          <w:rStyle w:val="FootnoteReference"/>
          <w:rFonts w:cstheme="minorHAnsi"/>
        </w:rPr>
        <w:footnoteRef/>
      </w:r>
      <w:r w:rsidRPr="008B7862">
        <w:rPr>
          <w:rFonts w:cstheme="minorHAnsi"/>
        </w:rPr>
        <w:t xml:space="preserve"> Kelly, C., </w:t>
      </w:r>
      <w:r w:rsidRPr="008B7862">
        <w:rPr>
          <w:rFonts w:cstheme="minorHAnsi"/>
          <w:i/>
        </w:rPr>
        <w:t>Ruling the Later Roman Empire</w:t>
      </w:r>
      <w:r w:rsidRPr="008B7862">
        <w:rPr>
          <w:rFonts w:cstheme="minorHAnsi"/>
        </w:rPr>
        <w:t xml:space="preserve"> (London, 2004), pp. 1-2 and 187-191; Rickman, G., </w:t>
      </w:r>
      <w:r w:rsidRPr="008B7862">
        <w:rPr>
          <w:rFonts w:cstheme="minorHAnsi"/>
          <w:i/>
        </w:rPr>
        <w:t>Roman Granaries and Store Buildings</w:t>
      </w:r>
      <w:r w:rsidRPr="008B7862">
        <w:rPr>
          <w:rFonts w:cstheme="minorHAnsi"/>
        </w:rPr>
        <w:t xml:space="preserve"> (Cambridge, 1971), P. 291; Chastagnol, A., </w:t>
      </w:r>
      <w:r w:rsidRPr="008B7862">
        <w:rPr>
          <w:rFonts w:cstheme="minorHAnsi"/>
          <w:bCs/>
          <w:i/>
          <w:iCs/>
          <w:lang w:val="fr-FR"/>
        </w:rPr>
        <w:t>La préfecture urbaine à Rome sous le Bas-Empire</w:t>
      </w:r>
      <w:r w:rsidRPr="008B7862">
        <w:rPr>
          <w:rFonts w:cstheme="minorHAnsi"/>
          <w:bCs/>
          <w:iCs/>
          <w:lang w:val="fr-FR"/>
        </w:rPr>
        <w:t xml:space="preserve"> (Paris, 1960)</w:t>
      </w:r>
      <w:r w:rsidRPr="008B7862">
        <w:rPr>
          <w:rFonts w:cstheme="minorHAnsi"/>
        </w:rPr>
        <w:t xml:space="preserve">, P. vi; Jones, A.H.M., </w:t>
      </w:r>
      <w:r w:rsidRPr="008B7862">
        <w:rPr>
          <w:rFonts w:cstheme="minorHAnsi"/>
          <w:i/>
        </w:rPr>
        <w:t>The Later Roman Empire 284-602 A Social, Economic and Administrative Survey</w:t>
      </w:r>
      <w:r w:rsidRPr="008B7862">
        <w:rPr>
          <w:rFonts w:cstheme="minorHAnsi"/>
        </w:rPr>
        <w:t xml:space="preserve"> (Baltimore, 1986), pp. 383-384.</w:t>
      </w:r>
      <w:r w:rsidRPr="008B7862">
        <w:rPr>
          <w:rFonts w:cstheme="minorHAnsi"/>
          <w:b/>
        </w:rPr>
        <w:tab/>
      </w:r>
    </w:p>
  </w:footnote>
  <w:footnote w:id="11">
    <w:p w:rsidR="00EC705D" w:rsidRPr="008B7862" w:rsidRDefault="00EC705D" w:rsidP="006E1E5C">
      <w:pPr>
        <w:pStyle w:val="FootnoteText"/>
        <w:jc w:val="both"/>
        <w:rPr>
          <w:rFonts w:cstheme="minorHAnsi"/>
        </w:rPr>
      </w:pPr>
      <w:r w:rsidRPr="008B7862">
        <w:rPr>
          <w:rStyle w:val="FootnoteReference"/>
          <w:rFonts w:cstheme="minorHAnsi"/>
        </w:rPr>
        <w:footnoteRef/>
      </w:r>
      <w:r w:rsidRPr="008B7862">
        <w:rPr>
          <w:rFonts w:cstheme="minorHAnsi"/>
        </w:rPr>
        <w:t xml:space="preserve"> Sinnigen, W., </w:t>
      </w:r>
      <w:proofErr w:type="gramStart"/>
      <w:r w:rsidRPr="008B7862">
        <w:rPr>
          <w:rFonts w:cstheme="minorHAnsi"/>
          <w:i/>
          <w:iCs/>
        </w:rPr>
        <w:t>The</w:t>
      </w:r>
      <w:proofErr w:type="gramEnd"/>
      <w:r w:rsidRPr="008B7862">
        <w:rPr>
          <w:rFonts w:cstheme="minorHAnsi"/>
          <w:i/>
          <w:iCs/>
        </w:rPr>
        <w:t xml:space="preserve"> Officium of the Urban Prefecture during the Later Roman Empire</w:t>
      </w:r>
      <w:r w:rsidRPr="008B7862">
        <w:rPr>
          <w:rFonts w:cstheme="minorHAnsi"/>
        </w:rPr>
        <w:t xml:space="preserve"> (Rome, 1957), pp. 15-31 and 70-71.</w:t>
      </w:r>
    </w:p>
  </w:footnote>
  <w:footnote w:id="12">
    <w:p w:rsidR="00EC705D" w:rsidRPr="008B7862" w:rsidRDefault="00EC705D" w:rsidP="006E1E5C">
      <w:pPr>
        <w:pStyle w:val="FootnoteText"/>
        <w:jc w:val="both"/>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Chastagnol, </w:t>
      </w:r>
      <w:r w:rsidRPr="008B7862">
        <w:rPr>
          <w:rFonts w:cstheme="minorHAnsi"/>
          <w:i/>
        </w:rPr>
        <w:t>La Préfecture urbaine</w:t>
      </w:r>
      <w:r w:rsidRPr="008B7862">
        <w:rPr>
          <w:rFonts w:cstheme="minorHAnsi"/>
        </w:rPr>
        <w:t>, pp. v-xiii.</w:t>
      </w:r>
      <w:proofErr w:type="gramEnd"/>
    </w:p>
  </w:footnote>
  <w:footnote w:id="13">
    <w:p w:rsidR="00EC705D" w:rsidRDefault="00EC705D" w:rsidP="00B3711E">
      <w:pPr>
        <w:pStyle w:val="FootnoteText"/>
      </w:pPr>
      <w:r>
        <w:rPr>
          <w:rStyle w:val="FootnoteReference"/>
        </w:rPr>
        <w:footnoteRef/>
      </w:r>
      <w:r>
        <w:t xml:space="preserve"> See: </w:t>
      </w:r>
      <w:r w:rsidRPr="008B7862">
        <w:rPr>
          <w:rFonts w:cstheme="minorHAnsi"/>
        </w:rPr>
        <w:t xml:space="preserve">Chastagnol, A., ‘Le fonctionnement de la préfecture urbaine’, in Virlouvet, C. (ed.), </w:t>
      </w:r>
      <w:proofErr w:type="gramStart"/>
      <w:r w:rsidRPr="008B7862">
        <w:rPr>
          <w:rFonts w:cstheme="minorHAnsi"/>
          <w:i/>
        </w:rPr>
        <w:t>La</w:t>
      </w:r>
      <w:proofErr w:type="gramEnd"/>
      <w:r w:rsidRPr="008B7862">
        <w:rPr>
          <w:rFonts w:cstheme="minorHAnsi"/>
          <w:i/>
        </w:rPr>
        <w:t xml:space="preserve"> Rome impériale. Démographie </w:t>
      </w:r>
      <w:proofErr w:type="gramStart"/>
      <w:r w:rsidRPr="008B7862">
        <w:rPr>
          <w:rFonts w:cstheme="minorHAnsi"/>
          <w:i/>
        </w:rPr>
        <w:t>et</w:t>
      </w:r>
      <w:proofErr w:type="gramEnd"/>
      <w:r w:rsidRPr="008B7862">
        <w:rPr>
          <w:rFonts w:cstheme="minorHAnsi"/>
          <w:i/>
        </w:rPr>
        <w:t xml:space="preserve"> logistique. Actes de la table ronde de Rome, 25 mars 1994</w:t>
      </w:r>
      <w:r w:rsidRPr="008B7862">
        <w:rPr>
          <w:rFonts w:cstheme="minorHAnsi"/>
        </w:rPr>
        <w:t>. (Rome), pp.</w:t>
      </w:r>
      <w:r>
        <w:rPr>
          <w:rFonts w:cstheme="minorHAnsi"/>
        </w:rPr>
        <w:t xml:space="preserve"> 111-119. </w:t>
      </w:r>
    </w:p>
  </w:footnote>
  <w:footnote w:id="14">
    <w:p w:rsidR="00EC705D" w:rsidRPr="008B7862" w:rsidRDefault="00EC705D" w:rsidP="00B3711E">
      <w:pPr>
        <w:pStyle w:val="FootnoteText"/>
      </w:pPr>
      <w:r w:rsidRPr="008B7862">
        <w:rPr>
          <w:rStyle w:val="FootnoteReference"/>
        </w:rPr>
        <w:footnoteRef/>
      </w:r>
      <w:r w:rsidRPr="008B7862">
        <w:t xml:space="preserve"> </w:t>
      </w:r>
      <w:r w:rsidRPr="008B7862">
        <w:rPr>
          <w:rFonts w:cstheme="minorHAnsi"/>
        </w:rPr>
        <w:t xml:space="preserve">Chastagnol, A., ‘Le fonctionnement de la préfecture urbaine’, in Virlouvet, C. (ed.), </w:t>
      </w:r>
      <w:r w:rsidRPr="008B7862">
        <w:rPr>
          <w:rFonts w:cstheme="minorHAnsi"/>
          <w:i/>
        </w:rPr>
        <w:t xml:space="preserve">La Rome impériale. Démographie </w:t>
      </w:r>
      <w:proofErr w:type="gramStart"/>
      <w:r w:rsidRPr="008B7862">
        <w:rPr>
          <w:rFonts w:cstheme="minorHAnsi"/>
          <w:i/>
        </w:rPr>
        <w:t>et</w:t>
      </w:r>
      <w:proofErr w:type="gramEnd"/>
      <w:r w:rsidRPr="008B7862">
        <w:rPr>
          <w:rFonts w:cstheme="minorHAnsi"/>
          <w:i/>
        </w:rPr>
        <w:t xml:space="preserve"> logistique. Actes de la table ronde de Rome, 25 mars 1994</w:t>
      </w:r>
      <w:r w:rsidRPr="008B7862">
        <w:rPr>
          <w:rFonts w:cstheme="minorHAnsi"/>
        </w:rPr>
        <w:t>. (Rome), pp. 111-113.</w:t>
      </w:r>
    </w:p>
  </w:footnote>
  <w:footnote w:id="15">
    <w:p w:rsidR="00EC705D" w:rsidRPr="008B7862" w:rsidRDefault="00EC705D">
      <w:pPr>
        <w:pStyle w:val="FootnoteText"/>
      </w:pPr>
      <w:r>
        <w:rPr>
          <w:rStyle w:val="FootnoteReference"/>
        </w:rPr>
        <w:footnoteRef/>
      </w:r>
      <w:r>
        <w:t xml:space="preserve"> </w:t>
      </w:r>
      <w:proofErr w:type="gramStart"/>
      <w:r>
        <w:rPr>
          <w:i/>
        </w:rPr>
        <w:t>Ibid</w:t>
      </w:r>
      <w:r>
        <w:t>.,</w:t>
      </w:r>
      <w:proofErr w:type="gramEnd"/>
      <w:r>
        <w:t xml:space="preserve"> P. 113.</w:t>
      </w:r>
    </w:p>
  </w:footnote>
  <w:footnote w:id="16">
    <w:p w:rsidR="00EC705D" w:rsidRPr="00524F6A" w:rsidRDefault="00EC705D">
      <w:pPr>
        <w:pStyle w:val="FootnoteText"/>
      </w:pPr>
      <w:r>
        <w:rPr>
          <w:rStyle w:val="FootnoteReference"/>
        </w:rPr>
        <w:footnoteRef/>
      </w:r>
      <w:r>
        <w:t xml:space="preserve"> </w:t>
      </w:r>
      <w:proofErr w:type="gramStart"/>
      <w:r>
        <w:rPr>
          <w:i/>
        </w:rPr>
        <w:t>Ibid</w:t>
      </w:r>
      <w:r>
        <w:t>.,</w:t>
      </w:r>
      <w:proofErr w:type="gramEnd"/>
      <w:r>
        <w:t xml:space="preserve"> pp. 114-116.</w:t>
      </w:r>
    </w:p>
  </w:footnote>
  <w:footnote w:id="17">
    <w:p w:rsidR="00EC705D" w:rsidRPr="00524F6A" w:rsidRDefault="00EC705D">
      <w:pPr>
        <w:pStyle w:val="FootnoteText"/>
      </w:pPr>
      <w:r>
        <w:rPr>
          <w:rStyle w:val="FootnoteReference"/>
        </w:rPr>
        <w:footnoteRef/>
      </w:r>
      <w:r>
        <w:t xml:space="preserve"> </w:t>
      </w:r>
      <w:proofErr w:type="gramStart"/>
      <w:r>
        <w:rPr>
          <w:i/>
        </w:rPr>
        <w:t>Ibid</w:t>
      </w:r>
      <w:r>
        <w:t>.,</w:t>
      </w:r>
      <w:proofErr w:type="gramEnd"/>
      <w:r>
        <w:t xml:space="preserve"> P. 116.</w:t>
      </w:r>
    </w:p>
  </w:footnote>
  <w:footnote w:id="18">
    <w:p w:rsidR="00EC705D" w:rsidRPr="00524F6A" w:rsidRDefault="00EC705D">
      <w:pPr>
        <w:pStyle w:val="FootnoteText"/>
      </w:pPr>
      <w:r>
        <w:rPr>
          <w:rStyle w:val="FootnoteReference"/>
        </w:rPr>
        <w:footnoteRef/>
      </w:r>
      <w:r>
        <w:t xml:space="preserve"> </w:t>
      </w:r>
      <w:r>
        <w:rPr>
          <w:i/>
        </w:rPr>
        <w:t>Ibid</w:t>
      </w:r>
      <w:r>
        <w:t>., P. 116-118</w:t>
      </w:r>
    </w:p>
  </w:footnote>
  <w:footnote w:id="19">
    <w:p w:rsidR="00EC705D" w:rsidRPr="008B7862" w:rsidRDefault="00EC705D" w:rsidP="00524F6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Jones, </w:t>
      </w:r>
      <w:r w:rsidRPr="008B7862">
        <w:rPr>
          <w:rFonts w:cstheme="minorHAnsi"/>
          <w:i/>
        </w:rPr>
        <w:t>The Later Roman Empire</w:t>
      </w:r>
      <w:r w:rsidRPr="008B7862">
        <w:rPr>
          <w:rFonts w:cstheme="minorHAnsi"/>
        </w:rPr>
        <w:t xml:space="preserve">, pp. 383-384; Chastagnol, </w:t>
      </w:r>
      <w:r w:rsidRPr="008B7862">
        <w:rPr>
          <w:rFonts w:cstheme="minorHAnsi"/>
          <w:i/>
        </w:rPr>
        <w:t>La Préfecture urbaine</w:t>
      </w:r>
      <w:r w:rsidRPr="008B7862">
        <w:rPr>
          <w:rFonts w:cstheme="minorHAnsi"/>
        </w:rPr>
        <w:t>, pp. xi-xii.</w:t>
      </w:r>
      <w:proofErr w:type="gramEnd"/>
    </w:p>
  </w:footnote>
  <w:footnote w:id="20">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Jones, </w:t>
      </w:r>
      <w:proofErr w:type="gramStart"/>
      <w:r w:rsidRPr="008B7862">
        <w:rPr>
          <w:rFonts w:cstheme="minorHAnsi"/>
          <w:i/>
        </w:rPr>
        <w:t>The</w:t>
      </w:r>
      <w:proofErr w:type="gramEnd"/>
      <w:r w:rsidRPr="008B7862">
        <w:rPr>
          <w:rFonts w:cstheme="minorHAnsi"/>
          <w:i/>
        </w:rPr>
        <w:t xml:space="preserve"> Later Roman Empire</w:t>
      </w:r>
      <w:r w:rsidRPr="008B7862">
        <w:rPr>
          <w:rFonts w:cstheme="minorHAnsi"/>
        </w:rPr>
        <w:t>, pp. 375-384.</w:t>
      </w:r>
    </w:p>
  </w:footnote>
  <w:footnote w:id="21">
    <w:p w:rsidR="00EC705D" w:rsidRPr="008B7862" w:rsidRDefault="00EC705D" w:rsidP="006E1E5C">
      <w:pPr>
        <w:pStyle w:val="FootnoteText"/>
        <w:tabs>
          <w:tab w:val="left" w:pos="5932"/>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377; </w:t>
      </w:r>
      <w:r w:rsidRPr="008B7862">
        <w:rPr>
          <w:rFonts w:cstheme="minorHAnsi"/>
          <w:bCs/>
          <w:lang w:eastAsia="zh-TW"/>
        </w:rPr>
        <w:t xml:space="preserve">Garnsey, P., ‘Writing the Late Roman Empire: Method and Sources’, in Gwyn, D (ed.)., </w:t>
      </w:r>
      <w:r w:rsidRPr="008B7862">
        <w:rPr>
          <w:rFonts w:cstheme="minorHAnsi"/>
          <w:bCs/>
          <w:i/>
          <w:lang w:eastAsia="zh-TW"/>
        </w:rPr>
        <w:t>A.H.M. Jones and the Later Roman Empire</w:t>
      </w:r>
      <w:r w:rsidRPr="008B7862">
        <w:rPr>
          <w:rFonts w:cstheme="minorHAnsi"/>
          <w:bCs/>
          <w:lang w:eastAsia="zh-TW"/>
        </w:rPr>
        <w:t xml:space="preserve"> (Leiden, 2008), P. 31.</w:t>
      </w:r>
      <w:r w:rsidRPr="008B7862">
        <w:rPr>
          <w:rFonts w:cstheme="minorHAnsi"/>
        </w:rPr>
        <w:tab/>
      </w:r>
    </w:p>
  </w:footnote>
  <w:footnote w:id="22">
    <w:p w:rsidR="00EC705D" w:rsidRPr="008B7862" w:rsidRDefault="00EC705D" w:rsidP="006E1E5C">
      <w:pPr>
        <w:pStyle w:val="FootnoteText"/>
        <w:tabs>
          <w:tab w:val="center" w:pos="4513"/>
        </w:tabs>
        <w:rPr>
          <w:rFonts w:cstheme="minorHAnsi"/>
        </w:rPr>
      </w:pPr>
      <w:r w:rsidRPr="008B7862">
        <w:rPr>
          <w:rStyle w:val="FootnoteReference"/>
          <w:rFonts w:cstheme="minorHAnsi"/>
        </w:rPr>
        <w:footnoteRef/>
      </w:r>
      <w:r w:rsidRPr="008B7862">
        <w:rPr>
          <w:rFonts w:cstheme="minorHAnsi"/>
        </w:rPr>
        <w:t xml:space="preserve"> Jones, </w:t>
      </w:r>
      <w:proofErr w:type="gramStart"/>
      <w:r w:rsidRPr="008B7862">
        <w:rPr>
          <w:rFonts w:cstheme="minorHAnsi"/>
          <w:i/>
        </w:rPr>
        <w:t>The</w:t>
      </w:r>
      <w:proofErr w:type="gramEnd"/>
      <w:r w:rsidRPr="008B7862">
        <w:rPr>
          <w:rFonts w:cstheme="minorHAnsi"/>
          <w:i/>
        </w:rPr>
        <w:t xml:space="preserve"> Later Roman Empire</w:t>
      </w:r>
      <w:r w:rsidRPr="008B7862">
        <w:rPr>
          <w:rFonts w:cstheme="minorHAnsi"/>
        </w:rPr>
        <w:t>, pp. 366-375.</w:t>
      </w:r>
      <w:r w:rsidRPr="008B7862">
        <w:rPr>
          <w:rFonts w:cstheme="minorHAnsi"/>
        </w:rPr>
        <w:tab/>
      </w:r>
    </w:p>
  </w:footnote>
  <w:footnote w:id="23">
    <w:p w:rsidR="00EC705D" w:rsidRPr="008B7862" w:rsidRDefault="00EC705D" w:rsidP="006E1E5C">
      <w:pPr>
        <w:pStyle w:val="FootnoteText"/>
        <w:tabs>
          <w:tab w:val="left" w:pos="5157"/>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687-689.</w:t>
      </w:r>
      <w:r w:rsidRPr="008B7862">
        <w:rPr>
          <w:rFonts w:cstheme="minorHAnsi"/>
        </w:rPr>
        <w:tab/>
      </w:r>
    </w:p>
  </w:footnote>
  <w:footnote w:id="24">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Potter, D.S., </w:t>
      </w:r>
      <w:proofErr w:type="gramStart"/>
      <w:r w:rsidRPr="008B7862">
        <w:rPr>
          <w:rFonts w:cstheme="minorHAnsi"/>
          <w:i/>
        </w:rPr>
        <w:t>The</w:t>
      </w:r>
      <w:proofErr w:type="gramEnd"/>
      <w:r w:rsidRPr="008B7862">
        <w:rPr>
          <w:rFonts w:cstheme="minorHAnsi"/>
          <w:i/>
        </w:rPr>
        <w:t xml:space="preserve"> Roman Empire at Bay AD 180-395</w:t>
      </w:r>
      <w:r w:rsidRPr="008B7862">
        <w:rPr>
          <w:rFonts w:cstheme="minorHAnsi"/>
        </w:rPr>
        <w:t xml:space="preserve"> (Abingdon, 2004), pp. 5-6 and 579-581.</w:t>
      </w:r>
    </w:p>
  </w:footnote>
  <w:footnote w:id="25">
    <w:p w:rsidR="00EC705D" w:rsidRPr="008B7862" w:rsidRDefault="00EC705D" w:rsidP="0030130A">
      <w:pPr>
        <w:pStyle w:val="FootnoteText"/>
        <w:rPr>
          <w:rFonts w:cstheme="minorHAnsi"/>
        </w:rPr>
      </w:pPr>
      <w:r w:rsidRPr="008B7862">
        <w:rPr>
          <w:rStyle w:val="FootnoteReference"/>
          <w:rFonts w:cstheme="minorHAnsi"/>
        </w:rPr>
        <w:footnoteRef/>
      </w:r>
      <w:r w:rsidRPr="008B7862">
        <w:rPr>
          <w:rFonts w:cstheme="minorHAnsi"/>
        </w:rPr>
        <w:t xml:space="preserve"> Brown, P., </w:t>
      </w:r>
      <w:r w:rsidRPr="008B7862">
        <w:rPr>
          <w:rFonts w:cstheme="minorHAnsi"/>
          <w:i/>
        </w:rPr>
        <w:t>Power and Persuasion in Late Antiquity towards a Christian Empire</w:t>
      </w:r>
      <w:r w:rsidRPr="008B7862">
        <w:rPr>
          <w:rFonts w:cstheme="minorHAnsi"/>
        </w:rPr>
        <w:t xml:space="preserve"> (London, 1992), pp. 19-82.</w:t>
      </w:r>
    </w:p>
  </w:footnote>
  <w:footnote w:id="26">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Ando, C., </w:t>
      </w:r>
      <w:r w:rsidRPr="008B7862">
        <w:rPr>
          <w:rFonts w:cstheme="minorHAnsi"/>
          <w:i/>
        </w:rPr>
        <w:t xml:space="preserve">Imperial Ideology and Provincial Loyalty in the Roman </w:t>
      </w:r>
      <w:r w:rsidRPr="008B7862">
        <w:rPr>
          <w:rFonts w:cstheme="minorHAnsi"/>
        </w:rPr>
        <w:t xml:space="preserve">Empire (London, 2000) and </w:t>
      </w:r>
      <w:r w:rsidRPr="008B7862">
        <w:rPr>
          <w:rFonts w:cstheme="minorHAnsi"/>
          <w:i/>
        </w:rPr>
        <w:t xml:space="preserve">Imperial Rome AD 193 to 284 </w:t>
      </w:r>
      <w:proofErr w:type="gramStart"/>
      <w:r w:rsidRPr="008B7862">
        <w:rPr>
          <w:rFonts w:cstheme="minorHAnsi"/>
          <w:i/>
        </w:rPr>
        <w:t>The</w:t>
      </w:r>
      <w:proofErr w:type="gramEnd"/>
      <w:r w:rsidRPr="008B7862">
        <w:rPr>
          <w:rFonts w:cstheme="minorHAnsi"/>
          <w:i/>
        </w:rPr>
        <w:t xml:space="preserve"> Critical Century</w:t>
      </w:r>
      <w:r w:rsidRPr="008B7862">
        <w:rPr>
          <w:rFonts w:cstheme="minorHAnsi"/>
        </w:rPr>
        <w:t xml:space="preserve"> (Edinburgh, 2012); Lendon, J.E., </w:t>
      </w:r>
      <w:r w:rsidRPr="008B7862">
        <w:rPr>
          <w:rFonts w:cstheme="minorHAnsi"/>
          <w:i/>
        </w:rPr>
        <w:t>Empire of Honour: The Art of Government in the Roman World</w:t>
      </w:r>
      <w:r w:rsidRPr="008B7862">
        <w:rPr>
          <w:rFonts w:cstheme="minorHAnsi"/>
        </w:rPr>
        <w:t xml:space="preserve"> (Oxford, 1997).</w:t>
      </w:r>
    </w:p>
  </w:footnote>
  <w:footnote w:id="27">
    <w:p w:rsidR="00EC705D" w:rsidRPr="008B7862" w:rsidRDefault="00EC705D" w:rsidP="006E1E5C">
      <w:pPr>
        <w:pStyle w:val="FootnoteText"/>
        <w:tabs>
          <w:tab w:val="center" w:pos="4513"/>
        </w:tabs>
        <w:rPr>
          <w:rFonts w:cstheme="minorHAnsi"/>
        </w:rPr>
      </w:pPr>
      <w:r w:rsidRPr="008B7862">
        <w:rPr>
          <w:rStyle w:val="FootnoteReference"/>
          <w:rFonts w:cstheme="minorHAnsi"/>
        </w:rPr>
        <w:footnoteRef/>
      </w:r>
      <w:r w:rsidRPr="008B7862">
        <w:rPr>
          <w:rFonts w:cstheme="minorHAnsi"/>
        </w:rPr>
        <w:t xml:space="preserve"> Larmour, D.H.J., and Spencer, D. (</w:t>
      </w:r>
      <w:proofErr w:type="gramStart"/>
      <w:r w:rsidRPr="008B7862">
        <w:rPr>
          <w:rFonts w:cstheme="minorHAnsi"/>
        </w:rPr>
        <w:t>eds</w:t>
      </w:r>
      <w:proofErr w:type="gramEnd"/>
      <w:r w:rsidRPr="008B7862">
        <w:rPr>
          <w:rFonts w:cstheme="minorHAnsi"/>
        </w:rPr>
        <w:t xml:space="preserve">), </w:t>
      </w:r>
      <w:r w:rsidRPr="008B7862">
        <w:rPr>
          <w:rFonts w:cstheme="minorHAnsi"/>
          <w:i/>
        </w:rPr>
        <w:t>The Sites of Rome: Time, Space, Memory</w:t>
      </w:r>
      <w:r w:rsidRPr="008B7862">
        <w:rPr>
          <w:rFonts w:cstheme="minorHAnsi"/>
        </w:rPr>
        <w:t xml:space="preserve"> (Oxford, 2007); Laurence, R., and Newsome, D.J. (eds), </w:t>
      </w:r>
      <w:r w:rsidRPr="008B7862">
        <w:rPr>
          <w:rFonts w:cstheme="minorHAnsi"/>
          <w:i/>
        </w:rPr>
        <w:t>Rome, Ostia, Pompeii Movement and Space</w:t>
      </w:r>
      <w:r w:rsidRPr="008B7862">
        <w:rPr>
          <w:rFonts w:cstheme="minorHAnsi"/>
        </w:rPr>
        <w:t xml:space="preserve"> (Oxford, 2011); Grig, L., and Kelly, G. (eds), </w:t>
      </w:r>
      <w:r w:rsidRPr="008B7862">
        <w:rPr>
          <w:rFonts w:cstheme="minorHAnsi"/>
          <w:i/>
        </w:rPr>
        <w:t>Two Romes: Rome and Constantinople in Late Antiquity</w:t>
      </w:r>
      <w:r w:rsidRPr="008B7862">
        <w:rPr>
          <w:rFonts w:cstheme="minorHAnsi"/>
        </w:rPr>
        <w:t xml:space="preserve"> (Oxford, 2012).</w:t>
      </w:r>
      <w:r w:rsidRPr="008B7862">
        <w:rPr>
          <w:rFonts w:cstheme="minorHAnsi"/>
        </w:rPr>
        <w:tab/>
      </w:r>
    </w:p>
  </w:footnote>
  <w:footnote w:id="28">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See:  Garnsey, P., </w:t>
      </w:r>
      <w:r w:rsidRPr="008B7862">
        <w:rPr>
          <w:rFonts w:cstheme="minorHAnsi"/>
          <w:i/>
        </w:rPr>
        <w:t>Famine and Food Supply in the Graeco-Roman World: Responses to Risk and Crisis</w:t>
      </w:r>
      <w:r w:rsidRPr="008B7862">
        <w:rPr>
          <w:rFonts w:cstheme="minorHAnsi"/>
        </w:rPr>
        <w:t xml:space="preserve"> (Cambridge, 1988); Tengström, E., </w:t>
      </w:r>
      <w:r w:rsidRPr="008B7862">
        <w:rPr>
          <w:rFonts w:cstheme="minorHAnsi"/>
          <w:i/>
          <w:iCs/>
        </w:rPr>
        <w:t>Bread for the People</w:t>
      </w:r>
      <w:r w:rsidR="007D570B">
        <w:rPr>
          <w:rFonts w:cstheme="minorHAnsi"/>
          <w:i/>
          <w:iCs/>
        </w:rPr>
        <w:t>.</w:t>
      </w:r>
      <w:r w:rsidRPr="008B7862">
        <w:rPr>
          <w:rFonts w:cstheme="minorHAnsi"/>
          <w:i/>
          <w:iCs/>
        </w:rPr>
        <w:t xml:space="preserve"> Studies of the Corn-Supply of Rome during the Late Empire</w:t>
      </w:r>
      <w:r w:rsidRPr="008B7862">
        <w:rPr>
          <w:rFonts w:cstheme="minorHAnsi"/>
          <w:iCs/>
        </w:rPr>
        <w:t xml:space="preserve"> (Stockholm, 1974)</w:t>
      </w:r>
      <w:r w:rsidRPr="008B7862">
        <w:rPr>
          <w:rFonts w:cstheme="minorHAnsi"/>
        </w:rPr>
        <w:t>; Taylor, R., ‘</w:t>
      </w:r>
      <w:r w:rsidRPr="008B7862">
        <w:rPr>
          <w:rFonts w:cstheme="minorHAnsi"/>
          <w:i/>
        </w:rPr>
        <w:t>a citeriore ripa Aquae</w:t>
      </w:r>
      <w:r w:rsidRPr="008B7862">
        <w:rPr>
          <w:rFonts w:cstheme="minorHAnsi"/>
        </w:rPr>
        <w:t xml:space="preserve">: Aqueduct River Crossings in the Ancient City of Rome‘, </w:t>
      </w:r>
      <w:r w:rsidRPr="008B7862">
        <w:rPr>
          <w:rFonts w:cstheme="minorHAnsi"/>
          <w:i/>
        </w:rPr>
        <w:t>Papers of the British School at Rome Vol. 63</w:t>
      </w:r>
      <w:r w:rsidRPr="008B7862">
        <w:rPr>
          <w:rFonts w:cstheme="minorHAnsi"/>
        </w:rPr>
        <w:t xml:space="preserve"> (1995), pp. 75-103; Wilson, A., ‘Late Antique Water-Mills on the Palatine’, </w:t>
      </w:r>
      <w:r w:rsidRPr="008B7862">
        <w:rPr>
          <w:rFonts w:cstheme="minorHAnsi"/>
          <w:i/>
        </w:rPr>
        <w:t>Papers of the British School at Rome Vol. 71</w:t>
      </w:r>
      <w:r w:rsidRPr="008B7862">
        <w:rPr>
          <w:rFonts w:cstheme="minorHAnsi"/>
        </w:rPr>
        <w:t xml:space="preserve"> (2003), pp. 85-109; Dey, H., </w:t>
      </w:r>
      <w:r w:rsidRPr="008B7862">
        <w:rPr>
          <w:rFonts w:cstheme="minorHAnsi"/>
          <w:i/>
        </w:rPr>
        <w:t>The Aurelian Wall and the Refashioning of Imperial Rome, AD 271-855</w:t>
      </w:r>
      <w:r w:rsidRPr="008B7862">
        <w:rPr>
          <w:rFonts w:cstheme="minorHAnsi"/>
        </w:rPr>
        <w:t xml:space="preserve"> (Cambridge, 2011).</w:t>
      </w:r>
    </w:p>
  </w:footnote>
  <w:footnote w:id="29">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König, J., and Whitmarsh, T., ‘Ordering Knowledge’, in König, J., and Whitmarsh, T. (</w:t>
      </w:r>
      <w:proofErr w:type="gramStart"/>
      <w:r w:rsidRPr="008B7862">
        <w:rPr>
          <w:rFonts w:cstheme="minorHAnsi"/>
        </w:rPr>
        <w:t>eds</w:t>
      </w:r>
      <w:proofErr w:type="gramEnd"/>
      <w:r w:rsidRPr="008B7862">
        <w:rPr>
          <w:rFonts w:cstheme="minorHAnsi"/>
        </w:rPr>
        <w:t xml:space="preserve">), </w:t>
      </w:r>
      <w:r w:rsidRPr="008B7862">
        <w:rPr>
          <w:rFonts w:cstheme="minorHAnsi"/>
          <w:i/>
        </w:rPr>
        <w:t>Ordering Knowledge in the Roman Empire</w:t>
      </w:r>
      <w:r w:rsidRPr="008B7862">
        <w:rPr>
          <w:rFonts w:cstheme="minorHAnsi"/>
        </w:rPr>
        <w:t xml:space="preserve"> (Cambridge, 2007), pp. 22-27.</w:t>
      </w:r>
    </w:p>
  </w:footnote>
  <w:footnote w:id="30">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Arce, J., ‘El inventario de Roma: </w:t>
      </w:r>
      <w:r w:rsidRPr="008B7862">
        <w:rPr>
          <w:rFonts w:cstheme="minorHAnsi"/>
          <w:i/>
        </w:rPr>
        <w:t>Curiosum y Notitia</w:t>
      </w:r>
      <w:r w:rsidRPr="008B7862">
        <w:rPr>
          <w:rFonts w:cstheme="minorHAnsi"/>
        </w:rPr>
        <w:t xml:space="preserve">’, in Harris, W.V., </w:t>
      </w:r>
      <w:r w:rsidRPr="008B7862">
        <w:rPr>
          <w:rFonts w:cstheme="minorHAnsi"/>
          <w:i/>
        </w:rPr>
        <w:t>The Transformation of the Urbs Roma in Late Antiquity</w:t>
      </w:r>
      <w:r w:rsidRPr="008B7862">
        <w:rPr>
          <w:rFonts w:cstheme="minorHAnsi"/>
          <w:iCs/>
        </w:rPr>
        <w:t xml:space="preserve"> (Portsmouth, 1999)</w:t>
      </w:r>
      <w:r w:rsidRPr="008B7862">
        <w:rPr>
          <w:rFonts w:cstheme="minorHAnsi"/>
        </w:rPr>
        <w:t>, P. 22.</w:t>
      </w:r>
    </w:p>
  </w:footnote>
  <w:footnote w:id="31">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Jordan, H., </w:t>
      </w:r>
      <w:r w:rsidRPr="008B7862">
        <w:rPr>
          <w:rFonts w:cstheme="minorHAnsi"/>
          <w:i/>
        </w:rPr>
        <w:t>Topographie der Stadt Rom im Alterthum</w:t>
      </w:r>
      <w:r w:rsidRPr="008B7862">
        <w:rPr>
          <w:rFonts w:cstheme="minorHAnsi"/>
        </w:rPr>
        <w:t xml:space="preserve"> </w:t>
      </w:r>
      <w:r w:rsidRPr="008B7862">
        <w:rPr>
          <w:rFonts w:cstheme="minorHAnsi"/>
          <w:i/>
        </w:rPr>
        <w:t>2vols.</w:t>
      </w:r>
      <w:r w:rsidRPr="008B7862">
        <w:rPr>
          <w:rFonts w:cstheme="minorHAnsi"/>
        </w:rPr>
        <w:t xml:space="preserve"> (Roma, 1970)</w:t>
      </w:r>
    </w:p>
  </w:footnote>
  <w:footnote w:id="32">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305-318.</w:t>
      </w:r>
    </w:p>
  </w:footnote>
  <w:footnote w:id="33">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Merrill, ‘The Date of Notitia and Curiosum’, pp. 139-144.</w:t>
      </w:r>
    </w:p>
  </w:footnote>
  <w:footnote w:id="34">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135.</w:t>
      </w:r>
    </w:p>
  </w:footnote>
  <w:footnote w:id="35">
    <w:p w:rsidR="00EC705D" w:rsidRPr="008B7862" w:rsidRDefault="00EC705D" w:rsidP="00B952E8">
      <w:pPr>
        <w:pStyle w:val="FootnoteText"/>
        <w:tabs>
          <w:tab w:val="left" w:pos="3851"/>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134-137.</w:t>
      </w:r>
      <w:r w:rsidRPr="008B7862">
        <w:rPr>
          <w:rFonts w:cstheme="minorHAnsi"/>
        </w:rPr>
        <w:tab/>
      </w:r>
    </w:p>
  </w:footnote>
  <w:footnote w:id="36">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Valentini, R., and Zucchetti, G., </w:t>
      </w:r>
      <w:r w:rsidRPr="008B7862">
        <w:rPr>
          <w:rFonts w:cstheme="minorHAnsi"/>
          <w:i/>
        </w:rPr>
        <w:t>Codice Topografico Della Città di Roma</w:t>
      </w:r>
      <w:r w:rsidRPr="008B7862">
        <w:rPr>
          <w:rFonts w:cstheme="minorHAnsi"/>
        </w:rPr>
        <w:t xml:space="preserve"> (Roma, 1940).</w:t>
      </w:r>
      <w:proofErr w:type="gramEnd"/>
    </w:p>
  </w:footnote>
  <w:footnote w:id="37">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Nordh, A., </w:t>
      </w:r>
      <w:r w:rsidRPr="008B7862">
        <w:rPr>
          <w:rFonts w:cstheme="minorHAnsi"/>
          <w:i/>
        </w:rPr>
        <w:t>Libellus de Regionibus Urbis Romae</w:t>
      </w:r>
      <w:r w:rsidRPr="008B7862">
        <w:rPr>
          <w:rFonts w:cstheme="minorHAnsi"/>
        </w:rPr>
        <w:t xml:space="preserve"> (Rome, 1949), pp. 1-7</w:t>
      </w:r>
    </w:p>
  </w:footnote>
  <w:footnote w:id="38">
    <w:p w:rsidR="00EC705D" w:rsidRPr="008B7862" w:rsidRDefault="00EC705D" w:rsidP="006E1E5C">
      <w:pPr>
        <w:pStyle w:val="FootnoteText"/>
        <w:jc w:val="both"/>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Chastagnol, La Préfecture urbaine</w:t>
      </w:r>
      <w:r w:rsidRPr="008B7862">
        <w:rPr>
          <w:rFonts w:cstheme="minorHAnsi"/>
        </w:rPr>
        <w:t>, pp. v-x.</w:t>
      </w:r>
      <w:proofErr w:type="gramEnd"/>
    </w:p>
  </w:footnote>
  <w:footnote w:id="39">
    <w:p w:rsidR="00EC705D" w:rsidRPr="008B7862" w:rsidRDefault="00EC705D" w:rsidP="006E1E5C">
      <w:pPr>
        <w:pStyle w:val="FootnoteText"/>
        <w:tabs>
          <w:tab w:val="left" w:pos="7779"/>
        </w:tabs>
        <w:rPr>
          <w:rFonts w:cstheme="minorHAnsi"/>
        </w:rPr>
      </w:pPr>
      <w:r w:rsidRPr="008B7862">
        <w:rPr>
          <w:rStyle w:val="FootnoteReference"/>
          <w:rFonts w:cstheme="minorHAnsi"/>
        </w:rPr>
        <w:footnoteRef/>
      </w:r>
      <w:r w:rsidRPr="008B7862">
        <w:rPr>
          <w:rFonts w:cstheme="minorHAnsi"/>
        </w:rPr>
        <w:t xml:space="preserve"> See Jones, </w:t>
      </w:r>
      <w:r w:rsidRPr="008B7862">
        <w:rPr>
          <w:rFonts w:cstheme="minorHAnsi"/>
          <w:i/>
        </w:rPr>
        <w:t>Later Roman Empire</w:t>
      </w:r>
      <w:r w:rsidRPr="008B7862">
        <w:rPr>
          <w:rFonts w:cstheme="minorHAnsi"/>
        </w:rPr>
        <w:t xml:space="preserve">; Kelly, </w:t>
      </w:r>
      <w:r w:rsidRPr="008B7862">
        <w:rPr>
          <w:rFonts w:cstheme="minorHAnsi"/>
          <w:i/>
        </w:rPr>
        <w:t>Ruling the Later Roman Empire</w:t>
      </w:r>
      <w:r w:rsidRPr="008B7862">
        <w:rPr>
          <w:rFonts w:cstheme="minorHAnsi"/>
        </w:rPr>
        <w:t xml:space="preserve">; Potter, </w:t>
      </w:r>
      <w:r w:rsidRPr="008B7862">
        <w:rPr>
          <w:rFonts w:cstheme="minorHAnsi"/>
          <w:i/>
        </w:rPr>
        <w:t>Companion to the Roman Empire</w:t>
      </w:r>
      <w:r w:rsidRPr="008B7862">
        <w:rPr>
          <w:rFonts w:cstheme="minorHAnsi"/>
        </w:rPr>
        <w:t xml:space="preserve"> for more on Chastagnol’s influence on studies of the Empire; See Tengström, E., </w:t>
      </w:r>
      <w:r w:rsidRPr="008B7862">
        <w:rPr>
          <w:rFonts w:cstheme="minorHAnsi"/>
          <w:i/>
          <w:iCs/>
        </w:rPr>
        <w:t>Bread for the People</w:t>
      </w:r>
      <w:r w:rsidRPr="008B7862">
        <w:rPr>
          <w:rFonts w:cstheme="minorHAnsi"/>
          <w:iCs/>
        </w:rPr>
        <w:t xml:space="preserve">; Nippel, W., </w:t>
      </w:r>
      <w:r w:rsidRPr="008B7862">
        <w:rPr>
          <w:rFonts w:cstheme="minorHAnsi"/>
          <w:i/>
          <w:iCs/>
        </w:rPr>
        <w:t>Public Order in Ancient Rome</w:t>
      </w:r>
      <w:r w:rsidRPr="008B7862">
        <w:rPr>
          <w:rFonts w:cstheme="minorHAnsi"/>
          <w:iCs/>
        </w:rPr>
        <w:t xml:space="preserve"> (Cambridge, 1995) and </w:t>
      </w:r>
      <w:r w:rsidRPr="008B7862">
        <w:rPr>
          <w:rFonts w:cstheme="minorHAnsi"/>
        </w:rPr>
        <w:t xml:space="preserve">Lançon, B., </w:t>
      </w:r>
      <w:r w:rsidRPr="008B7862">
        <w:rPr>
          <w:rFonts w:cstheme="minorHAnsi"/>
          <w:i/>
          <w:iCs/>
        </w:rPr>
        <w:t>Rome in Late Antiquity Everyday Life and Urban Change, AD 312-609</w:t>
      </w:r>
      <w:r w:rsidRPr="008B7862">
        <w:rPr>
          <w:rFonts w:cstheme="minorHAnsi"/>
        </w:rPr>
        <w:t>, trans. Antonia Nevill (Edinburgh, 2000) for Chastagnol’s influence on specific aspects of the urban administration of Rome.</w:t>
      </w:r>
    </w:p>
  </w:footnote>
  <w:footnote w:id="40">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Storey, G.R., ‘Regionaries-Type Insulae 2: Architectural/Residential Units at Ostia’, </w:t>
      </w:r>
      <w:r w:rsidRPr="008B7862">
        <w:rPr>
          <w:rFonts w:cstheme="minorHAnsi"/>
          <w:i/>
          <w:iCs/>
        </w:rPr>
        <w:t>American Journal of Archaeology Vol. 105 No. 3</w:t>
      </w:r>
      <w:r w:rsidRPr="008B7862">
        <w:rPr>
          <w:rFonts w:cstheme="minorHAnsi"/>
          <w:iCs/>
        </w:rPr>
        <w:t xml:space="preserve"> (2001), pp. 430-432.</w:t>
      </w:r>
    </w:p>
  </w:footnote>
  <w:footnote w:id="41">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430-434; Hermansen, G., ‘The Population of Imperial Rome: The Regionaries’ </w:t>
      </w:r>
      <w:r w:rsidRPr="008B7862">
        <w:rPr>
          <w:rFonts w:cstheme="minorHAnsi"/>
          <w:i/>
          <w:iCs/>
          <w:lang w:val="de-DE"/>
        </w:rPr>
        <w:t xml:space="preserve">Historia: Zeitschrift für Alte Geschichte Bd. 27 H. 1 </w:t>
      </w:r>
      <w:r w:rsidRPr="008B7862">
        <w:rPr>
          <w:rFonts w:cstheme="minorHAnsi"/>
          <w:lang w:val="de-DE"/>
        </w:rPr>
        <w:t>(1978)</w:t>
      </w:r>
      <w:r w:rsidRPr="008B7862">
        <w:rPr>
          <w:rFonts w:cstheme="minorHAnsi"/>
        </w:rPr>
        <w:t>, pp. 165-167.</w:t>
      </w:r>
    </w:p>
  </w:footnote>
  <w:footnote w:id="42">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138.</w:t>
      </w:r>
    </w:p>
  </w:footnote>
  <w:footnote w:id="43">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Hermansen, G., ‘The Population of Imperial Rome’, P. 132; see also Nordh, </w:t>
      </w:r>
      <w:r w:rsidRPr="008B7862">
        <w:rPr>
          <w:rFonts w:cstheme="minorHAnsi"/>
          <w:i/>
        </w:rPr>
        <w:t>Libellus de Regionibus Urbis Romae</w:t>
      </w:r>
      <w:r w:rsidRPr="008B7862">
        <w:rPr>
          <w:rFonts w:cstheme="minorHAnsi"/>
        </w:rPr>
        <w:t xml:space="preserve"> (Rome, 1949).</w:t>
      </w:r>
    </w:p>
  </w:footnote>
  <w:footnote w:id="44">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Hermansen, ‘The Population of Imperial Rome’, pp. 165-167.</w:t>
      </w:r>
    </w:p>
  </w:footnote>
  <w:footnote w:id="45">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Arce, ‘El inventario de Roma’, P. 15.</w:t>
      </w:r>
      <w:proofErr w:type="gramEnd"/>
    </w:p>
  </w:footnote>
  <w:footnote w:id="46">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22.</w:t>
      </w:r>
    </w:p>
  </w:footnote>
  <w:footnote w:id="47">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See Brown, P., ‘Aspects of the Christianisation of the Roman Aristocracy’ </w:t>
      </w:r>
      <w:r w:rsidRPr="008B7862">
        <w:rPr>
          <w:rFonts w:cstheme="minorHAnsi"/>
          <w:i/>
        </w:rPr>
        <w:t>Journal of Roman Studies Vol. 58</w:t>
      </w:r>
      <w:r w:rsidRPr="008B7862">
        <w:rPr>
          <w:rFonts w:cstheme="minorHAnsi"/>
        </w:rPr>
        <w:t xml:space="preserve"> (1961); Arnheim, M.T.W., </w:t>
      </w:r>
      <w:r w:rsidRPr="008B7862">
        <w:rPr>
          <w:rFonts w:cstheme="minorHAnsi"/>
          <w:i/>
        </w:rPr>
        <w:t>Senatorial Aristocracy in the Later Roman Empire</w:t>
      </w:r>
      <w:r w:rsidRPr="008B7862">
        <w:rPr>
          <w:rFonts w:cstheme="minorHAnsi"/>
        </w:rPr>
        <w:t xml:space="preserve"> (Oxford, 1972); and </w:t>
      </w:r>
      <w:r w:rsidRPr="008B7862">
        <w:rPr>
          <w:rFonts w:eastAsiaTheme="majorEastAsia" w:cstheme="minorHAnsi"/>
          <w:lang w:val="de-DE"/>
        </w:rPr>
        <w:t>Smith, R., ‘The Construction of the Past in the Roman Empire</w:t>
      </w:r>
      <w:r w:rsidRPr="008B7862">
        <w:rPr>
          <w:rFonts w:eastAsiaTheme="majorEastAsia" w:cstheme="minorHAnsi"/>
        </w:rPr>
        <w:t>’</w:t>
      </w:r>
      <w:r w:rsidRPr="008B7862">
        <w:rPr>
          <w:rFonts w:eastAsiaTheme="majorEastAsia" w:cstheme="minorHAnsi"/>
          <w:lang w:val="de-DE"/>
        </w:rPr>
        <w:t xml:space="preserve">, </w:t>
      </w:r>
      <w:r w:rsidRPr="008B7862">
        <w:rPr>
          <w:rFonts w:eastAsiaTheme="majorEastAsia" w:cstheme="minorHAnsi"/>
          <w:bCs/>
        </w:rPr>
        <w:t xml:space="preserve">in Potter, D. (ed.), </w:t>
      </w:r>
      <w:r w:rsidRPr="008B7862">
        <w:rPr>
          <w:rFonts w:eastAsiaTheme="majorEastAsia" w:cstheme="minorHAnsi"/>
          <w:bCs/>
          <w:i/>
          <w:iCs/>
        </w:rPr>
        <w:t>A Companion to the Roman Empire</w:t>
      </w:r>
      <w:r w:rsidRPr="008B7862">
        <w:rPr>
          <w:rFonts w:eastAsiaTheme="majorEastAsia" w:cstheme="minorHAnsi"/>
          <w:bCs/>
          <w:iCs/>
        </w:rPr>
        <w:t xml:space="preserve"> (Oxford, 2006).</w:t>
      </w:r>
    </w:p>
  </w:footnote>
  <w:footnote w:id="48">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Behrwald, R., ‘Les Régionnaires de Rome: Stratigraphies d’un texte’, </w:t>
      </w:r>
      <w:r w:rsidRPr="008B7862">
        <w:rPr>
          <w:rFonts w:cstheme="minorHAnsi"/>
          <w:i/>
        </w:rPr>
        <w:t xml:space="preserve">Comptes rendus des séances de l’Académie des Inscriptions et Belles </w:t>
      </w:r>
      <w:proofErr w:type="gramStart"/>
      <w:r w:rsidRPr="008B7862">
        <w:rPr>
          <w:rFonts w:cstheme="minorHAnsi"/>
          <w:i/>
        </w:rPr>
        <w:t>Lettres</w:t>
      </w:r>
      <w:r w:rsidRPr="008B7862">
        <w:rPr>
          <w:rFonts w:cstheme="minorHAnsi"/>
        </w:rPr>
        <w:t>(</w:t>
      </w:r>
      <w:proofErr w:type="gramEnd"/>
      <w:r w:rsidRPr="008B7862">
        <w:rPr>
          <w:rFonts w:cstheme="minorHAnsi"/>
        </w:rPr>
        <w:t>2006), pp. 743-764.</w:t>
      </w:r>
    </w:p>
  </w:footnote>
  <w:footnote w:id="49">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Wallace-Hadrill, A., </w:t>
      </w:r>
      <w:r w:rsidRPr="008B7862">
        <w:rPr>
          <w:rFonts w:cstheme="minorHAnsi"/>
          <w:i/>
        </w:rPr>
        <w:t>Rome’s Cultural Revolution</w:t>
      </w:r>
      <w:r w:rsidRPr="008B7862">
        <w:rPr>
          <w:rFonts w:cstheme="minorHAnsi"/>
        </w:rPr>
        <w:t xml:space="preserve"> (Cambridge, 2008), pp. 294-312.</w:t>
      </w:r>
      <w:proofErr w:type="gramEnd"/>
    </w:p>
  </w:footnote>
  <w:footnote w:id="50">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Reynolds, ‘The Lost Architecture of Ancient Rome’, P. 16.</w:t>
      </w:r>
      <w:proofErr w:type="gramEnd"/>
    </w:p>
  </w:footnote>
  <w:footnote w:id="51">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Wallace-Hadrill, </w:t>
      </w:r>
      <w:r w:rsidRPr="008B7862">
        <w:rPr>
          <w:rFonts w:cstheme="minorHAnsi"/>
          <w:i/>
        </w:rPr>
        <w:t>Cultural Revolution,</w:t>
      </w:r>
      <w:r w:rsidRPr="008B7862">
        <w:rPr>
          <w:rFonts w:cstheme="minorHAnsi"/>
        </w:rPr>
        <w:t xml:space="preserve"> pp. 302-303.</w:t>
      </w:r>
    </w:p>
  </w:footnote>
  <w:footnote w:id="52">
    <w:p w:rsidR="00EC705D" w:rsidRPr="008B7862" w:rsidRDefault="00EC705D" w:rsidP="001169AC">
      <w:pPr>
        <w:pStyle w:val="FootnoteText"/>
        <w:tabs>
          <w:tab w:val="left" w:pos="1641"/>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proofErr w:type="gramEnd"/>
      <w:r w:rsidRPr="008B7862">
        <w:rPr>
          <w:rFonts w:cstheme="minorHAnsi"/>
          <w:i/>
        </w:rPr>
        <w:t xml:space="preserve"> </w:t>
      </w:r>
      <w:r w:rsidRPr="008B7862">
        <w:rPr>
          <w:rFonts w:cstheme="minorHAnsi"/>
        </w:rPr>
        <w:t>P. 298.</w:t>
      </w:r>
      <w:r w:rsidRPr="008B7862">
        <w:rPr>
          <w:rFonts w:cstheme="minorHAnsi"/>
        </w:rPr>
        <w:tab/>
      </w:r>
    </w:p>
  </w:footnote>
  <w:footnote w:id="53">
    <w:p w:rsidR="00EC705D" w:rsidRPr="008B7862" w:rsidRDefault="00EC705D" w:rsidP="00CC6095">
      <w:pPr>
        <w:pStyle w:val="FootnoteText"/>
        <w:tabs>
          <w:tab w:val="center" w:pos="4513"/>
        </w:tabs>
        <w:rPr>
          <w:rFonts w:cstheme="minorHAnsi"/>
          <w:b/>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Hermansen, G., ‘The Population of Imperial Rome’, P. 133.</w:t>
      </w:r>
      <w:proofErr w:type="gramEnd"/>
      <w:r w:rsidRPr="008B7862">
        <w:rPr>
          <w:rFonts w:cstheme="minorHAnsi"/>
          <w:b/>
        </w:rPr>
        <w:tab/>
      </w:r>
    </w:p>
  </w:footnote>
  <w:footnote w:id="54">
    <w:p w:rsidR="00EC705D" w:rsidRPr="008B7862" w:rsidRDefault="00EC705D" w:rsidP="006E1E5C">
      <w:pPr>
        <w:pStyle w:val="FootnoteText"/>
        <w:tabs>
          <w:tab w:val="left" w:pos="5463"/>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Arce, ‘El inventario de Roma’, 19-20.</w:t>
      </w:r>
      <w:proofErr w:type="gramEnd"/>
      <w:r w:rsidRPr="008B7862">
        <w:rPr>
          <w:rFonts w:cstheme="minorHAnsi"/>
        </w:rPr>
        <w:tab/>
      </w:r>
    </w:p>
  </w:footnote>
  <w:footnote w:id="55">
    <w:p w:rsidR="00EC705D" w:rsidRPr="008B7862" w:rsidRDefault="00EC705D" w:rsidP="00CC6095">
      <w:pPr>
        <w:pStyle w:val="FootnoteText"/>
        <w:rPr>
          <w:rFonts w:cstheme="minorHAnsi"/>
        </w:rPr>
      </w:pPr>
      <w:r w:rsidRPr="008B7862">
        <w:rPr>
          <w:rStyle w:val="FootnoteReference"/>
          <w:rFonts w:cstheme="minorHAnsi"/>
        </w:rPr>
        <w:footnoteRef/>
      </w:r>
      <w:r w:rsidRPr="008B7862">
        <w:rPr>
          <w:rFonts w:cstheme="minorHAnsi"/>
        </w:rPr>
        <w:t xml:space="preserve"> Valentini, and Zucchetti, </w:t>
      </w:r>
      <w:r w:rsidRPr="008B7862">
        <w:rPr>
          <w:rFonts w:cstheme="minorHAnsi"/>
          <w:i/>
        </w:rPr>
        <w:t>Codice Topografico</w:t>
      </w:r>
      <w:r w:rsidRPr="008B7862">
        <w:rPr>
          <w:rFonts w:cstheme="minorHAnsi"/>
        </w:rPr>
        <w:t>, P. 67.</w:t>
      </w:r>
    </w:p>
  </w:footnote>
  <w:footnote w:id="56">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Hooghe, </w:t>
      </w:r>
      <w:r w:rsidRPr="008B7862">
        <w:rPr>
          <w:rFonts w:cstheme="minorHAnsi"/>
          <w:i/>
          <w:iCs/>
        </w:rPr>
        <w:t>The European Commission and the Integration of Europe: Images of Government</w:t>
      </w:r>
      <w:r w:rsidRPr="008B7862">
        <w:rPr>
          <w:rFonts w:cstheme="minorHAnsi"/>
        </w:rPr>
        <w:t xml:space="preserve"> (Cambridge, 2001); pp. 37-40, Weber, M., </w:t>
      </w:r>
      <w:r w:rsidRPr="008B7862">
        <w:rPr>
          <w:rFonts w:cstheme="minorHAnsi"/>
          <w:i/>
          <w:iCs/>
        </w:rPr>
        <w:t>Economy and Society</w:t>
      </w:r>
      <w:r w:rsidRPr="008B7862">
        <w:rPr>
          <w:rFonts w:cstheme="minorHAnsi"/>
        </w:rPr>
        <w:t xml:space="preserve">, trans. Fischoff, E., Gerth, H., Henderson, A.M., Kolegar, F., Mills, C.W., Parsons, T., Rheinstein, M., Roth, G., Shils, E., and Wittich, C., (London, 1978), pp. 956-958, 973-975 and 998-1000; Zuboff, S., </w:t>
      </w:r>
      <w:r w:rsidRPr="008B7862">
        <w:rPr>
          <w:rFonts w:cstheme="minorHAnsi"/>
          <w:i/>
          <w:iCs/>
        </w:rPr>
        <w:t>In the Age of the Smart Machine: The Future of Work and Power</w:t>
      </w:r>
      <w:r w:rsidRPr="008B7862">
        <w:rPr>
          <w:rFonts w:cstheme="minorHAnsi"/>
        </w:rPr>
        <w:t xml:space="preserve"> (Oxford, 1988), pp. 322-326</w:t>
      </w:r>
    </w:p>
  </w:footnote>
  <w:footnote w:id="57">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Weber, M., ‘Power and Domination’, in Weber, M., </w:t>
      </w:r>
      <w:r w:rsidRPr="008B7862">
        <w:rPr>
          <w:rFonts w:cstheme="minorHAnsi"/>
          <w:i/>
        </w:rPr>
        <w:t>Economy and Society: An Outline of Interpretive Sociology</w:t>
      </w:r>
      <w:r w:rsidRPr="008B7862">
        <w:rPr>
          <w:rFonts w:cstheme="minorHAnsi"/>
        </w:rPr>
        <w:t xml:space="preserve">, </w:t>
      </w:r>
      <w:proofErr w:type="gramStart"/>
      <w:r w:rsidRPr="008B7862">
        <w:rPr>
          <w:rFonts w:cstheme="minorHAnsi"/>
        </w:rPr>
        <w:t>eds</w:t>
      </w:r>
      <w:proofErr w:type="gramEnd"/>
      <w:r w:rsidRPr="008B7862">
        <w:rPr>
          <w:rFonts w:cstheme="minorHAnsi"/>
        </w:rPr>
        <w:t xml:space="preserve"> Guenther Roth and Claus Wittich, trans. Max Rheinstein (Berkeley, 1978), pp. 946-948.</w:t>
      </w:r>
    </w:p>
  </w:footnote>
  <w:footnote w:id="58">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lang w:val="de-DE"/>
        </w:rPr>
        <w:t xml:space="preserve">Weber, M., ‘The Social Causes of the Decay of Ancient Civilization‘, </w:t>
      </w:r>
      <w:r w:rsidRPr="008B7862">
        <w:rPr>
          <w:rFonts w:cstheme="minorHAnsi"/>
          <w:i/>
          <w:lang w:val="de-DE"/>
        </w:rPr>
        <w:t>The Journal of General Education Vol. 5 No. 1</w:t>
      </w:r>
      <w:r w:rsidRPr="008B7862">
        <w:rPr>
          <w:rFonts w:cstheme="minorHAnsi"/>
          <w:lang w:val="de-DE"/>
        </w:rPr>
        <w:t xml:space="preserve"> (1950), pp. 79-81.  </w:t>
      </w:r>
    </w:p>
  </w:footnote>
  <w:footnote w:id="59">
    <w:p w:rsidR="00EC705D" w:rsidRPr="008B7862" w:rsidRDefault="00EC705D" w:rsidP="006E1E5C">
      <w:pPr>
        <w:pStyle w:val="FootnoteText"/>
        <w:tabs>
          <w:tab w:val="left" w:pos="6574"/>
        </w:tabs>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lang w:val="de-DE"/>
        </w:rPr>
        <w:t>Ibid</w:t>
      </w:r>
      <w:r w:rsidRPr="008B7862">
        <w:rPr>
          <w:rFonts w:cstheme="minorHAnsi"/>
          <w:lang w:val="de-DE"/>
        </w:rPr>
        <w:t>., pp. 77-78.</w:t>
      </w:r>
      <w:r w:rsidRPr="008B7862">
        <w:rPr>
          <w:rFonts w:cstheme="minorHAnsi"/>
          <w:lang w:val="de-DE"/>
        </w:rPr>
        <w:tab/>
      </w:r>
    </w:p>
  </w:footnote>
  <w:footnote w:id="60">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shd w:val="clear" w:color="auto" w:fill="FFFFFF"/>
        </w:rPr>
        <w:t>Foucault, M.,</w:t>
      </w:r>
      <w:r w:rsidRPr="008B7862">
        <w:rPr>
          <w:rStyle w:val="apple-converted-space"/>
          <w:rFonts w:cstheme="minorHAnsi"/>
          <w:shd w:val="clear" w:color="auto" w:fill="FFFFFF"/>
        </w:rPr>
        <w:t> </w:t>
      </w:r>
      <w:r w:rsidRPr="008B7862">
        <w:rPr>
          <w:rFonts w:cstheme="minorHAnsi"/>
          <w:i/>
          <w:iCs/>
          <w:shd w:val="clear" w:color="auto" w:fill="FFFFFF"/>
        </w:rPr>
        <w:t xml:space="preserve">'Governmentality', </w:t>
      </w:r>
      <w:r w:rsidRPr="008B7862">
        <w:rPr>
          <w:rFonts w:cstheme="minorHAnsi"/>
          <w:iCs/>
          <w:shd w:val="clear" w:color="auto" w:fill="FFFFFF"/>
        </w:rPr>
        <w:t>trans. Rosi Braidotti</w:t>
      </w:r>
      <w:r w:rsidRPr="008B7862">
        <w:rPr>
          <w:rFonts w:cstheme="minorHAnsi"/>
          <w:i/>
          <w:iCs/>
          <w:shd w:val="clear" w:color="auto" w:fill="FFFFFF"/>
        </w:rPr>
        <w:t xml:space="preserve">, </w:t>
      </w:r>
      <w:r w:rsidRPr="008B7862">
        <w:rPr>
          <w:rFonts w:cstheme="minorHAnsi"/>
          <w:iCs/>
          <w:shd w:val="clear" w:color="auto" w:fill="FFFFFF"/>
        </w:rPr>
        <w:t>in</w:t>
      </w:r>
      <w:r w:rsidRPr="008B7862">
        <w:rPr>
          <w:rFonts w:cstheme="minorHAnsi"/>
          <w:i/>
          <w:iCs/>
          <w:shd w:val="clear" w:color="auto" w:fill="FFFFFF"/>
        </w:rPr>
        <w:t xml:space="preserve"> </w:t>
      </w:r>
      <w:r w:rsidRPr="008B7862">
        <w:rPr>
          <w:rFonts w:cstheme="minorHAnsi"/>
          <w:iCs/>
          <w:shd w:val="clear" w:color="auto" w:fill="FFFFFF"/>
        </w:rPr>
        <w:t>Burchell, G.</w:t>
      </w:r>
      <w:r w:rsidRPr="008B7862">
        <w:rPr>
          <w:rFonts w:cstheme="minorHAnsi"/>
          <w:i/>
          <w:iCs/>
          <w:shd w:val="clear" w:color="auto" w:fill="FFFFFF"/>
        </w:rPr>
        <w:t xml:space="preserve">, </w:t>
      </w:r>
      <w:r w:rsidRPr="008B7862">
        <w:rPr>
          <w:rFonts w:cstheme="minorHAnsi"/>
          <w:iCs/>
          <w:shd w:val="clear" w:color="auto" w:fill="FFFFFF"/>
        </w:rPr>
        <w:t>Gordon, C.,</w:t>
      </w:r>
      <w:r w:rsidRPr="008B7862">
        <w:rPr>
          <w:rFonts w:cstheme="minorHAnsi"/>
          <w:i/>
          <w:iCs/>
          <w:shd w:val="clear" w:color="auto" w:fill="FFFFFF"/>
        </w:rPr>
        <w:t xml:space="preserve"> </w:t>
      </w:r>
      <w:r w:rsidRPr="008B7862">
        <w:rPr>
          <w:rFonts w:cstheme="minorHAnsi"/>
          <w:iCs/>
          <w:shd w:val="clear" w:color="auto" w:fill="FFFFFF"/>
        </w:rPr>
        <w:t>and</w:t>
      </w:r>
      <w:r w:rsidRPr="008B7862">
        <w:rPr>
          <w:rFonts w:cstheme="minorHAnsi"/>
          <w:i/>
          <w:iCs/>
          <w:shd w:val="clear" w:color="auto" w:fill="FFFFFF"/>
        </w:rPr>
        <w:t xml:space="preserve"> </w:t>
      </w:r>
      <w:r w:rsidRPr="008B7862">
        <w:rPr>
          <w:rFonts w:cstheme="minorHAnsi"/>
          <w:iCs/>
          <w:shd w:val="clear" w:color="auto" w:fill="FFFFFF"/>
        </w:rPr>
        <w:t>Miller, P.</w:t>
      </w:r>
      <w:r w:rsidRPr="008B7862">
        <w:rPr>
          <w:rFonts w:cstheme="minorHAnsi"/>
          <w:i/>
          <w:iCs/>
          <w:shd w:val="clear" w:color="auto" w:fill="FFFFFF"/>
        </w:rPr>
        <w:t xml:space="preserve"> (</w:t>
      </w:r>
      <w:proofErr w:type="gramStart"/>
      <w:r w:rsidRPr="008B7862">
        <w:rPr>
          <w:rFonts w:cstheme="minorHAnsi"/>
          <w:iCs/>
          <w:shd w:val="clear" w:color="auto" w:fill="FFFFFF"/>
        </w:rPr>
        <w:t>eds</w:t>
      </w:r>
      <w:proofErr w:type="gramEnd"/>
      <w:r w:rsidRPr="008B7862">
        <w:rPr>
          <w:rFonts w:cstheme="minorHAnsi"/>
          <w:i/>
          <w:iCs/>
          <w:shd w:val="clear" w:color="auto" w:fill="FFFFFF"/>
        </w:rPr>
        <w:t>)</w:t>
      </w:r>
      <w:r w:rsidRPr="008B7862">
        <w:rPr>
          <w:rFonts w:cstheme="minorHAnsi"/>
          <w:iCs/>
          <w:shd w:val="clear" w:color="auto" w:fill="FFFFFF"/>
        </w:rPr>
        <w:t>,</w:t>
      </w:r>
      <w:r w:rsidRPr="008B7862">
        <w:rPr>
          <w:rStyle w:val="apple-converted-space"/>
          <w:rFonts w:cstheme="minorHAnsi"/>
          <w:shd w:val="clear" w:color="auto" w:fill="FFFFFF"/>
        </w:rPr>
        <w:t> </w:t>
      </w:r>
      <w:r w:rsidRPr="008B7862">
        <w:rPr>
          <w:rFonts w:cstheme="minorHAnsi"/>
          <w:i/>
          <w:shd w:val="clear" w:color="auto" w:fill="FFFFFF"/>
        </w:rPr>
        <w:t>The Foucault Effect: Studies in Governmentality</w:t>
      </w:r>
      <w:r w:rsidRPr="008B7862">
        <w:rPr>
          <w:rFonts w:cstheme="minorHAnsi"/>
          <w:shd w:val="clear" w:color="auto" w:fill="FFFFFF"/>
        </w:rPr>
        <w:t xml:space="preserve"> (Chicago, 1991)</w:t>
      </w:r>
      <w:r w:rsidRPr="008B7862">
        <w:rPr>
          <w:rFonts w:cstheme="minorHAnsi"/>
          <w:i/>
          <w:iCs/>
          <w:shd w:val="clear" w:color="auto" w:fill="FFFFFF"/>
        </w:rPr>
        <w:t xml:space="preserve">, </w:t>
      </w:r>
      <w:r w:rsidRPr="008B7862">
        <w:rPr>
          <w:rFonts w:cstheme="minorHAnsi"/>
          <w:iCs/>
          <w:shd w:val="clear" w:color="auto" w:fill="FFFFFF"/>
        </w:rPr>
        <w:t>pp. 102-103</w:t>
      </w:r>
      <w:r w:rsidRPr="008B7862">
        <w:rPr>
          <w:rFonts w:cstheme="minorHAnsi"/>
          <w:shd w:val="clear" w:color="auto" w:fill="FFFFFF"/>
        </w:rPr>
        <w:t xml:space="preserve">; Also see Foucault, M., </w:t>
      </w:r>
      <w:r w:rsidRPr="008B7862">
        <w:rPr>
          <w:rFonts w:cstheme="minorHAnsi"/>
          <w:i/>
          <w:shd w:val="clear" w:color="auto" w:fill="FFFFFF"/>
        </w:rPr>
        <w:t>Madness and Civilization</w:t>
      </w:r>
      <w:r w:rsidRPr="008B7862">
        <w:rPr>
          <w:rFonts w:cstheme="minorHAnsi"/>
          <w:shd w:val="clear" w:color="auto" w:fill="FFFFFF"/>
        </w:rPr>
        <w:t xml:space="preserve"> and </w:t>
      </w:r>
      <w:r w:rsidRPr="008B7862">
        <w:rPr>
          <w:rFonts w:cstheme="minorHAnsi"/>
          <w:i/>
          <w:shd w:val="clear" w:color="auto" w:fill="FFFFFF"/>
        </w:rPr>
        <w:t>The Archaeology of Knowledge</w:t>
      </w:r>
      <w:r w:rsidRPr="008B7862">
        <w:rPr>
          <w:rFonts w:cstheme="minorHAnsi"/>
          <w:shd w:val="clear" w:color="auto" w:fill="FFFFFF"/>
        </w:rPr>
        <w:t>.</w:t>
      </w:r>
    </w:p>
  </w:footnote>
  <w:footnote w:id="61">
    <w:p w:rsidR="00EC705D" w:rsidRPr="008B7862" w:rsidRDefault="00EC705D" w:rsidP="006E1E5C">
      <w:pPr>
        <w:pStyle w:val="FootnoteText"/>
        <w:tabs>
          <w:tab w:val="left" w:pos="7250"/>
        </w:tabs>
        <w:rPr>
          <w:rFonts w:cstheme="minorHAnsi"/>
        </w:rPr>
      </w:pPr>
      <w:r w:rsidRPr="008B7862">
        <w:rPr>
          <w:rStyle w:val="FootnoteReference"/>
          <w:rFonts w:cstheme="minorHAnsi"/>
        </w:rPr>
        <w:footnoteRef/>
      </w:r>
      <w:r w:rsidRPr="008B7862">
        <w:rPr>
          <w:rFonts w:cstheme="minorHAnsi"/>
        </w:rPr>
        <w:t xml:space="preserve"> Foucault, ‘</w:t>
      </w:r>
      <w:r w:rsidRPr="008B7862">
        <w:rPr>
          <w:rFonts w:cstheme="minorHAnsi"/>
          <w:i/>
        </w:rPr>
        <w:t>Governmentality</w:t>
      </w:r>
      <w:r w:rsidRPr="008B7862">
        <w:rPr>
          <w:rFonts w:cstheme="minorHAnsi"/>
        </w:rPr>
        <w:t>’, P. 95.</w:t>
      </w:r>
      <w:r w:rsidRPr="008B7862">
        <w:rPr>
          <w:rFonts w:cstheme="minorHAnsi"/>
        </w:rPr>
        <w:tab/>
      </w:r>
    </w:p>
  </w:footnote>
  <w:footnote w:id="62">
    <w:p w:rsidR="00EC705D" w:rsidRPr="008B7862" w:rsidRDefault="00EC705D" w:rsidP="006E1E5C">
      <w:pPr>
        <w:pStyle w:val="FootnoteText"/>
        <w:tabs>
          <w:tab w:val="left" w:pos="8045"/>
        </w:tabs>
        <w:rPr>
          <w:rFonts w:cstheme="minorHAnsi"/>
        </w:rPr>
      </w:pPr>
      <w:r w:rsidRPr="008B7862">
        <w:rPr>
          <w:rStyle w:val="FootnoteReference"/>
          <w:rFonts w:cstheme="minorHAnsi"/>
        </w:rPr>
        <w:footnoteRef/>
      </w:r>
      <w:r w:rsidRPr="008B7862">
        <w:rPr>
          <w:rFonts w:cstheme="minorHAnsi"/>
        </w:rPr>
        <w:t xml:space="preserve"> Ando, C.,</w:t>
      </w:r>
      <w:r w:rsidRPr="008B7862">
        <w:rPr>
          <w:rFonts w:cstheme="minorHAnsi"/>
          <w:i/>
        </w:rPr>
        <w:t xml:space="preserve"> Imperial Rome, </w:t>
      </w:r>
      <w:r w:rsidRPr="008B7862">
        <w:rPr>
          <w:rFonts w:cstheme="minorHAnsi"/>
        </w:rPr>
        <w:t>pp. 235-236.</w:t>
      </w:r>
    </w:p>
  </w:footnote>
  <w:footnote w:id="63">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Ando,</w:t>
      </w:r>
      <w:r w:rsidRPr="008B7862">
        <w:rPr>
          <w:rFonts w:cstheme="minorHAnsi"/>
          <w:i/>
        </w:rPr>
        <w:t xml:space="preserve"> Imperial Ideology</w:t>
      </w:r>
      <w:r w:rsidRPr="008B7862">
        <w:rPr>
          <w:rFonts w:cstheme="minorHAnsi"/>
        </w:rPr>
        <w:t>, pp. 41-47; “Ideological state apparatus” was a term actually coined by Foucault’s teacher Althusser, rather than Foucault himself.</w:t>
      </w:r>
    </w:p>
  </w:footnote>
  <w:footnote w:id="64">
    <w:p w:rsidR="00EC705D" w:rsidRPr="008B7862" w:rsidRDefault="00EC705D" w:rsidP="006E1E5C">
      <w:pPr>
        <w:pStyle w:val="FootnoteText"/>
        <w:tabs>
          <w:tab w:val="left" w:pos="5090"/>
        </w:tabs>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236 and 270-271.</w:t>
      </w:r>
      <w:r w:rsidRPr="008B7862">
        <w:rPr>
          <w:rFonts w:cstheme="minorHAnsi"/>
        </w:rPr>
        <w:tab/>
      </w:r>
    </w:p>
  </w:footnote>
  <w:footnote w:id="65">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Merrill, ‘Notitia and Curiosum’, P. 133.</w:t>
      </w:r>
    </w:p>
  </w:footnote>
  <w:footnote w:id="66">
    <w:p w:rsidR="00EC705D" w:rsidRPr="008B7862" w:rsidRDefault="00EC705D" w:rsidP="00E61F1A">
      <w:pPr>
        <w:pStyle w:val="FootnoteText"/>
      </w:pPr>
      <w:r w:rsidRPr="008B7862">
        <w:rPr>
          <w:rStyle w:val="FootnoteReference"/>
        </w:rPr>
        <w:footnoteRef/>
      </w:r>
      <w:r w:rsidRPr="008B7862">
        <w:t xml:space="preserve"> </w:t>
      </w:r>
      <w:r w:rsidRPr="008B7862">
        <w:rPr>
          <w:rFonts w:cstheme="minorHAnsi"/>
        </w:rPr>
        <w:t>Merrill, ‘The Notitia</w:t>
      </w:r>
      <w:r w:rsidRPr="008B7862">
        <w:rPr>
          <w:rFonts w:cstheme="minorHAnsi"/>
          <w:i/>
        </w:rPr>
        <w:t xml:space="preserve"> </w:t>
      </w:r>
      <w:r w:rsidRPr="008B7862">
        <w:rPr>
          <w:rFonts w:cstheme="minorHAnsi"/>
        </w:rPr>
        <w:t>and</w:t>
      </w:r>
      <w:r w:rsidRPr="008B7862">
        <w:rPr>
          <w:rFonts w:cstheme="minorHAnsi"/>
          <w:i/>
        </w:rPr>
        <w:t xml:space="preserve"> </w:t>
      </w:r>
      <w:r w:rsidRPr="008B7862">
        <w:rPr>
          <w:rFonts w:cstheme="minorHAnsi"/>
        </w:rPr>
        <w:t>Curiosum’, P. 134.</w:t>
      </w:r>
    </w:p>
  </w:footnote>
  <w:footnote w:id="67">
    <w:p w:rsidR="00EC705D" w:rsidRPr="008B7862" w:rsidRDefault="00EC705D" w:rsidP="00E61F1A">
      <w:pPr>
        <w:pStyle w:val="FootnoteText"/>
      </w:pPr>
      <w:r w:rsidRPr="008B7862">
        <w:rPr>
          <w:rStyle w:val="FootnoteReference"/>
        </w:rPr>
        <w:footnoteRef/>
      </w:r>
      <w:r w:rsidRPr="008B7862">
        <w:t xml:space="preserve"> </w:t>
      </w:r>
      <w:proofErr w:type="gramStart"/>
      <w:r w:rsidRPr="008B7862">
        <w:rPr>
          <w:i/>
        </w:rPr>
        <w:t>Ibid</w:t>
      </w:r>
      <w:r w:rsidRPr="008B7862">
        <w:t>.,</w:t>
      </w:r>
      <w:proofErr w:type="gramEnd"/>
      <w:r w:rsidRPr="008B7862">
        <w:t xml:space="preserve"> pp. 136-137.</w:t>
      </w:r>
    </w:p>
  </w:footnote>
  <w:footnote w:id="68">
    <w:p w:rsidR="00EC705D" w:rsidRPr="008B7862" w:rsidRDefault="00EC705D" w:rsidP="00E61F1A">
      <w:pPr>
        <w:pStyle w:val="FootnoteText"/>
        <w:tabs>
          <w:tab w:val="left" w:pos="7217"/>
        </w:tabs>
      </w:pPr>
      <w:r w:rsidRPr="008B7862">
        <w:rPr>
          <w:rStyle w:val="FootnoteReference"/>
        </w:rPr>
        <w:footnoteRef/>
      </w:r>
      <w:r w:rsidRPr="008B7862">
        <w:t xml:space="preserve"> </w:t>
      </w:r>
      <w:proofErr w:type="gramStart"/>
      <w:r w:rsidRPr="008B7862">
        <w:rPr>
          <w:i/>
        </w:rPr>
        <w:t>Ibid</w:t>
      </w:r>
      <w:r w:rsidRPr="008B7862">
        <w:t>.,</w:t>
      </w:r>
      <w:proofErr w:type="gramEnd"/>
      <w:r w:rsidRPr="008B7862">
        <w:t xml:space="preserve"> P. 139.</w:t>
      </w:r>
      <w:r w:rsidRPr="008B7862">
        <w:tab/>
      </w:r>
    </w:p>
  </w:footnote>
  <w:footnote w:id="69">
    <w:p w:rsidR="00EC705D" w:rsidRPr="008B7862" w:rsidRDefault="00EC705D" w:rsidP="00E61F1A">
      <w:pPr>
        <w:pStyle w:val="FootnoteText"/>
      </w:pPr>
      <w:r w:rsidRPr="008B7862">
        <w:rPr>
          <w:rStyle w:val="FootnoteReference"/>
        </w:rPr>
        <w:footnoteRef/>
      </w:r>
      <w:r w:rsidRPr="008B7862">
        <w:t xml:space="preserve"> </w:t>
      </w:r>
      <w:proofErr w:type="gramStart"/>
      <w:r w:rsidRPr="008B7862">
        <w:rPr>
          <w:i/>
        </w:rPr>
        <w:t>Ibid</w:t>
      </w:r>
      <w:r w:rsidRPr="008B7862">
        <w:t>.,</w:t>
      </w:r>
      <w:proofErr w:type="gramEnd"/>
      <w:r w:rsidRPr="008B7862">
        <w:t xml:space="preserve"> pp. 138-139.</w:t>
      </w:r>
    </w:p>
  </w:footnote>
  <w:footnote w:id="70">
    <w:p w:rsidR="00EC705D" w:rsidRPr="008B7862" w:rsidRDefault="00EC705D" w:rsidP="00E61F1A">
      <w:pPr>
        <w:pStyle w:val="FootnoteText"/>
      </w:pPr>
      <w:r w:rsidRPr="008B7862">
        <w:rPr>
          <w:rStyle w:val="FootnoteReference"/>
        </w:rPr>
        <w:footnoteRef/>
      </w:r>
      <w:r w:rsidRPr="008B7862">
        <w:t xml:space="preserve"> </w:t>
      </w:r>
      <w:proofErr w:type="gramStart"/>
      <w:r w:rsidRPr="008B7862">
        <w:rPr>
          <w:i/>
        </w:rPr>
        <w:t>Ibid</w:t>
      </w:r>
      <w:r w:rsidRPr="008B7862">
        <w:t>.,</w:t>
      </w:r>
      <w:proofErr w:type="gramEnd"/>
      <w:r w:rsidRPr="008B7862">
        <w:t xml:space="preserve"> P. 139.</w:t>
      </w:r>
    </w:p>
  </w:footnote>
  <w:footnote w:id="71">
    <w:p w:rsidR="00EC705D" w:rsidRPr="008B7862" w:rsidRDefault="00EC705D" w:rsidP="00E61F1A">
      <w:pPr>
        <w:pStyle w:val="FootnoteText"/>
      </w:pPr>
      <w:r w:rsidRPr="008B7862">
        <w:rPr>
          <w:rStyle w:val="FootnoteReference"/>
        </w:rPr>
        <w:footnoteRef/>
      </w:r>
      <w:r w:rsidRPr="008B7862">
        <w:t xml:space="preserve"> </w:t>
      </w:r>
      <w:proofErr w:type="gramStart"/>
      <w:r w:rsidRPr="008B7862">
        <w:rPr>
          <w:i/>
        </w:rPr>
        <w:t>Ibid</w:t>
      </w:r>
      <w:r w:rsidRPr="008B7862">
        <w:t>.,</w:t>
      </w:r>
      <w:proofErr w:type="gramEnd"/>
      <w:r w:rsidRPr="008B7862">
        <w:t xml:space="preserve"> pp. 140-142.</w:t>
      </w:r>
    </w:p>
  </w:footnote>
  <w:footnote w:id="72">
    <w:p w:rsidR="00EC705D" w:rsidRPr="008B7862" w:rsidRDefault="00EC705D" w:rsidP="00E61F1A">
      <w:pPr>
        <w:pStyle w:val="FootnoteText"/>
      </w:pPr>
      <w:r w:rsidRPr="008B7862">
        <w:rPr>
          <w:rStyle w:val="FootnoteReference"/>
        </w:rPr>
        <w:footnoteRef/>
      </w:r>
      <w:r w:rsidRPr="008B7862">
        <w:t xml:space="preserve"> </w:t>
      </w:r>
      <w:proofErr w:type="gramStart"/>
      <w:r w:rsidRPr="008B7862">
        <w:rPr>
          <w:i/>
        </w:rPr>
        <w:t>Ibid</w:t>
      </w:r>
      <w:r w:rsidRPr="008B7862">
        <w:t>.,</w:t>
      </w:r>
      <w:proofErr w:type="gramEnd"/>
      <w:r w:rsidRPr="008B7862">
        <w:t xml:space="preserve"> P. 143.</w:t>
      </w:r>
    </w:p>
  </w:footnote>
  <w:footnote w:id="73">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Favro, D., ‘The Iconicity of Ancient Rome’, </w:t>
      </w:r>
      <w:r w:rsidRPr="008B7862">
        <w:rPr>
          <w:rFonts w:cstheme="minorHAnsi"/>
          <w:i/>
        </w:rPr>
        <w:t>Urban History 33:1</w:t>
      </w:r>
      <w:r w:rsidRPr="008B7862">
        <w:rPr>
          <w:rFonts w:cstheme="minorHAnsi"/>
        </w:rPr>
        <w:t xml:space="preserve"> (2008), P. 37.</w:t>
      </w:r>
    </w:p>
  </w:footnote>
  <w:footnote w:id="74">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Petsalis-Diomidis, A., ‘Landscape, transformation, and divine epiphany’, in Swain, S., Harrison, S., and Elsner, J. (</w:t>
      </w:r>
      <w:proofErr w:type="gramStart"/>
      <w:r w:rsidRPr="008B7862">
        <w:rPr>
          <w:rFonts w:cstheme="minorHAnsi"/>
        </w:rPr>
        <w:t>eds</w:t>
      </w:r>
      <w:proofErr w:type="gramEnd"/>
      <w:r w:rsidRPr="008B7862">
        <w:rPr>
          <w:rFonts w:cstheme="minorHAnsi"/>
        </w:rPr>
        <w:t xml:space="preserve">), </w:t>
      </w:r>
      <w:r w:rsidRPr="008B7862">
        <w:rPr>
          <w:rFonts w:cstheme="minorHAnsi"/>
          <w:i/>
        </w:rPr>
        <w:t>Severan Culture</w:t>
      </w:r>
      <w:r w:rsidRPr="008B7862">
        <w:rPr>
          <w:rFonts w:cstheme="minorHAnsi"/>
        </w:rPr>
        <w:t xml:space="preserve"> (Cambridge, 2007), P. 255.</w:t>
      </w:r>
    </w:p>
  </w:footnote>
  <w:footnote w:id="75">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Machado, C., ‘Aristocratic Houses and the Making of Late Antique Rome’, in Grig, L. and Kelly, G. (</w:t>
      </w:r>
      <w:proofErr w:type="gramStart"/>
      <w:r w:rsidRPr="008B7862">
        <w:rPr>
          <w:rFonts w:cstheme="minorHAnsi"/>
        </w:rPr>
        <w:t>eds</w:t>
      </w:r>
      <w:proofErr w:type="gramEnd"/>
      <w:r w:rsidRPr="008B7862">
        <w:rPr>
          <w:rFonts w:cstheme="minorHAnsi"/>
        </w:rPr>
        <w:t xml:space="preserve">), </w:t>
      </w:r>
      <w:r w:rsidRPr="008B7862">
        <w:rPr>
          <w:rFonts w:cstheme="minorHAnsi"/>
          <w:i/>
          <w:iCs/>
        </w:rPr>
        <w:t>Two Romes Rome and Constantinople in Late Antiquity</w:t>
      </w:r>
      <w:r w:rsidRPr="008B7862">
        <w:rPr>
          <w:rFonts w:cstheme="minorHAnsi"/>
        </w:rPr>
        <w:t xml:space="preserve"> (Oxford, 2012), P. 141.</w:t>
      </w:r>
    </w:p>
  </w:footnote>
  <w:footnote w:id="76">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Reynolds, ‘The Lost Architecture of Ancient Rome’, </w:t>
      </w:r>
      <w:r w:rsidRPr="008B7862">
        <w:rPr>
          <w:rFonts w:cstheme="minorHAnsi"/>
          <w:i/>
        </w:rPr>
        <w:t>Expedition Vol. 39 No. 2</w:t>
      </w:r>
      <w:r w:rsidRPr="008B7862">
        <w:rPr>
          <w:rFonts w:cstheme="minorHAnsi"/>
        </w:rPr>
        <w:t xml:space="preserve"> (1997), P. 16.</w:t>
      </w:r>
    </w:p>
  </w:footnote>
  <w:footnote w:id="77">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Neudecker, R., ‘Archives, books and sacred space in Rome’, in König, J., Oikonomopoulou, K., and Woolf, G. (</w:t>
      </w:r>
      <w:proofErr w:type="gramStart"/>
      <w:r w:rsidRPr="008B7862">
        <w:rPr>
          <w:rFonts w:cstheme="minorHAnsi"/>
        </w:rPr>
        <w:t>eds</w:t>
      </w:r>
      <w:proofErr w:type="gramEnd"/>
      <w:r w:rsidRPr="008B7862">
        <w:rPr>
          <w:rFonts w:cstheme="minorHAnsi"/>
        </w:rPr>
        <w:t xml:space="preserve">), </w:t>
      </w:r>
      <w:r w:rsidRPr="008B7862">
        <w:rPr>
          <w:rFonts w:cstheme="minorHAnsi"/>
          <w:i/>
        </w:rPr>
        <w:t>Ancient Libraries</w:t>
      </w:r>
      <w:r w:rsidRPr="008B7862">
        <w:rPr>
          <w:rFonts w:cstheme="minorHAnsi"/>
        </w:rPr>
        <w:t xml:space="preserve"> (Cambridge, 2013), P. 326.</w:t>
      </w:r>
    </w:p>
  </w:footnote>
  <w:footnote w:id="78">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Wallace-Hadrill, </w:t>
      </w:r>
      <w:r w:rsidRPr="008B7862">
        <w:rPr>
          <w:rFonts w:cstheme="minorHAnsi"/>
          <w:i/>
        </w:rPr>
        <w:t>Cultural Revolution</w:t>
      </w:r>
      <w:r w:rsidRPr="008B7862">
        <w:rPr>
          <w:rFonts w:cstheme="minorHAnsi"/>
        </w:rPr>
        <w:t>, P. 308.</w:t>
      </w:r>
    </w:p>
  </w:footnote>
  <w:footnote w:id="79">
    <w:p w:rsidR="00EC705D" w:rsidRPr="008B7862" w:rsidRDefault="00EC705D" w:rsidP="006E1E5C">
      <w:pPr>
        <w:pStyle w:val="FootnoteText"/>
        <w:tabs>
          <w:tab w:val="center" w:pos="4513"/>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Dey, H., </w:t>
      </w:r>
      <w:r w:rsidRPr="008B7862">
        <w:rPr>
          <w:rFonts w:cstheme="minorHAnsi"/>
          <w:i/>
        </w:rPr>
        <w:t>The Aurelian Wall and the Refashioning of Imperial Rome, AD 271-855</w:t>
      </w:r>
      <w:r w:rsidRPr="008B7862">
        <w:rPr>
          <w:rFonts w:cstheme="minorHAnsi"/>
        </w:rPr>
        <w:t xml:space="preserve"> (Cambridge, 2011), pp. 279-280.</w:t>
      </w:r>
      <w:proofErr w:type="gramEnd"/>
      <w:r w:rsidRPr="008B7862">
        <w:rPr>
          <w:rFonts w:cstheme="minorHAnsi"/>
        </w:rPr>
        <w:tab/>
      </w:r>
    </w:p>
  </w:footnote>
  <w:footnote w:id="80">
    <w:p w:rsidR="00EC705D" w:rsidRPr="008B7862" w:rsidRDefault="00EC705D" w:rsidP="006E1E5C">
      <w:pPr>
        <w:pStyle w:val="FootnoteText"/>
        <w:tabs>
          <w:tab w:val="left" w:pos="6966"/>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103-105</w:t>
      </w:r>
      <w:r w:rsidRPr="008B7862">
        <w:rPr>
          <w:rFonts w:cstheme="minorHAnsi"/>
          <w:b/>
        </w:rPr>
        <w:t xml:space="preserve">; </w:t>
      </w:r>
      <w:r w:rsidRPr="008B7862">
        <w:rPr>
          <w:rFonts w:cstheme="minorHAnsi"/>
        </w:rPr>
        <w:t xml:space="preserve">Todd, M., </w:t>
      </w:r>
      <w:r w:rsidRPr="008B7862">
        <w:rPr>
          <w:rFonts w:cstheme="minorHAnsi"/>
          <w:i/>
        </w:rPr>
        <w:t>The Walls of Rome</w:t>
      </w:r>
      <w:r w:rsidRPr="008B7862">
        <w:rPr>
          <w:rFonts w:cstheme="minorHAnsi"/>
        </w:rPr>
        <w:t xml:space="preserve"> (London, 1978), P. 82.</w:t>
      </w:r>
      <w:r w:rsidRPr="008B7862">
        <w:rPr>
          <w:rFonts w:cstheme="minorHAnsi"/>
        </w:rPr>
        <w:tab/>
      </w:r>
    </w:p>
  </w:footnote>
  <w:footnote w:id="81">
    <w:p w:rsidR="00EC705D" w:rsidRPr="008B7862" w:rsidRDefault="00EC705D" w:rsidP="006E1E5C">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xml:space="preserve">, P. 91; </w:t>
      </w:r>
      <w:r w:rsidRPr="008B7862">
        <w:rPr>
          <w:rFonts w:eastAsiaTheme="majorEastAsia" w:cstheme="minorHAnsi"/>
        </w:rPr>
        <w:t xml:space="preserve">Dmitriev, S., ‘Traditions and Innovations in the Reign of Aurelian’, </w:t>
      </w:r>
      <w:r w:rsidRPr="008B7862">
        <w:rPr>
          <w:rFonts w:eastAsiaTheme="majorEastAsia" w:cstheme="minorHAnsi"/>
          <w:i/>
          <w:iCs/>
        </w:rPr>
        <w:t>The Classical Quarterly New Series Vol. 54 No. 2</w:t>
      </w:r>
      <w:r w:rsidRPr="008B7862">
        <w:rPr>
          <w:rFonts w:eastAsiaTheme="majorEastAsia" w:cstheme="minorHAnsi"/>
          <w:iCs/>
        </w:rPr>
        <w:t xml:space="preserve"> (2004), pp. 577-578.</w:t>
      </w:r>
    </w:p>
  </w:footnote>
  <w:footnote w:id="82">
    <w:p w:rsidR="00EC705D" w:rsidRPr="008B7862" w:rsidRDefault="00EC705D" w:rsidP="006E1E5C">
      <w:pPr>
        <w:pStyle w:val="FootnoteText"/>
        <w:rPr>
          <w:rFonts w:cstheme="minorHAnsi"/>
          <w:i/>
        </w:rPr>
      </w:pPr>
      <w:r w:rsidRPr="008B7862">
        <w:rPr>
          <w:rStyle w:val="FootnoteReference"/>
          <w:rFonts w:cstheme="minorHAnsi"/>
        </w:rPr>
        <w:footnoteRef/>
      </w:r>
      <w:r w:rsidRPr="008B7862">
        <w:rPr>
          <w:rFonts w:cstheme="minorHAnsi"/>
        </w:rPr>
        <w:t xml:space="preserve"> See Jones, </w:t>
      </w:r>
      <w:r w:rsidRPr="008B7862">
        <w:rPr>
          <w:rFonts w:cstheme="minorHAnsi"/>
          <w:i/>
        </w:rPr>
        <w:t>Later Roman Empire</w:t>
      </w:r>
      <w:r w:rsidRPr="008B7862">
        <w:rPr>
          <w:rFonts w:cstheme="minorHAnsi"/>
        </w:rPr>
        <w:t xml:space="preserve">; Kelly, </w:t>
      </w:r>
      <w:r w:rsidRPr="008B7862">
        <w:rPr>
          <w:rFonts w:cstheme="minorHAnsi"/>
          <w:i/>
        </w:rPr>
        <w:t>Ruling the Later Roman Empire</w:t>
      </w:r>
      <w:r w:rsidRPr="008B7862">
        <w:rPr>
          <w:rFonts w:cstheme="minorHAnsi"/>
        </w:rPr>
        <w:t xml:space="preserve">; Potter, D., </w:t>
      </w:r>
      <w:r w:rsidRPr="008B7862">
        <w:rPr>
          <w:rFonts w:cstheme="minorHAnsi"/>
          <w:i/>
        </w:rPr>
        <w:t xml:space="preserve">The Roman Empire at Bay ; </w:t>
      </w:r>
      <w:r w:rsidRPr="008B7862">
        <w:rPr>
          <w:rFonts w:cstheme="minorHAnsi"/>
        </w:rPr>
        <w:t xml:space="preserve">Miles, R. (ed.), </w:t>
      </w:r>
      <w:r w:rsidRPr="008B7862">
        <w:rPr>
          <w:rFonts w:cstheme="minorHAnsi"/>
          <w:i/>
        </w:rPr>
        <w:t>Constructing Identities in Late Antique Society</w:t>
      </w:r>
      <w:r w:rsidRPr="008B7862">
        <w:rPr>
          <w:rFonts w:cstheme="minorHAnsi"/>
        </w:rPr>
        <w:t xml:space="preserve"> (London, 2002); Lendon, </w:t>
      </w:r>
      <w:r w:rsidRPr="008B7862">
        <w:rPr>
          <w:rFonts w:cstheme="minorHAnsi"/>
          <w:i/>
        </w:rPr>
        <w:t>Empire of Honour</w:t>
      </w:r>
      <w:r w:rsidRPr="008B7862">
        <w:rPr>
          <w:rFonts w:cstheme="minorHAnsi"/>
        </w:rPr>
        <w:t xml:space="preserve">; Arce,  ‘El inventario de Roma’, and Dey, H.W., </w:t>
      </w:r>
      <w:r w:rsidRPr="008B7862">
        <w:rPr>
          <w:rFonts w:cstheme="minorHAnsi"/>
          <w:iCs/>
        </w:rPr>
        <w:t xml:space="preserve">The Aurelian Wall </w:t>
      </w:r>
      <w:r w:rsidRPr="008B7862">
        <w:rPr>
          <w:rFonts w:cstheme="minorHAnsi"/>
          <w:i/>
          <w:iCs/>
        </w:rPr>
        <w:t>and the Refashioning of Imperial Rome, AD 271-855</w:t>
      </w:r>
      <w:r w:rsidRPr="008B7862">
        <w:rPr>
          <w:rFonts w:cstheme="minorHAnsi"/>
        </w:rPr>
        <w:t xml:space="preserve"> (Cambridge, 2011).</w:t>
      </w:r>
    </w:p>
  </w:footnote>
  <w:footnote w:id="83">
    <w:p w:rsidR="00EC705D" w:rsidRPr="008B7862" w:rsidRDefault="00EC705D" w:rsidP="00B777B2">
      <w:pPr>
        <w:rPr>
          <w:rFonts w:cstheme="minorHAnsi"/>
          <w:sz w:val="20"/>
          <w:szCs w:val="20"/>
        </w:rPr>
      </w:pPr>
      <w:r w:rsidRPr="008B7862">
        <w:rPr>
          <w:rStyle w:val="FootnoteReference"/>
          <w:rFonts w:cstheme="minorHAnsi"/>
          <w:sz w:val="20"/>
          <w:szCs w:val="20"/>
        </w:rPr>
        <w:footnoteRef/>
      </w:r>
      <w:r w:rsidRPr="008B7862">
        <w:rPr>
          <w:rFonts w:cstheme="minorHAnsi"/>
          <w:sz w:val="20"/>
          <w:szCs w:val="20"/>
        </w:rPr>
        <w:t xml:space="preserve"> </w:t>
      </w:r>
      <w:r w:rsidRPr="008B7862">
        <w:rPr>
          <w:rFonts w:cstheme="minorHAnsi"/>
          <w:i/>
          <w:sz w:val="20"/>
          <w:szCs w:val="20"/>
        </w:rPr>
        <w:t>Figure 1</w:t>
      </w:r>
      <w:r w:rsidRPr="008B7862">
        <w:rPr>
          <w:rFonts w:cstheme="minorHAnsi"/>
          <w:sz w:val="20"/>
          <w:szCs w:val="20"/>
        </w:rPr>
        <w:t>: The Title Page of the Codex-Calendar of 354</w:t>
      </w:r>
      <w:r w:rsidRPr="008B7862">
        <w:rPr>
          <w:rFonts w:cstheme="minorHAnsi"/>
          <w:i/>
          <w:sz w:val="20"/>
          <w:szCs w:val="20"/>
        </w:rPr>
        <w:t xml:space="preserve"> </w:t>
      </w:r>
      <w:r w:rsidRPr="008B7862">
        <w:rPr>
          <w:rFonts w:cstheme="minorHAnsi"/>
          <w:sz w:val="20"/>
          <w:szCs w:val="20"/>
        </w:rPr>
        <w:t>(Codex-Calendar of 354, AD 354). The dedications read, “Valentinus, may you flourish in God”, “Furius Dionysius Filocalus illustrated this work”, “Valentinus, enjoy reading this”, “Valentinus, may you live long and flourish”, and “Valentinus, may you live long and rejoice”</w:t>
      </w:r>
    </w:p>
  </w:footnote>
  <w:footnote w:id="8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Merrill, ‘The Notitia</w:t>
      </w:r>
      <w:r w:rsidRPr="008B7862">
        <w:rPr>
          <w:rFonts w:cstheme="minorHAnsi"/>
          <w:i/>
        </w:rPr>
        <w:t xml:space="preserve"> </w:t>
      </w:r>
      <w:r w:rsidRPr="008B7862">
        <w:rPr>
          <w:rFonts w:cstheme="minorHAnsi"/>
        </w:rPr>
        <w:t>and</w:t>
      </w:r>
      <w:r w:rsidRPr="008B7862">
        <w:rPr>
          <w:rFonts w:cstheme="minorHAnsi"/>
          <w:i/>
        </w:rPr>
        <w:t xml:space="preserve"> </w:t>
      </w:r>
      <w:r w:rsidRPr="008B7862">
        <w:rPr>
          <w:rFonts w:cstheme="minorHAnsi"/>
        </w:rPr>
        <w:t>Curiosum’, P. 133.</w:t>
      </w:r>
    </w:p>
  </w:footnote>
  <w:footnote w:id="8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Hook, D., ‘Some Codicological Observations on British Library MS Egerton 289’, </w:t>
      </w:r>
      <w:r w:rsidRPr="008B7862">
        <w:rPr>
          <w:rFonts w:cstheme="minorHAnsi"/>
          <w:i/>
        </w:rPr>
        <w:t>Bulleting of Hispanic Studies 75:4</w:t>
      </w:r>
      <w:r w:rsidRPr="008B7862">
        <w:rPr>
          <w:rFonts w:cstheme="minorHAnsi"/>
        </w:rPr>
        <w:t xml:space="preserve"> (1998), P. 451.</w:t>
      </w:r>
    </w:p>
  </w:footnote>
  <w:footnote w:id="8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3-15; Bischoff, B., </w:t>
      </w:r>
      <w:r w:rsidRPr="008B7862">
        <w:rPr>
          <w:rFonts w:cstheme="minorHAnsi"/>
          <w:i/>
        </w:rPr>
        <w:t>Manuscripts and Libraries in the Age of Charlemagne</w:t>
      </w:r>
      <w:r w:rsidRPr="008B7862">
        <w:rPr>
          <w:rFonts w:cstheme="minorHAnsi"/>
        </w:rPr>
        <w:t xml:space="preserve">, trans. and ed. by Michael Gorman (Cambridge, 1995), P. 87; Scrivner, B., ‘Carolingian Monastic Library Catalogues and Medieval Classification of Knowledge’, </w:t>
      </w:r>
      <w:proofErr w:type="gramStart"/>
      <w:r w:rsidRPr="008B7862">
        <w:rPr>
          <w:rFonts w:cstheme="minorHAnsi"/>
          <w:i/>
        </w:rPr>
        <w:t>The</w:t>
      </w:r>
      <w:proofErr w:type="gramEnd"/>
      <w:r w:rsidRPr="008B7862">
        <w:rPr>
          <w:rFonts w:cstheme="minorHAnsi"/>
          <w:i/>
        </w:rPr>
        <w:t xml:space="preserve"> Journal of Library History (1974-1987) Vol. 15 No. 4</w:t>
      </w:r>
      <w:r w:rsidRPr="008B7862">
        <w:rPr>
          <w:rFonts w:cstheme="minorHAnsi"/>
        </w:rPr>
        <w:t xml:space="preserve"> (1980), P. 427. </w:t>
      </w:r>
    </w:p>
  </w:footnote>
  <w:footnote w:id="8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For ease of reference I shall refer to the layers by their date in future discussion.</w:t>
      </w:r>
    </w:p>
  </w:footnote>
  <w:footnote w:id="8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Gruijs, A., ‘Codicology or the Archaeology of the book?</w:t>
      </w:r>
      <w:proofErr w:type="gramEnd"/>
      <w:r w:rsidRPr="008B7862">
        <w:rPr>
          <w:rFonts w:cstheme="minorHAnsi"/>
        </w:rPr>
        <w:t xml:space="preserve"> </w:t>
      </w:r>
      <w:proofErr w:type="gramStart"/>
      <w:r w:rsidRPr="008B7862">
        <w:rPr>
          <w:rFonts w:cstheme="minorHAnsi"/>
        </w:rPr>
        <w:t xml:space="preserve">A false dilemma’, </w:t>
      </w:r>
      <w:r w:rsidRPr="008B7862">
        <w:rPr>
          <w:rFonts w:cstheme="minorHAnsi"/>
          <w:i/>
        </w:rPr>
        <w:t xml:space="preserve">English version of the Inaugural lecture of Dr Gruijs, Reader in Auxiliary Historical Studies at the University of Nijmegen </w:t>
      </w:r>
      <w:r w:rsidRPr="008B7862">
        <w:rPr>
          <w:rFonts w:cstheme="minorHAnsi"/>
        </w:rPr>
        <w:t>(1971), P. 104.</w:t>
      </w:r>
      <w:proofErr w:type="gramEnd"/>
    </w:p>
  </w:footnote>
  <w:footnote w:id="89">
    <w:p w:rsidR="00EC705D" w:rsidRPr="008B7862" w:rsidRDefault="00EC705D" w:rsidP="00E756D7">
      <w:pPr>
        <w:pStyle w:val="FootnoteText"/>
        <w:tabs>
          <w:tab w:val="left" w:pos="5626"/>
        </w:tabs>
        <w:rPr>
          <w:rFonts w:cstheme="minorHAnsi"/>
        </w:rPr>
      </w:pPr>
      <w:r w:rsidRPr="008B7862">
        <w:rPr>
          <w:rStyle w:val="FootnoteReference"/>
          <w:rFonts w:cstheme="minorHAnsi"/>
        </w:rPr>
        <w:footnoteRef/>
      </w:r>
      <w:r w:rsidRPr="008B7862">
        <w:rPr>
          <w:rFonts w:cstheme="minorHAnsi"/>
        </w:rPr>
        <w:t xml:space="preserve"> Hook, ‘Some Codicological Observations’, P. 451.</w:t>
      </w:r>
      <w:r w:rsidRPr="008B7862">
        <w:rPr>
          <w:rFonts w:cstheme="minorHAnsi"/>
        </w:rPr>
        <w:tab/>
      </w:r>
    </w:p>
  </w:footnote>
  <w:footnote w:id="90">
    <w:p w:rsidR="00EC705D" w:rsidRPr="008B7862" w:rsidRDefault="00EC705D" w:rsidP="00E756D7">
      <w:pPr>
        <w:pStyle w:val="FootnoteText"/>
        <w:tabs>
          <w:tab w:val="left" w:pos="7183"/>
        </w:tabs>
        <w:rPr>
          <w:rFonts w:cstheme="minorHAnsi"/>
        </w:rPr>
      </w:pPr>
      <w:r w:rsidRPr="008B7862">
        <w:rPr>
          <w:rStyle w:val="FootnoteReference"/>
          <w:rFonts w:cstheme="minorHAnsi"/>
        </w:rPr>
        <w:footnoteRef/>
      </w:r>
      <w:r w:rsidRPr="008B7862">
        <w:rPr>
          <w:rFonts w:cstheme="minorHAnsi"/>
        </w:rPr>
        <w:t xml:space="preserve"> Gruijs, ‘Codicology’, P. 89.</w:t>
      </w:r>
      <w:r w:rsidRPr="008B7862">
        <w:rPr>
          <w:rFonts w:cstheme="minorHAnsi"/>
        </w:rPr>
        <w:tab/>
      </w:r>
    </w:p>
  </w:footnote>
  <w:footnote w:id="9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Falconer, G., ‘Genetic Criticism’, </w:t>
      </w:r>
      <w:r w:rsidRPr="008B7862">
        <w:rPr>
          <w:rFonts w:cstheme="minorHAnsi"/>
          <w:i/>
        </w:rPr>
        <w:t>Comparative Literature Vol. 45 No. 1</w:t>
      </w:r>
      <w:r w:rsidRPr="008B7862">
        <w:rPr>
          <w:rFonts w:cstheme="minorHAnsi"/>
        </w:rPr>
        <w:t xml:space="preserve"> (1993), P. 3.</w:t>
      </w:r>
    </w:p>
  </w:footnote>
  <w:footnote w:id="92">
    <w:p w:rsidR="00EC705D" w:rsidRPr="008B7862" w:rsidRDefault="00EC705D" w:rsidP="00E756D7">
      <w:pPr>
        <w:pStyle w:val="FootnoteText"/>
        <w:tabs>
          <w:tab w:val="left" w:pos="3098"/>
          <w:tab w:val="left" w:pos="5994"/>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13.</w:t>
      </w:r>
      <w:r w:rsidRPr="008B7862">
        <w:rPr>
          <w:rFonts w:cstheme="minorHAnsi"/>
        </w:rPr>
        <w:tab/>
      </w:r>
      <w:r w:rsidRPr="008B7862">
        <w:rPr>
          <w:rFonts w:cstheme="minorHAnsi"/>
        </w:rPr>
        <w:tab/>
      </w:r>
    </w:p>
  </w:footnote>
  <w:footnote w:id="9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Falconer, ‘Genetic</w:t>
      </w:r>
      <w:r w:rsidRPr="008B7862">
        <w:rPr>
          <w:rFonts w:cstheme="minorHAnsi"/>
          <w:i/>
        </w:rPr>
        <w:t xml:space="preserve"> </w:t>
      </w:r>
      <w:r w:rsidRPr="008B7862">
        <w:rPr>
          <w:rFonts w:cstheme="minorHAnsi"/>
        </w:rPr>
        <w:t>Criticism’, P. 12.</w:t>
      </w:r>
    </w:p>
  </w:footnote>
  <w:footnote w:id="9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Barbara Bordalejo, ‘Genetic Criticism’, </w:t>
      </w:r>
      <w:r w:rsidRPr="008B7862">
        <w:rPr>
          <w:rFonts w:cstheme="minorHAnsi"/>
          <w:i/>
        </w:rPr>
        <w:t>Textual Scholarship</w:t>
      </w:r>
      <w:r w:rsidRPr="008B7862">
        <w:rPr>
          <w:rFonts w:cstheme="minorHAnsi"/>
        </w:rPr>
        <w:t>, http://www.textualscholarship.org/gencrit/index.html [10/09/2015].</w:t>
      </w:r>
      <w:proofErr w:type="gramEnd"/>
    </w:p>
  </w:footnote>
  <w:footnote w:id="9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Falconer</w:t>
      </w:r>
      <w:proofErr w:type="gramStart"/>
      <w:r w:rsidRPr="008B7862">
        <w:rPr>
          <w:rFonts w:cstheme="minorHAnsi"/>
        </w:rPr>
        <w:t>,  ‘Genetic</w:t>
      </w:r>
      <w:proofErr w:type="gramEnd"/>
      <w:r w:rsidRPr="008B7862">
        <w:rPr>
          <w:rFonts w:cstheme="minorHAnsi"/>
          <w:i/>
        </w:rPr>
        <w:t xml:space="preserve"> </w:t>
      </w:r>
      <w:r w:rsidRPr="008B7862">
        <w:rPr>
          <w:rFonts w:cstheme="minorHAnsi"/>
        </w:rPr>
        <w:t>Criticism’, P. 12.</w:t>
      </w:r>
    </w:p>
  </w:footnote>
  <w:footnote w:id="9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eastAsiaTheme="majorEastAsia" w:cstheme="minorHAnsi"/>
        </w:rPr>
        <w:t xml:space="preserve">Jenny, L., and Watts, R., ‘Genetic Criticism and its Myths’, </w:t>
      </w:r>
      <w:r w:rsidRPr="008B7862">
        <w:rPr>
          <w:rFonts w:eastAsiaTheme="majorEastAsia" w:cstheme="minorHAnsi"/>
          <w:i/>
        </w:rPr>
        <w:t>Yale French Studies No. 89 Drafts</w:t>
      </w:r>
      <w:r w:rsidRPr="008B7862">
        <w:rPr>
          <w:rFonts w:eastAsiaTheme="majorEastAsia" w:cstheme="minorHAnsi"/>
        </w:rPr>
        <w:t xml:space="preserve"> (1996), P. 10.</w:t>
      </w:r>
    </w:p>
  </w:footnote>
  <w:footnote w:id="9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bCs/>
        </w:rPr>
        <w:t xml:space="preserve"> </w:t>
      </w:r>
      <w:proofErr w:type="gramStart"/>
      <w:r w:rsidRPr="008B7862">
        <w:rPr>
          <w:rFonts w:cstheme="minorHAnsi"/>
          <w:bCs/>
          <w:i/>
        </w:rPr>
        <w:t>Ibid</w:t>
      </w:r>
      <w:r w:rsidRPr="008B7862">
        <w:rPr>
          <w:rFonts w:cstheme="minorHAnsi"/>
          <w:bCs/>
        </w:rPr>
        <w:t>.,</w:t>
      </w:r>
      <w:proofErr w:type="gramEnd"/>
      <w:r w:rsidRPr="008B7862">
        <w:rPr>
          <w:rFonts w:cstheme="minorHAnsi"/>
          <w:bCs/>
        </w:rPr>
        <w:t xml:space="preserve"> pp. 19-22; He also accuses Genetic criticism of the worst possible return to the positivism of the nineteenth century.</w:t>
      </w:r>
      <w:r w:rsidRPr="008B7862">
        <w:rPr>
          <w:rFonts w:cstheme="minorHAnsi"/>
        </w:rPr>
        <w:t xml:space="preserve"> Apparently this is a bad thing…..</w:t>
      </w:r>
    </w:p>
  </w:footnote>
  <w:footnote w:id="9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24-25; Lernout, G., ‘Genetic Criticism and Philology’, </w:t>
      </w:r>
      <w:r w:rsidRPr="008B7862">
        <w:rPr>
          <w:rFonts w:cstheme="minorHAnsi"/>
          <w:i/>
        </w:rPr>
        <w:t>Text Vol. 14</w:t>
      </w:r>
      <w:r w:rsidRPr="008B7862">
        <w:rPr>
          <w:rFonts w:cstheme="minorHAnsi"/>
        </w:rPr>
        <w:t xml:space="preserve"> (2002), pp. </w:t>
      </w:r>
    </w:p>
  </w:footnote>
  <w:footnote w:id="9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Falconer, ‘Genetic Criticism’ P.13; Lernout, ‘Genetic Criticism’, pp. 56-58.</w:t>
      </w:r>
    </w:p>
  </w:footnote>
  <w:footnote w:id="10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Falconer, ‘Genetic Criticism’, pp. 13-14.</w:t>
      </w:r>
    </w:p>
  </w:footnote>
  <w:footnote w:id="10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Augustine of Hippo, </w:t>
      </w:r>
      <w:r w:rsidRPr="008B7862">
        <w:rPr>
          <w:rFonts w:cstheme="minorHAnsi"/>
          <w:i/>
        </w:rPr>
        <w:t>The City of God Book 1:1-8</w:t>
      </w:r>
      <w:r w:rsidRPr="008B7862">
        <w:rPr>
          <w:rFonts w:cstheme="minorHAnsi"/>
        </w:rPr>
        <w:t>, ed. R.W. Dyson</w:t>
      </w:r>
      <w:r w:rsidRPr="008B7862">
        <w:rPr>
          <w:rFonts w:cstheme="minorHAnsi"/>
          <w:i/>
        </w:rPr>
        <w:t xml:space="preserve"> </w:t>
      </w:r>
      <w:r w:rsidRPr="008B7862">
        <w:rPr>
          <w:rFonts w:cstheme="minorHAnsi"/>
        </w:rPr>
        <w:t xml:space="preserve">(Cambridge, 2002), pp. 3-11; Ward, G., ‘All roads lead to Rome? </w:t>
      </w:r>
      <w:proofErr w:type="gramStart"/>
      <w:r w:rsidRPr="008B7862">
        <w:rPr>
          <w:rFonts w:cstheme="minorHAnsi"/>
        </w:rPr>
        <w:t xml:space="preserve">Frechulf of Lisieux, Augustine and Orosius’, </w:t>
      </w:r>
      <w:r w:rsidRPr="008B7862">
        <w:rPr>
          <w:rFonts w:cstheme="minorHAnsi"/>
          <w:i/>
        </w:rPr>
        <w:t>Early Medieval Europe 2014 22</w:t>
      </w:r>
      <w:r w:rsidRPr="008B7862">
        <w:rPr>
          <w:rFonts w:cstheme="minorHAnsi"/>
        </w:rPr>
        <w:t xml:space="preserve"> (2014).</w:t>
      </w:r>
      <w:proofErr w:type="gramEnd"/>
      <w:r w:rsidRPr="008B7862">
        <w:rPr>
          <w:rFonts w:cstheme="minorHAnsi"/>
        </w:rPr>
        <w:t xml:space="preserve"> </w:t>
      </w:r>
      <w:proofErr w:type="gramStart"/>
      <w:r w:rsidRPr="008B7862">
        <w:rPr>
          <w:rFonts w:cstheme="minorHAnsi"/>
        </w:rPr>
        <w:t>P. 495.</w:t>
      </w:r>
      <w:proofErr w:type="gramEnd"/>
    </w:p>
  </w:footnote>
  <w:footnote w:id="10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Pope </w:t>
      </w:r>
      <w:proofErr w:type="gramStart"/>
      <w:r w:rsidRPr="008B7862">
        <w:rPr>
          <w:rFonts w:cstheme="minorHAnsi"/>
        </w:rPr>
        <w:t>John  VIII</w:t>
      </w:r>
      <w:proofErr w:type="gramEnd"/>
      <w:r w:rsidRPr="008B7862">
        <w:rPr>
          <w:rFonts w:cstheme="minorHAnsi"/>
        </w:rPr>
        <w:t xml:space="preserve"> was the first Pope to be openly murdered in 882 being poisoned and then having his head bashed in by his relatives, but several Popes before him had  been mutilated or deposed by the Lombards or Byzantines; Dawson, C., </w:t>
      </w:r>
      <w:r w:rsidRPr="008B7862">
        <w:rPr>
          <w:rFonts w:cstheme="minorHAnsi"/>
          <w:i/>
        </w:rPr>
        <w:t>Religion and the Rise of Western Culture: Clifford Lectures delivered in the University of Edinburgh 1948-1949</w:t>
      </w:r>
      <w:r w:rsidRPr="008B7862">
        <w:rPr>
          <w:rFonts w:cstheme="minorHAnsi"/>
        </w:rPr>
        <w:t xml:space="preserve"> (London, 1950), pp. 108-109.</w:t>
      </w:r>
    </w:p>
  </w:footnote>
  <w:footnote w:id="10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Heather, P., </w:t>
      </w:r>
      <w:r w:rsidRPr="008B7862">
        <w:rPr>
          <w:rFonts w:cstheme="minorHAnsi"/>
          <w:i/>
        </w:rPr>
        <w:t>The Fall of the Roman Empire: A New History of Rome and the Barbarians</w:t>
      </w:r>
      <w:r w:rsidRPr="008B7862">
        <w:rPr>
          <w:rFonts w:cstheme="minorHAnsi"/>
        </w:rPr>
        <w:t xml:space="preserve"> (Oxford, 2006), pp. 227-228, 378-379; Moorhead, S., and Stuttard, D., </w:t>
      </w:r>
      <w:r w:rsidRPr="008B7862">
        <w:rPr>
          <w:rFonts w:cstheme="minorHAnsi"/>
          <w:i/>
        </w:rPr>
        <w:t xml:space="preserve">AD410: The Year that Shook Rome </w:t>
      </w:r>
      <w:r w:rsidRPr="008B7862">
        <w:rPr>
          <w:rFonts w:cstheme="minorHAnsi"/>
        </w:rPr>
        <w:t>(London, 2010), pp. 126-133.</w:t>
      </w:r>
    </w:p>
  </w:footnote>
  <w:footnote w:id="10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Bischoff, </w:t>
      </w:r>
      <w:r w:rsidRPr="008B7862">
        <w:rPr>
          <w:rFonts w:cstheme="minorHAnsi"/>
          <w:i/>
        </w:rPr>
        <w:t>Manuscripts and Libraries</w:t>
      </w:r>
      <w:r w:rsidRPr="008B7862">
        <w:rPr>
          <w:rFonts w:cstheme="minorHAnsi"/>
        </w:rPr>
        <w:t>, pp. 45-46.</w:t>
      </w:r>
    </w:p>
  </w:footnote>
  <w:footnote w:id="105">
    <w:p w:rsidR="00EC705D" w:rsidRPr="008B7862" w:rsidRDefault="00EC705D" w:rsidP="00E756D7">
      <w:pPr>
        <w:pStyle w:val="FootnoteText"/>
        <w:tabs>
          <w:tab w:val="center" w:pos="4513"/>
        </w:tabs>
        <w:rPr>
          <w:rFonts w:cstheme="minorHAnsi"/>
        </w:rPr>
      </w:pPr>
      <w:r w:rsidRPr="008B7862">
        <w:rPr>
          <w:rStyle w:val="FootnoteReference"/>
          <w:rFonts w:cstheme="minorHAnsi"/>
        </w:rPr>
        <w:footnoteRef/>
      </w:r>
      <w:r w:rsidRPr="008B7862">
        <w:rPr>
          <w:rFonts w:cstheme="minorHAnsi"/>
        </w:rPr>
        <w:t xml:space="preserve"> Reynolds, </w:t>
      </w:r>
      <w:r w:rsidRPr="008B7862">
        <w:rPr>
          <w:rFonts w:cstheme="minorHAnsi"/>
          <w:i/>
        </w:rPr>
        <w:t>Scribes and Scholars</w:t>
      </w:r>
      <w:r w:rsidRPr="008B7862">
        <w:rPr>
          <w:rFonts w:cstheme="minorHAnsi"/>
        </w:rPr>
        <w:t>, pp. 79-83.</w:t>
      </w:r>
      <w:r w:rsidRPr="008B7862">
        <w:rPr>
          <w:rFonts w:cstheme="minorHAnsi"/>
        </w:rPr>
        <w:tab/>
      </w:r>
    </w:p>
  </w:footnote>
  <w:footnote w:id="10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pp.3-4; Arce, ‘El inventario de Roma’, P. 22; Reynolds, L.D., and Wilson, N.G., </w:t>
      </w:r>
      <w:r w:rsidRPr="008B7862">
        <w:rPr>
          <w:rFonts w:cstheme="minorHAnsi"/>
          <w:i/>
        </w:rPr>
        <w:t xml:space="preserve">Scribes and Scholars </w:t>
      </w:r>
      <w:proofErr w:type="gramStart"/>
      <w:r w:rsidRPr="008B7862">
        <w:rPr>
          <w:rFonts w:cstheme="minorHAnsi"/>
          <w:i/>
        </w:rPr>
        <w:t>A</w:t>
      </w:r>
      <w:proofErr w:type="gramEnd"/>
      <w:r w:rsidRPr="008B7862">
        <w:rPr>
          <w:rFonts w:cstheme="minorHAnsi"/>
          <w:i/>
        </w:rPr>
        <w:t xml:space="preserve"> Guide to the Transmission of Greek and Latin Literature </w:t>
      </w:r>
      <w:r w:rsidRPr="008B7862">
        <w:rPr>
          <w:rFonts w:cstheme="minorHAnsi"/>
        </w:rPr>
        <w:t>(Oxford, 1991), pp. 83-84.</w:t>
      </w:r>
    </w:p>
  </w:footnote>
  <w:footnote w:id="10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Salzmann, M.R., </w:t>
      </w:r>
      <w:r w:rsidRPr="008B7862">
        <w:rPr>
          <w:rFonts w:cstheme="minorHAnsi"/>
          <w:i/>
        </w:rPr>
        <w:t>On Roman Time: The Codex-Calendar of 354 and the Rhythms of Urban Life in Late Antiquity</w:t>
      </w:r>
      <w:r w:rsidRPr="008B7862">
        <w:rPr>
          <w:rFonts w:cstheme="minorHAnsi"/>
        </w:rPr>
        <w:t xml:space="preserve"> (Berkeley, 1990), P. </w:t>
      </w:r>
      <w:proofErr w:type="gramStart"/>
      <w:r w:rsidRPr="008B7862">
        <w:rPr>
          <w:rFonts w:cstheme="minorHAnsi"/>
        </w:rPr>
        <w:t>249 ;</w:t>
      </w:r>
      <w:proofErr w:type="gramEnd"/>
      <w:r w:rsidRPr="008B7862">
        <w:rPr>
          <w:rFonts w:cstheme="minorHAnsi"/>
        </w:rPr>
        <w:t xml:space="preserve"> Newton, F., </w:t>
      </w:r>
      <w:r w:rsidRPr="008B7862">
        <w:rPr>
          <w:rFonts w:cstheme="minorHAnsi"/>
          <w:i/>
        </w:rPr>
        <w:t>The Scriptorium and Library at Monte Cassino, 1058-1105</w:t>
      </w:r>
      <w:r w:rsidRPr="008B7862">
        <w:rPr>
          <w:rFonts w:cstheme="minorHAnsi"/>
        </w:rPr>
        <w:t xml:space="preserve"> (Cambridge, 2001), pp. 96-118. </w:t>
      </w:r>
    </w:p>
  </w:footnote>
  <w:footnote w:id="10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i/>
        </w:rPr>
        <w:t xml:space="preserve"> </w:t>
      </w:r>
      <w:proofErr w:type="gramStart"/>
      <w:r w:rsidRPr="008B7862">
        <w:rPr>
          <w:rFonts w:cstheme="minorHAnsi"/>
          <w:i/>
        </w:rPr>
        <w:t>LRUR</w:t>
      </w:r>
      <w:r w:rsidRPr="008B7862">
        <w:rPr>
          <w:rFonts w:cstheme="minorHAnsi"/>
        </w:rPr>
        <w:t>, pp.3-4.</w:t>
      </w:r>
      <w:proofErr w:type="gramEnd"/>
    </w:p>
  </w:footnote>
  <w:footnote w:id="10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Bischoff, </w:t>
      </w:r>
      <w:r w:rsidRPr="008B7862">
        <w:rPr>
          <w:rFonts w:cstheme="minorHAnsi"/>
          <w:i/>
        </w:rPr>
        <w:t>Manuscripts and Libraries</w:t>
      </w:r>
      <w:r w:rsidRPr="008B7862">
        <w:rPr>
          <w:rFonts w:cstheme="minorHAnsi"/>
        </w:rPr>
        <w:t>, pp. 87-105.</w:t>
      </w:r>
    </w:p>
  </w:footnote>
  <w:footnote w:id="11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pp. 6-7.</w:t>
      </w:r>
    </w:p>
  </w:footnote>
  <w:footnote w:id="11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Mann, J.C., ‘</w:t>
      </w:r>
      <w:proofErr w:type="gramStart"/>
      <w:r w:rsidRPr="008B7862">
        <w:rPr>
          <w:rFonts w:cstheme="minorHAnsi"/>
        </w:rPr>
        <w:t>The</w:t>
      </w:r>
      <w:proofErr w:type="gramEnd"/>
      <w:r w:rsidRPr="008B7862">
        <w:rPr>
          <w:rFonts w:cstheme="minorHAnsi"/>
        </w:rPr>
        <w:t xml:space="preserve"> Notitia Dignitatum: Dating and Survival’, </w:t>
      </w:r>
      <w:r w:rsidRPr="008B7862">
        <w:rPr>
          <w:rFonts w:cstheme="minorHAnsi"/>
          <w:i/>
        </w:rPr>
        <w:t>Britannia Vol. 22</w:t>
      </w:r>
      <w:r w:rsidRPr="008B7862">
        <w:rPr>
          <w:rFonts w:cstheme="minorHAnsi"/>
        </w:rPr>
        <w:t xml:space="preserve"> (1991), P. 219.</w:t>
      </w:r>
    </w:p>
  </w:footnote>
  <w:footnote w:id="11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219.</w:t>
      </w:r>
    </w:p>
  </w:footnote>
  <w:footnote w:id="11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Traina, G., ‘Mapping the world under Theodosius II’, in Kelly, C (ed.), </w:t>
      </w:r>
      <w:r w:rsidRPr="008B7862">
        <w:rPr>
          <w:rFonts w:cstheme="minorHAnsi"/>
          <w:i/>
        </w:rPr>
        <w:t>Theodosius II: Rethinking the Roman Empire in Late Antiquity</w:t>
      </w:r>
      <w:r w:rsidRPr="008B7862">
        <w:rPr>
          <w:rFonts w:cstheme="minorHAnsi"/>
        </w:rPr>
        <w:t xml:space="preserve"> (Cambridge, 2013), pp. 60-61; </w:t>
      </w:r>
      <w:r w:rsidRPr="008B7862">
        <w:rPr>
          <w:rFonts w:cstheme="minorHAnsi"/>
          <w:i/>
        </w:rPr>
        <w:t>LRUR</w:t>
      </w:r>
      <w:r w:rsidRPr="008B7862">
        <w:rPr>
          <w:rFonts w:cstheme="minorHAnsi"/>
        </w:rPr>
        <w:t>, pp. 6-11.</w:t>
      </w:r>
    </w:p>
  </w:footnote>
  <w:footnote w:id="11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Brow</w:t>
      </w:r>
      <w:r w:rsidR="007D570B">
        <w:rPr>
          <w:rFonts w:cstheme="minorHAnsi"/>
        </w:rPr>
        <w:t>n</w:t>
      </w:r>
      <w:r w:rsidRPr="008B7862">
        <w:rPr>
          <w:rFonts w:cstheme="minorHAnsi"/>
        </w:rPr>
        <w:t xml:space="preserve">, G., ‘Introduction: the Carolingian Renaissance’, in McKitterick, R (ed.), </w:t>
      </w:r>
      <w:r w:rsidRPr="008B7862">
        <w:rPr>
          <w:rFonts w:cstheme="minorHAnsi"/>
          <w:i/>
        </w:rPr>
        <w:t>Carolingian Culture emulation and innovation</w:t>
      </w:r>
      <w:r w:rsidRPr="008B7862">
        <w:rPr>
          <w:rFonts w:cstheme="minorHAnsi"/>
        </w:rPr>
        <w:t xml:space="preserve"> (Cambridge, 1994), P. 38.</w:t>
      </w:r>
    </w:p>
  </w:footnote>
  <w:footnote w:id="11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i/>
        </w:rPr>
        <w:t>LRUR</w:t>
      </w:r>
      <w:r w:rsidRPr="008B7862">
        <w:rPr>
          <w:rFonts w:cstheme="minorHAnsi"/>
        </w:rPr>
        <w:t xml:space="preserve">, pp. 73-97; Campanelli, M., ‘Monuments and histories: ideas and images of Antiquity in some descriptions of Rome’, in Bolgia, C., McKitterick, R., and Osborne, J. (eds), </w:t>
      </w:r>
      <w:r w:rsidRPr="008B7862">
        <w:rPr>
          <w:rFonts w:cstheme="minorHAnsi"/>
          <w:i/>
        </w:rPr>
        <w:t>Rome Across Time and Space Cultural Transmission and the Exchange of Ideas c. 500-1400</w:t>
      </w:r>
      <w:r w:rsidRPr="008B7862">
        <w:rPr>
          <w:rFonts w:cstheme="minorHAnsi"/>
        </w:rPr>
        <w:t xml:space="preserve"> (Cambridge, 2011), pp. 35-37.</w:t>
      </w:r>
    </w:p>
  </w:footnote>
  <w:footnote w:id="11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Rouse, R.H., ‘The Transmission of the Texts’, in Jenkyns, R (ed.), </w:t>
      </w:r>
      <w:r w:rsidRPr="008B7862">
        <w:rPr>
          <w:rFonts w:cstheme="minorHAnsi"/>
          <w:i/>
        </w:rPr>
        <w:t xml:space="preserve">The Legacy of Rome </w:t>
      </w:r>
      <w:proofErr w:type="gramStart"/>
      <w:r w:rsidRPr="008B7862">
        <w:rPr>
          <w:rFonts w:cstheme="minorHAnsi"/>
          <w:i/>
        </w:rPr>
        <w:t>A</w:t>
      </w:r>
      <w:proofErr w:type="gramEnd"/>
      <w:r w:rsidRPr="008B7862">
        <w:rPr>
          <w:rFonts w:cstheme="minorHAnsi"/>
          <w:i/>
        </w:rPr>
        <w:t xml:space="preserve"> New Appraisal</w:t>
      </w:r>
      <w:r w:rsidRPr="008B7862">
        <w:rPr>
          <w:rFonts w:cstheme="minorHAnsi"/>
        </w:rPr>
        <w:t xml:space="preserve"> (Oxford, 1992), P. 46; The most popular non-religious text throughout the medieval period was Vegetius’ </w:t>
      </w:r>
      <w:r w:rsidRPr="008B7862">
        <w:rPr>
          <w:rFonts w:cstheme="minorHAnsi"/>
          <w:i/>
        </w:rPr>
        <w:t>De Rei Militari</w:t>
      </w:r>
      <w:r w:rsidRPr="008B7862">
        <w:rPr>
          <w:rFonts w:cstheme="minorHAnsi"/>
        </w:rPr>
        <w:t>.</w:t>
      </w:r>
    </w:p>
  </w:footnote>
  <w:footnote w:id="11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3-14; Contreni, J.J. ‘The Pursuit of Knowledge in Carolingian Europe’, in Sullivan, E (ed.), </w:t>
      </w:r>
      <w:r w:rsidRPr="008B7862">
        <w:rPr>
          <w:rFonts w:cstheme="minorHAnsi"/>
          <w:i/>
        </w:rPr>
        <w:t>“The Gentle Voices of Teachers” Aspects of Learning in the Carolingian Age</w:t>
      </w:r>
      <w:r w:rsidRPr="008B7862">
        <w:rPr>
          <w:rFonts w:cstheme="minorHAnsi"/>
        </w:rPr>
        <w:t xml:space="preserve"> (Columbus, 1995), pp. 124-125.</w:t>
      </w:r>
    </w:p>
  </w:footnote>
  <w:footnote w:id="118">
    <w:p w:rsidR="00EC705D" w:rsidRPr="008B7862" w:rsidRDefault="00EC705D" w:rsidP="000C306D">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pp. 3-6.</w:t>
      </w:r>
    </w:p>
  </w:footnote>
  <w:footnote w:id="119">
    <w:p w:rsidR="00EC705D" w:rsidRPr="008B7862" w:rsidRDefault="00EC705D" w:rsidP="007F1BDB">
      <w:pPr>
        <w:pStyle w:val="FootnoteText"/>
        <w:rPr>
          <w:rFonts w:cstheme="minorHAnsi"/>
        </w:rPr>
      </w:pPr>
      <w:r w:rsidRPr="008B7862">
        <w:rPr>
          <w:rStyle w:val="FootnoteReference"/>
          <w:rFonts w:cstheme="minorHAnsi"/>
        </w:rPr>
        <w:footnoteRef/>
      </w:r>
      <w:r w:rsidRPr="008B7862">
        <w:rPr>
          <w:rFonts w:cstheme="minorHAnsi"/>
        </w:rPr>
        <w:t xml:space="preserve"> McKitterick, R., </w:t>
      </w:r>
      <w:r w:rsidRPr="008B7862">
        <w:rPr>
          <w:rFonts w:cstheme="minorHAnsi"/>
          <w:i/>
        </w:rPr>
        <w:t xml:space="preserve">History and Memory, </w:t>
      </w:r>
      <w:r w:rsidRPr="008B7862">
        <w:rPr>
          <w:rFonts w:cstheme="minorHAnsi"/>
        </w:rPr>
        <w:t xml:space="preserve">pp. 121-122; Contreni, J.J., </w:t>
      </w:r>
      <w:r w:rsidRPr="008B7862">
        <w:rPr>
          <w:rFonts w:cstheme="minorHAnsi"/>
          <w:i/>
        </w:rPr>
        <w:t>Carolingian Learning, Masters and Manuscripts</w:t>
      </w:r>
      <w:r w:rsidRPr="008B7862">
        <w:rPr>
          <w:rFonts w:cstheme="minorHAnsi"/>
        </w:rPr>
        <w:t xml:space="preserve"> (Croft Road, 1992), P. 62.</w:t>
      </w:r>
    </w:p>
  </w:footnote>
  <w:footnote w:id="120">
    <w:p w:rsidR="00EC705D" w:rsidRPr="008B7862" w:rsidRDefault="00EC705D" w:rsidP="007F1BDB">
      <w:pPr>
        <w:pStyle w:val="FootnoteText"/>
        <w:rPr>
          <w:rFonts w:cstheme="minorHAnsi"/>
        </w:rPr>
      </w:pPr>
      <w:r w:rsidRPr="008B7862">
        <w:rPr>
          <w:rStyle w:val="FootnoteReference"/>
          <w:rFonts w:cstheme="minorHAnsi"/>
        </w:rPr>
        <w:footnoteRef/>
      </w:r>
      <w:r w:rsidRPr="008B7862">
        <w:rPr>
          <w:rFonts w:cstheme="minorHAnsi"/>
        </w:rPr>
        <w:t xml:space="preserve"> McKitterick, R., </w:t>
      </w:r>
      <w:r w:rsidRPr="008B7862">
        <w:rPr>
          <w:rFonts w:cstheme="minorHAnsi"/>
          <w:i/>
        </w:rPr>
        <w:t xml:space="preserve">Charlemagne: The Formation of a European Identity </w:t>
      </w:r>
      <w:r w:rsidRPr="008B7862">
        <w:rPr>
          <w:rFonts w:cstheme="minorHAnsi"/>
        </w:rPr>
        <w:t>(Cambridge, 2008), pp. 372-377.</w:t>
      </w:r>
    </w:p>
  </w:footnote>
  <w:footnote w:id="121">
    <w:p w:rsidR="00EC705D" w:rsidRPr="008B7862" w:rsidRDefault="00EC705D" w:rsidP="007F1BDB">
      <w:pPr>
        <w:pStyle w:val="FootnoteText"/>
        <w:rPr>
          <w:rFonts w:cstheme="minorHAnsi"/>
        </w:rPr>
      </w:pPr>
      <w:r w:rsidRPr="008B7862">
        <w:rPr>
          <w:rStyle w:val="FootnoteReference"/>
          <w:rFonts w:cstheme="minorHAnsi"/>
        </w:rPr>
        <w:footnoteRef/>
      </w:r>
      <w:r w:rsidRPr="008B7862">
        <w:rPr>
          <w:rFonts w:cstheme="minorHAnsi"/>
        </w:rPr>
        <w:t xml:space="preserve"> Romagosa, A., ‘The Carolingian Renaissance and Christian Humanism’, </w:t>
      </w:r>
      <w:r w:rsidRPr="008B7862">
        <w:rPr>
          <w:rFonts w:cstheme="minorHAnsi"/>
          <w:i/>
        </w:rPr>
        <w:t xml:space="preserve">Logos: A Journal of Catholic Thought and Culture Vol. 6 No. 4 </w:t>
      </w:r>
      <w:r w:rsidRPr="008B7862">
        <w:rPr>
          <w:rFonts w:cstheme="minorHAnsi"/>
        </w:rPr>
        <w:t xml:space="preserve">(2003), pp. 140-142; McKitterick, R., </w:t>
      </w:r>
      <w:proofErr w:type="gramStart"/>
      <w:r w:rsidRPr="008B7862">
        <w:rPr>
          <w:rFonts w:cstheme="minorHAnsi"/>
          <w:i/>
        </w:rPr>
        <w:t>The</w:t>
      </w:r>
      <w:proofErr w:type="gramEnd"/>
      <w:r w:rsidRPr="008B7862">
        <w:rPr>
          <w:rFonts w:cstheme="minorHAnsi"/>
          <w:i/>
        </w:rPr>
        <w:t xml:space="preserve"> Frankish Kings and Culture in the Early Middle Ages</w:t>
      </w:r>
      <w:r w:rsidRPr="008B7862">
        <w:rPr>
          <w:rFonts w:cstheme="minorHAnsi"/>
        </w:rPr>
        <w:t xml:space="preserve"> (Aldershot, 1995), P. 300; McKitterick, R., </w:t>
      </w:r>
      <w:r w:rsidRPr="008B7862">
        <w:rPr>
          <w:rFonts w:cstheme="minorHAnsi"/>
          <w:i/>
        </w:rPr>
        <w:t>History and Memory in the Carolingian World</w:t>
      </w:r>
      <w:r w:rsidRPr="008B7862">
        <w:rPr>
          <w:rFonts w:cstheme="minorHAnsi"/>
        </w:rPr>
        <w:t xml:space="preserve"> (Cambridge, 2004), pp. 121-122.</w:t>
      </w:r>
    </w:p>
  </w:footnote>
  <w:footnote w:id="122">
    <w:p w:rsidR="00EC705D" w:rsidRPr="008B7862" w:rsidRDefault="00EC705D" w:rsidP="007F1BDB">
      <w:pPr>
        <w:pStyle w:val="FootnoteText"/>
        <w:tabs>
          <w:tab w:val="left" w:pos="5860"/>
        </w:tabs>
        <w:rPr>
          <w:rFonts w:cstheme="minorHAnsi"/>
        </w:rPr>
      </w:pPr>
      <w:r w:rsidRPr="008B7862">
        <w:rPr>
          <w:rStyle w:val="FootnoteReference"/>
          <w:rFonts w:cstheme="minorHAnsi"/>
        </w:rPr>
        <w:footnoteRef/>
      </w:r>
      <w:r w:rsidRPr="008B7862">
        <w:rPr>
          <w:rFonts w:cstheme="minorHAnsi"/>
        </w:rPr>
        <w:t xml:space="preserve"> Garipzanov, I.H., </w:t>
      </w:r>
      <w:proofErr w:type="gramStart"/>
      <w:r w:rsidRPr="008B7862">
        <w:rPr>
          <w:rFonts w:cstheme="minorHAnsi"/>
          <w:i/>
        </w:rPr>
        <w:t>The</w:t>
      </w:r>
      <w:proofErr w:type="gramEnd"/>
      <w:r w:rsidRPr="008B7862">
        <w:rPr>
          <w:rFonts w:cstheme="minorHAnsi"/>
          <w:i/>
        </w:rPr>
        <w:t xml:space="preserve"> Symbolic Language of Authority in the Carolingian World (c. 751-877)</w:t>
      </w:r>
      <w:r w:rsidRPr="008B7862">
        <w:rPr>
          <w:rFonts w:cstheme="minorHAnsi"/>
        </w:rPr>
        <w:t xml:space="preserve"> (Boston, 2008), pp. 264-266; Bachrach, B.S., </w:t>
      </w:r>
      <w:r w:rsidRPr="008B7862">
        <w:rPr>
          <w:rFonts w:cstheme="minorHAnsi"/>
          <w:i/>
        </w:rPr>
        <w:t>Early Carolingian Warfare Prelude to Empire</w:t>
      </w:r>
      <w:r w:rsidRPr="008B7862">
        <w:rPr>
          <w:rFonts w:cstheme="minorHAnsi"/>
        </w:rPr>
        <w:t xml:space="preserve"> (Philadelphia, 2001), pp. 36-37.</w:t>
      </w:r>
      <w:r w:rsidRPr="008B7862">
        <w:rPr>
          <w:rFonts w:cstheme="minorHAnsi"/>
        </w:rPr>
        <w:tab/>
      </w:r>
    </w:p>
  </w:footnote>
  <w:footnote w:id="12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Noble, T.F.X., ‘Tradition and Learning in Search of Ideology’, in Sullivan, E (ed.), </w:t>
      </w:r>
      <w:r w:rsidRPr="008B7862">
        <w:rPr>
          <w:rFonts w:cstheme="minorHAnsi"/>
          <w:i/>
        </w:rPr>
        <w:t>“The Gentle Voices of Teachers” Aspects of Learning in the Carolingian Age</w:t>
      </w:r>
      <w:r w:rsidRPr="008B7862">
        <w:rPr>
          <w:rFonts w:cstheme="minorHAnsi"/>
        </w:rPr>
        <w:t xml:space="preserve"> (Columbus, 1995), P. 248; Ando, </w:t>
      </w:r>
      <w:proofErr w:type="gramStart"/>
      <w:r w:rsidRPr="008B7862">
        <w:rPr>
          <w:rFonts w:cstheme="minorHAnsi"/>
        </w:rPr>
        <w:t>Clifford.,</w:t>
      </w:r>
      <w:proofErr w:type="gramEnd"/>
      <w:r w:rsidRPr="008B7862">
        <w:rPr>
          <w:rFonts w:cstheme="minorHAnsi"/>
        </w:rPr>
        <w:t xml:space="preserve"> ‘Decline, Fall, and Transformation’, </w:t>
      </w:r>
      <w:r w:rsidRPr="008B7862">
        <w:rPr>
          <w:rFonts w:cstheme="minorHAnsi"/>
          <w:i/>
        </w:rPr>
        <w:t xml:space="preserve">Journal of Late Antiquity Vol. 1 No. 1 </w:t>
      </w:r>
      <w:r w:rsidRPr="008B7862">
        <w:rPr>
          <w:rFonts w:cstheme="minorHAnsi"/>
        </w:rPr>
        <w:t>(2008), pp. 33-34.</w:t>
      </w:r>
    </w:p>
  </w:footnote>
  <w:footnote w:id="124">
    <w:p w:rsidR="00EC705D" w:rsidRPr="008B7862" w:rsidRDefault="00EC705D" w:rsidP="00E7782B">
      <w:pPr>
        <w:pStyle w:val="FootnoteText"/>
        <w:rPr>
          <w:rFonts w:cstheme="minorHAnsi"/>
        </w:rPr>
      </w:pPr>
      <w:r w:rsidRPr="008B7862">
        <w:rPr>
          <w:rStyle w:val="FootnoteReference"/>
          <w:rFonts w:cstheme="minorHAnsi"/>
        </w:rPr>
        <w:footnoteRef/>
      </w:r>
      <w:r w:rsidRPr="008B7862">
        <w:rPr>
          <w:rFonts w:cstheme="minorHAnsi"/>
        </w:rPr>
        <w:t xml:space="preserve"> Salzmann, </w:t>
      </w:r>
      <w:r w:rsidRPr="008B7862">
        <w:rPr>
          <w:rFonts w:cstheme="minorHAnsi"/>
          <w:i/>
        </w:rPr>
        <w:t>On Roman Time</w:t>
      </w:r>
      <w:r w:rsidRPr="008B7862">
        <w:rPr>
          <w:rFonts w:cstheme="minorHAnsi"/>
        </w:rPr>
        <w:t>, P. 4.</w:t>
      </w:r>
    </w:p>
  </w:footnote>
  <w:footnote w:id="125">
    <w:p w:rsidR="00EC705D" w:rsidRPr="008B7862" w:rsidRDefault="00EC705D" w:rsidP="006137F3">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Filocalus, </w:t>
      </w:r>
      <w:r w:rsidRPr="008B7862">
        <w:rPr>
          <w:rFonts w:cstheme="minorHAnsi"/>
          <w:i/>
        </w:rPr>
        <w:t>The Chronography of 354</w:t>
      </w:r>
      <w:r w:rsidRPr="008B7862">
        <w:rPr>
          <w:rFonts w:cstheme="minorHAnsi"/>
        </w:rPr>
        <w:t>, Tertullian.org</w:t>
      </w:r>
      <w:r w:rsidRPr="008B7862">
        <w:rPr>
          <w:rFonts w:cstheme="minorHAnsi"/>
          <w:i/>
        </w:rPr>
        <w:t xml:space="preserve"> </w:t>
      </w:r>
      <w:r w:rsidRPr="008B7862">
        <w:rPr>
          <w:rFonts w:cstheme="minorHAnsi"/>
        </w:rPr>
        <w:t>(2006), http://www.tertullian.org/fathers/chronography_of_354_00_eintro.htm#Order and contents of the Chronography [19/07/2015].</w:t>
      </w:r>
      <w:proofErr w:type="gramEnd"/>
    </w:p>
  </w:footnote>
  <w:footnote w:id="126">
    <w:p w:rsidR="00EC705D" w:rsidRPr="008B7862" w:rsidRDefault="00EC705D" w:rsidP="00E7782B">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5.</w:t>
      </w:r>
    </w:p>
  </w:footnote>
  <w:footnote w:id="127">
    <w:p w:rsidR="00EC705D" w:rsidRPr="008B7862" w:rsidRDefault="00EC705D" w:rsidP="00722EAB">
      <w:pPr>
        <w:pStyle w:val="FootnoteText"/>
        <w:rPr>
          <w:rFonts w:cstheme="minorHAnsi"/>
        </w:rPr>
      </w:pPr>
      <w:r w:rsidRPr="008B7862">
        <w:rPr>
          <w:rStyle w:val="FootnoteReference"/>
          <w:rFonts w:cstheme="minorHAnsi"/>
        </w:rPr>
        <w:footnoteRef/>
      </w:r>
      <w:r w:rsidRPr="008B7862">
        <w:rPr>
          <w:rFonts w:cstheme="minorHAnsi"/>
        </w:rPr>
        <w:t xml:space="preserve"> Reynolds, </w:t>
      </w:r>
      <w:r w:rsidRPr="008B7862">
        <w:rPr>
          <w:rFonts w:cstheme="minorHAnsi"/>
          <w:i/>
        </w:rPr>
        <w:t>Scribes and Scholars</w:t>
      </w:r>
      <w:r w:rsidRPr="008B7862">
        <w:rPr>
          <w:rFonts w:cstheme="minorHAnsi"/>
        </w:rPr>
        <w:t xml:space="preserve">, pp. 101-102; </w:t>
      </w:r>
      <w:r w:rsidRPr="008B7862">
        <w:rPr>
          <w:rFonts w:cstheme="minorHAnsi"/>
          <w:i/>
        </w:rPr>
        <w:t>LRUR</w:t>
      </w:r>
      <w:r w:rsidRPr="008B7862">
        <w:rPr>
          <w:rFonts w:cstheme="minorHAnsi"/>
        </w:rPr>
        <w:t>, pp. 3-14.</w:t>
      </w:r>
    </w:p>
  </w:footnote>
  <w:footnote w:id="12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McKitterick, R., ‘The Carolingian Renaissance of Culture and Learning’, in Story, J. (ed.), </w:t>
      </w:r>
      <w:r w:rsidRPr="008B7862">
        <w:rPr>
          <w:rFonts w:cstheme="minorHAnsi"/>
          <w:i/>
        </w:rPr>
        <w:t>Charlemagne: Empire and Society</w:t>
      </w:r>
      <w:r w:rsidRPr="008B7862">
        <w:rPr>
          <w:rFonts w:cstheme="minorHAnsi"/>
        </w:rPr>
        <w:t xml:space="preserve"> (Manchester, 2005), pp. 160-162; Brow</w:t>
      </w:r>
      <w:r w:rsidR="007D570B">
        <w:rPr>
          <w:rFonts w:cstheme="minorHAnsi"/>
        </w:rPr>
        <w:t>n</w:t>
      </w:r>
      <w:r w:rsidRPr="008B7862">
        <w:rPr>
          <w:rFonts w:cstheme="minorHAnsi"/>
        </w:rPr>
        <w:t>, ‘Carolingian Renaissance’, P. 38.</w:t>
      </w:r>
    </w:p>
  </w:footnote>
  <w:footnote w:id="129">
    <w:p w:rsidR="00EC705D" w:rsidRPr="008B7862" w:rsidRDefault="00EC705D" w:rsidP="007F1BDB">
      <w:pPr>
        <w:pStyle w:val="FootnoteText"/>
        <w:rPr>
          <w:rFonts w:cstheme="minorHAnsi"/>
        </w:rPr>
      </w:pPr>
      <w:r w:rsidRPr="008B7862">
        <w:rPr>
          <w:rStyle w:val="FootnoteReference"/>
          <w:rFonts w:cstheme="minorHAnsi"/>
        </w:rPr>
        <w:footnoteRef/>
      </w:r>
      <w:r w:rsidRPr="008B7862">
        <w:rPr>
          <w:rFonts w:cstheme="minorHAnsi"/>
        </w:rPr>
        <w:t xml:space="preserve"> Ullmann, </w:t>
      </w:r>
      <w:proofErr w:type="gramStart"/>
      <w:r w:rsidRPr="008B7862">
        <w:rPr>
          <w:rFonts w:cstheme="minorHAnsi"/>
          <w:i/>
        </w:rPr>
        <w:t>The</w:t>
      </w:r>
      <w:proofErr w:type="gramEnd"/>
      <w:r w:rsidRPr="008B7862">
        <w:rPr>
          <w:rFonts w:cstheme="minorHAnsi"/>
          <w:i/>
        </w:rPr>
        <w:t xml:space="preserve"> Carolingian Renaissance</w:t>
      </w:r>
      <w:r w:rsidRPr="008B7862">
        <w:rPr>
          <w:rFonts w:cstheme="minorHAnsi"/>
        </w:rPr>
        <w:t xml:space="preserve">, P. 56; Mayr-Harting, H., ‘Charlemagne, the Saxons, and the Imperial Coronation of 800’, </w:t>
      </w:r>
      <w:r w:rsidRPr="008B7862">
        <w:rPr>
          <w:rFonts w:cstheme="minorHAnsi"/>
          <w:i/>
        </w:rPr>
        <w:t xml:space="preserve">The English Historical Review Vol. 111 No. 444 </w:t>
      </w:r>
      <w:r w:rsidRPr="008B7862">
        <w:rPr>
          <w:rFonts w:cstheme="minorHAnsi"/>
        </w:rPr>
        <w:t xml:space="preserve">(1996), pp. 1117-1118; Barnes, T.D., </w:t>
      </w:r>
      <w:r w:rsidRPr="008B7862">
        <w:rPr>
          <w:rFonts w:cstheme="minorHAnsi"/>
          <w:i/>
        </w:rPr>
        <w:t xml:space="preserve">Eusebius and Constantine </w:t>
      </w:r>
      <w:r w:rsidRPr="008B7862">
        <w:rPr>
          <w:rFonts w:cstheme="minorHAnsi"/>
        </w:rPr>
        <w:t>(London, 1981), P. 112.</w:t>
      </w:r>
    </w:p>
  </w:footnote>
  <w:footnote w:id="130">
    <w:p w:rsidR="00EC705D" w:rsidRPr="008B7862" w:rsidRDefault="00EC705D" w:rsidP="007F1BDB">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Eutropius, </w:t>
      </w:r>
      <w:r w:rsidRPr="008B7862">
        <w:rPr>
          <w:rFonts w:cstheme="minorHAnsi"/>
          <w:i/>
        </w:rPr>
        <w:t>Breviarium</w:t>
      </w:r>
      <w:r w:rsidRPr="008B7862">
        <w:rPr>
          <w:rFonts w:cstheme="minorHAnsi"/>
        </w:rPr>
        <w:t>, trans. Bird, H.W. (Liverpool, 1993), P. lvi.</w:t>
      </w:r>
      <w:proofErr w:type="gramEnd"/>
    </w:p>
  </w:footnote>
  <w:footnote w:id="13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McKitterick, R., ‘The Carolingian Renaissance of Culture’, pp. 151-153.</w:t>
      </w:r>
    </w:p>
  </w:footnote>
  <w:footnote w:id="13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Bischoff, </w:t>
      </w:r>
      <w:r w:rsidRPr="008B7862">
        <w:rPr>
          <w:rFonts w:cstheme="minorHAnsi"/>
          <w:i/>
        </w:rPr>
        <w:t>Manuscripts and Libraries</w:t>
      </w:r>
      <w:r w:rsidRPr="008B7862">
        <w:rPr>
          <w:rFonts w:cstheme="minorHAnsi"/>
        </w:rPr>
        <w:t>, P. 142</w:t>
      </w:r>
    </w:p>
  </w:footnote>
  <w:footnote w:id="13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Ando, C., ‘Decline, </w:t>
      </w:r>
      <w:proofErr w:type="gramStart"/>
      <w:r w:rsidRPr="008B7862">
        <w:rPr>
          <w:rFonts w:cstheme="minorHAnsi"/>
        </w:rPr>
        <w:t>Fall</w:t>
      </w:r>
      <w:proofErr w:type="gramEnd"/>
      <w:r w:rsidRPr="008B7862">
        <w:rPr>
          <w:rFonts w:cstheme="minorHAnsi"/>
        </w:rPr>
        <w:t>, and Transformation’, pp. 39-40.</w:t>
      </w:r>
    </w:p>
  </w:footnote>
  <w:footnote w:id="134">
    <w:p w:rsidR="00EC705D" w:rsidRPr="008B7862" w:rsidRDefault="00EC705D" w:rsidP="00E756D7">
      <w:pPr>
        <w:pStyle w:val="FootnoteText"/>
        <w:rPr>
          <w:rFonts w:cstheme="minorHAnsi"/>
          <w: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Salzmann, </w:t>
      </w:r>
      <w:r w:rsidRPr="008B7862">
        <w:rPr>
          <w:rFonts w:cstheme="minorHAnsi"/>
          <w:i/>
        </w:rPr>
        <w:t>On Roman Time</w:t>
      </w:r>
      <w:r w:rsidRPr="008B7862">
        <w:rPr>
          <w:rFonts w:cstheme="minorHAnsi"/>
        </w:rPr>
        <w:t xml:space="preserve">, pp. 10-11; Bischoff, </w:t>
      </w:r>
      <w:r w:rsidRPr="008B7862">
        <w:rPr>
          <w:rFonts w:cstheme="minorHAnsi"/>
          <w:i/>
        </w:rPr>
        <w:t>Manuscripts and Libraries</w:t>
      </w:r>
      <w:r w:rsidRPr="008B7862">
        <w:rPr>
          <w:rFonts w:cstheme="minorHAnsi"/>
        </w:rPr>
        <w:t xml:space="preserve">, P. 87; Oxford Bodleian Library, MS </w:t>
      </w:r>
      <w:r w:rsidRPr="008B7862">
        <w:rPr>
          <w:rFonts w:cstheme="minorHAnsi"/>
          <w:i/>
        </w:rPr>
        <w:t>Canon.</w:t>
      </w:r>
      <w:proofErr w:type="gramEnd"/>
      <w:r w:rsidRPr="008B7862">
        <w:rPr>
          <w:rFonts w:cstheme="minorHAnsi"/>
          <w:i/>
        </w:rPr>
        <w:t xml:space="preserve"> Lat. Misc. 378</w:t>
      </w:r>
    </w:p>
  </w:footnote>
  <w:footnote w:id="135">
    <w:p w:rsidR="00EC705D" w:rsidRPr="008B7862" w:rsidRDefault="00EC705D" w:rsidP="00E756D7">
      <w:pPr>
        <w:pStyle w:val="FootnoteText"/>
        <w:tabs>
          <w:tab w:val="left" w:pos="7217"/>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253-261; Burgess, ‘The Chronograph of 354’, pp. 359-361.</w:t>
      </w:r>
      <w:r w:rsidRPr="008B7862">
        <w:rPr>
          <w:rFonts w:cstheme="minorHAnsi"/>
        </w:rPr>
        <w:tab/>
      </w:r>
    </w:p>
  </w:footnote>
  <w:footnote w:id="13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Salzmann, </w:t>
      </w:r>
      <w:r w:rsidRPr="008B7862">
        <w:rPr>
          <w:rFonts w:cstheme="minorHAnsi"/>
          <w:i/>
        </w:rPr>
        <w:t>On Roman Time</w:t>
      </w:r>
      <w:r w:rsidRPr="008B7862">
        <w:rPr>
          <w:rFonts w:cstheme="minorHAnsi"/>
        </w:rPr>
        <w:t>, P. 51.</w:t>
      </w:r>
    </w:p>
  </w:footnote>
  <w:footnote w:id="13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156-157.</w:t>
      </w:r>
    </w:p>
  </w:footnote>
  <w:footnote w:id="138">
    <w:p w:rsidR="00EC705D" w:rsidRPr="008B7862" w:rsidRDefault="00EC705D" w:rsidP="00E756D7">
      <w:pPr>
        <w:pStyle w:val="FootnoteText"/>
        <w:rPr>
          <w:rFonts w:cstheme="minorHAnsi"/>
          <w: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Arce, ‘El inventario de Roma’, P. 22.</w:t>
      </w:r>
      <w:proofErr w:type="gramEnd"/>
    </w:p>
  </w:footnote>
  <w:footnote w:id="13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Salzmann, </w:t>
      </w:r>
      <w:r w:rsidRPr="008B7862">
        <w:rPr>
          <w:rFonts w:cstheme="minorHAnsi"/>
          <w:i/>
        </w:rPr>
        <w:t>On Roman Time</w:t>
      </w:r>
      <w:r w:rsidRPr="008B7862">
        <w:rPr>
          <w:rFonts w:cstheme="minorHAnsi"/>
        </w:rPr>
        <w:t xml:space="preserve">, pp. 36-37; Lenski, N., ‘Evoking the Pagan Past: </w:t>
      </w:r>
      <w:r w:rsidRPr="008B7862">
        <w:rPr>
          <w:rFonts w:cstheme="minorHAnsi"/>
          <w:i/>
        </w:rPr>
        <w:t>Instinctu Divinitatis</w:t>
      </w:r>
      <w:r w:rsidRPr="008B7862">
        <w:rPr>
          <w:rFonts w:cstheme="minorHAnsi"/>
        </w:rPr>
        <w:t xml:space="preserve"> and Constantine’s Capture of Rome’,</w:t>
      </w:r>
      <w:r w:rsidRPr="008B7862">
        <w:rPr>
          <w:rFonts w:cstheme="minorHAnsi"/>
          <w:i/>
        </w:rPr>
        <w:t xml:space="preserve"> Journal of Late Antiquity Vol. 1 No. 2</w:t>
      </w:r>
      <w:r w:rsidRPr="008B7862">
        <w:rPr>
          <w:rFonts w:cstheme="minorHAnsi"/>
        </w:rPr>
        <w:t xml:space="preserve"> (2008),</w:t>
      </w:r>
      <w:r w:rsidRPr="008B7862">
        <w:rPr>
          <w:rFonts w:cstheme="minorHAnsi"/>
          <w:i/>
        </w:rPr>
        <w:t xml:space="preserve"> </w:t>
      </w:r>
      <w:r w:rsidRPr="008B7862">
        <w:rPr>
          <w:rFonts w:cstheme="minorHAnsi"/>
        </w:rPr>
        <w:t>P. 247; See also: Arce, ‘</w:t>
      </w:r>
      <w:r w:rsidRPr="008B7862">
        <w:rPr>
          <w:rFonts w:cstheme="minorHAnsi"/>
          <w:i/>
        </w:rPr>
        <w:t>Curiosum y Notitia</w:t>
      </w:r>
      <w:r w:rsidRPr="008B7862">
        <w:rPr>
          <w:rFonts w:cstheme="minorHAnsi"/>
        </w:rPr>
        <w:t>’ (</w:t>
      </w:r>
      <w:r w:rsidRPr="008B7862">
        <w:rPr>
          <w:rFonts w:cstheme="minorHAnsi"/>
          <w:iCs/>
        </w:rPr>
        <w:t>1999)</w:t>
      </w:r>
      <w:r w:rsidRPr="008B7862">
        <w:rPr>
          <w:rFonts w:cstheme="minorHAnsi"/>
        </w:rPr>
        <w:t xml:space="preserve"> and Hermansen, ‘The Population of Imperial Rome’ (1978).</w:t>
      </w:r>
    </w:p>
  </w:footnote>
  <w:footnote w:id="140">
    <w:p w:rsidR="00EC705D" w:rsidRPr="008B7862" w:rsidRDefault="00EC705D" w:rsidP="00E756D7">
      <w:pPr>
        <w:pStyle w:val="FootnoteText"/>
        <w:tabs>
          <w:tab w:val="left" w:pos="3617"/>
        </w:tabs>
        <w:rPr>
          <w:rFonts w:cstheme="minorHAnsi"/>
        </w:rPr>
      </w:pPr>
      <w:r w:rsidRPr="008B7862">
        <w:rPr>
          <w:rStyle w:val="FootnoteReference"/>
          <w:rFonts w:cstheme="minorHAnsi"/>
        </w:rPr>
        <w:footnoteRef/>
      </w:r>
      <w:r w:rsidRPr="008B7862">
        <w:rPr>
          <w:rFonts w:cstheme="minorHAnsi"/>
        </w:rPr>
        <w:t xml:space="preserve"> , P. 155.</w:t>
      </w:r>
      <w:r w:rsidRPr="008B7862">
        <w:rPr>
          <w:rFonts w:cstheme="minorHAnsi"/>
        </w:rPr>
        <w:tab/>
      </w:r>
    </w:p>
  </w:footnote>
  <w:footnote w:id="14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This will be explored more in Chapter 2.</w:t>
      </w:r>
    </w:p>
  </w:footnote>
  <w:footnote w:id="14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Valentini and Zucchetti, </w:t>
      </w:r>
      <w:r w:rsidRPr="008B7862">
        <w:rPr>
          <w:rFonts w:cstheme="minorHAnsi"/>
          <w:i/>
        </w:rPr>
        <w:t>Codice Topografico</w:t>
      </w:r>
      <w:r w:rsidRPr="008B7862">
        <w:rPr>
          <w:rFonts w:cstheme="minorHAnsi"/>
        </w:rPr>
        <w:t xml:space="preserve">, pp. 77-88; </w:t>
      </w:r>
      <w:r w:rsidRPr="008B7862">
        <w:rPr>
          <w:rFonts w:cstheme="minorHAnsi"/>
          <w:i/>
        </w:rPr>
        <w:t>LRUR</w:t>
      </w:r>
      <w:r w:rsidRPr="008B7862">
        <w:rPr>
          <w:rFonts w:cstheme="minorHAnsi"/>
        </w:rPr>
        <w:t xml:space="preserve"> pp. 10-11, 24-25.</w:t>
      </w:r>
    </w:p>
  </w:footnote>
  <w:footnote w:id="14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Salzmann, </w:t>
      </w:r>
      <w:r w:rsidRPr="008B7862">
        <w:rPr>
          <w:rFonts w:cstheme="minorHAnsi"/>
          <w:i/>
        </w:rPr>
        <w:t>On Roman Time</w:t>
      </w:r>
      <w:r w:rsidRPr="008B7862">
        <w:rPr>
          <w:rFonts w:cstheme="minorHAnsi"/>
        </w:rPr>
        <w:t>, pp. 51-52.</w:t>
      </w:r>
    </w:p>
  </w:footnote>
  <w:footnote w:id="144">
    <w:p w:rsidR="00EC705D" w:rsidRPr="008B7862" w:rsidRDefault="00EC705D" w:rsidP="00E756D7">
      <w:pPr>
        <w:pStyle w:val="FootnoteText"/>
        <w:rPr>
          <w:rFonts w:cstheme="minorHAnsi"/>
          <w:i/>
        </w:rPr>
      </w:pPr>
      <w:r w:rsidRPr="008B7862">
        <w:rPr>
          <w:rStyle w:val="FootnoteReference"/>
          <w:rFonts w:cstheme="minorHAnsi"/>
        </w:rPr>
        <w:footnoteRef/>
      </w:r>
      <w:r w:rsidRPr="008B7862">
        <w:rPr>
          <w:rFonts w:cstheme="minorHAnsi"/>
        </w:rPr>
        <w:t xml:space="preserve"> These are in order: </w:t>
      </w:r>
      <w:r w:rsidRPr="008B7862">
        <w:rPr>
          <w:rFonts w:cstheme="minorHAnsi"/>
          <w:i/>
        </w:rPr>
        <w:t>Depositions of the Bishops of Rome</w:t>
      </w:r>
      <w:r w:rsidRPr="008B7862">
        <w:rPr>
          <w:rFonts w:cstheme="minorHAnsi"/>
        </w:rPr>
        <w:t xml:space="preserve">, </w:t>
      </w:r>
      <w:r w:rsidRPr="008B7862">
        <w:rPr>
          <w:rFonts w:cstheme="minorHAnsi"/>
          <w:i/>
        </w:rPr>
        <w:t>Depositions of the Martyrs, List of the Bishops of Rome</w:t>
      </w:r>
      <w:r w:rsidRPr="008B7862">
        <w:rPr>
          <w:rFonts w:cstheme="minorHAnsi"/>
        </w:rPr>
        <w:t xml:space="preserve">, the </w:t>
      </w:r>
      <w:r w:rsidRPr="008B7862">
        <w:rPr>
          <w:rFonts w:cstheme="minorHAnsi"/>
          <w:i/>
        </w:rPr>
        <w:t>Notitia</w:t>
      </w:r>
      <w:r w:rsidRPr="008B7862">
        <w:rPr>
          <w:rFonts w:cstheme="minorHAnsi"/>
        </w:rPr>
        <w:t xml:space="preserve"> of the </w:t>
      </w:r>
      <w:r w:rsidRPr="008B7862">
        <w:rPr>
          <w:rFonts w:cstheme="minorHAnsi"/>
          <w:i/>
        </w:rPr>
        <w:t>Regionary Catalogues</w:t>
      </w:r>
      <w:r w:rsidRPr="008B7862">
        <w:rPr>
          <w:rFonts w:cstheme="minorHAnsi"/>
        </w:rPr>
        <w:t xml:space="preserve"> and the </w:t>
      </w:r>
      <w:r w:rsidRPr="008B7862">
        <w:rPr>
          <w:rFonts w:cstheme="minorHAnsi"/>
          <w:i/>
        </w:rPr>
        <w:t>Book of Generations</w:t>
      </w:r>
    </w:p>
  </w:footnote>
  <w:footnote w:id="145">
    <w:p w:rsidR="00EC705D" w:rsidRPr="008B7862" w:rsidRDefault="00EC705D" w:rsidP="00E756D7">
      <w:pPr>
        <w:autoSpaceDE w:val="0"/>
        <w:autoSpaceDN w:val="0"/>
        <w:adjustRightInd w:val="0"/>
        <w:spacing w:after="0" w:line="240" w:lineRule="auto"/>
        <w:jc w:val="both"/>
        <w:rPr>
          <w:rFonts w:cstheme="minorHAnsi"/>
          <w:i/>
          <w:sz w:val="20"/>
          <w:szCs w:val="20"/>
        </w:rPr>
      </w:pPr>
      <w:r w:rsidRPr="008B7862">
        <w:rPr>
          <w:rStyle w:val="FootnoteReference"/>
          <w:rFonts w:cstheme="minorHAnsi"/>
          <w:sz w:val="20"/>
          <w:szCs w:val="20"/>
        </w:rPr>
        <w:footnoteRef/>
      </w:r>
      <w:r w:rsidRPr="008B7862">
        <w:rPr>
          <w:rFonts w:cstheme="minorHAnsi"/>
          <w:sz w:val="20"/>
          <w:szCs w:val="20"/>
        </w:rPr>
        <w:t xml:space="preserve"> Mommsen, T., “Über den Chronographen vom J. 354,” </w:t>
      </w:r>
      <w:r w:rsidRPr="008B7862">
        <w:rPr>
          <w:rFonts w:cstheme="minorHAnsi"/>
          <w:i/>
          <w:sz w:val="20"/>
          <w:szCs w:val="20"/>
        </w:rPr>
        <w:t xml:space="preserve">Abhandlungen der Königlich Sächsischen Gesellschaft der Wissenschaften, phil.-hist. Klasse 1 </w:t>
      </w:r>
      <w:r w:rsidRPr="008B7862">
        <w:rPr>
          <w:rFonts w:cstheme="minorHAnsi"/>
          <w:sz w:val="20"/>
          <w:szCs w:val="20"/>
        </w:rPr>
        <w:t xml:space="preserve">(Leipzig, 1850), pp. 606-10; Burgess, R.W., ‘The Chronograph of 354: Its Manuscripts, Contents, and History’, </w:t>
      </w:r>
      <w:r w:rsidRPr="008B7862">
        <w:rPr>
          <w:rFonts w:cstheme="minorHAnsi"/>
          <w:i/>
          <w:sz w:val="20"/>
          <w:szCs w:val="20"/>
        </w:rPr>
        <w:t>Journal of Late Antiquity Vol. 5 No. 2</w:t>
      </w:r>
      <w:r w:rsidRPr="008B7862">
        <w:rPr>
          <w:rFonts w:cstheme="minorHAnsi"/>
          <w:sz w:val="20"/>
          <w:szCs w:val="20"/>
        </w:rPr>
        <w:t xml:space="preserve"> (2012), P. 381.</w:t>
      </w:r>
    </w:p>
  </w:footnote>
  <w:footnote w:id="146">
    <w:p w:rsidR="00EC705D" w:rsidRPr="008B7862" w:rsidRDefault="00EC705D" w:rsidP="00E756D7">
      <w:pPr>
        <w:pStyle w:val="FootnoteText"/>
        <w:tabs>
          <w:tab w:val="left" w:pos="5509"/>
        </w:tabs>
        <w:rPr>
          <w:rFonts w:cstheme="minorHAnsi"/>
        </w:rPr>
      </w:pPr>
      <w:r w:rsidRPr="008B7862">
        <w:rPr>
          <w:rStyle w:val="FootnoteReference"/>
          <w:rFonts w:cstheme="minorHAnsi"/>
        </w:rPr>
        <w:footnoteRef/>
      </w:r>
      <w:r w:rsidRPr="008B7862">
        <w:rPr>
          <w:rFonts w:cstheme="minorHAnsi"/>
        </w:rPr>
        <w:t xml:space="preserve"> Salzmann, </w:t>
      </w:r>
      <w:r w:rsidRPr="008B7862">
        <w:rPr>
          <w:rFonts w:cstheme="minorHAnsi"/>
          <w:i/>
        </w:rPr>
        <w:t>On Roman Time</w:t>
      </w:r>
      <w:r w:rsidRPr="008B7862">
        <w:rPr>
          <w:rFonts w:cstheme="minorHAnsi"/>
        </w:rPr>
        <w:t>, P. 57.</w:t>
      </w:r>
      <w:r w:rsidRPr="008B7862">
        <w:rPr>
          <w:rFonts w:cstheme="minorHAnsi"/>
        </w:rPr>
        <w:tab/>
      </w:r>
    </w:p>
  </w:footnote>
  <w:footnote w:id="14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Salzmann, </w:t>
      </w:r>
      <w:r w:rsidRPr="008B7862">
        <w:rPr>
          <w:rFonts w:cstheme="minorHAnsi"/>
          <w:i/>
        </w:rPr>
        <w:t>On Roman Time</w:t>
      </w:r>
      <w:r w:rsidRPr="008B7862">
        <w:rPr>
          <w:rFonts w:cstheme="minorHAnsi"/>
        </w:rPr>
        <w:t>, P. 5.</w:t>
      </w:r>
    </w:p>
  </w:footnote>
  <w:footnote w:id="14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59-60.</w:t>
      </w:r>
    </w:p>
  </w:footnote>
  <w:footnote w:id="149">
    <w:p w:rsidR="00EC705D" w:rsidRPr="008B7862" w:rsidRDefault="00EC705D" w:rsidP="00E756D7">
      <w:pPr>
        <w:pStyle w:val="FootnoteText"/>
        <w:rPr>
          <w:rFonts w:cstheme="minorHAnsi"/>
          <w: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Arce, ‘El inventario de Roma’, P. 22.</w:t>
      </w:r>
      <w:proofErr w:type="gramEnd"/>
    </w:p>
  </w:footnote>
  <w:footnote w:id="15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Ullman, W., </w:t>
      </w:r>
      <w:r w:rsidRPr="008B7862">
        <w:rPr>
          <w:rFonts w:cstheme="minorHAnsi"/>
          <w:i/>
        </w:rPr>
        <w:t>A Short History of the Papacy in the Middle Ages</w:t>
      </w:r>
      <w:r w:rsidRPr="008B7862">
        <w:rPr>
          <w:rFonts w:cstheme="minorHAnsi"/>
        </w:rPr>
        <w:t xml:space="preserve"> (London, 1972), pp. 5-9; Ganter, C., ‘</w:t>
      </w:r>
      <w:r w:rsidRPr="008B7862">
        <w:rPr>
          <w:rFonts w:cstheme="minorHAnsi"/>
          <w:i/>
        </w:rPr>
        <w:t xml:space="preserve">Romana urbs: </w:t>
      </w:r>
      <w:r w:rsidRPr="008B7862">
        <w:rPr>
          <w:rFonts w:cstheme="minorHAnsi"/>
        </w:rPr>
        <w:t xml:space="preserve">levels of Roman and Imperial identity in the city of Rome’, </w:t>
      </w:r>
      <w:r w:rsidRPr="008B7862">
        <w:rPr>
          <w:rFonts w:cstheme="minorHAnsi"/>
          <w:i/>
        </w:rPr>
        <w:t xml:space="preserve">Early Medieval </w:t>
      </w:r>
      <w:proofErr w:type="gramStart"/>
      <w:r w:rsidRPr="008B7862">
        <w:rPr>
          <w:rFonts w:cstheme="minorHAnsi"/>
          <w:i/>
        </w:rPr>
        <w:t>Europe  22</w:t>
      </w:r>
      <w:proofErr w:type="gramEnd"/>
      <w:r w:rsidRPr="008B7862">
        <w:rPr>
          <w:rFonts w:cstheme="minorHAnsi"/>
        </w:rPr>
        <w:t xml:space="preserve"> (2014), P. 475.</w:t>
      </w:r>
    </w:p>
  </w:footnote>
  <w:footnote w:id="15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Campanelli, ‘Monuments and histories’, pp. 49-50.</w:t>
      </w:r>
      <w:proofErr w:type="gramEnd"/>
    </w:p>
  </w:footnote>
  <w:footnote w:id="152">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For quotations of evidence from the </w:t>
      </w:r>
      <w:r w:rsidRPr="008B7862">
        <w:rPr>
          <w:rFonts w:cstheme="minorHAnsi"/>
          <w:i/>
        </w:rPr>
        <w:t>Regionary Catalogues</w:t>
      </w:r>
      <w:r w:rsidRPr="008B7862">
        <w:rPr>
          <w:rFonts w:cstheme="minorHAnsi"/>
        </w:rPr>
        <w:t xml:space="preserve"> I will be reproducing the original accusative of the </w:t>
      </w:r>
      <w:r w:rsidRPr="008B7862">
        <w:rPr>
          <w:rFonts w:cstheme="minorHAnsi"/>
          <w:i/>
        </w:rPr>
        <w:t>Regionaries</w:t>
      </w:r>
      <w:r w:rsidRPr="008B7862">
        <w:rPr>
          <w:rFonts w:cstheme="minorHAnsi"/>
        </w:rPr>
        <w:t>.</w:t>
      </w:r>
    </w:p>
  </w:footnote>
  <w:footnote w:id="153">
    <w:p w:rsidR="00EC705D" w:rsidRPr="008B7862" w:rsidRDefault="00EC705D" w:rsidP="007D6DDC">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 88; Richardson Jr., L., </w:t>
      </w:r>
      <w:r w:rsidRPr="008B7862">
        <w:rPr>
          <w:rFonts w:cstheme="minorHAnsi"/>
          <w:i/>
        </w:rPr>
        <w:t>A New Topographical Dictionary of Ancient Rome</w:t>
      </w:r>
      <w:r w:rsidRPr="008B7862">
        <w:rPr>
          <w:rFonts w:cstheme="minorHAnsi"/>
        </w:rPr>
        <w:t xml:space="preserve"> (London, 1992), P. 256; For the specific differences between the </w:t>
      </w:r>
      <w:r w:rsidRPr="008B7862">
        <w:rPr>
          <w:rFonts w:cstheme="minorHAnsi"/>
          <w:i/>
        </w:rPr>
        <w:t>Curiosum</w:t>
      </w:r>
      <w:r w:rsidRPr="008B7862">
        <w:rPr>
          <w:rFonts w:cstheme="minorHAnsi"/>
        </w:rPr>
        <w:t xml:space="preserve"> and the </w:t>
      </w:r>
      <w:r w:rsidRPr="008B7862">
        <w:rPr>
          <w:rFonts w:cstheme="minorHAnsi"/>
          <w:i/>
        </w:rPr>
        <w:t>Notitia</w:t>
      </w:r>
      <w:r w:rsidRPr="008B7862">
        <w:rPr>
          <w:rFonts w:cstheme="minorHAnsi"/>
        </w:rPr>
        <w:t xml:space="preserve"> see Appendix Two, pp. 163-165.</w:t>
      </w:r>
    </w:p>
  </w:footnote>
  <w:footnote w:id="154">
    <w:p w:rsidR="00EC705D" w:rsidRPr="008B7862" w:rsidRDefault="00EC705D" w:rsidP="007D6DDC">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77, 81, 83, 84, 88, 89-91, 94, 99, 101; Richardson Jr., </w:t>
      </w:r>
      <w:r w:rsidRPr="008B7862">
        <w:rPr>
          <w:rFonts w:cstheme="minorHAnsi"/>
          <w:i/>
        </w:rPr>
        <w:t>A New Topographical Dictionary</w:t>
      </w:r>
      <w:r w:rsidRPr="008B7862">
        <w:rPr>
          <w:rFonts w:cstheme="minorHAnsi"/>
        </w:rPr>
        <w:t>, pp. 37, 192, 243-244, 78-79, 31, 365, 199, 144, 404, 184-185, 32, 110, 320, 321-322, 174-175, 391.</w:t>
      </w:r>
    </w:p>
  </w:footnote>
  <w:footnote w:id="155">
    <w:p w:rsidR="00EC705D" w:rsidRPr="008B7862" w:rsidRDefault="00EC705D" w:rsidP="007D6DDC">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73-75, 78, 80-81 83-88, 90-91, 96-97, 105; Richardson Jr., </w:t>
      </w:r>
      <w:r w:rsidRPr="008B7862">
        <w:rPr>
          <w:rFonts w:cstheme="minorHAnsi"/>
          <w:i/>
        </w:rPr>
        <w:t>A New Topographical Dictionary</w:t>
      </w:r>
      <w:r w:rsidRPr="008B7862">
        <w:rPr>
          <w:rFonts w:cstheme="minorHAnsi"/>
        </w:rPr>
        <w:t>, pp. 50, 30-31, 48-49, 245, 255, 379, 87-88, 236-238, 225-226, 270-271, 152, 424, 192-193, 315-316, 53-54, 227, 208, 185-186.</w:t>
      </w:r>
    </w:p>
  </w:footnote>
  <w:footnote w:id="156">
    <w:p w:rsidR="00EC705D" w:rsidRPr="008B7862" w:rsidRDefault="00EC705D" w:rsidP="007D6DDC">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78, 81, 84, 91, 95, ; Richardson Jr., </w:t>
      </w:r>
      <w:r w:rsidRPr="008B7862">
        <w:rPr>
          <w:rFonts w:cstheme="minorHAnsi"/>
          <w:i/>
        </w:rPr>
        <w:t>A New Topographical Dictionary</w:t>
      </w:r>
      <w:r w:rsidRPr="008B7862">
        <w:rPr>
          <w:rFonts w:cstheme="minorHAnsi"/>
        </w:rPr>
        <w:t xml:space="preserve">, pp. 390-391, 265-266, 364-365, 252, 98-99, 343-344, 412, 51-52, 54-56. </w:t>
      </w:r>
    </w:p>
  </w:footnote>
  <w:footnote w:id="15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pp. 73-106.</w:t>
      </w:r>
    </w:p>
  </w:footnote>
  <w:footnote w:id="158">
    <w:p w:rsidR="00EC705D" w:rsidRPr="008B7862" w:rsidRDefault="00EC705D" w:rsidP="00E756D7">
      <w:pPr>
        <w:pStyle w:val="FootnoteText"/>
        <w:tabs>
          <w:tab w:val="left" w:pos="5341"/>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LRUR</w:t>
      </w:r>
      <w:r w:rsidRPr="008B7862">
        <w:rPr>
          <w:rFonts w:cstheme="minorHAnsi"/>
        </w:rPr>
        <w:t>, pp. 85&amp;87.</w:t>
      </w:r>
      <w:proofErr w:type="gramEnd"/>
      <w:r w:rsidRPr="008B7862">
        <w:rPr>
          <w:rFonts w:cstheme="minorHAnsi"/>
        </w:rPr>
        <w:tab/>
      </w:r>
    </w:p>
  </w:footnote>
  <w:footnote w:id="159">
    <w:p w:rsidR="00EC705D" w:rsidRPr="008B7862" w:rsidRDefault="00EC705D" w:rsidP="007C5405">
      <w:pPr>
        <w:pStyle w:val="FootnoteText"/>
        <w:rPr>
          <w:rFonts w:cstheme="minorHAnsi"/>
        </w:rPr>
      </w:pPr>
      <w:r w:rsidRPr="008B7862">
        <w:rPr>
          <w:rStyle w:val="FootnoteReference"/>
          <w:rFonts w:cstheme="minorHAnsi"/>
        </w:rPr>
        <w:footnoteRef/>
      </w:r>
      <w:r w:rsidRPr="008B7862">
        <w:rPr>
          <w:rFonts w:cstheme="minorHAnsi"/>
        </w:rPr>
        <w:t xml:space="preserve"> Richardson, </w:t>
      </w:r>
      <w:r w:rsidRPr="008B7862">
        <w:rPr>
          <w:rFonts w:cstheme="minorHAnsi"/>
          <w:i/>
        </w:rPr>
        <w:t>New Topographical Dictionary</w:t>
      </w:r>
      <w:r w:rsidRPr="008B7862">
        <w:rPr>
          <w:rFonts w:cstheme="minorHAnsi"/>
        </w:rPr>
        <w:t>, pp. 32.</w:t>
      </w:r>
    </w:p>
  </w:footnote>
  <w:footnote w:id="160">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Ibid</w:t>
      </w:r>
      <w:r w:rsidRPr="008B7862">
        <w:rPr>
          <w:rFonts w:cstheme="minorHAnsi"/>
        </w:rPr>
        <w:t>., pp. 404</w:t>
      </w:r>
    </w:p>
  </w:footnote>
  <w:footnote w:id="161">
    <w:p w:rsidR="00EC705D" w:rsidRPr="008B7862" w:rsidRDefault="00EC705D" w:rsidP="00150FD6">
      <w:pPr>
        <w:pStyle w:val="FootnoteText"/>
        <w:rPr>
          <w:rFonts w:cstheme="minorHAnsi"/>
        </w:rPr>
      </w:pPr>
      <w:r w:rsidRPr="008B7862">
        <w:rPr>
          <w:rStyle w:val="FootnoteReference"/>
          <w:rFonts w:cstheme="minorHAnsi"/>
        </w:rPr>
        <w:footnoteRef/>
      </w:r>
      <w:r w:rsidRPr="008B7862">
        <w:rPr>
          <w:rFonts w:cstheme="minorHAnsi"/>
        </w:rPr>
        <w:t xml:space="preserve"> Richardson, </w:t>
      </w:r>
      <w:r w:rsidRPr="008B7862">
        <w:rPr>
          <w:rFonts w:cstheme="minorHAnsi"/>
          <w:i/>
        </w:rPr>
        <w:t>New Topographical Dictionary</w:t>
      </w:r>
      <w:r w:rsidRPr="008B7862">
        <w:rPr>
          <w:rFonts w:cstheme="minorHAnsi"/>
        </w:rPr>
        <w:t xml:space="preserve">, </w:t>
      </w:r>
    </w:p>
  </w:footnote>
  <w:footnote w:id="162">
    <w:p w:rsidR="00EC705D" w:rsidRPr="008B7862" w:rsidRDefault="00EC705D" w:rsidP="00E756D7">
      <w:pPr>
        <w:pStyle w:val="FootnoteText"/>
        <w:rPr>
          <w:rFonts w:cstheme="minorHAnsi"/>
          <w:i/>
        </w:rPr>
      </w:pPr>
      <w:r w:rsidRPr="008B7862">
        <w:rPr>
          <w:rStyle w:val="FootnoteReference"/>
          <w:rFonts w:cstheme="minorHAnsi"/>
        </w:rPr>
        <w:footnoteRef/>
      </w:r>
      <w:r w:rsidRPr="008B7862">
        <w:rPr>
          <w:rFonts w:cstheme="minorHAnsi"/>
        </w:rPr>
        <w:t xml:space="preserve"> Ammianus Marcellinus, </w:t>
      </w:r>
      <w:r w:rsidRPr="008B7862">
        <w:rPr>
          <w:rFonts w:cstheme="minorHAnsi"/>
          <w:i/>
        </w:rPr>
        <w:t>Roman History</w:t>
      </w:r>
      <w:r w:rsidRPr="008B7862">
        <w:rPr>
          <w:rFonts w:cstheme="minorHAnsi"/>
        </w:rPr>
        <w:t xml:space="preserve"> Book XVII.4, trans. John Rolfe (London, 1939), pp. 319-331. </w:t>
      </w:r>
    </w:p>
  </w:footnote>
  <w:footnote w:id="16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Merrill, ‘Notitia and the Curiosum’, Pp. 143-144; Jordan,</w:t>
      </w:r>
      <w:r w:rsidRPr="008B7862">
        <w:rPr>
          <w:rFonts w:cstheme="minorHAnsi"/>
          <w:i/>
        </w:rPr>
        <w:t xml:space="preserve"> Topographie der Stadt Rom im Alterthum</w:t>
      </w:r>
      <w:r w:rsidRPr="008B7862">
        <w:rPr>
          <w:rFonts w:cstheme="minorHAnsi"/>
        </w:rPr>
        <w:t xml:space="preserve"> </w:t>
      </w:r>
      <w:r w:rsidRPr="008B7862">
        <w:rPr>
          <w:rFonts w:cstheme="minorHAnsi"/>
          <w:i/>
        </w:rPr>
        <w:t xml:space="preserve">Vol </w:t>
      </w:r>
      <w:proofErr w:type="gramStart"/>
      <w:r w:rsidRPr="008B7862">
        <w:rPr>
          <w:rFonts w:cstheme="minorHAnsi"/>
          <w:i/>
        </w:rPr>
        <w:t xml:space="preserve">II </w:t>
      </w:r>
      <w:r w:rsidRPr="008B7862">
        <w:rPr>
          <w:rFonts w:cstheme="minorHAnsi"/>
        </w:rPr>
        <w:t xml:space="preserve"> (</w:t>
      </w:r>
      <w:proofErr w:type="gramEnd"/>
      <w:r w:rsidRPr="008B7862">
        <w:rPr>
          <w:rFonts w:cstheme="minorHAnsi"/>
        </w:rPr>
        <w:t xml:space="preserve">Roma, 1970), P. 9; Lanciani, R., </w:t>
      </w:r>
      <w:r w:rsidRPr="008B7862">
        <w:rPr>
          <w:rFonts w:cstheme="minorHAnsi"/>
          <w:i/>
        </w:rPr>
        <w:t xml:space="preserve">Ruins and Excavations of Ancient Rome A Companion Book for Students and Travelers </w:t>
      </w:r>
      <w:r w:rsidRPr="008B7862">
        <w:rPr>
          <w:rFonts w:cstheme="minorHAnsi"/>
        </w:rPr>
        <w:t>(Oxford, 1967), P. vii; Richardson Jr., A New Topographical Dictionary, P. 144.</w:t>
      </w:r>
    </w:p>
  </w:footnote>
  <w:footnote w:id="164">
    <w:p w:rsidR="00EC705D" w:rsidRPr="008B7862" w:rsidRDefault="00EC705D" w:rsidP="00E756D7">
      <w:pPr>
        <w:pStyle w:val="FootnoteText"/>
        <w:tabs>
          <w:tab w:val="right" w:pos="9026"/>
        </w:tabs>
        <w:rPr>
          <w:rFonts w:cstheme="minorHAnsi"/>
        </w:rPr>
      </w:pPr>
      <w:r w:rsidRPr="008B7862">
        <w:rPr>
          <w:rStyle w:val="FootnoteReference"/>
          <w:rFonts w:cstheme="minorHAnsi"/>
        </w:rPr>
        <w:footnoteRef/>
      </w:r>
      <w:r w:rsidRPr="008B7862">
        <w:rPr>
          <w:rFonts w:cstheme="minorHAnsi"/>
        </w:rPr>
        <w:t xml:space="preserve"> CIL VI, 114; Richardson,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rPr>
        <w:t>, P. 144.</w:t>
      </w:r>
      <w:r w:rsidRPr="008B7862">
        <w:rPr>
          <w:rFonts w:cstheme="minorHAnsi"/>
        </w:rPr>
        <w:tab/>
      </w:r>
    </w:p>
  </w:footnote>
  <w:footnote w:id="16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Variations in this case solely being different structures and not including the differences in statistics; Merrill, ‘Notitia and Curiosum’, pp. 142-143.</w:t>
      </w:r>
      <w:proofErr w:type="gramEnd"/>
    </w:p>
  </w:footnote>
  <w:footnote w:id="16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Jr., </w:t>
      </w:r>
      <w:r w:rsidRPr="008B7862">
        <w:rPr>
          <w:rFonts w:cstheme="minorHAnsi"/>
          <w:i/>
        </w:rPr>
        <w:t>A New Topographical Dictionary</w:t>
      </w:r>
      <w:r w:rsidRPr="008B7862">
        <w:rPr>
          <w:rFonts w:cstheme="minorHAnsi"/>
        </w:rPr>
        <w:t>, pp. 312, 390-391; Merrill, ‘Notitia and Curiosum’, pp. 137-138.</w:t>
      </w:r>
    </w:p>
  </w:footnote>
  <w:footnote w:id="16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Merrill, ‘Notitia and Curiosum’, P. 138.</w:t>
      </w:r>
    </w:p>
  </w:footnote>
  <w:footnote w:id="168">
    <w:p w:rsidR="00EC705D" w:rsidRPr="008B7862" w:rsidRDefault="00EC705D" w:rsidP="00E756D7">
      <w:pPr>
        <w:pStyle w:val="FootnoteText"/>
        <w:rPr>
          <w:rFonts w:cstheme="minorHAnsi"/>
          <w: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 81; </w:t>
      </w:r>
      <w:proofErr w:type="gramStart"/>
      <w:r w:rsidRPr="008B7862">
        <w:rPr>
          <w:rFonts w:cstheme="minorHAnsi"/>
        </w:rPr>
        <w:t>Another</w:t>
      </w:r>
      <w:proofErr w:type="gramEnd"/>
      <w:r w:rsidRPr="008B7862">
        <w:rPr>
          <w:rFonts w:cstheme="minorHAnsi"/>
        </w:rPr>
        <w:t xml:space="preserve"> significant item is missing from the </w:t>
      </w:r>
      <w:r w:rsidRPr="008B7862">
        <w:rPr>
          <w:rFonts w:cstheme="minorHAnsi"/>
          <w:i/>
        </w:rPr>
        <w:t>Regionaries</w:t>
      </w:r>
      <w:r w:rsidRPr="008B7862">
        <w:rPr>
          <w:rFonts w:cstheme="minorHAnsi"/>
        </w:rPr>
        <w:t xml:space="preserve"> that would help us date it, which is the mighty Aurelian Walls. This will be discussed in a later chapter and need not concern us here as we focus on the manuscripts.</w:t>
      </w:r>
    </w:p>
  </w:footnote>
  <w:footnote w:id="16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See: Bingham, S., </w:t>
      </w:r>
      <w:r w:rsidRPr="008B7862">
        <w:rPr>
          <w:rFonts w:cstheme="minorHAnsi"/>
          <w:i/>
        </w:rPr>
        <w:t xml:space="preserve">The Praetorian Guard A History of Rome’s Elite Special Forces </w:t>
      </w:r>
      <w:r w:rsidRPr="008B7862">
        <w:rPr>
          <w:rFonts w:cstheme="minorHAnsi"/>
        </w:rPr>
        <w:t xml:space="preserve">(Padstow, 1988) and Rankov, B., </w:t>
      </w:r>
      <w:r w:rsidRPr="008B7862">
        <w:rPr>
          <w:rFonts w:cstheme="minorHAnsi"/>
          <w:i/>
        </w:rPr>
        <w:t>The Praetorian Guard</w:t>
      </w:r>
      <w:r w:rsidRPr="008B7862">
        <w:rPr>
          <w:rFonts w:cstheme="minorHAnsi"/>
        </w:rPr>
        <w:t xml:space="preserve"> (Oxford, 1994) and Speidel, M.P., ‘Maxentius’ Praetorians’’, in </w:t>
      </w:r>
      <w:r w:rsidRPr="008B7862">
        <w:rPr>
          <w:rFonts w:cstheme="minorHAnsi"/>
          <w:i/>
        </w:rPr>
        <w:t xml:space="preserve">Roman Army Studies </w:t>
      </w:r>
      <w:r w:rsidRPr="008B7862">
        <w:rPr>
          <w:rFonts w:cstheme="minorHAnsi"/>
        </w:rPr>
        <w:t>(Stuttgart, 1992), pp. 385-389.</w:t>
      </w:r>
    </w:p>
  </w:footnote>
  <w:footnote w:id="17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Harries, J., </w:t>
      </w:r>
      <w:r w:rsidRPr="008B7862">
        <w:rPr>
          <w:rFonts w:cstheme="minorHAnsi"/>
          <w:i/>
        </w:rPr>
        <w:t>Imperial Rome AD 284 to 363 The New Empire</w:t>
      </w:r>
      <w:r w:rsidRPr="008B7862">
        <w:rPr>
          <w:rFonts w:cstheme="minorHAnsi"/>
        </w:rPr>
        <w:t xml:space="preserve"> (Edinburgh, 2012), P. 43; Lenski, N., ‘Evoking the Pagan Past’, P. 208.</w:t>
      </w:r>
    </w:p>
  </w:footnote>
  <w:footnote w:id="171">
    <w:p w:rsidR="00EC705D" w:rsidRPr="007D570B" w:rsidRDefault="00EC705D" w:rsidP="00E756D7">
      <w:pPr>
        <w:pStyle w:val="FootnoteText"/>
        <w:rPr>
          <w:rFonts w:cstheme="minorHAnsi"/>
          <w:i/>
        </w:rPr>
      </w:pPr>
      <w:r w:rsidRPr="008B7862">
        <w:rPr>
          <w:rStyle w:val="FootnoteReference"/>
          <w:rFonts w:cstheme="minorHAnsi"/>
        </w:rPr>
        <w:footnoteRef/>
      </w:r>
      <w:r w:rsidRPr="008B7862">
        <w:rPr>
          <w:rFonts w:cstheme="minorHAnsi"/>
        </w:rPr>
        <w:t xml:space="preserve"> Richardson, </w:t>
      </w:r>
      <w:r w:rsidRPr="008B7862">
        <w:rPr>
          <w:rFonts w:cstheme="minorHAnsi"/>
          <w:i/>
        </w:rPr>
        <w:t>A New Topographical Dictionary</w:t>
      </w:r>
      <w:r w:rsidRPr="008B7862">
        <w:rPr>
          <w:rFonts w:cstheme="minorHAnsi"/>
        </w:rPr>
        <w:t xml:space="preserve">, pp. 78-79, 260-262; Coates-Stephens, R., ‘The Walls of Aurelian’, in Behrwald, R., and Witschel, C. (eds), </w:t>
      </w:r>
      <w:hyperlink r:id="rId1" w:history="1">
        <w:r w:rsidRPr="007D570B">
          <w:rPr>
            <w:rStyle w:val="Hyperlink"/>
            <w:rFonts w:cstheme="minorHAnsi"/>
            <w:bCs/>
            <w:i/>
            <w:color w:val="auto"/>
            <w:u w:val="none"/>
            <w:shd w:val="clear" w:color="auto" w:fill="FFFFE4"/>
          </w:rPr>
          <w:t>Rom in der Spätantike : historische Erinnerung im städtischen Raum</w:t>
        </w:r>
      </w:hyperlink>
      <w:r w:rsidRPr="007D570B">
        <w:rPr>
          <w:rStyle w:val="apple-converted-space"/>
          <w:rFonts w:cstheme="minorHAnsi"/>
          <w:i/>
          <w:shd w:val="clear" w:color="auto" w:fill="FFFFE4"/>
        </w:rPr>
        <w:t> </w:t>
      </w:r>
      <w:r w:rsidRPr="007D570B">
        <w:rPr>
          <w:rStyle w:val="apple-converted-space"/>
          <w:rFonts w:cstheme="minorHAnsi"/>
          <w:shd w:val="clear" w:color="auto" w:fill="FFFFE4"/>
        </w:rPr>
        <w:t>(Stuttgart, 2012),</w:t>
      </w:r>
      <w:r w:rsidRPr="007D570B">
        <w:rPr>
          <w:rStyle w:val="apple-converted-space"/>
          <w:rFonts w:cstheme="minorHAnsi"/>
          <w:i/>
          <w:shd w:val="clear" w:color="auto" w:fill="FFFFE4"/>
        </w:rPr>
        <w:t xml:space="preserve"> pp. 86-87.</w:t>
      </w:r>
    </w:p>
  </w:footnote>
  <w:footnote w:id="17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Bingham, S., </w:t>
      </w:r>
      <w:proofErr w:type="gramStart"/>
      <w:r w:rsidRPr="008B7862">
        <w:rPr>
          <w:rFonts w:cstheme="minorHAnsi"/>
          <w:i/>
        </w:rPr>
        <w:t>The</w:t>
      </w:r>
      <w:proofErr w:type="gramEnd"/>
      <w:r w:rsidRPr="008B7862">
        <w:rPr>
          <w:rFonts w:cstheme="minorHAnsi"/>
          <w:i/>
        </w:rPr>
        <w:t xml:space="preserve"> Praetorian Guard A History of Rome’s Elite Special Forces</w:t>
      </w:r>
      <w:r w:rsidRPr="008B7862">
        <w:rPr>
          <w:rFonts w:cstheme="minorHAnsi"/>
        </w:rPr>
        <w:t xml:space="preserve"> (Padstow, 1988), pp. 74-75.</w:t>
      </w:r>
    </w:p>
  </w:footnote>
  <w:footnote w:id="17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Aurelius Victor, </w:t>
      </w:r>
      <w:r w:rsidRPr="008B7862">
        <w:rPr>
          <w:rFonts w:cstheme="minorHAnsi"/>
          <w:i/>
        </w:rPr>
        <w:t>Liber de Caesaribus 40:25</w:t>
      </w:r>
      <w:r w:rsidRPr="008B7862">
        <w:rPr>
          <w:rFonts w:cstheme="minorHAnsi"/>
        </w:rPr>
        <w:t>, trans. Bird, H.W.,</w:t>
      </w:r>
      <w:r w:rsidRPr="008B7862">
        <w:rPr>
          <w:rFonts w:cstheme="minorHAnsi"/>
          <w:i/>
        </w:rPr>
        <w:t xml:space="preserve"> </w:t>
      </w:r>
      <w:r w:rsidRPr="008B7862">
        <w:rPr>
          <w:rFonts w:cstheme="minorHAnsi"/>
        </w:rPr>
        <w:t xml:space="preserve">(Liverpool, 1994), P. 48; Richardson Jr., </w:t>
      </w:r>
      <w:r w:rsidRPr="007D570B">
        <w:rPr>
          <w:rFonts w:cstheme="minorHAnsi"/>
          <w:i/>
        </w:rPr>
        <w:t>A New Topographical Dictionary</w:t>
      </w:r>
      <w:r w:rsidRPr="008B7862">
        <w:rPr>
          <w:rFonts w:cstheme="minorHAnsi"/>
        </w:rPr>
        <w:t>, pp. 78-79.</w:t>
      </w:r>
      <w:proofErr w:type="gramEnd"/>
    </w:p>
  </w:footnote>
  <w:footnote w:id="17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LC 40:26</w:t>
      </w:r>
      <w:r w:rsidRPr="008B7862">
        <w:rPr>
          <w:rFonts w:cstheme="minorHAnsi"/>
        </w:rPr>
        <w:t>, pp. 48-49</w:t>
      </w:r>
      <w:r w:rsidRPr="008B7862">
        <w:rPr>
          <w:rFonts w:cstheme="minorHAnsi"/>
          <w:b/>
        </w:rPr>
        <w:t>.</w:t>
      </w:r>
    </w:p>
  </w:footnote>
  <w:footnote w:id="17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78&amp;100; Richardson Jr., </w:t>
      </w:r>
      <w:proofErr w:type="gramStart"/>
      <w:r w:rsidRPr="008B7862">
        <w:rPr>
          <w:rFonts w:cstheme="minorHAnsi"/>
        </w:rPr>
        <w:t>A</w:t>
      </w:r>
      <w:proofErr w:type="gramEnd"/>
      <w:r w:rsidRPr="008B7862">
        <w:rPr>
          <w:rFonts w:cstheme="minorHAnsi"/>
        </w:rPr>
        <w:t xml:space="preserve"> New Topographical Dictionary, pp. 51-52.</w:t>
      </w:r>
    </w:p>
  </w:footnote>
  <w:footnote w:id="17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78&amp;100; Richardson Jr., </w:t>
      </w:r>
      <w:proofErr w:type="gramStart"/>
      <w:r w:rsidRPr="008B7862">
        <w:rPr>
          <w:rFonts w:cstheme="minorHAnsi"/>
        </w:rPr>
        <w:t>A</w:t>
      </w:r>
      <w:proofErr w:type="gramEnd"/>
      <w:r w:rsidRPr="008B7862">
        <w:rPr>
          <w:rFonts w:cstheme="minorHAnsi"/>
        </w:rPr>
        <w:t xml:space="preserve"> New Topographical Dictionary, pp. 51-52.</w:t>
      </w:r>
    </w:p>
  </w:footnote>
  <w:footnote w:id="177">
    <w:p w:rsidR="00EC705D" w:rsidRPr="008B7862" w:rsidRDefault="00EC705D" w:rsidP="00E756D7">
      <w:pPr>
        <w:pStyle w:val="FootnoteText"/>
        <w:tabs>
          <w:tab w:val="left" w:pos="3717"/>
        </w:tabs>
        <w:rPr>
          <w:rFonts w:cstheme="minorHAnsi"/>
        </w:rPr>
      </w:pPr>
      <w:r w:rsidRPr="008B7862">
        <w:rPr>
          <w:rStyle w:val="FootnoteReference"/>
          <w:rFonts w:cstheme="minorHAnsi"/>
        </w:rPr>
        <w:footnoteRef/>
      </w:r>
      <w:r w:rsidRPr="008B7862">
        <w:rPr>
          <w:rFonts w:cstheme="minorHAnsi"/>
        </w:rPr>
        <w:t xml:space="preserve"> Merrill, ‘Notitia and Curiosum’, P. 138.</w:t>
      </w:r>
      <w:r w:rsidRPr="008B7862">
        <w:rPr>
          <w:rFonts w:cstheme="minorHAnsi"/>
        </w:rPr>
        <w:tab/>
      </w:r>
    </w:p>
  </w:footnote>
  <w:footnote w:id="178">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Fig 1: A bust of the Emperor Septimius Severus, the author of the Marble Plan (Musei Capitolini, 2005); Fig 2: The wall of the Temple of Peace where the Marble Plan was mounted (Rome, 2005).</w:t>
      </w:r>
    </w:p>
  </w:footnote>
  <w:footnote w:id="179">
    <w:p w:rsidR="00EC705D" w:rsidRPr="008B7862" w:rsidRDefault="00EC705D" w:rsidP="00E756D7">
      <w:pPr>
        <w:pStyle w:val="FootnoteText"/>
        <w:rPr>
          <w:rFonts w:cstheme="minorHAnsi"/>
        </w:rPr>
      </w:pPr>
      <w:r w:rsidRPr="008B7862">
        <w:rPr>
          <w:rStyle w:val="FootnoteReference"/>
          <w:rFonts w:cstheme="minorHAnsi"/>
          <w:vertAlign w:val="baseline"/>
        </w:rPr>
        <w:footnoteRef/>
      </w:r>
      <w:r w:rsidRPr="008B7862">
        <w:rPr>
          <w:rFonts w:cstheme="minorHAnsi"/>
        </w:rPr>
        <w:t xml:space="preserve"> Suetonius, </w:t>
      </w:r>
      <w:proofErr w:type="gramStart"/>
      <w:r w:rsidRPr="008B7862">
        <w:rPr>
          <w:rFonts w:cstheme="minorHAnsi"/>
          <w:i/>
        </w:rPr>
        <w:t>The</w:t>
      </w:r>
      <w:proofErr w:type="gramEnd"/>
      <w:r w:rsidRPr="008B7862">
        <w:rPr>
          <w:rFonts w:cstheme="minorHAnsi"/>
          <w:i/>
        </w:rPr>
        <w:t xml:space="preserve"> Lives of the Twelves Caesars: </w:t>
      </w:r>
      <w:r w:rsidRPr="008B7862">
        <w:rPr>
          <w:rFonts w:cstheme="minorHAnsi"/>
        </w:rPr>
        <w:t xml:space="preserve"> </w:t>
      </w:r>
      <w:r w:rsidRPr="008B7862">
        <w:rPr>
          <w:rFonts w:cstheme="minorHAnsi"/>
          <w:i/>
        </w:rPr>
        <w:t>Augustus 28.3</w:t>
      </w:r>
      <w:r w:rsidRPr="008B7862">
        <w:rPr>
          <w:rFonts w:cstheme="minorHAnsi"/>
        </w:rPr>
        <w:t>, trans. Rolfe, J.C.</w:t>
      </w:r>
      <w:r w:rsidRPr="008B7862">
        <w:rPr>
          <w:rFonts w:cstheme="minorHAnsi"/>
          <w:i/>
        </w:rPr>
        <w:t xml:space="preserve"> </w:t>
      </w:r>
      <w:r w:rsidRPr="008B7862">
        <w:rPr>
          <w:rFonts w:cstheme="minorHAnsi"/>
        </w:rPr>
        <w:t xml:space="preserve">(Oxford, 1913), P. 167. </w:t>
      </w:r>
    </w:p>
  </w:footnote>
  <w:footnote w:id="18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Veyne, P., </w:t>
      </w:r>
      <w:r w:rsidRPr="008B7862">
        <w:rPr>
          <w:rFonts w:cstheme="minorHAnsi"/>
          <w:i/>
        </w:rPr>
        <w:t xml:space="preserve">Bread and Circuses Historical Sociology and Political Pluralism, </w:t>
      </w:r>
      <w:r w:rsidRPr="008B7862">
        <w:rPr>
          <w:rFonts w:cstheme="minorHAnsi"/>
        </w:rPr>
        <w:t>trans. Pearce, B. (London, 1990), P. 380.</w:t>
      </w:r>
    </w:p>
  </w:footnote>
  <w:footnote w:id="181">
    <w:p w:rsidR="00EC705D" w:rsidRPr="008B7862" w:rsidRDefault="00EC705D" w:rsidP="004104D6">
      <w:pPr>
        <w:pStyle w:val="FootnoteText"/>
        <w:rPr>
          <w:rFonts w:cstheme="minorHAnsi"/>
        </w:rPr>
      </w:pPr>
      <w:r w:rsidRPr="008B7862">
        <w:rPr>
          <w:rStyle w:val="FootnoteReference"/>
          <w:rFonts w:cstheme="minorHAnsi"/>
        </w:rPr>
        <w:footnoteRef/>
      </w:r>
      <w:r w:rsidRPr="008B7862">
        <w:rPr>
          <w:rFonts w:cstheme="minorHAnsi"/>
        </w:rPr>
        <w:t xml:space="preserve"> Reynolds, ‘The Lost Architecture’, P. 16.</w:t>
      </w:r>
    </w:p>
  </w:footnote>
  <w:footnote w:id="182">
    <w:p w:rsidR="00EC705D" w:rsidRPr="008B7862" w:rsidRDefault="00EC705D" w:rsidP="004104D6">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Petsalis-Diomidis, ‘Landscape, transformation, and divine’, P. 295; Coarelli, F., ‘Pax, templum’, </w:t>
      </w:r>
      <w:r w:rsidRPr="008B7862">
        <w:rPr>
          <w:rFonts w:cstheme="minorHAnsi"/>
          <w:i/>
        </w:rPr>
        <w:t xml:space="preserve">LTUR IV </w:t>
      </w:r>
      <w:r w:rsidRPr="008B7862">
        <w:rPr>
          <w:rFonts w:cstheme="minorHAnsi"/>
        </w:rPr>
        <w:t>(1999), P. 70.</w:t>
      </w:r>
      <w:proofErr w:type="gramEnd"/>
    </w:p>
  </w:footnote>
  <w:footnote w:id="18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Provincial Loyalty</w:t>
      </w:r>
      <w:r w:rsidRPr="008B7862">
        <w:rPr>
          <w:rFonts w:cstheme="minorHAnsi"/>
        </w:rPr>
        <w:t>, P. 137.</w:t>
      </w:r>
    </w:p>
  </w:footnote>
  <w:footnote w:id="184">
    <w:p w:rsidR="00EC705D" w:rsidRPr="008B7862" w:rsidRDefault="00EC705D" w:rsidP="004104D6">
      <w:pPr>
        <w:pStyle w:val="FootnoteText"/>
        <w:rPr>
          <w:rFonts w:cstheme="minorHAnsi"/>
        </w:rPr>
      </w:pPr>
      <w:r w:rsidRPr="008B7862">
        <w:rPr>
          <w:rStyle w:val="FootnoteReference"/>
          <w:rFonts w:cstheme="minorHAnsi"/>
        </w:rPr>
        <w:footnoteRef/>
      </w:r>
      <w:r w:rsidRPr="008B7862">
        <w:rPr>
          <w:rFonts w:cstheme="minorHAnsi"/>
        </w:rPr>
        <w:t xml:space="preserve"> Zanker, P., </w:t>
      </w:r>
      <w:proofErr w:type="gramStart"/>
      <w:r w:rsidRPr="008B7862">
        <w:rPr>
          <w:rFonts w:cstheme="minorHAnsi"/>
          <w:i/>
          <w:iCs/>
        </w:rPr>
        <w:t>The</w:t>
      </w:r>
      <w:proofErr w:type="gramEnd"/>
      <w:r w:rsidRPr="008B7862">
        <w:rPr>
          <w:rFonts w:cstheme="minorHAnsi"/>
          <w:i/>
          <w:iCs/>
        </w:rPr>
        <w:t xml:space="preserve"> Power of Images in the Age of Augustus</w:t>
      </w:r>
      <w:r w:rsidRPr="008B7862">
        <w:rPr>
          <w:rFonts w:cstheme="minorHAnsi"/>
        </w:rPr>
        <w:t>, trans. Alan Shapiro (Ann Arbor, 1990), P. 3.</w:t>
      </w:r>
    </w:p>
  </w:footnote>
  <w:footnote w:id="185">
    <w:p w:rsidR="00EC705D" w:rsidRPr="008B7862" w:rsidRDefault="00EC705D" w:rsidP="004104D6">
      <w:pPr>
        <w:pStyle w:val="FootnoteText"/>
        <w:tabs>
          <w:tab w:val="left" w:pos="1680"/>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3.</w:t>
      </w:r>
      <w:r w:rsidRPr="008B7862">
        <w:rPr>
          <w:rFonts w:cstheme="minorHAnsi"/>
        </w:rPr>
        <w:tab/>
      </w:r>
    </w:p>
  </w:footnote>
  <w:footnote w:id="186">
    <w:p w:rsidR="00EC705D" w:rsidRPr="008B7862" w:rsidRDefault="00EC705D" w:rsidP="004104D6">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 P. 115.</w:t>
      </w:r>
      <w:proofErr w:type="gramEnd"/>
    </w:p>
  </w:footnote>
  <w:footnote w:id="18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Veyne, P., </w:t>
      </w:r>
      <w:r w:rsidRPr="008B7862">
        <w:rPr>
          <w:rFonts w:cstheme="minorHAnsi"/>
          <w:i/>
        </w:rPr>
        <w:t>Bread and Circuses</w:t>
      </w:r>
      <w:r w:rsidRPr="008B7862">
        <w:rPr>
          <w:rFonts w:cstheme="minorHAnsi"/>
        </w:rPr>
        <w:t>, pp. ix-xi.</w:t>
      </w:r>
      <w:proofErr w:type="gramEnd"/>
    </w:p>
  </w:footnote>
  <w:footnote w:id="18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 P. xi.</w:t>
      </w:r>
      <w:proofErr w:type="gramEnd"/>
    </w:p>
  </w:footnote>
  <w:footnote w:id="18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Ibid</w:t>
      </w:r>
      <w:r w:rsidRPr="008B7862">
        <w:rPr>
          <w:rFonts w:cstheme="minorHAnsi"/>
        </w:rPr>
        <w:t xml:space="preserve">., pp. 259-261; Zanker, </w:t>
      </w:r>
      <w:r w:rsidRPr="008B7862">
        <w:rPr>
          <w:rFonts w:cstheme="minorHAnsi"/>
          <w:i/>
        </w:rPr>
        <w:t>The Power of Images</w:t>
      </w:r>
      <w:r w:rsidRPr="008B7862">
        <w:rPr>
          <w:rFonts w:cstheme="minorHAnsi"/>
        </w:rPr>
        <w:t xml:space="preserve">, P. 100; Zanker, P., ‘Augustan Political Symbolism in the Private Sphere’, in Beard, M., Huskinson, J., and Reynolds, J., </w:t>
      </w:r>
      <w:r w:rsidRPr="008B7862">
        <w:rPr>
          <w:rFonts w:cstheme="minorHAnsi"/>
          <w:i/>
        </w:rPr>
        <w:t>Image and Mystery in the Roman World: Three papers given in memory of Jocelyn Toynbee</w:t>
      </w:r>
      <w:r w:rsidRPr="008B7862">
        <w:rPr>
          <w:rFonts w:cstheme="minorHAnsi"/>
        </w:rPr>
        <w:t xml:space="preserve"> (Gloucester, 1988), P. 11.</w:t>
      </w:r>
    </w:p>
  </w:footnote>
  <w:footnote w:id="19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Wallace-Hadrill, </w:t>
      </w:r>
      <w:r w:rsidRPr="008B7862">
        <w:rPr>
          <w:rFonts w:cstheme="minorHAnsi"/>
          <w:i/>
        </w:rPr>
        <w:t>Cultural Revolution</w:t>
      </w:r>
      <w:r w:rsidRPr="008B7862">
        <w:rPr>
          <w:rFonts w:cstheme="minorHAnsi"/>
        </w:rPr>
        <w:t>, P. 308.</w:t>
      </w:r>
    </w:p>
  </w:footnote>
  <w:footnote w:id="19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w:t>
      </w:r>
      <w:r w:rsidRPr="008B7862">
        <w:rPr>
          <w:rFonts w:cstheme="minorHAnsi"/>
          <w:i/>
        </w:rPr>
        <w:t>Topographical Dictionary</w:t>
      </w:r>
      <w:r w:rsidRPr="008B7862">
        <w:rPr>
          <w:rFonts w:cstheme="minorHAnsi"/>
        </w:rPr>
        <w:t xml:space="preserve">, pp. 412-413; Birley, A.R., </w:t>
      </w:r>
      <w:r w:rsidRPr="008B7862">
        <w:rPr>
          <w:rFonts w:cstheme="minorHAnsi"/>
          <w:i/>
        </w:rPr>
        <w:t>Septimius Severus: The African Emperor</w:t>
      </w:r>
      <w:r w:rsidRPr="008B7862">
        <w:rPr>
          <w:rFonts w:cstheme="minorHAnsi"/>
        </w:rPr>
        <w:t xml:space="preserve"> (London, 2002), P. 85; Cassius Dio, </w:t>
      </w:r>
      <w:r w:rsidRPr="008B7862">
        <w:rPr>
          <w:rFonts w:cstheme="minorHAnsi"/>
          <w:i/>
        </w:rPr>
        <w:t>Roman History 72.24.1-3</w:t>
      </w:r>
      <w:r w:rsidRPr="008B7862">
        <w:rPr>
          <w:rFonts w:cstheme="minorHAnsi"/>
        </w:rPr>
        <w:t>¸ trans. Cary, E. (Oxford, 1927)</w:t>
      </w:r>
    </w:p>
  </w:footnote>
  <w:footnote w:id="19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Reynolds, D.W., ‘The Lost Architecture of Ancient Rome’, pp. 16-18.</w:t>
      </w:r>
    </w:p>
  </w:footnote>
  <w:footnote w:id="19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eastAsiaTheme="majorEastAsia" w:cstheme="minorHAnsi"/>
        </w:rPr>
        <w:t>Edwards, C., and Woolf, G., ‘Cosmopolis: Rome as World City’, i</w:t>
      </w:r>
      <w:r w:rsidRPr="008B7862">
        <w:rPr>
          <w:rFonts w:cstheme="minorHAnsi"/>
          <w:bCs/>
        </w:rPr>
        <w:t>n Edward, C., and Woolf, G. (</w:t>
      </w:r>
      <w:proofErr w:type="gramStart"/>
      <w:r w:rsidRPr="008B7862">
        <w:rPr>
          <w:rFonts w:cstheme="minorHAnsi"/>
          <w:bCs/>
        </w:rPr>
        <w:t>eds</w:t>
      </w:r>
      <w:proofErr w:type="gramEnd"/>
      <w:r w:rsidRPr="008B7862">
        <w:rPr>
          <w:rFonts w:cstheme="minorHAnsi"/>
          <w:bCs/>
        </w:rPr>
        <w:t xml:space="preserve">), </w:t>
      </w:r>
      <w:r w:rsidRPr="008B7862">
        <w:rPr>
          <w:rFonts w:cstheme="minorHAnsi"/>
          <w:bCs/>
          <w:i/>
        </w:rPr>
        <w:t>Rome the Cosmopolis</w:t>
      </w:r>
      <w:r w:rsidRPr="008B7862">
        <w:rPr>
          <w:rFonts w:cstheme="minorHAnsi"/>
          <w:bCs/>
        </w:rPr>
        <w:t xml:space="preserve"> (Cambridge, 2006), P. 4.</w:t>
      </w:r>
    </w:p>
  </w:footnote>
  <w:footnote w:id="194">
    <w:p w:rsidR="00EC705D" w:rsidRPr="008B7862" w:rsidRDefault="00EC705D" w:rsidP="00E756D7">
      <w:pPr>
        <w:pStyle w:val="FootnoteText"/>
        <w:tabs>
          <w:tab w:val="left" w:pos="5643"/>
        </w:tabs>
        <w:rPr>
          <w:rFonts w:cstheme="minorHAnsi"/>
        </w:rPr>
      </w:pPr>
      <w:r w:rsidRPr="008B7862">
        <w:rPr>
          <w:rStyle w:val="FootnoteReference"/>
          <w:rFonts w:cstheme="minorHAnsi"/>
        </w:rPr>
        <w:footnoteRef/>
      </w:r>
      <w:r w:rsidRPr="008B7862">
        <w:rPr>
          <w:rFonts w:cstheme="minorHAnsi"/>
        </w:rPr>
        <w:t xml:space="preserve"> Kaiser, A., Roman Urban Street Networks (Oxford, 2011), P. 60; DeLaine, J., </w:t>
      </w:r>
      <w:r w:rsidRPr="008B7862">
        <w:rPr>
          <w:rFonts w:cstheme="minorHAnsi"/>
          <w:i/>
        </w:rPr>
        <w:t>The Baths of Caracalla A Study in the Design, Construction, and Economics of Large-Scale Building Projects in Imperial Rome</w:t>
      </w:r>
      <w:r w:rsidRPr="008B7862">
        <w:rPr>
          <w:rFonts w:cstheme="minorHAnsi"/>
        </w:rPr>
        <w:t xml:space="preserve"> (Portsmouth, 1997), pp. 13-14;</w:t>
      </w:r>
    </w:p>
  </w:footnote>
  <w:footnote w:id="195">
    <w:p w:rsidR="00EC705D" w:rsidRPr="008B7862" w:rsidRDefault="00EC705D" w:rsidP="00E756D7">
      <w:pPr>
        <w:spacing w:after="0" w:line="240" w:lineRule="auto"/>
        <w:rPr>
          <w:rFonts w:eastAsia="Times New Roman" w:cstheme="minorHAnsi"/>
          <w:i/>
          <w:sz w:val="20"/>
          <w:szCs w:val="20"/>
          <w:lang w:eastAsia="en-GB"/>
        </w:rPr>
      </w:pPr>
      <w:r w:rsidRPr="008B7862">
        <w:rPr>
          <w:rStyle w:val="FootnoteReference"/>
          <w:rFonts w:cstheme="minorHAnsi"/>
          <w:sz w:val="20"/>
          <w:szCs w:val="20"/>
        </w:rPr>
        <w:footnoteRef/>
      </w:r>
      <w:r w:rsidRPr="008B7862">
        <w:rPr>
          <w:rFonts w:cstheme="minorHAnsi"/>
          <w:sz w:val="20"/>
          <w:szCs w:val="20"/>
        </w:rPr>
        <w:t xml:space="preserve"> See: Jordan, </w:t>
      </w:r>
      <w:r w:rsidRPr="008B7862">
        <w:rPr>
          <w:rFonts w:cstheme="minorHAnsi"/>
          <w:i/>
          <w:sz w:val="20"/>
          <w:szCs w:val="20"/>
        </w:rPr>
        <w:t>Topographie der Stadt Rom im Alterthum</w:t>
      </w:r>
      <w:r w:rsidRPr="008B7862">
        <w:rPr>
          <w:rFonts w:cstheme="minorHAnsi"/>
          <w:sz w:val="20"/>
          <w:szCs w:val="20"/>
        </w:rPr>
        <w:t xml:space="preserve">, </w:t>
      </w:r>
      <w:r w:rsidRPr="008B7862">
        <w:rPr>
          <w:rFonts w:cstheme="minorHAnsi"/>
          <w:sz w:val="20"/>
          <w:szCs w:val="20"/>
          <w:lang w:val="de-DE"/>
        </w:rPr>
        <w:t xml:space="preserve">Merrill, E.T., ‘The Date of Notitia and Curiosum‘, and </w:t>
      </w:r>
      <w:r w:rsidRPr="008B7862">
        <w:rPr>
          <w:rFonts w:cstheme="minorHAnsi"/>
          <w:sz w:val="20"/>
          <w:szCs w:val="20"/>
        </w:rPr>
        <w:t xml:space="preserve">Chastagnol, </w:t>
      </w:r>
      <w:r w:rsidRPr="008B7862">
        <w:rPr>
          <w:rFonts w:cstheme="minorHAnsi"/>
          <w:i/>
          <w:sz w:val="20"/>
          <w:szCs w:val="20"/>
        </w:rPr>
        <w:t>La Préfecture urbaine</w:t>
      </w:r>
      <w:r w:rsidRPr="008B7862">
        <w:rPr>
          <w:rFonts w:cstheme="minorHAnsi"/>
          <w:sz w:val="20"/>
          <w:szCs w:val="20"/>
        </w:rPr>
        <w:t xml:space="preserve">; </w:t>
      </w:r>
      <w:r w:rsidRPr="008B7862">
        <w:rPr>
          <w:rFonts w:eastAsia="Times New Roman" w:cstheme="minorHAnsi"/>
          <w:sz w:val="20"/>
          <w:szCs w:val="20"/>
          <w:lang w:eastAsia="en-GB"/>
        </w:rPr>
        <w:t>Rodríguez A., </w:t>
      </w:r>
      <w:r w:rsidRPr="008B7862">
        <w:rPr>
          <w:rFonts w:eastAsia="Times New Roman" w:cstheme="minorHAnsi"/>
          <w:i/>
          <w:iCs/>
          <w:sz w:val="20"/>
          <w:szCs w:val="20"/>
          <w:lang w:eastAsia="en-GB"/>
        </w:rPr>
        <w:t>Forma Urbis Marmorea. Aggiornamento Generale 1980</w:t>
      </w:r>
      <w:r w:rsidRPr="008B7862">
        <w:rPr>
          <w:rFonts w:eastAsia="Times New Roman" w:cstheme="minorHAnsi"/>
          <w:sz w:val="20"/>
          <w:szCs w:val="20"/>
          <w:lang w:eastAsia="en-GB"/>
        </w:rPr>
        <w:t xml:space="preserve"> (Rome 1981), pp. 21-24; Najbjerg, T., </w:t>
      </w:r>
      <w:r w:rsidRPr="008B7862">
        <w:rPr>
          <w:rFonts w:cstheme="minorHAnsi"/>
          <w:sz w:val="20"/>
          <w:szCs w:val="20"/>
          <w:shd w:val="clear" w:color="auto" w:fill="FFFFF0"/>
        </w:rPr>
        <w:t xml:space="preserve">Tina Najbjerg, "The Severan Marble Plan of Rome (Forma Urbis Romae)," </w:t>
      </w:r>
      <w:r w:rsidRPr="008B7862">
        <w:rPr>
          <w:rFonts w:cstheme="minorHAnsi"/>
          <w:i/>
          <w:sz w:val="20"/>
          <w:szCs w:val="20"/>
          <w:shd w:val="clear" w:color="auto" w:fill="FFFFF0"/>
        </w:rPr>
        <w:t>Stanford Digital Forma Urbis Romae Project</w:t>
      </w:r>
      <w:r w:rsidRPr="008B7862">
        <w:rPr>
          <w:rFonts w:cstheme="minorHAnsi"/>
          <w:sz w:val="20"/>
          <w:szCs w:val="20"/>
          <w:shd w:val="clear" w:color="auto" w:fill="FFFFF0"/>
        </w:rPr>
        <w:t xml:space="preserve">, http://formaurbis.stanford.edu/docs/FURmap.html, [04/11/2015] </w:t>
      </w:r>
    </w:p>
  </w:footnote>
  <w:footnote w:id="196">
    <w:p w:rsidR="00EC705D" w:rsidRPr="008B7862" w:rsidRDefault="00EC705D" w:rsidP="00E756D7">
      <w:pPr>
        <w:pStyle w:val="FootnoteText"/>
        <w:rPr>
          <w:rFonts w:eastAsiaTheme="minorHAnsi" w:cstheme="minorHAnsi"/>
        </w:rPr>
      </w:pPr>
      <w:r w:rsidRPr="008B7862">
        <w:rPr>
          <w:rStyle w:val="FootnoteReference"/>
          <w:rFonts w:cstheme="minorHAnsi"/>
        </w:rPr>
        <w:footnoteRef/>
      </w:r>
      <w:r w:rsidRPr="008B7862">
        <w:rPr>
          <w:rFonts w:cstheme="minorHAnsi"/>
        </w:rPr>
        <w:t xml:space="preserve"> See: Hermansen, ‘The Population of Imperial Rome’; Arce, ‘</w:t>
      </w:r>
      <w:r w:rsidRPr="008B7862">
        <w:rPr>
          <w:rFonts w:cstheme="minorHAnsi"/>
          <w:i/>
        </w:rPr>
        <w:t>El</w:t>
      </w:r>
      <w:r w:rsidRPr="008B7862">
        <w:rPr>
          <w:rFonts w:cstheme="minorHAnsi"/>
        </w:rPr>
        <w:t xml:space="preserve"> </w:t>
      </w:r>
      <w:r w:rsidRPr="008B7862">
        <w:rPr>
          <w:rFonts w:cstheme="minorHAnsi"/>
          <w:i/>
        </w:rPr>
        <w:t>inventario</w:t>
      </w:r>
      <w:r w:rsidRPr="008B7862">
        <w:rPr>
          <w:rFonts w:cstheme="minorHAnsi"/>
        </w:rPr>
        <w:t xml:space="preserve"> </w:t>
      </w:r>
      <w:r w:rsidRPr="008B7862">
        <w:rPr>
          <w:rFonts w:cstheme="minorHAnsi"/>
          <w:i/>
        </w:rPr>
        <w:t>de</w:t>
      </w:r>
      <w:r w:rsidRPr="008B7862">
        <w:rPr>
          <w:rFonts w:cstheme="minorHAnsi"/>
        </w:rPr>
        <w:t xml:space="preserve"> </w:t>
      </w:r>
      <w:r w:rsidRPr="008B7862">
        <w:rPr>
          <w:rFonts w:cstheme="minorHAnsi"/>
          <w:i/>
        </w:rPr>
        <w:t>Roma</w:t>
      </w:r>
      <w:r w:rsidRPr="008B7862">
        <w:rPr>
          <w:rFonts w:cstheme="minorHAnsi"/>
        </w:rPr>
        <w:t xml:space="preserve">’; Robinson, O.F., </w:t>
      </w:r>
      <w:r w:rsidRPr="008B7862">
        <w:rPr>
          <w:rFonts w:cstheme="minorHAnsi"/>
          <w:i/>
          <w:iCs/>
        </w:rPr>
        <w:t xml:space="preserve">Ancient Rome City Planning and Administration </w:t>
      </w:r>
      <w:r w:rsidRPr="008B7862">
        <w:rPr>
          <w:rFonts w:cstheme="minorHAnsi"/>
          <w:iCs/>
        </w:rPr>
        <w:t>(London, 1994)</w:t>
      </w:r>
      <w:r w:rsidRPr="008B7862">
        <w:rPr>
          <w:rFonts w:cstheme="minorHAnsi"/>
        </w:rPr>
        <w:t xml:space="preserve">; Reynolds, D.W., ‘The Lost Architecture of Ancient Rome’, P. 16; </w:t>
      </w:r>
      <w:r w:rsidRPr="008B7862">
        <w:rPr>
          <w:rFonts w:eastAsia="Times New Roman" w:cstheme="minorHAnsi"/>
          <w:lang w:eastAsia="en-GB"/>
        </w:rPr>
        <w:t xml:space="preserve">Rodríguez, </w:t>
      </w:r>
      <w:r w:rsidRPr="008B7862">
        <w:rPr>
          <w:rFonts w:eastAsia="Times New Roman" w:cstheme="minorHAnsi"/>
          <w:i/>
          <w:iCs/>
          <w:lang w:eastAsia="en-GB"/>
        </w:rPr>
        <w:t>Forma Urbis Marmorea</w:t>
      </w:r>
      <w:r w:rsidRPr="008B7862">
        <w:rPr>
          <w:rFonts w:eastAsia="Times New Roman" w:cstheme="minorHAnsi"/>
          <w:iCs/>
          <w:lang w:eastAsia="en-GB"/>
        </w:rPr>
        <w:t>, pp. 21-24;</w:t>
      </w:r>
      <w:r w:rsidRPr="008B7862">
        <w:rPr>
          <w:rFonts w:cstheme="minorHAnsi"/>
        </w:rPr>
        <w:t xml:space="preserve"> </w:t>
      </w:r>
      <w:r w:rsidRPr="008B7862">
        <w:rPr>
          <w:rFonts w:eastAsia="Times New Roman" w:cstheme="minorHAnsi"/>
          <w:lang w:eastAsia="en-GB"/>
        </w:rPr>
        <w:t xml:space="preserve">Rodríguez, </w:t>
      </w:r>
      <w:r w:rsidRPr="008B7862">
        <w:rPr>
          <w:rFonts w:eastAsia="Times New Roman" w:cstheme="minorHAnsi"/>
          <w:i/>
          <w:iCs/>
          <w:lang w:eastAsia="en-GB"/>
        </w:rPr>
        <w:t>Forma Urbis Marmorea</w:t>
      </w:r>
      <w:r w:rsidRPr="008B7862">
        <w:rPr>
          <w:rFonts w:eastAsia="Times New Roman" w:cstheme="minorHAnsi"/>
          <w:iCs/>
          <w:lang w:eastAsia="en-GB"/>
        </w:rPr>
        <w:t>, pp. 21-24.</w:t>
      </w:r>
    </w:p>
  </w:footnote>
  <w:footnote w:id="19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See: Storey, G.R., ‘The Meaning of “Insula” in Roman Residential Terminology’, </w:t>
      </w:r>
      <w:r w:rsidRPr="008B7862">
        <w:rPr>
          <w:rFonts w:cstheme="minorHAnsi"/>
          <w:i/>
          <w:iCs/>
        </w:rPr>
        <w:t>Memoirs of the American Academy in Rome Vol. 49</w:t>
      </w:r>
      <w:r w:rsidRPr="008B7862">
        <w:rPr>
          <w:rFonts w:cstheme="minorHAnsi"/>
        </w:rPr>
        <w:t xml:space="preserve"> (2004), pp. 47-84 and ‘Regionaries-Type Insulae 2’, pp. 411-434; Reynolds, D.W., ‘The Lost Architecture of Ancient Rome’, pp. 16-20.</w:t>
      </w:r>
    </w:p>
  </w:footnote>
  <w:footnote w:id="198">
    <w:p w:rsidR="00EC705D" w:rsidRPr="008B7862" w:rsidRDefault="00EC705D" w:rsidP="00E756D7">
      <w:pPr>
        <w:pStyle w:val="FootnoteText"/>
        <w:tabs>
          <w:tab w:val="right" w:pos="9026"/>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Reynolds, ‘The Lost Architecture of Ancient Rome’, P. 24.</w:t>
      </w:r>
      <w:proofErr w:type="gramEnd"/>
      <w:r w:rsidRPr="008B7862">
        <w:rPr>
          <w:rFonts w:cstheme="minorHAnsi"/>
        </w:rPr>
        <w:tab/>
      </w:r>
    </w:p>
  </w:footnote>
  <w:footnote w:id="19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20.</w:t>
      </w:r>
    </w:p>
  </w:footnote>
  <w:footnote w:id="20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20-24.</w:t>
      </w:r>
    </w:p>
  </w:footnote>
  <w:footnote w:id="20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20-21.</w:t>
      </w:r>
    </w:p>
  </w:footnote>
  <w:footnote w:id="202">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Dyson, S.L., </w:t>
      </w:r>
      <w:r w:rsidRPr="008B7862">
        <w:rPr>
          <w:rFonts w:cstheme="minorHAnsi"/>
          <w:i/>
        </w:rPr>
        <w:t xml:space="preserve">Rome </w:t>
      </w:r>
      <w:proofErr w:type="gramStart"/>
      <w:r w:rsidRPr="008B7862">
        <w:rPr>
          <w:rFonts w:cstheme="minorHAnsi"/>
          <w:i/>
        </w:rPr>
        <w:t>A</w:t>
      </w:r>
      <w:proofErr w:type="gramEnd"/>
      <w:r w:rsidRPr="008B7862">
        <w:rPr>
          <w:rFonts w:cstheme="minorHAnsi"/>
          <w:i/>
        </w:rPr>
        <w:t xml:space="preserve"> Living Portrait of an Ancient City</w:t>
      </w:r>
      <w:r w:rsidRPr="008B7862">
        <w:rPr>
          <w:rFonts w:cstheme="minorHAnsi"/>
        </w:rPr>
        <w:t xml:space="preserve"> (Baltimore, 2010), P. 175; Wallace-Hadrill, </w:t>
      </w:r>
      <w:r w:rsidRPr="008B7862">
        <w:rPr>
          <w:rFonts w:cstheme="minorHAnsi"/>
          <w:i/>
        </w:rPr>
        <w:t>Cultural Revolution,</w:t>
      </w:r>
      <w:r w:rsidRPr="008B7862">
        <w:rPr>
          <w:rFonts w:cstheme="minorHAnsi"/>
        </w:rPr>
        <w:t xml:space="preserve"> P. 301; Neudecker, R., ‘sacred space in Rome’, P. 326.</w:t>
      </w:r>
    </w:p>
  </w:footnote>
  <w:footnote w:id="203">
    <w:p w:rsidR="00EC705D" w:rsidRPr="008B7862" w:rsidRDefault="00EC705D" w:rsidP="00E756D7">
      <w:pPr>
        <w:widowControl w:val="0"/>
        <w:suppressLineNumbers/>
        <w:autoSpaceDE w:val="0"/>
        <w:autoSpaceDN w:val="0"/>
        <w:adjustRightInd w:val="0"/>
        <w:spacing w:after="0" w:line="360" w:lineRule="auto"/>
        <w:rPr>
          <w:rFonts w:cstheme="minorHAnsi"/>
          <w:bCs/>
          <w:i/>
          <w:sz w:val="20"/>
          <w:szCs w:val="20"/>
        </w:rPr>
      </w:pPr>
      <w:r w:rsidRPr="008B7862">
        <w:rPr>
          <w:rStyle w:val="FootnoteReference"/>
          <w:rFonts w:cstheme="minorHAnsi"/>
          <w:sz w:val="20"/>
          <w:szCs w:val="20"/>
        </w:rPr>
        <w:footnoteRef/>
      </w:r>
      <w:r w:rsidRPr="008B7862">
        <w:rPr>
          <w:rFonts w:cstheme="minorHAnsi"/>
          <w:sz w:val="20"/>
          <w:szCs w:val="20"/>
        </w:rPr>
        <w:t xml:space="preserve"> </w:t>
      </w:r>
      <w:r w:rsidRPr="008B7862">
        <w:rPr>
          <w:rFonts w:cstheme="minorHAnsi"/>
          <w:i/>
          <w:sz w:val="20"/>
          <w:szCs w:val="20"/>
        </w:rPr>
        <w:t>LRUR</w:t>
      </w:r>
      <w:r w:rsidRPr="008B7862">
        <w:rPr>
          <w:rFonts w:cstheme="minorHAnsi"/>
          <w:sz w:val="20"/>
          <w:szCs w:val="20"/>
        </w:rPr>
        <w:t xml:space="preserve">, pp. 74-75, 78, 81-83, 85, 89, 91-94- 96,  </w:t>
      </w:r>
    </w:p>
  </w:footnote>
  <w:footnote w:id="20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MacMullen, R., </w:t>
      </w:r>
      <w:r w:rsidRPr="008B7862">
        <w:rPr>
          <w:rFonts w:cstheme="minorHAnsi"/>
          <w:i/>
        </w:rPr>
        <w:t xml:space="preserve">Roman Government’s Response to Crisis AD 235-337 </w:t>
      </w:r>
      <w:r w:rsidRPr="008B7862">
        <w:rPr>
          <w:rFonts w:cstheme="minorHAnsi"/>
        </w:rPr>
        <w:t>(London, 1976), pp. 69-70.</w:t>
      </w:r>
      <w:proofErr w:type="gramEnd"/>
    </w:p>
  </w:footnote>
  <w:footnote w:id="20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Platner, S.B., and Ashby, T., </w:t>
      </w:r>
      <w:r w:rsidRPr="008B7862">
        <w:rPr>
          <w:rFonts w:cstheme="minorHAnsi"/>
          <w:i/>
        </w:rPr>
        <w:t>A Topographical Dictionary of Ancient Rome</w:t>
      </w:r>
      <w:r w:rsidRPr="008B7862">
        <w:rPr>
          <w:rFonts w:cstheme="minorHAnsi"/>
        </w:rPr>
        <w:t xml:space="preserve"> (London, 1929),</w:t>
      </w:r>
      <w:r w:rsidRPr="008B7862">
        <w:rPr>
          <w:rFonts w:cstheme="minorHAnsi"/>
          <w:i/>
        </w:rPr>
        <w:t xml:space="preserve"> </w:t>
      </w:r>
      <w:r w:rsidRPr="008B7862">
        <w:rPr>
          <w:rFonts w:cstheme="minorHAnsi"/>
        </w:rPr>
        <w:t>P. 61.</w:t>
      </w:r>
    </w:p>
  </w:footnote>
  <w:footnote w:id="20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78&amp;88; Richardson Jr.,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rPr>
        <w:t>, pp. 11-12.</w:t>
      </w:r>
    </w:p>
  </w:footnote>
  <w:footnote w:id="20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Jr., </w:t>
      </w:r>
      <w:r w:rsidRPr="008B7862">
        <w:rPr>
          <w:rFonts w:cstheme="minorHAnsi"/>
          <w:i/>
        </w:rPr>
        <w:t>A New Topographical Dictionary</w:t>
      </w:r>
      <w:r w:rsidRPr="008B7862">
        <w:rPr>
          <w:rFonts w:cstheme="minorHAnsi"/>
        </w:rPr>
        <w:t xml:space="preserve">, pp. 94, 96-96; Boatwright, M.T., ‘Antonine Rome: security in the homeland’, in </w:t>
      </w:r>
      <w:r w:rsidRPr="008B7862">
        <w:rPr>
          <w:rFonts w:cstheme="minorHAnsi"/>
          <w:bCs/>
        </w:rPr>
        <w:t xml:space="preserve">Ewald, B.C., and Noreña, C.F. (eds), </w:t>
      </w:r>
      <w:r w:rsidRPr="008B7862">
        <w:rPr>
          <w:rFonts w:cstheme="minorHAnsi"/>
          <w:bCs/>
          <w:i/>
          <w:iCs/>
        </w:rPr>
        <w:t>The Emperor and Rome Space, Representation, and Ritual</w:t>
      </w:r>
      <w:r w:rsidRPr="008B7862">
        <w:rPr>
          <w:rFonts w:cstheme="minorHAnsi"/>
          <w:bCs/>
        </w:rPr>
        <w:t xml:space="preserve"> (Cambridge, 2011)</w:t>
      </w:r>
      <w:r w:rsidRPr="008B7862">
        <w:rPr>
          <w:rFonts w:cstheme="minorHAnsi"/>
          <w:bCs/>
          <w:lang w:eastAsia="zh-TW"/>
        </w:rPr>
        <w:t>, P. 192.</w:t>
      </w:r>
    </w:p>
  </w:footnote>
  <w:footnote w:id="20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Jr., </w:t>
      </w:r>
      <w:r w:rsidRPr="008B7862">
        <w:rPr>
          <w:rFonts w:cstheme="minorHAnsi"/>
          <w:i/>
        </w:rPr>
        <w:t>A New Topographical Dictionary</w:t>
      </w:r>
      <w:r w:rsidRPr="008B7862">
        <w:rPr>
          <w:rFonts w:cstheme="minorHAnsi"/>
        </w:rPr>
        <w:t xml:space="preserve">, P. 97; Boatwright, M.T., ‘Antonine Rome: security in the homeland’, in </w:t>
      </w:r>
      <w:r w:rsidRPr="008B7862">
        <w:rPr>
          <w:rFonts w:cstheme="minorHAnsi"/>
          <w:bCs/>
        </w:rPr>
        <w:t>Ewald, B.C., and Noreña, C.F. (</w:t>
      </w:r>
      <w:proofErr w:type="gramStart"/>
      <w:r w:rsidRPr="008B7862">
        <w:rPr>
          <w:rFonts w:cstheme="minorHAnsi"/>
          <w:bCs/>
        </w:rPr>
        <w:t>eds</w:t>
      </w:r>
      <w:proofErr w:type="gramEnd"/>
      <w:r w:rsidRPr="008B7862">
        <w:rPr>
          <w:rFonts w:cstheme="minorHAnsi"/>
          <w:bCs/>
        </w:rPr>
        <w:t xml:space="preserve">), </w:t>
      </w:r>
      <w:r w:rsidRPr="008B7862">
        <w:rPr>
          <w:rFonts w:cstheme="minorHAnsi"/>
          <w:bCs/>
          <w:i/>
          <w:iCs/>
        </w:rPr>
        <w:t>The Emperor and Rome Space, Representation, and Ritual</w:t>
      </w:r>
      <w:r w:rsidRPr="008B7862">
        <w:rPr>
          <w:rFonts w:cstheme="minorHAnsi"/>
          <w:bCs/>
        </w:rPr>
        <w:t xml:space="preserve"> (Cambridge, 2011)</w:t>
      </w:r>
      <w:r w:rsidRPr="008B7862">
        <w:rPr>
          <w:rFonts w:cstheme="minorHAnsi"/>
          <w:bCs/>
          <w:lang w:eastAsia="zh-TW"/>
        </w:rPr>
        <w:t>, P. 192.</w:t>
      </w:r>
    </w:p>
  </w:footnote>
  <w:footnote w:id="209">
    <w:p w:rsidR="00EC705D" w:rsidRPr="008B7862" w:rsidRDefault="00EC705D" w:rsidP="0097190B">
      <w:pPr>
        <w:pStyle w:val="FootnoteText"/>
        <w:rPr>
          <w:rFonts w:cstheme="minorHAnsi"/>
          <w:i/>
        </w:rPr>
      </w:pPr>
      <w:r w:rsidRPr="008B7862">
        <w:rPr>
          <w:rStyle w:val="FootnoteReference"/>
          <w:rFonts w:cstheme="minorHAnsi"/>
        </w:rPr>
        <w:footnoteRef/>
      </w:r>
      <w:r w:rsidRPr="008B7862">
        <w:rPr>
          <w:rFonts w:cstheme="minorHAnsi"/>
        </w:rPr>
        <w:t xml:space="preserve"> Gibbon, E., </w:t>
      </w:r>
      <w:r w:rsidRPr="008B7862">
        <w:rPr>
          <w:rFonts w:cstheme="minorHAnsi"/>
          <w:i/>
        </w:rPr>
        <w:t>The History of the Decline and Fall of the Roman Empire Vol. 1</w:t>
      </w:r>
      <w:r w:rsidRPr="008B7862">
        <w:rPr>
          <w:rFonts w:cstheme="minorHAnsi"/>
        </w:rPr>
        <w:t xml:space="preserve">, ed. Womersley, D. (London, 1994), pp. 31-33; Brilliant, R., ‘The Arch of Septimius Severus in the Roman Forum’, </w:t>
      </w:r>
      <w:r w:rsidRPr="008B7862">
        <w:rPr>
          <w:rFonts w:cstheme="minorHAnsi"/>
          <w:i/>
        </w:rPr>
        <w:t>Memoirs of the American Academy in Rome Vol. 29</w:t>
      </w:r>
      <w:r w:rsidRPr="008B7862">
        <w:rPr>
          <w:rFonts w:cstheme="minorHAnsi"/>
        </w:rPr>
        <w:t xml:space="preserve"> (1967), P. 86; Anderson Jr., J.C., </w:t>
      </w:r>
      <w:r w:rsidRPr="008B7862">
        <w:rPr>
          <w:rFonts w:cstheme="minorHAnsi"/>
          <w:i/>
        </w:rPr>
        <w:t>The Historical Topography of the Imperial Fora</w:t>
      </w:r>
      <w:r w:rsidRPr="008B7862">
        <w:rPr>
          <w:rFonts w:cstheme="minorHAnsi"/>
        </w:rPr>
        <w:t xml:space="preserve"> (Bruxelles, 1984), pp. 170-171; Thomas, E., </w:t>
      </w:r>
      <w:r w:rsidRPr="008B7862">
        <w:rPr>
          <w:rFonts w:cstheme="minorHAnsi"/>
          <w:i/>
        </w:rPr>
        <w:t xml:space="preserve">Monumentality and the Roman  Empire Architecture in the Antonine Age </w:t>
      </w:r>
      <w:r w:rsidRPr="008B7862">
        <w:rPr>
          <w:rFonts w:cstheme="minorHAnsi"/>
        </w:rPr>
        <w:t xml:space="preserve">(Oxford, 2007), pp. 241-244; Lentin, A., ‘Edward Gibbon ‘The Golden Age of the Antonines’, </w:t>
      </w:r>
      <w:r w:rsidRPr="008B7862">
        <w:rPr>
          <w:rFonts w:cstheme="minorHAnsi"/>
          <w:i/>
        </w:rPr>
        <w:t xml:space="preserve">History Today Vol. 31 </w:t>
      </w:r>
      <w:r w:rsidRPr="008B7862">
        <w:rPr>
          <w:rFonts w:cstheme="minorHAnsi"/>
        </w:rPr>
        <w:t>(1981), pp. 33-39.</w:t>
      </w:r>
    </w:p>
  </w:footnote>
  <w:footnote w:id="21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See: Platner, S.B., and Ashby, T.</w:t>
      </w:r>
      <w:proofErr w:type="gramStart"/>
      <w:r w:rsidRPr="008B7862">
        <w:rPr>
          <w:rFonts w:cstheme="minorHAnsi"/>
        </w:rPr>
        <w:t>,</w:t>
      </w:r>
      <w:r w:rsidRPr="008B7862">
        <w:rPr>
          <w:rFonts w:cstheme="minorHAnsi"/>
          <w:i/>
        </w:rPr>
        <w:t>A</w:t>
      </w:r>
      <w:proofErr w:type="gramEnd"/>
      <w:r w:rsidRPr="008B7862">
        <w:rPr>
          <w:rFonts w:cstheme="minorHAnsi"/>
          <w:i/>
        </w:rPr>
        <w:t xml:space="preserve"> Topographical Dictionary of Ancient Rome</w:t>
      </w:r>
      <w:r w:rsidRPr="008B7862">
        <w:rPr>
          <w:rFonts w:cstheme="minorHAnsi"/>
        </w:rPr>
        <w:t xml:space="preserve"> (London, 1929); Richardson, </w:t>
      </w:r>
      <w:r w:rsidRPr="008B7862">
        <w:rPr>
          <w:rFonts w:cstheme="minorHAnsi"/>
          <w:i/>
        </w:rPr>
        <w:t>A New Topographical Dictionary</w:t>
      </w:r>
      <w:r w:rsidRPr="008B7862">
        <w:rPr>
          <w:rFonts w:cstheme="minorHAnsi"/>
        </w:rPr>
        <w:t xml:space="preserve">; Valentini, R., and Zucchetti, G., </w:t>
      </w:r>
      <w:r w:rsidRPr="008B7862">
        <w:rPr>
          <w:rFonts w:cstheme="minorHAnsi"/>
          <w:i/>
        </w:rPr>
        <w:t>Codice Topografico Della Città di Roma Vols. 1-4</w:t>
      </w:r>
      <w:r w:rsidRPr="008B7862">
        <w:rPr>
          <w:rFonts w:cstheme="minorHAnsi"/>
        </w:rPr>
        <w:t xml:space="preserve"> (Roma, 1940).</w:t>
      </w:r>
    </w:p>
  </w:footnote>
  <w:footnote w:id="21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Platner and Ashby, </w:t>
      </w:r>
      <w:proofErr w:type="gramStart"/>
      <w:r w:rsidRPr="008B7862">
        <w:rPr>
          <w:rFonts w:cstheme="minorHAnsi"/>
          <w:i/>
        </w:rPr>
        <w:t>A</w:t>
      </w:r>
      <w:proofErr w:type="gramEnd"/>
      <w:r w:rsidRPr="008B7862">
        <w:rPr>
          <w:rFonts w:cstheme="minorHAnsi"/>
          <w:i/>
        </w:rPr>
        <w:t xml:space="preserve"> Topographical Dictionary of Ancient Rome</w:t>
      </w:r>
      <w:r w:rsidRPr="008B7862">
        <w:rPr>
          <w:rFonts w:cstheme="minorHAnsi"/>
        </w:rPr>
        <w:t xml:space="preserve">, pp. 141-142; Richardson Jr., </w:t>
      </w:r>
      <w:r w:rsidRPr="008B7862">
        <w:rPr>
          <w:rFonts w:cstheme="minorHAnsi"/>
          <w:i/>
        </w:rPr>
        <w:t>A New Topographical Dictionary</w:t>
      </w:r>
      <w:r w:rsidRPr="008B7862">
        <w:rPr>
          <w:rFonts w:cstheme="minorHAnsi"/>
        </w:rPr>
        <w:t>, P. 101.</w:t>
      </w:r>
    </w:p>
  </w:footnote>
  <w:footnote w:id="21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See: Aurelius Victor, </w:t>
      </w:r>
      <w:r w:rsidRPr="008B7862">
        <w:rPr>
          <w:rFonts w:cstheme="minorHAnsi"/>
          <w:i/>
        </w:rPr>
        <w:t>Liber de Caesaribus</w:t>
      </w:r>
      <w:r w:rsidRPr="008B7862">
        <w:rPr>
          <w:rFonts w:cstheme="minorHAnsi"/>
        </w:rPr>
        <w:t xml:space="preserve">, trans. H.W. Bird (Liverpool, 1994); </w:t>
      </w:r>
      <w:r w:rsidRPr="008B7862">
        <w:rPr>
          <w:rFonts w:cstheme="minorHAnsi"/>
          <w:i/>
        </w:rPr>
        <w:t>The Scriptores Historia Augusta</w:t>
      </w:r>
      <w:r w:rsidRPr="008B7862">
        <w:rPr>
          <w:rFonts w:cstheme="minorHAnsi"/>
        </w:rPr>
        <w:t>, trans. David Magie (London, 1932); Dessau, H., ‘</w:t>
      </w:r>
      <w:r w:rsidRPr="008B7862">
        <w:rPr>
          <w:rFonts w:cstheme="minorHAnsi"/>
          <w:iCs/>
          <w:shd w:val="clear" w:color="auto" w:fill="FFFFFF"/>
        </w:rPr>
        <w:t xml:space="preserve">Über Zeit und Persönlichkeït der Scriptores historiae Augustae’, </w:t>
      </w:r>
      <w:r w:rsidRPr="008B7862">
        <w:rPr>
          <w:rFonts w:cstheme="minorHAnsi"/>
          <w:i/>
          <w:iCs/>
          <w:shd w:val="clear" w:color="auto" w:fill="FFFFFF"/>
        </w:rPr>
        <w:t>Hermes 24</w:t>
      </w:r>
      <w:r w:rsidRPr="008B7862">
        <w:rPr>
          <w:rFonts w:cstheme="minorHAnsi"/>
          <w:iCs/>
          <w:shd w:val="clear" w:color="auto" w:fill="FFFFFF"/>
        </w:rPr>
        <w:t xml:space="preserve"> (1889), pp. 337-392</w:t>
      </w:r>
      <w:r w:rsidRPr="008B7862">
        <w:rPr>
          <w:rFonts w:cstheme="minorHAnsi"/>
        </w:rPr>
        <w:t xml:space="preserve">; Baynes, N., </w:t>
      </w:r>
      <w:r w:rsidRPr="008B7862">
        <w:rPr>
          <w:rFonts w:cstheme="minorHAnsi"/>
          <w:i/>
        </w:rPr>
        <w:t>The Historia Augusta Its Date and Purpose</w:t>
      </w:r>
      <w:r w:rsidRPr="008B7862">
        <w:rPr>
          <w:rFonts w:cstheme="minorHAnsi"/>
        </w:rPr>
        <w:t xml:space="preserve"> (Oxford, 1926); Syme, R., ‘The Composition of the Historia Augusta: Recent Theories’, </w:t>
      </w:r>
      <w:r w:rsidRPr="008B7862">
        <w:rPr>
          <w:rFonts w:cstheme="minorHAnsi"/>
          <w:i/>
        </w:rPr>
        <w:t>The Journal of Roman Studies Vol. 62</w:t>
      </w:r>
      <w:r w:rsidRPr="008B7862">
        <w:rPr>
          <w:rFonts w:cstheme="minorHAnsi"/>
        </w:rPr>
        <w:t xml:space="preserve"> (1972), pp. 123-133.</w:t>
      </w:r>
    </w:p>
  </w:footnote>
  <w:footnote w:id="21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See: Ammianus Marcellinus, </w:t>
      </w:r>
      <w:r w:rsidRPr="008B7862">
        <w:rPr>
          <w:rFonts w:cstheme="minorHAnsi"/>
          <w:i/>
        </w:rPr>
        <w:t>Roman History</w:t>
      </w:r>
      <w:r w:rsidRPr="008B7862">
        <w:rPr>
          <w:rFonts w:cstheme="minorHAnsi"/>
        </w:rPr>
        <w:t>, trans. John Rolfe (London, 1939).</w:t>
      </w:r>
    </w:p>
  </w:footnote>
  <w:footnote w:id="21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xml:space="preserve">, pp. 209-210; Coates-Stephens, ‘The Walls of Aurelian’, </w:t>
      </w:r>
      <w:r w:rsidRPr="008B7862">
        <w:rPr>
          <w:rStyle w:val="apple-converted-space"/>
          <w:rFonts w:cstheme="minorHAnsi"/>
          <w:shd w:val="clear" w:color="auto" w:fill="FFFFE4"/>
        </w:rPr>
        <w:t>pp. 83-85.</w:t>
      </w:r>
    </w:p>
  </w:footnote>
  <w:footnote w:id="21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Jr.,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rPr>
        <w:t>, pp. 180, 265-267, 290.</w:t>
      </w:r>
    </w:p>
  </w:footnote>
  <w:footnote w:id="21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P. 1.</w:t>
      </w:r>
    </w:p>
  </w:footnote>
  <w:footnote w:id="21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Cassius Dio, </w:t>
      </w:r>
      <w:r w:rsidRPr="008B7862">
        <w:rPr>
          <w:rFonts w:cstheme="minorHAnsi"/>
          <w:i/>
        </w:rPr>
        <w:t>Roman History 77.15.2</w:t>
      </w:r>
      <w:r w:rsidRPr="008B7862">
        <w:rPr>
          <w:rFonts w:cstheme="minorHAnsi"/>
        </w:rPr>
        <w:t>¸ P. 273.</w:t>
      </w:r>
    </w:p>
  </w:footnote>
  <w:footnote w:id="21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Campbell, J.B., </w:t>
      </w:r>
      <w:r w:rsidRPr="008B7862">
        <w:rPr>
          <w:rFonts w:cstheme="minorHAnsi"/>
          <w:i/>
        </w:rPr>
        <w:t xml:space="preserve">The Emperor and the Roman Army </w:t>
      </w:r>
      <w:r w:rsidRPr="008B7862">
        <w:rPr>
          <w:rFonts w:cstheme="minorHAnsi"/>
        </w:rPr>
        <w:t xml:space="preserve">(Oxford, 1984), pp. 401-402; Potter, </w:t>
      </w:r>
      <w:r w:rsidRPr="008B7862">
        <w:rPr>
          <w:rFonts w:cstheme="minorHAnsi"/>
          <w:i/>
        </w:rPr>
        <w:t>The Roman Empire at Bay</w:t>
      </w:r>
      <w:r w:rsidRPr="008B7862">
        <w:rPr>
          <w:rFonts w:cstheme="minorHAnsi"/>
        </w:rPr>
        <w:t xml:space="preserve">, pp. 87, 125-126; Cassius Dio, </w:t>
      </w:r>
      <w:r w:rsidRPr="008B7862">
        <w:rPr>
          <w:rFonts w:cstheme="minorHAnsi"/>
          <w:i/>
        </w:rPr>
        <w:t>Roman History 75.2.3-4</w:t>
      </w:r>
      <w:r w:rsidRPr="008B7862">
        <w:rPr>
          <w:rFonts w:cstheme="minorHAnsi"/>
        </w:rPr>
        <w:t>, P. 165.</w:t>
      </w:r>
    </w:p>
  </w:footnote>
  <w:footnote w:id="219">
    <w:p w:rsidR="00EC705D" w:rsidRPr="008B7862" w:rsidRDefault="00EC705D" w:rsidP="00E756D7">
      <w:pPr>
        <w:pStyle w:val="FootnoteText"/>
        <w:tabs>
          <w:tab w:val="left" w:pos="7797"/>
        </w:tabs>
        <w:rPr>
          <w:rFonts w:cstheme="minorHAnsi"/>
        </w:rPr>
      </w:pPr>
      <w:r w:rsidRPr="008B7862">
        <w:rPr>
          <w:rStyle w:val="FootnoteReference"/>
          <w:rFonts w:cstheme="minorHAnsi"/>
        </w:rPr>
        <w:footnoteRef/>
      </w:r>
      <w:r w:rsidRPr="008B7862">
        <w:rPr>
          <w:rFonts w:cstheme="minorHAnsi"/>
        </w:rPr>
        <w:t xml:space="preserve"> Carettoni, G., Colini, A., Cozza, L., and Gatti, G., </w:t>
      </w:r>
      <w:r w:rsidRPr="008B7862">
        <w:rPr>
          <w:rFonts w:cstheme="minorHAnsi"/>
          <w:i/>
        </w:rPr>
        <w:t>La pianta marmoreal di Roma antica</w:t>
      </w:r>
      <w:r w:rsidRPr="008B7862">
        <w:rPr>
          <w:rFonts w:cstheme="minorHAnsi"/>
        </w:rPr>
        <w:t xml:space="preserve"> </w:t>
      </w:r>
      <w:r w:rsidRPr="008B7862">
        <w:rPr>
          <w:rFonts w:cstheme="minorHAnsi"/>
          <w:i/>
        </w:rPr>
        <w:t xml:space="preserve">Forma Urbais </w:t>
      </w:r>
      <w:proofErr w:type="gramStart"/>
      <w:r w:rsidRPr="008B7862">
        <w:rPr>
          <w:rFonts w:cstheme="minorHAnsi"/>
          <w:i/>
        </w:rPr>
        <w:t>Romae</w:t>
      </w:r>
      <w:r w:rsidRPr="008B7862">
        <w:rPr>
          <w:rFonts w:cstheme="minorHAnsi"/>
        </w:rPr>
        <w:t xml:space="preserve">  </w:t>
      </w:r>
      <w:r w:rsidRPr="008B7862">
        <w:rPr>
          <w:rFonts w:cstheme="minorHAnsi"/>
          <w:i/>
        </w:rPr>
        <w:t>Vol</w:t>
      </w:r>
      <w:proofErr w:type="gramEnd"/>
      <w:r w:rsidRPr="008B7862">
        <w:rPr>
          <w:rFonts w:cstheme="minorHAnsi"/>
          <w:i/>
        </w:rPr>
        <w:t>. 1</w:t>
      </w:r>
      <w:r w:rsidRPr="008B7862">
        <w:rPr>
          <w:rFonts w:cstheme="minorHAnsi"/>
        </w:rPr>
        <w:t xml:space="preserve"> (Rome, 1960), pp. 177-195.</w:t>
      </w:r>
    </w:p>
  </w:footnote>
  <w:footnote w:id="220">
    <w:p w:rsidR="00EC705D" w:rsidRPr="008B7862" w:rsidRDefault="00EC705D" w:rsidP="00E756D7">
      <w:pPr>
        <w:pStyle w:val="FootnoteText"/>
        <w:tabs>
          <w:tab w:val="left" w:pos="7797"/>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Carettoni, Colini, Cozza, and Gatti, </w:t>
      </w:r>
      <w:r w:rsidRPr="008B7862">
        <w:rPr>
          <w:rFonts w:cstheme="minorHAnsi"/>
          <w:i/>
        </w:rPr>
        <w:t xml:space="preserve">La pianta marmoreal, </w:t>
      </w:r>
      <w:r w:rsidRPr="008B7862">
        <w:rPr>
          <w:rFonts w:cstheme="minorHAnsi"/>
        </w:rPr>
        <w:t>pp. 199-210.</w:t>
      </w:r>
      <w:proofErr w:type="gramEnd"/>
    </w:p>
  </w:footnote>
  <w:footnote w:id="22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Najbjerg, T., ‘The Severan Marble Plan of Rome (Forma Urbis Romae)’, Stanford Digital Forma Urbis Romae Project, http://formaurbis.stanford.edu/docs/FURmap.html [accessed 09/01/2016] </w:t>
      </w:r>
    </w:p>
  </w:footnote>
  <w:footnote w:id="222">
    <w:p w:rsidR="00EC705D" w:rsidRPr="008B7862" w:rsidRDefault="00EC705D" w:rsidP="00E756D7">
      <w:pPr>
        <w:pStyle w:val="FootnoteText"/>
        <w:rPr>
          <w:rFonts w:cstheme="minorHAnsi"/>
          <w:b/>
        </w:rPr>
      </w:pPr>
      <w:r w:rsidRPr="008B7862">
        <w:rPr>
          <w:rStyle w:val="FootnoteReference"/>
          <w:rFonts w:cstheme="minorHAnsi"/>
        </w:rPr>
        <w:footnoteRef/>
      </w:r>
      <w:r w:rsidRPr="008B7862">
        <w:rPr>
          <w:rFonts w:cstheme="minorHAnsi"/>
        </w:rPr>
        <w:t xml:space="preserve"> Cassius Dio, </w:t>
      </w:r>
      <w:r w:rsidRPr="008B7862">
        <w:rPr>
          <w:rFonts w:cstheme="minorHAnsi"/>
          <w:i/>
        </w:rPr>
        <w:t>Roman History</w:t>
      </w:r>
      <w:r w:rsidRPr="008B7862">
        <w:rPr>
          <w:rFonts w:cstheme="minorHAnsi"/>
        </w:rPr>
        <w:t xml:space="preserve"> </w:t>
      </w:r>
      <w:r w:rsidRPr="008B7862">
        <w:rPr>
          <w:rFonts w:cstheme="minorHAnsi"/>
          <w:i/>
        </w:rPr>
        <w:t>72.24.1-2</w:t>
      </w:r>
      <w:r w:rsidRPr="008B7862">
        <w:rPr>
          <w:rFonts w:cstheme="minorHAnsi"/>
        </w:rPr>
        <w:t>, P. 43.</w:t>
      </w:r>
    </w:p>
  </w:footnote>
  <w:footnote w:id="22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CIL VI, 1032; Richardson, </w:t>
      </w:r>
      <w:r w:rsidRPr="008B7862">
        <w:rPr>
          <w:rFonts w:cstheme="minorHAnsi"/>
          <w:i/>
        </w:rPr>
        <w:t>Topographical Dictionary</w:t>
      </w:r>
      <w:r w:rsidRPr="008B7862">
        <w:rPr>
          <w:rFonts w:cstheme="minorHAnsi"/>
        </w:rPr>
        <w:t>, P. 350.</w:t>
      </w:r>
    </w:p>
  </w:footnote>
  <w:footnote w:id="224">
    <w:p w:rsidR="00EC705D" w:rsidRPr="008B7862" w:rsidRDefault="00EC705D" w:rsidP="00347D46">
      <w:pPr>
        <w:pStyle w:val="FootnoteText"/>
        <w:rPr>
          <w:rFonts w:cstheme="minorHAnsi"/>
        </w:rPr>
      </w:pPr>
      <w:r w:rsidRPr="008B7862">
        <w:rPr>
          <w:rStyle w:val="FootnoteReference"/>
          <w:rFonts w:cstheme="minorHAnsi"/>
        </w:rPr>
        <w:footnoteRef/>
      </w:r>
      <w:r w:rsidRPr="008B7862">
        <w:rPr>
          <w:rFonts w:cstheme="minorHAnsi"/>
        </w:rPr>
        <w:t xml:space="preserve"> Najbjerg, T., ‘The Severan Marble Plan of Rome (Forma Urbis Romae)’, Stanford Digital Forma Urbis Romae Project, http://formaurbis.stanford.edu/docs/FURmap.html [accessed 09/01/2016] </w:t>
      </w:r>
    </w:p>
    <w:p w:rsidR="00EC705D" w:rsidRPr="008B7862" w:rsidRDefault="00EC705D" w:rsidP="00E756D7">
      <w:pPr>
        <w:pStyle w:val="FootnoteText"/>
        <w:rPr>
          <w:rFonts w:cstheme="minorHAnsi"/>
        </w:rPr>
      </w:pPr>
    </w:p>
  </w:footnote>
  <w:footnote w:id="22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Carettoni, Colini, Cozza, and Gatti, </w:t>
      </w:r>
      <w:r w:rsidRPr="008B7862">
        <w:rPr>
          <w:rFonts w:cstheme="minorHAnsi"/>
          <w:i/>
        </w:rPr>
        <w:t xml:space="preserve">La pianta marmoreal, </w:t>
      </w:r>
      <w:r w:rsidRPr="008B7862">
        <w:rPr>
          <w:rFonts w:cstheme="minorHAnsi"/>
        </w:rPr>
        <w:t>pp. 215-217.</w:t>
      </w:r>
      <w:proofErr w:type="gramEnd"/>
    </w:p>
  </w:footnote>
  <w:footnote w:id="22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Stanford Digital Forma Urbis Romae Project</w:t>
      </w:r>
      <w:r w:rsidRPr="008B7862">
        <w:rPr>
          <w:rFonts w:cstheme="minorHAnsi"/>
        </w:rPr>
        <w:t xml:space="preserve">, ‘Digital Map of the Slabs of the Forma Urbis Romae’, Slab: X-7, http://formaurbis.stanford.edu/docs/FURslabmap.html [09/01/2016]; Wallace-Hadrill, </w:t>
      </w:r>
      <w:r w:rsidRPr="008B7862">
        <w:rPr>
          <w:rFonts w:cstheme="minorHAnsi"/>
          <w:i/>
        </w:rPr>
        <w:t>Cultural Revolution</w:t>
      </w:r>
      <w:r w:rsidRPr="008B7862">
        <w:rPr>
          <w:rFonts w:cstheme="minorHAnsi"/>
        </w:rPr>
        <w:t>, pp. 302-303.</w:t>
      </w:r>
    </w:p>
  </w:footnote>
  <w:footnote w:id="22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Tucci, P., ‘New fragments of ancient plans of Rome’, </w:t>
      </w:r>
      <w:r w:rsidRPr="008B7862">
        <w:rPr>
          <w:rFonts w:cstheme="minorHAnsi"/>
          <w:i/>
        </w:rPr>
        <w:t xml:space="preserve">Journal of Roman Archaeology Vol. 20 </w:t>
      </w:r>
      <w:r w:rsidRPr="008B7862">
        <w:rPr>
          <w:rFonts w:cstheme="minorHAnsi"/>
        </w:rPr>
        <w:t xml:space="preserve">(2007), P. 476; Tucci, P.L., ‘Flavian Libraries in the city of Rome’, in König, J., Oikonomopoulou, K., and Woolf, G. (eds), </w:t>
      </w:r>
      <w:r w:rsidRPr="008B7862">
        <w:rPr>
          <w:rFonts w:cstheme="minorHAnsi"/>
          <w:i/>
        </w:rPr>
        <w:t>Ancient Libraries</w:t>
      </w:r>
      <w:r w:rsidRPr="008B7862">
        <w:rPr>
          <w:rFonts w:cstheme="minorHAnsi"/>
        </w:rPr>
        <w:t xml:space="preserve"> (Cambridge, 2013), P. 285; </w:t>
      </w:r>
      <w:r w:rsidRPr="008B7862">
        <w:rPr>
          <w:rFonts w:cstheme="minorHAnsi"/>
          <w:bCs/>
        </w:rPr>
        <w:t xml:space="preserve">Tucci, P.L., ‘Red-Painted Stones in Roman Architecture’, </w:t>
      </w:r>
      <w:r w:rsidRPr="008B7862">
        <w:rPr>
          <w:rFonts w:cstheme="minorHAnsi"/>
          <w:bCs/>
          <w:i/>
        </w:rPr>
        <w:t>American Journal of Archaeology Vol. 115 No. 4</w:t>
      </w:r>
      <w:r w:rsidRPr="008B7862">
        <w:rPr>
          <w:rFonts w:cstheme="minorHAnsi"/>
          <w:bCs/>
        </w:rPr>
        <w:t xml:space="preserve"> (2011), pp. 590-591.</w:t>
      </w:r>
    </w:p>
  </w:footnote>
  <w:footnote w:id="228">
    <w:p w:rsidR="00EC705D" w:rsidRPr="008B7862" w:rsidRDefault="00EC705D" w:rsidP="00E756D7">
      <w:pPr>
        <w:pStyle w:val="FootnoteText"/>
        <w:rPr>
          <w:rFonts w:cstheme="minorHAnsi"/>
          <w:b/>
        </w:rPr>
      </w:pPr>
      <w:r w:rsidRPr="008B7862">
        <w:rPr>
          <w:rStyle w:val="FootnoteReference"/>
          <w:rFonts w:cstheme="minorHAnsi"/>
        </w:rPr>
        <w:footnoteRef/>
      </w:r>
      <w:r w:rsidRPr="008B7862">
        <w:rPr>
          <w:rFonts w:cstheme="minorHAnsi"/>
        </w:rPr>
        <w:t xml:space="preserve"> Cooley, A., ‘Septimius Severus: the Augustan Emperor’, in Swain, S., Harrison, S., and Elsner, J. (eds), </w:t>
      </w:r>
      <w:r w:rsidRPr="008B7862">
        <w:rPr>
          <w:rFonts w:cstheme="minorHAnsi"/>
          <w:i/>
        </w:rPr>
        <w:t>Severan Culture</w:t>
      </w:r>
      <w:r w:rsidRPr="008B7862">
        <w:rPr>
          <w:rFonts w:cstheme="minorHAnsi"/>
        </w:rPr>
        <w:t xml:space="preserve"> (Cambridge, 2007), pp. 393-397; See also: Benario, H.W., ‘Rome of the Severi’, </w:t>
      </w:r>
      <w:r w:rsidRPr="008B7862">
        <w:rPr>
          <w:rFonts w:cstheme="minorHAnsi"/>
          <w:i/>
        </w:rPr>
        <w:t>Latomus 17</w:t>
      </w:r>
      <w:r w:rsidRPr="008B7862">
        <w:rPr>
          <w:rFonts w:cstheme="minorHAnsi"/>
        </w:rPr>
        <w:t xml:space="preserve"> (1958), pp. 712-722; Suetonius, </w:t>
      </w:r>
      <w:r w:rsidRPr="008B7862">
        <w:rPr>
          <w:rFonts w:cstheme="minorHAnsi"/>
          <w:i/>
        </w:rPr>
        <w:t>Augustus</w:t>
      </w:r>
      <w:r w:rsidRPr="008B7862">
        <w:rPr>
          <w:rFonts w:cstheme="minorHAnsi"/>
        </w:rPr>
        <w:t xml:space="preserve"> 28.3; Livy, </w:t>
      </w:r>
      <w:r w:rsidRPr="008B7862">
        <w:rPr>
          <w:rFonts w:cstheme="minorHAnsi"/>
          <w:i/>
        </w:rPr>
        <w:t>The History of Rome</w:t>
      </w:r>
      <w:r w:rsidRPr="008B7862">
        <w:rPr>
          <w:rFonts w:cstheme="minorHAnsi"/>
        </w:rPr>
        <w:t xml:space="preserve"> 4.20.7, trans. Foster, B.O., (London, 1926); </w:t>
      </w:r>
      <w:r w:rsidRPr="008B7862">
        <w:rPr>
          <w:rFonts w:cstheme="minorHAnsi"/>
          <w:i/>
        </w:rPr>
        <w:t>SHA</w:t>
      </w:r>
      <w:r w:rsidRPr="008B7862">
        <w:rPr>
          <w:rFonts w:cstheme="minorHAnsi"/>
        </w:rPr>
        <w:t xml:space="preserve">, </w:t>
      </w:r>
      <w:r w:rsidRPr="008B7862">
        <w:rPr>
          <w:rFonts w:cstheme="minorHAnsi"/>
          <w:i/>
        </w:rPr>
        <w:t xml:space="preserve"> Severus</w:t>
      </w:r>
      <w:r w:rsidRPr="008B7862">
        <w:rPr>
          <w:rFonts w:cstheme="minorHAnsi"/>
        </w:rPr>
        <w:t>, 21.12; Roman Imperial Coinage, 4.127 nos. 288-90; 193 no. 753,755 (AD 200-1); 194 no. 757 (AD 200-1); 203 no. 825; CIL 6.896; CIL 6.1034, 31231.</w:t>
      </w:r>
    </w:p>
  </w:footnote>
  <w:footnote w:id="22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Tucci, P., ‘New fragments’, pp. 474-476.</w:t>
      </w:r>
    </w:p>
  </w:footnote>
  <w:footnote w:id="23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Gorrie, </w:t>
      </w:r>
      <w:r w:rsidRPr="008B7862">
        <w:rPr>
          <w:rFonts w:cstheme="minorHAnsi"/>
          <w:bCs/>
        </w:rPr>
        <w:t xml:space="preserve">C., ‘The Restoration of the Porticus Octaviae and Severan Imperial Policy’, </w:t>
      </w:r>
      <w:r w:rsidRPr="008B7862">
        <w:rPr>
          <w:rFonts w:cstheme="minorHAnsi"/>
          <w:bCs/>
          <w:i/>
        </w:rPr>
        <w:t>Greece &amp; Rome Second Series Vol. 54 No. 1</w:t>
      </w:r>
      <w:r w:rsidRPr="008B7862">
        <w:rPr>
          <w:rFonts w:cstheme="minorHAnsi"/>
          <w:bCs/>
        </w:rPr>
        <w:t xml:space="preserve"> (2007),</w:t>
      </w:r>
      <w:r w:rsidRPr="008B7862">
        <w:rPr>
          <w:rFonts w:cstheme="minorHAnsi"/>
        </w:rPr>
        <w:t xml:space="preserve"> P. 14; </w:t>
      </w:r>
      <w:r w:rsidRPr="008B7862">
        <w:rPr>
          <w:rFonts w:eastAsiaTheme="majorEastAsia" w:cstheme="minorHAnsi"/>
        </w:rPr>
        <w:t xml:space="preserve">Lusnia, S., ‘Urban Planning and Sculptural Display in Severan Rome: Reconstructing the Septizodium and Its Role in Dynastic Politics’, </w:t>
      </w:r>
      <w:r w:rsidRPr="008B7862">
        <w:rPr>
          <w:rFonts w:eastAsiaTheme="majorEastAsia" w:cstheme="minorHAnsi"/>
          <w:i/>
        </w:rPr>
        <w:t xml:space="preserve">American Journal of Archaeology Vol. 108 No. 4 </w:t>
      </w:r>
      <w:r w:rsidRPr="008B7862">
        <w:rPr>
          <w:rFonts w:eastAsiaTheme="majorEastAsia" w:cstheme="minorHAnsi"/>
        </w:rPr>
        <w:t>(2004), pp. 523-524.</w:t>
      </w:r>
    </w:p>
  </w:footnote>
  <w:footnote w:id="23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Gorrie, </w:t>
      </w:r>
      <w:r w:rsidRPr="008B7862">
        <w:rPr>
          <w:rFonts w:cstheme="minorHAnsi"/>
          <w:bCs/>
        </w:rPr>
        <w:t>C., ‘The Restoration of the Porticus Octaviae</w:t>
      </w:r>
      <w:r w:rsidRPr="008B7862">
        <w:rPr>
          <w:rFonts w:cstheme="minorHAnsi"/>
        </w:rPr>
        <w:t>, P. 10.</w:t>
      </w:r>
    </w:p>
  </w:footnote>
  <w:footnote w:id="23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3-4.</w:t>
      </w:r>
    </w:p>
  </w:footnote>
  <w:footnote w:id="233">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Beard, M., ‘A Complex of Times: no More Sheep on Romulus’, in </w:t>
      </w:r>
      <w:r w:rsidRPr="008B7862">
        <w:rPr>
          <w:rFonts w:cstheme="minorHAnsi"/>
          <w:bCs/>
          <w:lang w:eastAsia="zh-TW"/>
        </w:rPr>
        <w:t xml:space="preserve">Gordon, R., ‘From Republic to Principate: Priesthood, Religion and Ideology’, Ando, C. (ed.), </w:t>
      </w:r>
      <w:r w:rsidRPr="008B7862">
        <w:rPr>
          <w:rFonts w:cstheme="minorHAnsi"/>
          <w:bCs/>
          <w:i/>
          <w:iCs/>
          <w:lang w:eastAsia="zh-TW"/>
        </w:rPr>
        <w:t>Roman Religion</w:t>
      </w:r>
      <w:r w:rsidRPr="008B7862">
        <w:rPr>
          <w:rFonts w:cstheme="minorHAnsi"/>
          <w:bCs/>
          <w:lang w:eastAsia="zh-TW"/>
        </w:rPr>
        <w:t xml:space="preserve"> (Edinburgh, 2011), P. 288</w:t>
      </w:r>
      <w:r w:rsidRPr="008B7862">
        <w:rPr>
          <w:rFonts w:cstheme="minorHAnsi"/>
        </w:rPr>
        <w:t xml:space="preserve">; Tucci, P., ‘New fragments ’), pp. 479-480. </w:t>
      </w:r>
    </w:p>
  </w:footnote>
  <w:footnote w:id="23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Taub, L., ‘The Historical Function of the “Forma Urbis Romae”’, </w:t>
      </w:r>
      <w:r w:rsidRPr="008B7862">
        <w:rPr>
          <w:rFonts w:cstheme="minorHAnsi"/>
          <w:i/>
          <w:iCs/>
        </w:rPr>
        <w:t>Imago Mundi Vol. 45</w:t>
      </w:r>
      <w:r w:rsidRPr="008B7862">
        <w:rPr>
          <w:rFonts w:cstheme="minorHAnsi"/>
        </w:rPr>
        <w:t xml:space="preserve"> (1993), P. 14.</w:t>
      </w:r>
    </w:p>
  </w:footnote>
  <w:footnote w:id="23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15-16; Zanker, P., ‘By the Emperor, for the people: “Popular” architecture in Rome’, in Ewald, B.C., and Noreña, C.F. (eds), </w:t>
      </w:r>
      <w:r w:rsidRPr="008B7862">
        <w:rPr>
          <w:rFonts w:cstheme="minorHAnsi"/>
          <w:i/>
        </w:rPr>
        <w:t>The Emperor and Rome Space, Representation, and Ritual</w:t>
      </w:r>
      <w:r w:rsidRPr="008B7862">
        <w:rPr>
          <w:rFonts w:cstheme="minorHAnsi"/>
        </w:rPr>
        <w:t xml:space="preserve"> (Cambridge, 2010), pp. 77-78; Zanker, </w:t>
      </w:r>
      <w:r w:rsidRPr="008B7862">
        <w:rPr>
          <w:rFonts w:cstheme="minorHAnsi"/>
          <w:i/>
        </w:rPr>
        <w:t>The Power of Images</w:t>
      </w:r>
      <w:r w:rsidRPr="008B7862">
        <w:rPr>
          <w:rFonts w:cstheme="minorHAnsi"/>
        </w:rPr>
        <w:t>, pp. 154-156.</w:t>
      </w:r>
    </w:p>
  </w:footnote>
  <w:footnote w:id="23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Veyne, </w:t>
      </w:r>
      <w:r w:rsidRPr="008B7862">
        <w:rPr>
          <w:rFonts w:cstheme="minorHAnsi"/>
          <w:i/>
        </w:rPr>
        <w:t>Bread and Circuses</w:t>
      </w:r>
      <w:r w:rsidRPr="008B7862">
        <w:rPr>
          <w:rFonts w:cstheme="minorHAnsi"/>
        </w:rPr>
        <w:t>, P. 406.</w:t>
      </w:r>
    </w:p>
  </w:footnote>
  <w:footnote w:id="23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Southern, P., </w:t>
      </w:r>
      <w:proofErr w:type="gramStart"/>
      <w:r w:rsidRPr="008B7862">
        <w:rPr>
          <w:rFonts w:cstheme="minorHAnsi"/>
          <w:i/>
        </w:rPr>
        <w:t>The</w:t>
      </w:r>
      <w:proofErr w:type="gramEnd"/>
      <w:r w:rsidRPr="008B7862">
        <w:rPr>
          <w:rFonts w:cstheme="minorHAnsi"/>
          <w:i/>
        </w:rPr>
        <w:t xml:space="preserve"> Roman Empire From Severus to Constantine</w:t>
      </w:r>
      <w:r w:rsidRPr="008B7862">
        <w:rPr>
          <w:rFonts w:cstheme="minorHAnsi"/>
        </w:rPr>
        <w:t xml:space="preserve"> (London, 2001), P. 31; Jones, </w:t>
      </w:r>
      <w:r w:rsidRPr="008B7862">
        <w:rPr>
          <w:rFonts w:cstheme="minorHAnsi"/>
          <w:i/>
        </w:rPr>
        <w:t>The Later Roman Empire</w:t>
      </w:r>
      <w:r w:rsidRPr="008B7862">
        <w:rPr>
          <w:rFonts w:cstheme="minorHAnsi"/>
        </w:rPr>
        <w:t>, P. 698.</w:t>
      </w:r>
    </w:p>
  </w:footnote>
  <w:footnote w:id="23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Reynolds, D.W., ‘The Lost Architecture of Ancient Rome’, </w:t>
      </w:r>
      <w:r w:rsidRPr="008B7862">
        <w:rPr>
          <w:rFonts w:cstheme="minorHAnsi"/>
          <w:i/>
        </w:rPr>
        <w:t>Expedition Vol. 39 No. 2</w:t>
      </w:r>
      <w:r w:rsidRPr="008B7862">
        <w:rPr>
          <w:rFonts w:cstheme="minorHAnsi"/>
        </w:rPr>
        <w:t xml:space="preserve"> (1997), P. 16.</w:t>
      </w:r>
    </w:p>
  </w:footnote>
  <w:footnote w:id="239">
    <w:p w:rsidR="00EC705D" w:rsidRPr="008B7862" w:rsidRDefault="00EC705D" w:rsidP="002456E3">
      <w:pPr>
        <w:pStyle w:val="FootnoteText"/>
        <w:rPr>
          <w:rFonts w:cstheme="minorHAnsi"/>
        </w:rPr>
      </w:pPr>
      <w:r w:rsidRPr="008B7862">
        <w:rPr>
          <w:rStyle w:val="FootnoteReference"/>
          <w:rFonts w:cstheme="minorHAnsi"/>
        </w:rPr>
        <w:footnoteRef/>
      </w:r>
      <w:r w:rsidRPr="008B7862">
        <w:rPr>
          <w:rFonts w:cstheme="minorHAnsi"/>
        </w:rPr>
        <w:t xml:space="preserve"> Hadrill, </w:t>
      </w:r>
      <w:r w:rsidRPr="008B7862">
        <w:rPr>
          <w:rFonts w:cstheme="minorHAnsi"/>
          <w:i/>
        </w:rPr>
        <w:t>Cultural Revolution</w:t>
      </w:r>
      <w:r w:rsidRPr="008B7862">
        <w:rPr>
          <w:rFonts w:cstheme="minorHAnsi"/>
        </w:rPr>
        <w:t>, pp. 302-303.</w:t>
      </w:r>
    </w:p>
  </w:footnote>
  <w:footnote w:id="240">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Southern, </w:t>
      </w:r>
      <w:proofErr w:type="gramStart"/>
      <w:r w:rsidRPr="008B7862">
        <w:rPr>
          <w:rFonts w:cstheme="minorHAnsi"/>
          <w:i/>
        </w:rPr>
        <w:t>The</w:t>
      </w:r>
      <w:proofErr w:type="gramEnd"/>
      <w:r w:rsidRPr="008B7862">
        <w:rPr>
          <w:rFonts w:cstheme="minorHAnsi"/>
          <w:i/>
        </w:rPr>
        <w:t xml:space="preserve"> Roman Empire</w:t>
      </w:r>
      <w:r w:rsidRPr="008B7862">
        <w:rPr>
          <w:rFonts w:cstheme="minorHAnsi"/>
        </w:rPr>
        <w:t>, P. 40.</w:t>
      </w:r>
    </w:p>
  </w:footnote>
  <w:footnote w:id="241">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Hadrill, </w:t>
      </w:r>
      <w:r w:rsidRPr="008B7862">
        <w:rPr>
          <w:rFonts w:cstheme="minorHAnsi"/>
          <w:i/>
        </w:rPr>
        <w:t>Cultural Revolution</w:t>
      </w:r>
      <w:r w:rsidRPr="008B7862">
        <w:rPr>
          <w:rFonts w:cstheme="minorHAnsi"/>
        </w:rPr>
        <w:t>, pp 302-303; Robinson,</w:t>
      </w:r>
      <w:r w:rsidRPr="008B7862">
        <w:rPr>
          <w:rFonts w:cstheme="minorHAnsi"/>
          <w:i/>
          <w:iCs/>
        </w:rPr>
        <w:t xml:space="preserve"> City Planning and Administration,</w:t>
      </w:r>
      <w:r w:rsidRPr="008B7862">
        <w:rPr>
          <w:rFonts w:cstheme="minorHAnsi"/>
        </w:rPr>
        <w:t xml:space="preserve"> P. 200.</w:t>
      </w:r>
    </w:p>
  </w:footnote>
  <w:footnote w:id="24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74-76, 77, 79-83, 86, 88-97; </w:t>
      </w:r>
      <w:r w:rsidRPr="008B7862">
        <w:rPr>
          <w:rFonts w:cstheme="minorHAnsi"/>
          <w:shd w:val="clear" w:color="auto" w:fill="FFFFF0"/>
        </w:rPr>
        <w:t>Najbjerg, T., ‘The Severan Marble Plan of Rome (Forma Urbis Romae),’ Stanford Digital Forma Urbis Romae Project, http://formaurbis.stanford.edu/docs/FURmap.html, [05/11/2015].</w:t>
      </w:r>
    </w:p>
  </w:footnote>
  <w:footnote w:id="24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73, 76-80, 84-89, 90, 92, 94; </w:t>
      </w:r>
      <w:r w:rsidRPr="008B7862">
        <w:rPr>
          <w:rFonts w:cstheme="minorHAnsi"/>
          <w:i/>
        </w:rPr>
        <w:t>Stanford Digital Forma Urbis Romae Project</w:t>
      </w:r>
      <w:r w:rsidRPr="008B7862">
        <w:rPr>
          <w:rFonts w:cstheme="minorHAnsi"/>
        </w:rPr>
        <w:t xml:space="preserve">, ‘Database of the Fragments of the Forma Urbis Romae’, http://formaurbis.stanford.edu/index.php, [05/11/2015], searched for Marble Fragments that depicted buildings that appear in the </w:t>
      </w:r>
      <w:r w:rsidRPr="008B7862">
        <w:rPr>
          <w:rFonts w:cstheme="minorHAnsi"/>
          <w:i/>
        </w:rPr>
        <w:t>Regionary Catalogues</w:t>
      </w:r>
      <w:r w:rsidRPr="008B7862">
        <w:rPr>
          <w:rFonts w:cstheme="minorHAnsi"/>
        </w:rPr>
        <w:t>.</w:t>
      </w:r>
    </w:p>
  </w:footnote>
  <w:footnote w:id="24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 76; Richardson Jr., A New Topographical Dictionary, pp. 211-212; </w:t>
      </w:r>
      <w:r w:rsidRPr="008B7862">
        <w:rPr>
          <w:rFonts w:cstheme="minorHAnsi"/>
          <w:i/>
        </w:rPr>
        <w:t>Stanford Digital Forma Urbis Romae Project</w:t>
      </w:r>
      <w:r w:rsidRPr="008B7862">
        <w:rPr>
          <w:rFonts w:cstheme="minorHAnsi"/>
        </w:rPr>
        <w:t>, ‘Digital Map of the Slabs of the Forma Urbis Romae’, http://formaurbis.stanford.edu/docs/FURslabmap.html [05/11/2015].</w:t>
      </w:r>
    </w:p>
  </w:footnote>
  <w:footnote w:id="24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Jr., A New Topographical Dictionary, P. 111;</w:t>
      </w:r>
      <w:r w:rsidRPr="008B7862">
        <w:rPr>
          <w:rFonts w:cstheme="minorHAnsi"/>
          <w:i/>
        </w:rPr>
        <w:t xml:space="preserve"> Stanford Digital Forma Urbis Romae Project</w:t>
      </w:r>
      <w:r w:rsidRPr="008B7862">
        <w:rPr>
          <w:rFonts w:cstheme="minorHAnsi"/>
        </w:rPr>
        <w:t>, ‘Database of the Fragments of the Forma Urbis Romae’, http://formaurbis.stanford.edu/index.php, [05/11/2015], searched for</w:t>
      </w:r>
      <w:r w:rsidRPr="008B7862">
        <w:rPr>
          <w:rFonts w:cstheme="minorHAnsi"/>
          <w:i/>
        </w:rPr>
        <w:t xml:space="preserve"> porticus divorum</w:t>
      </w:r>
      <w:r w:rsidRPr="008B7862">
        <w:rPr>
          <w:rFonts w:cstheme="minorHAnsi"/>
        </w:rPr>
        <w:t xml:space="preserve"> that depicted buildings that appear in the </w:t>
      </w:r>
      <w:r w:rsidRPr="008B7862">
        <w:rPr>
          <w:rFonts w:cstheme="minorHAnsi"/>
          <w:i/>
        </w:rPr>
        <w:t>Regionary Catalogues</w:t>
      </w:r>
      <w:r w:rsidRPr="008B7862">
        <w:rPr>
          <w:rFonts w:cstheme="minorHAnsi"/>
        </w:rPr>
        <w:t>.</w:t>
      </w:r>
    </w:p>
  </w:footnote>
  <w:footnote w:id="24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LRUR</w:t>
      </w:r>
      <w:r w:rsidRPr="008B7862">
        <w:rPr>
          <w:rFonts w:cstheme="minorHAnsi"/>
        </w:rPr>
        <w:t xml:space="preserve">, pp. 76, 87, 91; </w:t>
      </w:r>
      <w:r w:rsidRPr="008B7862">
        <w:rPr>
          <w:rFonts w:cstheme="minorHAnsi"/>
          <w:i/>
        </w:rPr>
        <w:t>Stanford Digital Forma Urbis Romae Project</w:t>
      </w:r>
      <w:r w:rsidRPr="008B7862">
        <w:rPr>
          <w:rFonts w:cstheme="minorHAnsi"/>
        </w:rPr>
        <w:t>, ‘Digital Map of the Slabs of the Forma Urbis Romae’, http://formaurbis.stanford.edu/docs/FURslabmap.html [05/11/2015].</w:t>
      </w:r>
      <w:proofErr w:type="gramEnd"/>
    </w:p>
  </w:footnote>
  <w:footnote w:id="24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75, 77, 95; </w:t>
      </w:r>
      <w:r w:rsidRPr="008B7862">
        <w:rPr>
          <w:rFonts w:cstheme="minorHAnsi"/>
          <w:i/>
        </w:rPr>
        <w:t>Stanford Digital Forma Urbis Romae Project</w:t>
      </w:r>
      <w:r w:rsidRPr="008B7862">
        <w:rPr>
          <w:rFonts w:cstheme="minorHAnsi"/>
        </w:rPr>
        <w:t>, ‘Digital Map of the Slabs of the Forma Urbis Romae’, Slabs: V-17, V-18, VI-9, VIII-4, IX-4, http://formaurbis.stanford.edu/docs/FURslabmap.html [05/11/2015].</w:t>
      </w:r>
    </w:p>
  </w:footnote>
  <w:footnote w:id="24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Jr., </w:t>
      </w:r>
      <w:r w:rsidRPr="008B7862">
        <w:rPr>
          <w:rFonts w:cstheme="minorHAnsi"/>
          <w:i/>
        </w:rPr>
        <w:t>A New Topographical Dictionary</w:t>
      </w:r>
      <w:r w:rsidRPr="008B7862">
        <w:rPr>
          <w:rFonts w:cstheme="minorHAnsi"/>
        </w:rPr>
        <w:t xml:space="preserve">, pp. 340-341, 109-110; </w:t>
      </w:r>
      <w:r w:rsidRPr="008B7862">
        <w:rPr>
          <w:rFonts w:cstheme="minorHAnsi"/>
          <w:i/>
        </w:rPr>
        <w:t>Stanford Digital Forma Urbis Romae Project</w:t>
      </w:r>
      <w:r w:rsidRPr="008B7862">
        <w:rPr>
          <w:rFonts w:cstheme="minorHAnsi"/>
        </w:rPr>
        <w:t>, ‘Digital Map of the Slabs of the Forma Urbis Romae’, Slab: IV-5, http://formaurbis.stanford.edu/docs/FURslabmap.html [05/11/2015].</w:t>
      </w:r>
    </w:p>
  </w:footnote>
  <w:footnote w:id="24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Jr., </w:t>
      </w:r>
      <w:r w:rsidRPr="008B7862">
        <w:rPr>
          <w:rFonts w:cstheme="minorHAnsi"/>
          <w:i/>
        </w:rPr>
        <w:t>A New Topographical Dictionary</w:t>
      </w:r>
      <w:r w:rsidRPr="008B7862">
        <w:rPr>
          <w:rFonts w:cstheme="minorHAnsi"/>
        </w:rPr>
        <w:t xml:space="preserve">, pp. 356, 216-217, 57-58, 12-13; </w:t>
      </w:r>
      <w:r w:rsidRPr="008B7862">
        <w:rPr>
          <w:rFonts w:cstheme="minorHAnsi"/>
          <w:i/>
        </w:rPr>
        <w:t>Stanford Digital Forma Urbis Romae Project</w:t>
      </w:r>
      <w:r w:rsidRPr="008B7862">
        <w:rPr>
          <w:rFonts w:cstheme="minorHAnsi"/>
        </w:rPr>
        <w:t>, ‘Digital Map of the Slabs of the Forma Urbis Romae’, Slab: V-12, http://formaurbis.stanford.edu/docs/FURslabmap.html [05/11/2015].</w:t>
      </w:r>
    </w:p>
  </w:footnote>
  <w:footnote w:id="25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Jr., </w:t>
      </w:r>
      <w:r w:rsidRPr="008B7862">
        <w:rPr>
          <w:rFonts w:cstheme="minorHAnsi"/>
          <w:i/>
        </w:rPr>
        <w:t>A New Topographical Dictionary</w:t>
      </w:r>
      <w:r w:rsidRPr="008B7862">
        <w:rPr>
          <w:rFonts w:cstheme="minorHAnsi"/>
        </w:rPr>
        <w:t xml:space="preserve">, pp. 318-319, 104, 411, 185; </w:t>
      </w:r>
      <w:r w:rsidRPr="008B7862">
        <w:rPr>
          <w:rFonts w:cstheme="minorHAnsi"/>
          <w:i/>
        </w:rPr>
        <w:t>Stanford Digital Forma Urbis Romae Project</w:t>
      </w:r>
      <w:r w:rsidRPr="008B7862">
        <w:rPr>
          <w:rFonts w:cstheme="minorHAnsi"/>
        </w:rPr>
        <w:t>, ‘Digital Map of the Slabs of the Forma Urbis Romae’, Slabs: III-11, IV-6, http://formaurbis.stanford.edu/docs/FURslabmap.html [05/11/2015].</w:t>
      </w:r>
    </w:p>
  </w:footnote>
  <w:footnote w:id="25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Richardson Jr.,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rPr>
        <w:t>, P. 104.</w:t>
      </w:r>
    </w:p>
  </w:footnote>
  <w:footnote w:id="25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Platner, S., ‘The Pomerium and Roma Quadrata’, </w:t>
      </w:r>
      <w:r w:rsidRPr="008B7862">
        <w:rPr>
          <w:rFonts w:cstheme="minorHAnsi"/>
          <w:i/>
        </w:rPr>
        <w:t xml:space="preserve">American Journal of Philology Vol. 22 No. 4 </w:t>
      </w:r>
      <w:r w:rsidRPr="008B7862">
        <w:rPr>
          <w:rFonts w:cstheme="minorHAnsi"/>
        </w:rPr>
        <w:t xml:space="preserve">(1901), pp. 420-425; Rykwert, J., </w:t>
      </w:r>
      <w:proofErr w:type="gramStart"/>
      <w:r w:rsidRPr="008B7862">
        <w:rPr>
          <w:rFonts w:cstheme="minorHAnsi"/>
          <w:i/>
        </w:rPr>
        <w:t>The</w:t>
      </w:r>
      <w:proofErr w:type="gramEnd"/>
      <w:r w:rsidRPr="008B7862">
        <w:rPr>
          <w:rFonts w:cstheme="minorHAnsi"/>
          <w:i/>
        </w:rPr>
        <w:t xml:space="preserve"> Idea of a Town: The Anthropology of Urban Form in Rome, Italy</w:t>
      </w:r>
      <w:r w:rsidRPr="008B7862">
        <w:rPr>
          <w:rFonts w:cstheme="minorHAnsi"/>
        </w:rPr>
        <w:t xml:space="preserve"> </w:t>
      </w:r>
      <w:r w:rsidRPr="008B7862">
        <w:rPr>
          <w:rFonts w:cstheme="minorHAnsi"/>
          <w:i/>
        </w:rPr>
        <w:t>and the Ancient World</w:t>
      </w:r>
      <w:r w:rsidRPr="008B7862">
        <w:rPr>
          <w:rFonts w:cstheme="minorHAnsi"/>
        </w:rPr>
        <w:t xml:space="preserve"> (Princeton, 1988), pp. 97-99; Carter, J.B., ‘Roma Quadrata and the Septimontium’, </w:t>
      </w:r>
      <w:r w:rsidRPr="008B7862">
        <w:rPr>
          <w:rFonts w:cstheme="minorHAnsi"/>
          <w:i/>
        </w:rPr>
        <w:t xml:space="preserve">American Journal of Archaeology Vol. 12 No. 2 </w:t>
      </w:r>
      <w:r w:rsidRPr="008B7862">
        <w:rPr>
          <w:rFonts w:cstheme="minorHAnsi"/>
        </w:rPr>
        <w:t>(1908), pp. 173, 179-183.</w:t>
      </w:r>
    </w:p>
  </w:footnote>
  <w:footnote w:id="253">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Richardson Jr.,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rPr>
        <w:t>, P. 333.</w:t>
      </w:r>
    </w:p>
  </w:footnote>
  <w:footnote w:id="254">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Beard, M., North, S., and Price, S., </w:t>
      </w:r>
      <w:r w:rsidRPr="008B7862">
        <w:rPr>
          <w:rFonts w:cstheme="minorHAnsi"/>
          <w:i/>
          <w:iCs/>
        </w:rPr>
        <w:t>Religions of Rome Volume 1: A History</w:t>
      </w:r>
      <w:r w:rsidRPr="008B7862">
        <w:rPr>
          <w:rFonts w:cstheme="minorHAnsi"/>
        </w:rPr>
        <w:t xml:space="preserve"> (Cambridge, 1998), pp. 177-180.</w:t>
      </w:r>
    </w:p>
  </w:footnote>
  <w:footnote w:id="255">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iCs/>
        </w:rPr>
        <w:t>Ibid</w:t>
      </w:r>
      <w:r w:rsidRPr="008B7862">
        <w:rPr>
          <w:rFonts w:cstheme="minorHAnsi"/>
        </w:rPr>
        <w:t>.,</w:t>
      </w:r>
      <w:proofErr w:type="gramEnd"/>
      <w:r w:rsidRPr="008B7862">
        <w:rPr>
          <w:rFonts w:cstheme="minorHAnsi"/>
        </w:rPr>
        <w:t xml:space="preserve"> pp. 177-178.</w:t>
      </w:r>
    </w:p>
  </w:footnote>
  <w:footnote w:id="256">
    <w:p w:rsidR="00EC705D" w:rsidRPr="008B7862" w:rsidRDefault="00EC705D" w:rsidP="00FB76CA">
      <w:pPr>
        <w:pStyle w:val="FootnoteText"/>
        <w:rPr>
          <w:rFonts w:cstheme="minorHAnsi"/>
          <w:b/>
        </w:rPr>
      </w:pPr>
      <w:r w:rsidRPr="008B7862">
        <w:rPr>
          <w:rStyle w:val="FootnoteReference"/>
          <w:rFonts w:cstheme="minorHAnsi"/>
        </w:rPr>
        <w:footnoteRef/>
      </w:r>
      <w:r w:rsidRPr="008B7862">
        <w:rPr>
          <w:rFonts w:cstheme="minorHAnsi"/>
        </w:rPr>
        <w:t xml:space="preserve"> Robinson, </w:t>
      </w:r>
      <w:r w:rsidRPr="008B7862">
        <w:rPr>
          <w:rFonts w:cstheme="minorHAnsi"/>
          <w:i/>
          <w:iCs/>
        </w:rPr>
        <w:t>City Planning</w:t>
      </w:r>
      <w:r w:rsidRPr="008B7862">
        <w:rPr>
          <w:rFonts w:cstheme="minorHAnsi"/>
          <w:iCs/>
        </w:rPr>
        <w:t>, P. 22; Boatwright, M.T., ‘The Pomerial Extension of Augustus’</w:t>
      </w:r>
      <w:proofErr w:type="gramStart"/>
      <w:r w:rsidRPr="008B7862">
        <w:rPr>
          <w:rFonts w:cstheme="minorHAnsi"/>
          <w:iCs/>
        </w:rPr>
        <w:t xml:space="preserve">, </w:t>
      </w:r>
      <w:r w:rsidRPr="008B7862">
        <w:rPr>
          <w:rFonts w:cstheme="minorHAnsi"/>
        </w:rPr>
        <w:t>,</w:t>
      </w:r>
      <w:proofErr w:type="gramEnd"/>
      <w:r w:rsidRPr="008B7862">
        <w:rPr>
          <w:rFonts w:cstheme="minorHAnsi"/>
        </w:rPr>
        <w:t xml:space="preserve"> </w:t>
      </w:r>
      <w:r w:rsidRPr="008B7862">
        <w:rPr>
          <w:rFonts w:cstheme="minorHAnsi"/>
          <w:i/>
          <w:iCs/>
        </w:rPr>
        <w:t>Historia: Zeitschrift für Alte Geschichte Bd. 35 H. 1</w:t>
      </w:r>
      <w:r w:rsidRPr="008B7862">
        <w:rPr>
          <w:rFonts w:cstheme="minorHAnsi"/>
          <w:iCs/>
        </w:rPr>
        <w:t xml:space="preserve"> (1986),</w:t>
      </w:r>
      <w:r w:rsidRPr="008B7862">
        <w:rPr>
          <w:rFonts w:cstheme="minorHAnsi"/>
          <w:i/>
          <w:iCs/>
        </w:rPr>
        <w:t xml:space="preserve"> </w:t>
      </w:r>
      <w:r w:rsidRPr="008B7862">
        <w:rPr>
          <w:rFonts w:cstheme="minorHAnsi"/>
          <w:iCs/>
        </w:rPr>
        <w:t>P. 26.</w:t>
      </w:r>
    </w:p>
  </w:footnote>
  <w:footnote w:id="257">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Dey, </w:t>
      </w:r>
      <w:r w:rsidRPr="008B7862">
        <w:rPr>
          <w:rFonts w:cstheme="minorHAnsi"/>
          <w:i/>
        </w:rPr>
        <w:t>The Aurelian Wall</w:t>
      </w:r>
      <w:r w:rsidRPr="008B7862">
        <w:rPr>
          <w:rFonts w:cstheme="minorHAnsi"/>
        </w:rPr>
        <w:t>, pp.209-210.</w:t>
      </w:r>
      <w:proofErr w:type="gramEnd"/>
    </w:p>
  </w:footnote>
  <w:footnote w:id="25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This is based marble’s average density of 2711 kg/m³, an average slab thickness of 7cm and the overall width and length being 18m by 13m.</w:t>
      </w:r>
    </w:p>
  </w:footnote>
  <w:footnote w:id="25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Walker, S., ‘</w:t>
      </w:r>
      <w:r w:rsidRPr="008B7862">
        <w:rPr>
          <w:rFonts w:cstheme="minorHAnsi"/>
          <w:i/>
        </w:rPr>
        <w:t xml:space="preserve">Dignam Congruentemque Splendori Patriae: </w:t>
      </w:r>
      <w:r w:rsidRPr="008B7862">
        <w:rPr>
          <w:rFonts w:cstheme="minorHAnsi"/>
        </w:rPr>
        <w:t>Aspects of Urban Renewal under the Severi’,</w:t>
      </w:r>
      <w:r w:rsidRPr="008B7862">
        <w:rPr>
          <w:rFonts w:eastAsiaTheme="majorEastAsia" w:cstheme="minorHAnsi"/>
        </w:rPr>
        <w:t xml:space="preserve"> in Henig, M. (ed.), </w:t>
      </w:r>
      <w:r w:rsidRPr="008B7862">
        <w:rPr>
          <w:rFonts w:eastAsiaTheme="majorEastAsia" w:cstheme="minorHAnsi"/>
          <w:i/>
        </w:rPr>
        <w:t>Architecture and Architectural Sculpture in the Roman Empire</w:t>
      </w:r>
      <w:r w:rsidRPr="008B7862">
        <w:rPr>
          <w:rFonts w:eastAsiaTheme="majorEastAsia" w:cstheme="minorHAnsi"/>
        </w:rPr>
        <w:t xml:space="preserve"> (Oxford, 1990), P. 141.</w:t>
      </w:r>
    </w:p>
  </w:footnote>
  <w:footnote w:id="26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Cooley, ‘Septimius Severus’, P. 397.</w:t>
      </w:r>
    </w:p>
  </w:footnote>
  <w:footnote w:id="26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393; Ando, </w:t>
      </w:r>
      <w:r w:rsidRPr="008B7862">
        <w:rPr>
          <w:rFonts w:cstheme="minorHAnsi"/>
          <w:i/>
        </w:rPr>
        <w:t>Imperial Rome</w:t>
      </w:r>
      <w:r w:rsidRPr="008B7862">
        <w:rPr>
          <w:rFonts w:cstheme="minorHAnsi"/>
        </w:rPr>
        <w:t xml:space="preserve">, pp. 216-217; Tomlinson, R., </w:t>
      </w:r>
      <w:r w:rsidRPr="008B7862">
        <w:rPr>
          <w:rFonts w:cstheme="minorHAnsi"/>
          <w:i/>
        </w:rPr>
        <w:t>From Mycenae to Constantinople The Evolution of the Ancient City</w:t>
      </w:r>
      <w:r w:rsidRPr="008B7862">
        <w:rPr>
          <w:rFonts w:cstheme="minorHAnsi"/>
        </w:rPr>
        <w:t xml:space="preserve"> (London, 1992), P. 213.</w:t>
      </w:r>
    </w:p>
  </w:footnote>
  <w:footnote w:id="262">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61-67; Hadrill, </w:t>
      </w:r>
      <w:r w:rsidRPr="008B7862">
        <w:rPr>
          <w:rFonts w:cstheme="minorHAnsi"/>
          <w:i/>
        </w:rPr>
        <w:t>Cultural Revolution</w:t>
      </w:r>
      <w:r w:rsidRPr="008B7862">
        <w:rPr>
          <w:rFonts w:cstheme="minorHAnsi"/>
        </w:rPr>
        <w:t>, P. 308.</w:t>
      </w:r>
    </w:p>
  </w:footnote>
  <w:footnote w:id="263">
    <w:p w:rsidR="00EC705D" w:rsidRPr="008B7862" w:rsidRDefault="00EC705D" w:rsidP="008A797A">
      <w:pPr>
        <w:pStyle w:val="FootnoteText"/>
        <w:tabs>
          <w:tab w:val="center" w:pos="4513"/>
        </w:tabs>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xml:space="preserve">, pp. 81&amp;84; Richardson Jr., </w:t>
      </w:r>
      <w:r w:rsidRPr="008B7862">
        <w:rPr>
          <w:rFonts w:cstheme="minorHAnsi"/>
          <w:i/>
        </w:rPr>
        <w:t>A New Topographical Dictionary</w:t>
      </w:r>
      <w:r w:rsidRPr="008B7862">
        <w:rPr>
          <w:rFonts w:cstheme="minorHAnsi"/>
        </w:rPr>
        <w:t xml:space="preserve">, pp. 78-79, 144; Merrill, ‘Notitia and Curiosum’, pp. 138-139. </w:t>
      </w:r>
      <w:r w:rsidRPr="008B7862">
        <w:rPr>
          <w:rFonts w:cstheme="minorHAnsi"/>
        </w:rPr>
        <w:tab/>
      </w:r>
    </w:p>
  </w:footnote>
  <w:footnote w:id="26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Sinnigen, W.G., ‘The Vicarius Urbis Romae and the Urban Prefecture’, </w:t>
      </w:r>
      <w:r w:rsidRPr="008B7862">
        <w:rPr>
          <w:rFonts w:cstheme="minorHAnsi"/>
          <w:i/>
          <w:iCs/>
        </w:rPr>
        <w:t>Historia Bd. 8 H. 1</w:t>
      </w:r>
      <w:r w:rsidRPr="008B7862">
        <w:rPr>
          <w:rFonts w:cstheme="minorHAnsi"/>
          <w:iCs/>
        </w:rPr>
        <w:t xml:space="preserve"> (1959), pp. 99-100.</w:t>
      </w:r>
    </w:p>
  </w:footnote>
  <w:footnote w:id="26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Kelly, B., ‘Policing and Security’, in Erdkamp, P (ed.), </w:t>
      </w:r>
      <w:proofErr w:type="gramStart"/>
      <w:r w:rsidRPr="008B7862">
        <w:rPr>
          <w:rFonts w:cstheme="minorHAnsi"/>
          <w:i/>
        </w:rPr>
        <w:t>The</w:t>
      </w:r>
      <w:proofErr w:type="gramEnd"/>
      <w:r w:rsidRPr="008B7862">
        <w:rPr>
          <w:rFonts w:cstheme="minorHAnsi"/>
          <w:i/>
        </w:rPr>
        <w:t xml:space="preserve"> Cambridge Companion to Ancient Rome </w:t>
      </w:r>
      <w:r w:rsidRPr="008B7862">
        <w:rPr>
          <w:rFonts w:cstheme="minorHAnsi"/>
        </w:rPr>
        <w:t>(Cambridge, 2013), pp. 413-414.</w:t>
      </w:r>
    </w:p>
  </w:footnote>
  <w:footnote w:id="266">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Chronographys Anni CCCLIIII</w:t>
      </w:r>
      <w:r w:rsidRPr="008B7862">
        <w:rPr>
          <w:rFonts w:cstheme="minorHAnsi"/>
        </w:rPr>
        <w:t xml:space="preserve">’, in Mommsen, T (ed.), </w:t>
      </w:r>
      <w:r w:rsidRPr="008B7862">
        <w:rPr>
          <w:rFonts w:cstheme="minorHAnsi"/>
          <w:i/>
        </w:rPr>
        <w:t>Monumenta Germaniae Historica Chronica Minora</w:t>
      </w:r>
      <w:r w:rsidRPr="008B7862">
        <w:rPr>
          <w:rFonts w:cstheme="minorHAnsi"/>
        </w:rPr>
        <w:t xml:space="preserve"> </w:t>
      </w:r>
      <w:r w:rsidRPr="008B7862">
        <w:rPr>
          <w:rFonts w:cstheme="minorHAnsi"/>
          <w:i/>
        </w:rPr>
        <w:t xml:space="preserve">Vol I </w:t>
      </w:r>
      <w:r w:rsidRPr="008B7862">
        <w:rPr>
          <w:rFonts w:cstheme="minorHAnsi"/>
        </w:rPr>
        <w:t>(Berlin, 1894),</w:t>
      </w:r>
      <w:r w:rsidRPr="008B7862">
        <w:rPr>
          <w:rFonts w:cstheme="minorHAnsi"/>
          <w:i/>
        </w:rPr>
        <w:t xml:space="preserve"> </w:t>
      </w:r>
      <w:r w:rsidRPr="008B7862">
        <w:rPr>
          <w:rFonts w:cstheme="minorHAnsi"/>
        </w:rPr>
        <w:t>P. 148.</w:t>
      </w:r>
    </w:p>
  </w:footnote>
  <w:footnote w:id="267">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Historia Augusta: Aurelian</w:t>
      </w:r>
      <w:r w:rsidRPr="008B7862">
        <w:rPr>
          <w:rFonts w:cstheme="minorHAnsi"/>
        </w:rPr>
        <w:t xml:space="preserve"> 18.4-21.4, in </w:t>
      </w:r>
      <w:r w:rsidRPr="008B7862">
        <w:rPr>
          <w:rFonts w:cstheme="minorHAnsi"/>
          <w:i/>
        </w:rPr>
        <w:t>The Scriptores Historia Augusta</w:t>
      </w:r>
      <w:r w:rsidRPr="008B7862">
        <w:rPr>
          <w:rFonts w:cstheme="minorHAnsi"/>
        </w:rPr>
        <w:t>, trans. David Magie (London, 1932), pp. 229-235.</w:t>
      </w:r>
    </w:p>
  </w:footnote>
  <w:footnote w:id="268">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xml:space="preserve">, pp. 108-113; </w:t>
      </w:r>
      <w:r w:rsidRPr="008B7862">
        <w:rPr>
          <w:rFonts w:cstheme="minorHAnsi"/>
          <w:i/>
        </w:rPr>
        <w:t>SHA</w:t>
      </w:r>
      <w:r w:rsidRPr="008B7862">
        <w:rPr>
          <w:rFonts w:cstheme="minorHAnsi"/>
        </w:rPr>
        <w:t xml:space="preserve"> </w:t>
      </w:r>
      <w:r w:rsidRPr="008B7862">
        <w:rPr>
          <w:rFonts w:cstheme="minorHAnsi"/>
          <w:i/>
        </w:rPr>
        <w:t>24.1</w:t>
      </w:r>
      <w:r w:rsidRPr="008B7862">
        <w:rPr>
          <w:rFonts w:cstheme="minorHAnsi"/>
        </w:rPr>
        <w:t xml:space="preserve">; </w:t>
      </w:r>
      <w:r w:rsidRPr="008B7862">
        <w:rPr>
          <w:rFonts w:cstheme="minorHAnsi"/>
          <w:i/>
        </w:rPr>
        <w:t>LC 35:8</w:t>
      </w:r>
      <w:r w:rsidRPr="008B7862">
        <w:rPr>
          <w:rFonts w:cstheme="minorHAnsi"/>
        </w:rPr>
        <w:t>, pp. 37-38.</w:t>
      </w:r>
    </w:p>
  </w:footnote>
  <w:footnote w:id="269">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Dey, </w:t>
      </w:r>
      <w:r w:rsidRPr="008B7862">
        <w:rPr>
          <w:rFonts w:cstheme="minorHAnsi"/>
          <w:i/>
        </w:rPr>
        <w:t>The Aurelian Wall</w:t>
      </w:r>
      <w:r w:rsidRPr="008B7862">
        <w:rPr>
          <w:rFonts w:cstheme="minorHAnsi"/>
        </w:rPr>
        <w:t xml:space="preserve">, P. 110; Mazzolani, L.S., </w:t>
      </w:r>
      <w:r w:rsidRPr="008B7862">
        <w:rPr>
          <w:rFonts w:cstheme="minorHAnsi"/>
          <w:i/>
        </w:rPr>
        <w:t>The Idea of the City in Roman Thought From Walled City to Spiritual Commonwealth</w:t>
      </w:r>
      <w:r w:rsidRPr="008B7862">
        <w:rPr>
          <w:rFonts w:cstheme="minorHAnsi"/>
        </w:rPr>
        <w:t>, trans. O’Donnell, S., (London, 1967), P. 204.</w:t>
      </w:r>
    </w:p>
  </w:footnote>
  <w:footnote w:id="270">
    <w:p w:rsidR="00EC705D" w:rsidRPr="008B7862" w:rsidRDefault="00EC705D" w:rsidP="004D7E6B">
      <w:pPr>
        <w:pStyle w:val="FootnoteText"/>
        <w:rPr>
          <w:rFonts w:cstheme="minorHAnsi"/>
        </w:rPr>
      </w:pPr>
      <w:r w:rsidRPr="008B7862">
        <w:rPr>
          <w:rStyle w:val="FootnoteReference"/>
          <w:rFonts w:cstheme="minorHAnsi"/>
        </w:rPr>
        <w:footnoteRef/>
      </w:r>
      <w:r w:rsidRPr="008B7862">
        <w:rPr>
          <w:rFonts w:cstheme="minorHAnsi"/>
        </w:rPr>
        <w:t xml:space="preserve"> Dey, H.,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pp. 279-280.</w:t>
      </w:r>
    </w:p>
  </w:footnote>
  <w:footnote w:id="271">
    <w:p w:rsidR="00EC705D" w:rsidRPr="008B7862" w:rsidRDefault="00EC705D" w:rsidP="0085288B">
      <w:pPr>
        <w:rPr>
          <w:rFonts w:cstheme="minorHAnsi"/>
          <w:sz w:val="20"/>
          <w:szCs w:val="20"/>
        </w:rPr>
      </w:pPr>
      <w:r w:rsidRPr="008B7862">
        <w:rPr>
          <w:rStyle w:val="FootnoteReference"/>
          <w:rFonts w:cstheme="minorHAnsi"/>
          <w:sz w:val="20"/>
          <w:szCs w:val="20"/>
        </w:rPr>
        <w:footnoteRef/>
      </w:r>
      <w:r w:rsidRPr="008B7862">
        <w:rPr>
          <w:rFonts w:cstheme="minorHAnsi"/>
          <w:sz w:val="20"/>
          <w:szCs w:val="20"/>
        </w:rPr>
        <w:t xml:space="preserve"> Dey, </w:t>
      </w:r>
      <w:r w:rsidRPr="008B7862">
        <w:rPr>
          <w:rFonts w:cstheme="minorHAnsi"/>
          <w:i/>
          <w:sz w:val="20"/>
          <w:szCs w:val="20"/>
        </w:rPr>
        <w:t>The Aurelian Wall</w:t>
      </w:r>
      <w:r w:rsidRPr="008B7862">
        <w:rPr>
          <w:rFonts w:cstheme="minorHAnsi"/>
          <w:sz w:val="20"/>
          <w:szCs w:val="20"/>
        </w:rPr>
        <w:t xml:space="preserve">, P. 194; Tengström, E., </w:t>
      </w:r>
      <w:r w:rsidRPr="008B7862">
        <w:rPr>
          <w:rFonts w:cstheme="minorHAnsi"/>
          <w:i/>
          <w:sz w:val="20"/>
          <w:szCs w:val="20"/>
        </w:rPr>
        <w:t>Bread for the People Studies of the Corn-Supply of Rome during the Late Empire</w:t>
      </w:r>
      <w:r w:rsidRPr="008B7862">
        <w:rPr>
          <w:rFonts w:cstheme="minorHAnsi"/>
          <w:sz w:val="20"/>
          <w:szCs w:val="20"/>
        </w:rPr>
        <w:t xml:space="preserve"> (Stockholm, 1974), pp. 82-84; Sirks, B., </w:t>
      </w:r>
      <w:r w:rsidRPr="008B7862">
        <w:rPr>
          <w:rFonts w:cstheme="minorHAnsi"/>
          <w:i/>
          <w:sz w:val="20"/>
          <w:szCs w:val="20"/>
        </w:rPr>
        <w:t>Food for Rome The Legal Structure of the Transportation and Processing of Supplies for the Imperial Distribution in Rome and Constantinople</w:t>
      </w:r>
      <w:r w:rsidRPr="008B7862">
        <w:rPr>
          <w:rFonts w:cstheme="minorHAnsi"/>
          <w:sz w:val="20"/>
          <w:szCs w:val="20"/>
        </w:rPr>
        <w:t xml:space="preserve"> (Amsterdam, 1991), pp. 391-392 &amp; 414-415.</w:t>
      </w:r>
    </w:p>
  </w:footnote>
  <w:footnote w:id="272">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Jordan, </w:t>
      </w:r>
      <w:r w:rsidRPr="008B7862">
        <w:rPr>
          <w:rFonts w:cstheme="minorHAnsi"/>
          <w:i/>
        </w:rPr>
        <w:t>Topographie</w:t>
      </w:r>
      <w:r w:rsidRPr="008B7862">
        <w:rPr>
          <w:rFonts w:cstheme="minorHAnsi"/>
        </w:rPr>
        <w:t>, P. 574.</w:t>
      </w:r>
    </w:p>
  </w:footnote>
  <w:footnote w:id="273">
    <w:p w:rsidR="00EC705D" w:rsidRPr="008B7862" w:rsidRDefault="00EC705D" w:rsidP="008A797A">
      <w:pPr>
        <w:pStyle w:val="FootnoteText"/>
        <w:tabs>
          <w:tab w:val="center" w:pos="4513"/>
        </w:tabs>
        <w:rPr>
          <w:rFonts w:cstheme="minorHAnsi"/>
        </w:rPr>
      </w:pPr>
      <w:r w:rsidRPr="008B7862">
        <w:rPr>
          <w:rStyle w:val="FootnoteReference"/>
          <w:rFonts w:cstheme="minorHAnsi"/>
        </w:rPr>
        <w:footnoteRef/>
      </w:r>
      <w:r w:rsidRPr="008B7862">
        <w:rPr>
          <w:rFonts w:cstheme="minorHAnsi"/>
        </w:rPr>
        <w:t xml:space="preserve"> Ammianus Marcellinus, </w:t>
      </w:r>
      <w:r w:rsidRPr="008B7862">
        <w:rPr>
          <w:rFonts w:cstheme="minorHAnsi"/>
          <w:i/>
        </w:rPr>
        <w:t>Roman History</w:t>
      </w:r>
      <w:r w:rsidRPr="008B7862">
        <w:rPr>
          <w:rFonts w:cstheme="minorHAnsi"/>
        </w:rPr>
        <w:t xml:space="preserve"> Book XIX.10.1-3, P. 523.</w:t>
      </w:r>
      <w:r w:rsidRPr="008B7862">
        <w:rPr>
          <w:rFonts w:cstheme="minorHAnsi"/>
        </w:rPr>
        <w:tab/>
      </w:r>
    </w:p>
  </w:footnote>
  <w:footnote w:id="274">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Rickman, </w:t>
      </w:r>
      <w:r w:rsidRPr="008B7862">
        <w:rPr>
          <w:rFonts w:cstheme="minorHAnsi"/>
          <w:i/>
        </w:rPr>
        <w:t>Roman Granaries</w:t>
      </w:r>
      <w:r w:rsidRPr="008B7862">
        <w:rPr>
          <w:rFonts w:cstheme="minorHAnsi"/>
        </w:rPr>
        <w:t>, P. 183.</w:t>
      </w:r>
    </w:p>
  </w:footnote>
  <w:footnote w:id="275">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P. 8.</w:t>
      </w:r>
    </w:p>
  </w:footnote>
  <w:footnote w:id="276">
    <w:p w:rsidR="00EC705D" w:rsidRPr="008B7862" w:rsidRDefault="00EC705D" w:rsidP="008A797A">
      <w:pPr>
        <w:pStyle w:val="FootnoteText"/>
        <w:tabs>
          <w:tab w:val="left" w:pos="5351"/>
        </w:tabs>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iCs/>
        </w:rPr>
        <w:t>Digest</w:t>
      </w:r>
      <w:r w:rsidRPr="008B7862">
        <w:rPr>
          <w:rFonts w:cstheme="minorHAnsi"/>
        </w:rPr>
        <w:t>, XII:1:11; Aurelian attempted to institute a free wine ration but relented on the advice of his Praetorian Prefect: ‘If you do this then all that remains is to give them lark’s tongues and geese.’</w:t>
      </w:r>
      <w:r w:rsidRPr="008B7862">
        <w:rPr>
          <w:rFonts w:cstheme="minorHAnsi"/>
        </w:rPr>
        <w:tab/>
      </w:r>
    </w:p>
  </w:footnote>
  <w:footnote w:id="277">
    <w:p w:rsidR="00EC705D" w:rsidRPr="008B7862" w:rsidRDefault="00EC705D" w:rsidP="008A797A">
      <w:pPr>
        <w:pStyle w:val="FootnoteText"/>
        <w:rPr>
          <w:rFonts w:cstheme="minorHAnsi"/>
          <w:bCs/>
        </w:rPr>
      </w:pPr>
      <w:r w:rsidRPr="008B7862">
        <w:rPr>
          <w:rStyle w:val="FootnoteReference"/>
          <w:rFonts w:cstheme="minorHAnsi"/>
        </w:rPr>
        <w:footnoteRef/>
      </w:r>
      <w:r w:rsidRPr="008B7862">
        <w:rPr>
          <w:rFonts w:cstheme="minorHAnsi"/>
        </w:rPr>
        <w:t xml:space="preserve"> </w:t>
      </w:r>
      <w:r w:rsidRPr="008B7862">
        <w:rPr>
          <w:rFonts w:cstheme="minorHAnsi"/>
          <w:bCs/>
        </w:rPr>
        <w:t xml:space="preserve">Jordan, </w:t>
      </w:r>
      <w:r w:rsidRPr="008B7862">
        <w:rPr>
          <w:rFonts w:cstheme="minorHAnsi"/>
          <w:bCs/>
          <w:i/>
          <w:iCs/>
        </w:rPr>
        <w:t>Topographie</w:t>
      </w:r>
      <w:r w:rsidRPr="008B7862">
        <w:rPr>
          <w:rFonts w:cstheme="minorHAnsi"/>
          <w:bCs/>
        </w:rPr>
        <w:t>, P. 551.</w:t>
      </w:r>
    </w:p>
  </w:footnote>
  <w:footnote w:id="278">
    <w:p w:rsidR="00EC705D" w:rsidRPr="008B7862" w:rsidRDefault="00EC705D" w:rsidP="008A797A">
      <w:pPr>
        <w:pStyle w:val="FootnoteText"/>
        <w:rPr>
          <w:rFonts w:cstheme="minorHAnsi"/>
          <w:i/>
        </w:rPr>
      </w:pPr>
      <w:r w:rsidRPr="008B7862">
        <w:rPr>
          <w:rStyle w:val="FootnoteReference"/>
          <w:rFonts w:cstheme="minorHAnsi"/>
        </w:rPr>
        <w:footnoteRef/>
      </w:r>
      <w:r w:rsidRPr="008B7862">
        <w:rPr>
          <w:rFonts w:cstheme="minorHAnsi"/>
        </w:rPr>
        <w:t xml:space="preserve"> Dey, H.W., </w:t>
      </w:r>
      <w:proofErr w:type="gramStart"/>
      <w:r w:rsidRPr="008B7862">
        <w:rPr>
          <w:rFonts w:cstheme="minorHAnsi"/>
          <w:i/>
          <w:iCs/>
        </w:rPr>
        <w:t>The</w:t>
      </w:r>
      <w:proofErr w:type="gramEnd"/>
      <w:r w:rsidRPr="008B7862">
        <w:rPr>
          <w:rFonts w:cstheme="minorHAnsi"/>
          <w:i/>
          <w:iCs/>
        </w:rPr>
        <w:t xml:space="preserve"> Aurelian Wall</w:t>
      </w:r>
      <w:r w:rsidRPr="008B7862">
        <w:rPr>
          <w:rFonts w:cstheme="minorHAnsi"/>
          <w:iCs/>
        </w:rPr>
        <w:t>,</w:t>
      </w:r>
      <w:r w:rsidRPr="008B7862">
        <w:rPr>
          <w:rFonts w:cstheme="minorHAnsi"/>
          <w:i/>
          <w:iCs/>
        </w:rPr>
        <w:t xml:space="preserve"> </w:t>
      </w:r>
      <w:r w:rsidRPr="008B7862">
        <w:rPr>
          <w:rFonts w:cstheme="minorHAnsi"/>
        </w:rPr>
        <w:t>P. 188.</w:t>
      </w:r>
    </w:p>
  </w:footnote>
  <w:footnote w:id="279">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Ibid</w:t>
      </w:r>
      <w:r w:rsidRPr="008B7862">
        <w:rPr>
          <w:rFonts w:cstheme="minorHAnsi"/>
        </w:rPr>
        <w:t xml:space="preserve">., P. 194; Richardson, </w:t>
      </w:r>
      <w:r w:rsidRPr="008B7862">
        <w:rPr>
          <w:rFonts w:cstheme="minorHAnsi"/>
          <w:i/>
        </w:rPr>
        <w:t>Topographical Dictionary</w:t>
      </w:r>
      <w:r w:rsidRPr="008B7862">
        <w:rPr>
          <w:rFonts w:cstheme="minorHAnsi"/>
        </w:rPr>
        <w:t xml:space="preserve">, P. 63; Richardson suspects that as the first mention comes from an inscription (CIL 14.2886) at Praeneste from the base of a statue of a freedman of Paris, Nero’s pantomimist who served as </w:t>
      </w:r>
      <w:r w:rsidRPr="008B7862">
        <w:rPr>
          <w:rFonts w:cstheme="minorHAnsi"/>
          <w:i/>
        </w:rPr>
        <w:t>Vinarius a Septem Caesaribus</w:t>
      </w:r>
      <w:r w:rsidRPr="008B7862">
        <w:rPr>
          <w:rFonts w:cstheme="minorHAnsi"/>
        </w:rPr>
        <w:t xml:space="preserve"> and </w:t>
      </w:r>
      <w:r w:rsidRPr="008B7862">
        <w:rPr>
          <w:rFonts w:cstheme="minorHAnsi"/>
          <w:i/>
        </w:rPr>
        <w:t>Coactor Argentarius</w:t>
      </w:r>
      <w:r w:rsidRPr="008B7862">
        <w:rPr>
          <w:rFonts w:cstheme="minorHAnsi"/>
        </w:rPr>
        <w:t xml:space="preserve"> and therefore due to such a diverse set of commercial interests the </w:t>
      </w:r>
      <w:r w:rsidRPr="008B7862">
        <w:rPr>
          <w:rFonts w:cstheme="minorHAnsi"/>
          <w:i/>
        </w:rPr>
        <w:t xml:space="preserve">Septem Caesares </w:t>
      </w:r>
      <w:r w:rsidRPr="008B7862">
        <w:rPr>
          <w:rFonts w:cstheme="minorHAnsi"/>
        </w:rPr>
        <w:t xml:space="preserve">was probably located in the neighbourhood of the Mausoleum of Augustus and therefore on the </w:t>
      </w:r>
      <w:r w:rsidRPr="008B7862">
        <w:rPr>
          <w:rFonts w:cstheme="minorHAnsi"/>
          <w:i/>
        </w:rPr>
        <w:t>Campus</w:t>
      </w:r>
      <w:r w:rsidRPr="008B7862">
        <w:rPr>
          <w:rFonts w:cstheme="minorHAnsi"/>
        </w:rPr>
        <w:t xml:space="preserve"> </w:t>
      </w:r>
      <w:r w:rsidRPr="008B7862">
        <w:rPr>
          <w:rFonts w:cstheme="minorHAnsi"/>
          <w:i/>
        </w:rPr>
        <w:t>Martius</w:t>
      </w:r>
      <w:r w:rsidRPr="008B7862">
        <w:rPr>
          <w:rFonts w:cstheme="minorHAnsi"/>
        </w:rPr>
        <w:t xml:space="preserve"> in </w:t>
      </w:r>
      <w:r w:rsidRPr="008B7862">
        <w:rPr>
          <w:rFonts w:cstheme="minorHAnsi"/>
          <w:i/>
        </w:rPr>
        <w:t>Regio IX: Circus Flaminius</w:t>
      </w:r>
      <w:r w:rsidRPr="008B7862">
        <w:rPr>
          <w:rFonts w:cstheme="minorHAnsi"/>
        </w:rPr>
        <w:t>.</w:t>
      </w:r>
    </w:p>
  </w:footnote>
  <w:footnote w:id="280">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Codex Theodosianus</w:t>
      </w:r>
      <w:r w:rsidRPr="008B7862">
        <w:rPr>
          <w:rFonts w:cstheme="minorHAnsi"/>
        </w:rPr>
        <w:t xml:space="preserve">, Title 11.2.2;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xml:space="preserve">, pp. 106-107; Robathan, D.M., ‘A Reconsideration of Roman Topography in the Historia Augusta’, </w:t>
      </w:r>
      <w:r w:rsidRPr="008B7862">
        <w:rPr>
          <w:rFonts w:cstheme="minorHAnsi"/>
          <w:i/>
        </w:rPr>
        <w:t>Transactions and Proceedings of the American Philological Association Vol. 70</w:t>
      </w:r>
      <w:r w:rsidRPr="008B7862">
        <w:rPr>
          <w:rFonts w:cstheme="minorHAnsi"/>
        </w:rPr>
        <w:t xml:space="preserve"> (1939), pp. 519-520.</w:t>
      </w:r>
    </w:p>
  </w:footnote>
  <w:footnote w:id="281">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Jordan, </w:t>
      </w:r>
      <w:r w:rsidRPr="008B7862">
        <w:rPr>
          <w:rFonts w:cstheme="minorHAnsi"/>
          <w:i/>
        </w:rPr>
        <w:t>Topographie</w:t>
      </w:r>
      <w:r w:rsidRPr="008B7862">
        <w:rPr>
          <w:rFonts w:cstheme="minorHAnsi"/>
        </w:rPr>
        <w:t>, P. 574.</w:t>
      </w:r>
    </w:p>
  </w:footnote>
  <w:footnote w:id="282">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Tengström, </w:t>
      </w:r>
      <w:r w:rsidRPr="008B7862">
        <w:rPr>
          <w:rFonts w:cstheme="minorHAnsi"/>
          <w:i/>
        </w:rPr>
        <w:t xml:space="preserve">Bread for the People, </w:t>
      </w:r>
      <w:r w:rsidRPr="008B7862">
        <w:rPr>
          <w:rFonts w:cstheme="minorHAnsi"/>
        </w:rPr>
        <w:t xml:space="preserve">pp. 65-68, 70, 92-93; For foodstuffs outside of the grain ration see Sirks, B., </w:t>
      </w:r>
      <w:r w:rsidRPr="008B7862">
        <w:rPr>
          <w:rFonts w:cstheme="minorHAnsi"/>
          <w:i/>
        </w:rPr>
        <w:t>Food for Rome</w:t>
      </w:r>
      <w:r w:rsidRPr="008B7862">
        <w:rPr>
          <w:rFonts w:cstheme="minorHAnsi"/>
        </w:rPr>
        <w:t>, pp. 362-363 &amp; 393-394.</w:t>
      </w:r>
    </w:p>
  </w:footnote>
  <w:footnote w:id="283">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Pomponius Porphyrion, </w:t>
      </w:r>
      <w:r w:rsidRPr="008B7862">
        <w:rPr>
          <w:rFonts w:cstheme="minorHAnsi"/>
          <w:i/>
        </w:rPr>
        <w:t xml:space="preserve">Commentarii in Q. Horatium Flaccum </w:t>
      </w:r>
      <w:r w:rsidRPr="008B7862">
        <w:rPr>
          <w:rFonts w:cstheme="minorHAnsi"/>
        </w:rPr>
        <w:t xml:space="preserve">Odes 4.12.18; Rickman, </w:t>
      </w:r>
      <w:r w:rsidRPr="008B7862">
        <w:rPr>
          <w:rFonts w:cstheme="minorHAnsi"/>
          <w:i/>
        </w:rPr>
        <w:t>Roman Granaries</w:t>
      </w:r>
      <w:r w:rsidRPr="008B7862">
        <w:rPr>
          <w:rFonts w:cstheme="minorHAnsi"/>
        </w:rPr>
        <w:t xml:space="preserve">, P. 165; Platner and Ashby, </w:t>
      </w:r>
      <w:r w:rsidRPr="008B7862">
        <w:rPr>
          <w:rFonts w:cstheme="minorHAnsi"/>
          <w:i/>
        </w:rPr>
        <w:t>Topographical Dictionary</w:t>
      </w:r>
      <w:r w:rsidRPr="008B7862">
        <w:rPr>
          <w:rFonts w:cstheme="minorHAnsi"/>
        </w:rPr>
        <w:t xml:space="preserve">, P. 261, Richardson Jr., </w:t>
      </w:r>
      <w:r w:rsidRPr="008B7862">
        <w:rPr>
          <w:rFonts w:cstheme="minorHAnsi"/>
          <w:i/>
        </w:rPr>
        <w:t xml:space="preserve">A New Topographical Dictionary, </w:t>
      </w:r>
      <w:r w:rsidRPr="008B7862">
        <w:rPr>
          <w:rFonts w:cstheme="minorHAnsi"/>
        </w:rPr>
        <w:t>P. 193.</w:t>
      </w:r>
    </w:p>
  </w:footnote>
  <w:footnote w:id="284">
    <w:p w:rsidR="00EC705D" w:rsidRPr="008B7862" w:rsidRDefault="00EC705D" w:rsidP="008A797A">
      <w:pPr>
        <w:pStyle w:val="FootnoteText"/>
        <w:rPr>
          <w:rFonts w:cstheme="minorHAnsi"/>
          <w:i/>
        </w:rPr>
      </w:pPr>
      <w:r w:rsidRPr="008B7862">
        <w:rPr>
          <w:rStyle w:val="FootnoteReference"/>
          <w:rFonts w:cstheme="minorHAnsi"/>
        </w:rPr>
        <w:footnoteRef/>
      </w:r>
      <w:r w:rsidRPr="008B7862">
        <w:rPr>
          <w:rFonts w:cstheme="minorHAnsi"/>
        </w:rPr>
        <w:t xml:space="preserve"> Richardson, </w:t>
      </w:r>
      <w:r w:rsidRPr="008B7862">
        <w:rPr>
          <w:rFonts w:cstheme="minorHAnsi"/>
          <w:i/>
        </w:rPr>
        <w:t>A New Topographical Dictionary</w:t>
      </w:r>
      <w:r w:rsidRPr="008B7862">
        <w:rPr>
          <w:rFonts w:cstheme="minorHAnsi"/>
        </w:rPr>
        <w:t xml:space="preserve"> (London, 1992), P. 192.</w:t>
      </w:r>
    </w:p>
  </w:footnote>
  <w:footnote w:id="285">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The Emperor in question was the Emperor Galba, Emperor in the Year of Four Emperors; Richardson, </w:t>
      </w:r>
      <w:proofErr w:type="gramStart"/>
      <w:r w:rsidRPr="008B7862">
        <w:rPr>
          <w:rFonts w:cstheme="minorHAnsi"/>
          <w:i/>
        </w:rPr>
        <w:t>A</w:t>
      </w:r>
      <w:proofErr w:type="gramEnd"/>
      <w:r w:rsidRPr="008B7862">
        <w:rPr>
          <w:rFonts w:cstheme="minorHAnsi"/>
          <w:i/>
        </w:rPr>
        <w:t xml:space="preserve"> New Topographical Dictionary, </w:t>
      </w:r>
      <w:r w:rsidRPr="008B7862">
        <w:rPr>
          <w:rFonts w:cstheme="minorHAnsi"/>
        </w:rPr>
        <w:t>P. 193.</w:t>
      </w:r>
    </w:p>
  </w:footnote>
  <w:footnote w:id="286">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iCs/>
        </w:rPr>
        <w:t>SHA</w:t>
      </w:r>
      <w:r w:rsidRPr="008B7862">
        <w:rPr>
          <w:rFonts w:cstheme="minorHAnsi"/>
        </w:rPr>
        <w:t xml:space="preserve"> </w:t>
      </w:r>
      <w:r w:rsidRPr="008B7862">
        <w:rPr>
          <w:rFonts w:cstheme="minorHAnsi"/>
          <w:i/>
        </w:rPr>
        <w:t>48:1</w:t>
      </w:r>
      <w:r w:rsidRPr="008B7862">
        <w:rPr>
          <w:rFonts w:cstheme="minorHAnsi"/>
        </w:rPr>
        <w:t xml:space="preserve">; Lançon, </w:t>
      </w:r>
      <w:r w:rsidRPr="008B7862">
        <w:rPr>
          <w:rFonts w:cstheme="minorHAnsi"/>
          <w:i/>
          <w:iCs/>
        </w:rPr>
        <w:t>Rome in Late Antiquity</w:t>
      </w:r>
      <w:r w:rsidRPr="008B7862">
        <w:rPr>
          <w:rFonts w:cstheme="minorHAnsi"/>
        </w:rPr>
        <w:t>, P. 115.</w:t>
      </w:r>
    </w:p>
  </w:footnote>
  <w:footnote w:id="287">
    <w:p w:rsidR="00EC705D" w:rsidRPr="008B7862" w:rsidRDefault="00EC705D" w:rsidP="008A797A">
      <w:pPr>
        <w:pStyle w:val="FootnoteText"/>
        <w:tabs>
          <w:tab w:val="left" w:pos="6547"/>
        </w:tabs>
        <w:rPr>
          <w:rFonts w:cstheme="minorHAnsi"/>
        </w:rPr>
      </w:pPr>
      <w:r w:rsidRPr="008B7862">
        <w:rPr>
          <w:rStyle w:val="FootnoteReference"/>
          <w:rFonts w:cstheme="minorHAnsi"/>
        </w:rPr>
        <w:footnoteRef/>
      </w:r>
      <w:r w:rsidRPr="008B7862">
        <w:rPr>
          <w:rFonts w:cstheme="minorHAnsi"/>
        </w:rPr>
        <w:t xml:space="preserve"> Jordan, </w:t>
      </w:r>
      <w:r w:rsidRPr="008B7862">
        <w:rPr>
          <w:rFonts w:cstheme="minorHAnsi"/>
          <w:i/>
          <w:iCs/>
        </w:rPr>
        <w:t>Topographie</w:t>
      </w:r>
      <w:r w:rsidRPr="008B7862">
        <w:rPr>
          <w:rFonts w:cstheme="minorHAnsi"/>
        </w:rPr>
        <w:t>, pp. 542-564.</w:t>
      </w:r>
      <w:r w:rsidRPr="008B7862">
        <w:rPr>
          <w:rFonts w:cstheme="minorHAnsi"/>
        </w:rPr>
        <w:tab/>
      </w:r>
    </w:p>
  </w:footnote>
  <w:footnote w:id="288">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Chastagnol, </w:t>
      </w:r>
      <w:r w:rsidRPr="008B7862">
        <w:rPr>
          <w:rFonts w:cstheme="minorHAnsi"/>
          <w:i/>
        </w:rPr>
        <w:t>La Préfecture Urbaine</w:t>
      </w:r>
      <w:r w:rsidRPr="008B7862">
        <w:rPr>
          <w:rFonts w:cstheme="minorHAnsi"/>
          <w:iCs/>
        </w:rPr>
        <w:t xml:space="preserve">, pp. 56-57; </w:t>
      </w:r>
      <w:r w:rsidRPr="008B7862">
        <w:rPr>
          <w:rFonts w:cstheme="minorHAnsi"/>
          <w:i/>
          <w:iCs/>
        </w:rPr>
        <w:t xml:space="preserve">Codex Theodosianus, </w:t>
      </w:r>
      <w:r w:rsidRPr="008B7862">
        <w:rPr>
          <w:rFonts w:cstheme="minorHAnsi"/>
        </w:rPr>
        <w:t>Title 1.6.5 &amp; 1.6.7.</w:t>
      </w:r>
      <w:proofErr w:type="gramEnd"/>
      <w:r w:rsidRPr="008B7862">
        <w:rPr>
          <w:rFonts w:cstheme="minorHAnsi"/>
        </w:rPr>
        <w:t xml:space="preserve"> </w:t>
      </w:r>
    </w:p>
  </w:footnote>
  <w:footnote w:id="289">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xml:space="preserve">, pp. 104-105; </w:t>
      </w:r>
      <w:r w:rsidRPr="008B7862">
        <w:rPr>
          <w:rFonts w:cstheme="minorHAnsi"/>
          <w:i/>
        </w:rPr>
        <w:t xml:space="preserve">Codex Theodosianus, </w:t>
      </w:r>
      <w:r w:rsidRPr="008B7862">
        <w:rPr>
          <w:rFonts w:cstheme="minorHAnsi"/>
        </w:rPr>
        <w:t>Title 14.3.1, 14.3.2 and 14.3.3.</w:t>
      </w:r>
    </w:p>
  </w:footnote>
  <w:footnote w:id="290">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Coates-Stephens, ‘The Walls of Aurelian’, </w:t>
      </w:r>
      <w:r w:rsidRPr="008B7862">
        <w:rPr>
          <w:rStyle w:val="apple-converted-space"/>
          <w:rFonts w:cstheme="minorHAnsi"/>
          <w:shd w:val="clear" w:color="auto" w:fill="FFFFE4"/>
        </w:rPr>
        <w:t xml:space="preserve">P. 85; John Malalas, </w:t>
      </w:r>
      <w:r w:rsidRPr="008B7862">
        <w:rPr>
          <w:rStyle w:val="apple-converted-space"/>
          <w:rFonts w:cstheme="minorHAnsi"/>
          <w:i/>
          <w:shd w:val="clear" w:color="auto" w:fill="FFFFE4"/>
        </w:rPr>
        <w:t>Chronographia 12.30</w:t>
      </w:r>
      <w:r w:rsidRPr="008B7862">
        <w:rPr>
          <w:rStyle w:val="apple-converted-space"/>
          <w:rFonts w:cstheme="minorHAnsi"/>
          <w:shd w:val="clear" w:color="auto" w:fill="FFFFE4"/>
        </w:rPr>
        <w:t>, ed.Ioannes Thurn (Berlin, 2000), P. 230.</w:t>
      </w:r>
      <w:proofErr w:type="gramEnd"/>
    </w:p>
  </w:footnote>
  <w:footnote w:id="291">
    <w:p w:rsidR="00EC705D" w:rsidRPr="008B7862" w:rsidRDefault="00EC705D" w:rsidP="008A797A">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126-127.</w:t>
      </w:r>
    </w:p>
  </w:footnote>
  <w:footnote w:id="292">
    <w:p w:rsidR="00EC705D" w:rsidRPr="008B7862" w:rsidRDefault="00EC705D" w:rsidP="008A797A">
      <w:pPr>
        <w:pStyle w:val="FootnoteText"/>
        <w:tabs>
          <w:tab w:val="left" w:pos="7887"/>
        </w:tabs>
        <w:rPr>
          <w:rFonts w:cstheme="minorHAnsi"/>
        </w:rPr>
      </w:pPr>
      <w:r w:rsidRPr="008B7862">
        <w:rPr>
          <w:rStyle w:val="FootnoteReference"/>
          <w:rFonts w:cstheme="minorHAnsi"/>
        </w:rPr>
        <w:footnoteRef/>
      </w:r>
      <w:r w:rsidRPr="008B7862">
        <w:rPr>
          <w:rFonts w:cstheme="minorHAnsi"/>
        </w:rPr>
        <w:t xml:space="preserve"> Ammianus Marcellinus, </w:t>
      </w:r>
      <w:r w:rsidRPr="008B7862">
        <w:rPr>
          <w:rFonts w:cstheme="minorHAnsi"/>
          <w:i/>
        </w:rPr>
        <w:t>Roman History</w:t>
      </w:r>
      <w:r w:rsidRPr="008B7862">
        <w:rPr>
          <w:rFonts w:cstheme="minorHAnsi"/>
        </w:rPr>
        <w:t xml:space="preserve"> Book XXVII.3.4, P. 17.</w:t>
      </w:r>
      <w:r w:rsidRPr="008B7862">
        <w:rPr>
          <w:rFonts w:cstheme="minorHAnsi"/>
        </w:rPr>
        <w:tab/>
      </w:r>
    </w:p>
  </w:footnote>
  <w:footnote w:id="293">
    <w:p w:rsidR="00EC705D" w:rsidRPr="008B7862" w:rsidRDefault="00EC705D">
      <w:pPr>
        <w:rPr>
          <w:rFonts w:cstheme="minorHAnsi"/>
          <w:sz w:val="20"/>
          <w:szCs w:val="20"/>
        </w:rPr>
      </w:pPr>
    </w:p>
    <w:p w:rsidR="00EC705D" w:rsidRPr="008B7862" w:rsidRDefault="00EC705D" w:rsidP="008A797A">
      <w:pPr>
        <w:pStyle w:val="FootnoteText"/>
        <w:rPr>
          <w:rFonts w:cstheme="minorHAnsi"/>
        </w:rPr>
      </w:pPr>
    </w:p>
  </w:footnote>
  <w:footnote w:id="294">
    <w:p w:rsidR="00EC705D" w:rsidRPr="008B7862" w:rsidRDefault="00EC705D" w:rsidP="004D7E6B">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pp. 114-115.</w:t>
      </w:r>
    </w:p>
  </w:footnote>
  <w:footnote w:id="295">
    <w:p w:rsidR="00EC705D" w:rsidRPr="008B7862" w:rsidRDefault="00EC705D" w:rsidP="004D7E6B">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Mann, J.C., ‘The Organisation of the Frumentarii’, </w:t>
      </w:r>
      <w:r w:rsidRPr="008B7862">
        <w:rPr>
          <w:rFonts w:cstheme="minorHAnsi"/>
          <w:i/>
          <w:iCs/>
          <w:lang w:val="de-DE"/>
        </w:rPr>
        <w:t xml:space="preserve">Zeitschrift für Papyrologie und Epigraphik Bd. 74 </w:t>
      </w:r>
      <w:r w:rsidRPr="008B7862">
        <w:rPr>
          <w:rFonts w:cstheme="minorHAnsi"/>
          <w:iCs/>
          <w:lang w:val="de-DE"/>
        </w:rPr>
        <w:t>(1988), pp. 149-150.</w:t>
      </w:r>
      <w:proofErr w:type="gramEnd"/>
    </w:p>
  </w:footnote>
  <w:footnote w:id="296">
    <w:p w:rsidR="00EC705D" w:rsidRPr="008B7862" w:rsidRDefault="00EC705D" w:rsidP="004D7E6B">
      <w:pPr>
        <w:pStyle w:val="FootnoteText"/>
        <w:tabs>
          <w:tab w:val="left" w:pos="3483"/>
        </w:tabs>
        <w:rPr>
          <w:rFonts w:cstheme="minorHAnsi"/>
        </w:rPr>
      </w:pPr>
      <w:r w:rsidRPr="008B7862">
        <w:rPr>
          <w:rStyle w:val="FootnoteReference"/>
          <w:rFonts w:cstheme="minorHAnsi"/>
        </w:rPr>
        <w:footnoteRef/>
      </w:r>
      <w:r w:rsidRPr="008B7862">
        <w:rPr>
          <w:rFonts w:cstheme="minorHAnsi"/>
        </w:rPr>
        <w:t xml:space="preserve"> Baille Reynolds, P.K., ‘The Troops Quartered in the Castra Peregrinorum’, </w:t>
      </w:r>
      <w:proofErr w:type="gramStart"/>
      <w:r w:rsidRPr="008B7862">
        <w:rPr>
          <w:rFonts w:cstheme="minorHAnsi"/>
          <w:i/>
        </w:rPr>
        <w:t>The</w:t>
      </w:r>
      <w:proofErr w:type="gramEnd"/>
      <w:r w:rsidRPr="008B7862">
        <w:rPr>
          <w:rFonts w:cstheme="minorHAnsi"/>
          <w:i/>
        </w:rPr>
        <w:t xml:space="preserve"> Journal of Roman Studies Vol. 23</w:t>
      </w:r>
      <w:r w:rsidRPr="008B7862">
        <w:rPr>
          <w:rFonts w:cstheme="minorHAnsi"/>
        </w:rPr>
        <w:t xml:space="preserve"> (1923), pp. 168-169.</w:t>
      </w:r>
      <w:r w:rsidRPr="008B7862">
        <w:rPr>
          <w:rFonts w:cstheme="minorHAnsi"/>
        </w:rPr>
        <w:tab/>
      </w:r>
    </w:p>
  </w:footnote>
  <w:footnote w:id="297">
    <w:p w:rsidR="00EC705D" w:rsidRPr="008B7862" w:rsidRDefault="00EC705D" w:rsidP="004D7E6B">
      <w:pPr>
        <w:pStyle w:val="FootnoteText"/>
        <w:rPr>
          <w:rFonts w:cstheme="minorHAnsi"/>
          <w:b/>
          <w:bCs/>
        </w:rPr>
      </w:pPr>
      <w:r w:rsidRPr="008B7862">
        <w:rPr>
          <w:rStyle w:val="FootnoteReference"/>
          <w:rFonts w:cstheme="minorHAnsi"/>
        </w:rPr>
        <w:footnoteRef/>
      </w:r>
      <w:r w:rsidRPr="008B7862">
        <w:rPr>
          <w:rFonts w:cstheme="minorHAnsi"/>
        </w:rPr>
        <w:t xml:space="preserve"> Sinnigen, </w:t>
      </w:r>
      <w:proofErr w:type="gramStart"/>
      <w:r w:rsidRPr="008B7862">
        <w:rPr>
          <w:rFonts w:cstheme="minorHAnsi"/>
          <w:i/>
          <w:iCs/>
        </w:rPr>
        <w:t>The</w:t>
      </w:r>
      <w:proofErr w:type="gramEnd"/>
      <w:r w:rsidRPr="008B7862">
        <w:rPr>
          <w:rFonts w:cstheme="minorHAnsi"/>
          <w:i/>
          <w:iCs/>
        </w:rPr>
        <w:t xml:space="preserve"> Officium of the Urban Prefecture, </w:t>
      </w:r>
      <w:r w:rsidRPr="008B7862">
        <w:rPr>
          <w:rFonts w:cstheme="minorHAnsi"/>
        </w:rPr>
        <w:t>P. 89.</w:t>
      </w:r>
    </w:p>
  </w:footnote>
  <w:footnote w:id="298">
    <w:p w:rsidR="00EC705D" w:rsidRPr="008B7862" w:rsidRDefault="00EC705D" w:rsidP="004D7E6B">
      <w:pPr>
        <w:pStyle w:val="FootnoteText"/>
        <w:rPr>
          <w:rFonts w:cstheme="minorHAnsi"/>
        </w:rPr>
      </w:pPr>
      <w:r w:rsidRPr="008B7862">
        <w:rPr>
          <w:rStyle w:val="FootnoteReference"/>
          <w:rFonts w:cstheme="minorHAnsi"/>
        </w:rPr>
        <w:footnoteRef/>
      </w:r>
      <w:r w:rsidRPr="008B7862">
        <w:rPr>
          <w:rFonts w:cstheme="minorHAnsi"/>
        </w:rPr>
        <w:t xml:space="preserve"> Speidel, M.P., </w:t>
      </w:r>
      <w:r w:rsidRPr="008B7862">
        <w:rPr>
          <w:rFonts w:cstheme="minorHAnsi"/>
          <w:i/>
        </w:rPr>
        <w:t>Riding for Caesar: The Roman Emperor’s Horseguards</w:t>
      </w:r>
      <w:r w:rsidRPr="008B7862">
        <w:rPr>
          <w:rFonts w:cstheme="minorHAnsi"/>
        </w:rPr>
        <w:t xml:space="preserve"> (London, 1994), pp. 44-45; Jones, </w:t>
      </w:r>
      <w:r w:rsidRPr="008B7862">
        <w:rPr>
          <w:rFonts w:cstheme="minorHAnsi"/>
          <w:i/>
        </w:rPr>
        <w:t>The Later Roman Empire</w:t>
      </w:r>
      <w:r w:rsidRPr="008B7862">
        <w:rPr>
          <w:rFonts w:cstheme="minorHAnsi"/>
        </w:rPr>
        <w:t>, P. 100.</w:t>
      </w:r>
    </w:p>
  </w:footnote>
  <w:footnote w:id="299">
    <w:p w:rsidR="00EC705D" w:rsidRPr="008B7862" w:rsidRDefault="00EC705D" w:rsidP="004D7E6B">
      <w:pPr>
        <w:pStyle w:val="FootnoteText"/>
        <w:rPr>
          <w:rFonts w:cstheme="minorHAnsi"/>
        </w:rPr>
      </w:pPr>
      <w:r w:rsidRPr="008B7862">
        <w:rPr>
          <w:rStyle w:val="FootnoteReference"/>
          <w:rFonts w:cstheme="minorHAnsi"/>
        </w:rPr>
        <w:footnoteRef/>
      </w:r>
      <w:r w:rsidRPr="008B7862">
        <w:rPr>
          <w:rFonts w:cstheme="minorHAnsi"/>
        </w:rPr>
        <w:t xml:space="preserve"> Richardson Jr.,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rPr>
        <w:t>, P. 77.</w:t>
      </w:r>
    </w:p>
  </w:footnote>
  <w:footnote w:id="300">
    <w:p w:rsidR="00EC705D" w:rsidRPr="008B7862" w:rsidRDefault="00EC705D" w:rsidP="004D7E6B">
      <w:pPr>
        <w:pStyle w:val="FootnoteText"/>
        <w:rPr>
          <w:rFonts w:cstheme="minorHAnsi"/>
        </w:rPr>
      </w:pPr>
      <w:r w:rsidRPr="008B7862">
        <w:rPr>
          <w:rStyle w:val="FootnoteReference"/>
          <w:rFonts w:cstheme="minorHAnsi"/>
        </w:rPr>
        <w:footnoteRef/>
      </w:r>
      <w:r w:rsidRPr="008B7862">
        <w:rPr>
          <w:rFonts w:cstheme="minorHAnsi"/>
        </w:rPr>
        <w:t xml:space="preserve"> Jordan, </w:t>
      </w:r>
      <w:r w:rsidRPr="008B7862">
        <w:rPr>
          <w:rFonts w:cstheme="minorHAnsi"/>
          <w:i/>
          <w:iCs/>
        </w:rPr>
        <w:t>Topographie</w:t>
      </w:r>
      <w:r w:rsidRPr="008B7862">
        <w:rPr>
          <w:rFonts w:cstheme="minorHAnsi"/>
        </w:rPr>
        <w:t>, P. 573.</w:t>
      </w:r>
    </w:p>
  </w:footnote>
  <w:footnote w:id="301">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Jones, A.H.M., Martindale, J.R., and Morris, J.,</w:t>
      </w:r>
      <w:r w:rsidRPr="008B7862">
        <w:rPr>
          <w:rFonts w:cstheme="minorHAnsi"/>
          <w:i/>
        </w:rPr>
        <w:t xml:space="preserve"> The Prosopography of the Later Roman Empire</w:t>
      </w:r>
      <w:r w:rsidRPr="008B7862">
        <w:rPr>
          <w:rFonts w:cstheme="minorHAnsi"/>
        </w:rPr>
        <w:t xml:space="preserve"> (Cambridge, 1971), pp. 1052-1056;</w:t>
      </w:r>
    </w:p>
  </w:footnote>
  <w:footnote w:id="302">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Jones, </w:t>
      </w:r>
      <w:r w:rsidRPr="008B7862">
        <w:rPr>
          <w:rFonts w:cstheme="minorHAnsi"/>
          <w:i/>
        </w:rPr>
        <w:t>PLRE</w:t>
      </w:r>
      <w:r w:rsidRPr="008B7862">
        <w:rPr>
          <w:rFonts w:cstheme="minorHAnsi"/>
        </w:rPr>
        <w:t>, P. 70.</w:t>
      </w:r>
    </w:p>
  </w:footnote>
  <w:footnote w:id="303">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Jones, </w:t>
      </w:r>
      <w:r w:rsidRPr="008B7862">
        <w:rPr>
          <w:rFonts w:cstheme="minorHAnsi"/>
          <w:i/>
        </w:rPr>
        <w:t>PLRE</w:t>
      </w:r>
      <w:r w:rsidRPr="008B7862">
        <w:rPr>
          <w:rFonts w:cstheme="minorHAnsi"/>
        </w:rPr>
        <w:t>, P. 70.</w:t>
      </w:r>
    </w:p>
  </w:footnote>
  <w:footnote w:id="304">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Jones,</w:t>
      </w:r>
      <w:r w:rsidRPr="008B7862">
        <w:rPr>
          <w:rFonts w:cstheme="minorHAnsi"/>
          <w:i/>
        </w:rPr>
        <w:t xml:space="preserve"> PLRE</w:t>
      </w:r>
      <w:r w:rsidRPr="008B7862">
        <w:rPr>
          <w:rFonts w:cstheme="minorHAnsi"/>
        </w:rPr>
        <w:t>¸ pp. 155-156.</w:t>
      </w:r>
      <w:proofErr w:type="gramEnd"/>
    </w:p>
  </w:footnote>
  <w:footnote w:id="305">
    <w:p w:rsidR="00EC705D" w:rsidRPr="008B7862" w:rsidRDefault="00EC705D" w:rsidP="00FB76CA">
      <w:pPr>
        <w:pStyle w:val="FootnoteText"/>
        <w:tabs>
          <w:tab w:val="left" w:pos="3064"/>
        </w:tabs>
        <w:rPr>
          <w:rFonts w:cstheme="minorHAnsi"/>
        </w:rPr>
      </w:pPr>
      <w:r w:rsidRPr="008B7862">
        <w:rPr>
          <w:rStyle w:val="FootnoteReference"/>
          <w:rFonts w:cstheme="minorHAnsi"/>
        </w:rPr>
        <w:footnoteRef/>
      </w:r>
      <w:r w:rsidRPr="008B7862">
        <w:rPr>
          <w:rFonts w:cstheme="minorHAnsi"/>
        </w:rPr>
        <w:t xml:space="preserve"> Jones, </w:t>
      </w:r>
      <w:r w:rsidRPr="008B7862">
        <w:rPr>
          <w:rFonts w:cstheme="minorHAnsi"/>
          <w:i/>
        </w:rPr>
        <w:t>PLRE</w:t>
      </w:r>
      <w:r w:rsidRPr="008B7862">
        <w:rPr>
          <w:rFonts w:cstheme="minorHAnsi"/>
        </w:rPr>
        <w:t>, P. 859.</w:t>
      </w:r>
    </w:p>
  </w:footnote>
  <w:footnote w:id="306">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xml:space="preserve">, P. 19; Richmond, I.A., </w:t>
      </w:r>
      <w:r w:rsidRPr="008B7862">
        <w:rPr>
          <w:rFonts w:cstheme="minorHAnsi"/>
          <w:i/>
          <w:iCs/>
        </w:rPr>
        <w:t>The City Wall of Imperial Rome An Account of its Architectural Development from Aurelian to Narses</w:t>
      </w:r>
      <w:r w:rsidRPr="008B7862">
        <w:rPr>
          <w:rFonts w:cstheme="minorHAnsi"/>
        </w:rPr>
        <w:t xml:space="preserve"> (Oxford, 1930), pp. 243-244.</w:t>
      </w:r>
    </w:p>
  </w:footnote>
  <w:footnote w:id="307">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pp. 74-76.</w:t>
      </w:r>
    </w:p>
  </w:footnote>
  <w:footnote w:id="308">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Ibid</w:t>
      </w:r>
      <w:r w:rsidRPr="008B7862">
        <w:rPr>
          <w:rFonts w:cstheme="minorHAnsi"/>
        </w:rPr>
        <w:t xml:space="preserve">., P. 74; Richardson, </w:t>
      </w:r>
      <w:r w:rsidRPr="008B7862">
        <w:rPr>
          <w:rFonts w:cstheme="minorHAnsi"/>
          <w:i/>
        </w:rPr>
        <w:t>Topographical Dictionary</w:t>
      </w:r>
      <w:r w:rsidRPr="008B7862">
        <w:rPr>
          <w:rFonts w:cstheme="minorHAnsi"/>
        </w:rPr>
        <w:t xml:space="preserve">, pp. 129 &amp; 361; Krautheimer, R., </w:t>
      </w:r>
      <w:r w:rsidRPr="008B7862">
        <w:rPr>
          <w:rFonts w:cstheme="minorHAnsi"/>
          <w:i/>
        </w:rPr>
        <w:t>Rome Profile of a City, 312-1308</w:t>
      </w:r>
      <w:r w:rsidRPr="008B7862">
        <w:rPr>
          <w:rFonts w:cstheme="minorHAnsi"/>
        </w:rPr>
        <w:t xml:space="preserve"> (Guildford, 1980), pp. 8, 16-17; Richmond, </w:t>
      </w:r>
      <w:r w:rsidRPr="008B7862">
        <w:rPr>
          <w:rFonts w:cstheme="minorHAnsi"/>
          <w:i/>
          <w:iCs/>
        </w:rPr>
        <w:t>The City Wall of Imperial Rome</w:t>
      </w:r>
      <w:r w:rsidRPr="008B7862">
        <w:rPr>
          <w:rFonts w:cstheme="minorHAnsi"/>
        </w:rPr>
        <w:t>, P. 15.</w:t>
      </w:r>
    </w:p>
  </w:footnote>
  <w:footnote w:id="309">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xml:space="preserve">, pp. 30-31, 235-236; Ando, </w:t>
      </w:r>
      <w:r w:rsidRPr="008B7862">
        <w:rPr>
          <w:rFonts w:cstheme="minorHAnsi"/>
          <w:i/>
        </w:rPr>
        <w:t>Imperial Rome</w:t>
      </w:r>
      <w:r w:rsidRPr="008B7862">
        <w:rPr>
          <w:rFonts w:cstheme="minorHAnsi"/>
        </w:rPr>
        <w:t>, pp. 216-217.</w:t>
      </w:r>
    </w:p>
  </w:footnote>
  <w:footnote w:id="310">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Southern, P., </w:t>
      </w:r>
      <w:r w:rsidRPr="008B7862">
        <w:rPr>
          <w:rFonts w:cstheme="minorHAnsi"/>
          <w:i/>
        </w:rPr>
        <w:t>Empress Zenobia: Palmyra’s Rebel Queen</w:t>
      </w:r>
      <w:r w:rsidRPr="008B7862">
        <w:rPr>
          <w:rFonts w:cstheme="minorHAnsi"/>
        </w:rPr>
        <w:t xml:space="preserve"> (London, 2008), pp. 156-163. </w:t>
      </w:r>
      <w:r w:rsidRPr="008B7862">
        <w:rPr>
          <w:rFonts w:cstheme="minorHAnsi"/>
          <w:i/>
        </w:rPr>
        <w:t>SHA 37.2-3</w:t>
      </w:r>
      <w:r w:rsidRPr="008B7862">
        <w:rPr>
          <w:rFonts w:cstheme="minorHAnsi"/>
        </w:rPr>
        <w:t xml:space="preserve">; </w:t>
      </w:r>
      <w:proofErr w:type="gramStart"/>
      <w:r w:rsidRPr="008B7862">
        <w:rPr>
          <w:rFonts w:cstheme="minorHAnsi"/>
          <w:i/>
        </w:rPr>
        <w:t xml:space="preserve">LC </w:t>
      </w:r>
      <w:r w:rsidRPr="008B7862">
        <w:rPr>
          <w:rFonts w:cstheme="minorHAnsi"/>
        </w:rPr>
        <w:t>,</w:t>
      </w:r>
      <w:proofErr w:type="gramEnd"/>
      <w:r w:rsidRPr="008B7862">
        <w:rPr>
          <w:rFonts w:cstheme="minorHAnsi"/>
        </w:rPr>
        <w:t xml:space="preserve"> pp. 36-37, 148.</w:t>
      </w:r>
    </w:p>
  </w:footnote>
  <w:footnote w:id="311">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Historia Augusta The Thirty Pretenders</w:t>
      </w:r>
      <w:r w:rsidRPr="008B7862">
        <w:rPr>
          <w:rFonts w:cstheme="minorHAnsi"/>
        </w:rPr>
        <w:t>;</w:t>
      </w:r>
      <w:r w:rsidRPr="008B7862">
        <w:rPr>
          <w:rFonts w:cstheme="minorHAnsi"/>
          <w:i/>
        </w:rPr>
        <w:t xml:space="preserve"> LC 35:1</w:t>
      </w:r>
      <w:r w:rsidRPr="008B7862">
        <w:rPr>
          <w:rFonts w:cstheme="minorHAnsi"/>
        </w:rPr>
        <w:t>, P. 37; Zosimus,</w:t>
      </w:r>
      <w:r w:rsidRPr="008B7862">
        <w:rPr>
          <w:rFonts w:cstheme="minorHAnsi"/>
          <w:i/>
        </w:rPr>
        <w:t xml:space="preserve"> New History</w:t>
      </w:r>
      <w:r w:rsidRPr="008B7862">
        <w:rPr>
          <w:rFonts w:cstheme="minorHAnsi"/>
        </w:rPr>
        <w:t xml:space="preserve"> </w:t>
      </w:r>
      <w:r w:rsidRPr="008B7862">
        <w:rPr>
          <w:rFonts w:cstheme="minorHAnsi"/>
          <w:i/>
        </w:rPr>
        <w:t>1.26</w:t>
      </w:r>
      <w:r w:rsidRPr="008B7862">
        <w:rPr>
          <w:rFonts w:cstheme="minorHAnsi"/>
        </w:rPr>
        <w:t xml:space="preserve"> (Sydney, 1982)</w:t>
      </w:r>
      <w:proofErr w:type="gramStart"/>
      <w:r w:rsidRPr="008B7862">
        <w:rPr>
          <w:rFonts w:cstheme="minorHAnsi"/>
        </w:rPr>
        <w:t>, ;</w:t>
      </w:r>
      <w:proofErr w:type="gramEnd"/>
      <w:r w:rsidRPr="008B7862">
        <w:rPr>
          <w:rFonts w:cstheme="minorHAnsi"/>
        </w:rPr>
        <w:t xml:space="preserve"> Ball, W., </w:t>
      </w:r>
      <w:r w:rsidRPr="008B7862">
        <w:rPr>
          <w:rFonts w:cstheme="minorHAnsi"/>
          <w:i/>
        </w:rPr>
        <w:t>Rome in the East: The Transformation of an Empire</w:t>
      </w:r>
      <w:r w:rsidRPr="008B7862">
        <w:rPr>
          <w:rFonts w:cstheme="minorHAnsi"/>
        </w:rPr>
        <w:t xml:space="preserve"> (London, 2000), pp. 78-79. </w:t>
      </w:r>
    </w:p>
  </w:footnote>
  <w:footnote w:id="312">
    <w:p w:rsidR="00EC705D" w:rsidRPr="008B7862" w:rsidRDefault="00EC705D" w:rsidP="00FB76C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111-115; </w:t>
      </w:r>
      <w:r w:rsidRPr="008B7862">
        <w:rPr>
          <w:rFonts w:cstheme="minorHAnsi"/>
          <w:i/>
        </w:rPr>
        <w:t>SHA 21.9 &amp; 22.1</w:t>
      </w:r>
      <w:r w:rsidRPr="008B7862">
        <w:rPr>
          <w:rFonts w:cstheme="minorHAnsi"/>
        </w:rPr>
        <w:t>.</w:t>
      </w:r>
    </w:p>
  </w:footnote>
  <w:footnote w:id="31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Zanker, </w:t>
      </w:r>
      <w:proofErr w:type="gramStart"/>
      <w:r w:rsidRPr="008B7862">
        <w:rPr>
          <w:rFonts w:cstheme="minorHAnsi"/>
          <w:i/>
        </w:rPr>
        <w:t>The</w:t>
      </w:r>
      <w:proofErr w:type="gramEnd"/>
      <w:r w:rsidRPr="008B7862">
        <w:rPr>
          <w:rFonts w:cstheme="minorHAnsi"/>
          <w:i/>
        </w:rPr>
        <w:t xml:space="preserve"> Power of Images</w:t>
      </w:r>
      <w:r w:rsidRPr="008B7862">
        <w:rPr>
          <w:rFonts w:cstheme="minorHAnsi"/>
        </w:rPr>
        <w:t>, pp. 335-337.</w:t>
      </w:r>
    </w:p>
  </w:footnote>
  <w:footnote w:id="31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Suetonius, </w:t>
      </w:r>
      <w:r w:rsidRPr="008B7862">
        <w:rPr>
          <w:rFonts w:cstheme="minorHAnsi"/>
          <w:i/>
        </w:rPr>
        <w:t>Twelve Caesars</w:t>
      </w:r>
      <w:r w:rsidRPr="008B7862">
        <w:rPr>
          <w:rFonts w:cstheme="minorHAnsi"/>
        </w:rPr>
        <w:t>, P. 167.</w:t>
      </w:r>
    </w:p>
  </w:footnote>
  <w:footnote w:id="31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This is with an overall budget estimate of 1462 million with 40 million a year on buildings in Rome. In 2015 terms that’s equivalent to the UK’s £45 billion defence budget. Bearing in mind that the Army was about 80% of the budget at 1140 million sesterces and the “civil service” was only about 200 million sesterces; Duncan-Jones, R., </w:t>
      </w:r>
      <w:r w:rsidRPr="008B7862">
        <w:rPr>
          <w:rFonts w:cstheme="minorHAnsi"/>
          <w:i/>
        </w:rPr>
        <w:t>Money and Government in the Roman Empire</w:t>
      </w:r>
      <w:r w:rsidRPr="008B7862">
        <w:rPr>
          <w:rFonts w:cstheme="minorHAnsi"/>
        </w:rPr>
        <w:t xml:space="preserve"> (Cambridge, 1998), pp. 42-45.</w:t>
      </w:r>
    </w:p>
  </w:footnote>
  <w:footnote w:id="31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Robinson, </w:t>
      </w:r>
      <w:r w:rsidRPr="008B7862">
        <w:rPr>
          <w:rFonts w:cstheme="minorHAnsi"/>
          <w:i/>
        </w:rPr>
        <w:t>City Planning and Administration</w:t>
      </w:r>
      <w:r w:rsidRPr="008B7862">
        <w:rPr>
          <w:rFonts w:cstheme="minorHAnsi"/>
        </w:rPr>
        <w:t>, P. 23.</w:t>
      </w:r>
    </w:p>
  </w:footnote>
  <w:footnote w:id="31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Veyne, </w:t>
      </w:r>
      <w:r w:rsidRPr="008B7862">
        <w:rPr>
          <w:rFonts w:cstheme="minorHAnsi"/>
          <w:i/>
        </w:rPr>
        <w:t>Bread and Circuses</w:t>
      </w:r>
      <w:r w:rsidRPr="008B7862">
        <w:rPr>
          <w:rFonts w:cstheme="minorHAnsi"/>
        </w:rPr>
        <w:t xml:space="preserve">, pp. 338-339; Zanker, </w:t>
      </w:r>
      <w:proofErr w:type="gramStart"/>
      <w:r w:rsidRPr="008B7862">
        <w:rPr>
          <w:rFonts w:cstheme="minorHAnsi"/>
          <w:i/>
        </w:rPr>
        <w:t>The</w:t>
      </w:r>
      <w:proofErr w:type="gramEnd"/>
      <w:r w:rsidRPr="008B7862">
        <w:rPr>
          <w:rFonts w:cstheme="minorHAnsi"/>
          <w:i/>
        </w:rPr>
        <w:t xml:space="preserve"> Power of Images</w:t>
      </w:r>
      <w:r w:rsidRPr="008B7862">
        <w:rPr>
          <w:rFonts w:cstheme="minorHAnsi"/>
        </w:rPr>
        <w:t>, P. 143.</w:t>
      </w:r>
    </w:p>
  </w:footnote>
  <w:footnote w:id="318">
    <w:p w:rsidR="00EC705D" w:rsidRPr="008B7862" w:rsidRDefault="00EC705D" w:rsidP="00E60A99">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Walls</w:t>
      </w:r>
      <w:r w:rsidRPr="008B7862">
        <w:rPr>
          <w:rFonts w:cstheme="minorHAnsi"/>
        </w:rPr>
        <w:t xml:space="preserve">, P. 91; </w:t>
      </w:r>
      <w:r w:rsidRPr="008B7862">
        <w:rPr>
          <w:rFonts w:eastAsiaTheme="majorEastAsia" w:cstheme="minorHAnsi"/>
        </w:rPr>
        <w:t xml:space="preserve">Dmitriev, ‘Traditions and Innovations in the Reign of Aurelian’, </w:t>
      </w:r>
      <w:r w:rsidRPr="008B7862">
        <w:rPr>
          <w:rFonts w:eastAsiaTheme="majorEastAsia" w:cstheme="minorHAnsi"/>
          <w:iCs/>
        </w:rPr>
        <w:t>pp. 577-578.</w:t>
      </w:r>
    </w:p>
  </w:footnote>
  <w:footnote w:id="319">
    <w:p w:rsidR="00EC705D" w:rsidRPr="008B7862" w:rsidRDefault="00EC705D" w:rsidP="00E715CF">
      <w:pPr>
        <w:pStyle w:val="FootnoteText"/>
        <w:rPr>
          <w:rFonts w:cstheme="minorHAnsi"/>
        </w:rPr>
      </w:pPr>
      <w:r w:rsidRPr="008B7862">
        <w:rPr>
          <w:rStyle w:val="FootnoteReference"/>
          <w:rFonts w:cstheme="minorHAnsi"/>
        </w:rPr>
        <w:footnoteRef/>
      </w:r>
      <w:r w:rsidRPr="008B7862">
        <w:rPr>
          <w:rFonts w:cstheme="minorHAnsi"/>
        </w:rPr>
        <w:t xml:space="preserve"> Hölscher, T., ‘The Transformation of Victory into Power: From Event to Structure’, in Dillon, S., and Welch, K.E. (</w:t>
      </w:r>
      <w:proofErr w:type="gramStart"/>
      <w:r w:rsidRPr="008B7862">
        <w:rPr>
          <w:rFonts w:cstheme="minorHAnsi"/>
        </w:rPr>
        <w:t>eds</w:t>
      </w:r>
      <w:proofErr w:type="gramEnd"/>
      <w:r w:rsidRPr="008B7862">
        <w:rPr>
          <w:rFonts w:cstheme="minorHAnsi"/>
        </w:rPr>
        <w:t xml:space="preserve">), </w:t>
      </w:r>
      <w:r w:rsidRPr="008B7862">
        <w:rPr>
          <w:rFonts w:cstheme="minorHAnsi"/>
          <w:i/>
        </w:rPr>
        <w:t>Representations of War in Ancient Rome</w:t>
      </w:r>
      <w:r w:rsidRPr="008B7862">
        <w:rPr>
          <w:rFonts w:cstheme="minorHAnsi"/>
        </w:rPr>
        <w:t xml:space="preserve"> (Cambridge, 2006), P. 27.</w:t>
      </w:r>
    </w:p>
  </w:footnote>
  <w:footnote w:id="320">
    <w:p w:rsidR="00EC705D" w:rsidRPr="008B7862" w:rsidRDefault="00EC705D" w:rsidP="00E715CF">
      <w:pPr>
        <w:pStyle w:val="FootnoteText"/>
        <w:rPr>
          <w:rFonts w:cstheme="minorHAnsi"/>
        </w:rPr>
      </w:pPr>
      <w:r w:rsidRPr="008B7862">
        <w:rPr>
          <w:rStyle w:val="FootnoteReference"/>
          <w:rFonts w:cstheme="minorHAnsi"/>
        </w:rPr>
        <w:footnoteRef/>
      </w:r>
      <w:r w:rsidRPr="008B7862">
        <w:rPr>
          <w:rFonts w:cstheme="minorHAnsi"/>
        </w:rPr>
        <w:t xml:space="preserve"> Potter, </w:t>
      </w:r>
      <w:r w:rsidRPr="008B7862">
        <w:rPr>
          <w:rFonts w:cstheme="minorHAnsi"/>
          <w:i/>
        </w:rPr>
        <w:t>Roman Empire at Bay</w:t>
      </w:r>
      <w:r w:rsidRPr="008B7862">
        <w:rPr>
          <w:rFonts w:cstheme="minorHAnsi"/>
        </w:rPr>
        <w:t>, P. 358;</w:t>
      </w:r>
    </w:p>
  </w:footnote>
  <w:footnote w:id="321">
    <w:p w:rsidR="00EC705D" w:rsidRPr="008B7862" w:rsidRDefault="00EC705D" w:rsidP="00E07BAD">
      <w:pPr>
        <w:pStyle w:val="FootnoteText"/>
        <w:tabs>
          <w:tab w:val="left" w:pos="709"/>
        </w:tabs>
        <w:rPr>
          <w:rFonts w:cstheme="minorHAnsi"/>
        </w:rPr>
      </w:pPr>
      <w:r w:rsidRPr="008B7862">
        <w:rPr>
          <w:rStyle w:val="FootnoteReference"/>
          <w:rFonts w:cstheme="minorHAnsi"/>
        </w:rPr>
        <w:footnoteRef/>
      </w:r>
      <w:r w:rsidRPr="008B7862">
        <w:rPr>
          <w:rFonts w:cstheme="minorHAnsi"/>
        </w:rPr>
        <w:t xml:space="preserve"> Fig 4: The </w:t>
      </w:r>
      <w:r w:rsidRPr="008B7862">
        <w:rPr>
          <w:rFonts w:cstheme="minorHAnsi"/>
          <w:i/>
        </w:rPr>
        <w:t xml:space="preserve">Tabula Peutinger </w:t>
      </w:r>
      <w:r w:rsidRPr="008B7862">
        <w:rPr>
          <w:rFonts w:cstheme="minorHAnsi"/>
        </w:rPr>
        <w:t xml:space="preserve">(Bibliotheca Augustana, 1898). </w:t>
      </w:r>
      <w:proofErr w:type="gramStart"/>
      <w:r w:rsidRPr="008B7862">
        <w:rPr>
          <w:rFonts w:cstheme="minorHAnsi"/>
        </w:rPr>
        <w:t xml:space="preserve">An illustrated map depicting the </w:t>
      </w:r>
      <w:r w:rsidRPr="008B7862">
        <w:rPr>
          <w:rFonts w:cstheme="minorHAnsi"/>
          <w:i/>
        </w:rPr>
        <w:t xml:space="preserve">cursus publicus </w:t>
      </w:r>
      <w:r w:rsidRPr="008B7862">
        <w:rPr>
          <w:rFonts w:cstheme="minorHAnsi"/>
        </w:rPr>
        <w:t>(road network and post stations)</w:t>
      </w:r>
      <w:r w:rsidRPr="008B7862">
        <w:rPr>
          <w:rFonts w:cstheme="minorHAnsi"/>
          <w:i/>
        </w:rPr>
        <w:t xml:space="preserve"> </w:t>
      </w:r>
      <w:r w:rsidRPr="008B7862">
        <w:rPr>
          <w:rFonts w:cstheme="minorHAnsi"/>
        </w:rPr>
        <w:t>of the Roman Empire.</w:t>
      </w:r>
      <w:proofErr w:type="gramEnd"/>
    </w:p>
  </w:footnote>
  <w:footnote w:id="32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Virgil, ‘</w:t>
      </w:r>
      <w:r w:rsidRPr="008B7862">
        <w:rPr>
          <w:rFonts w:cstheme="minorHAnsi"/>
          <w:i/>
        </w:rPr>
        <w:t xml:space="preserve">The Aeneid </w:t>
      </w:r>
      <w:r w:rsidRPr="008B7862">
        <w:rPr>
          <w:rFonts w:cstheme="minorHAnsi"/>
        </w:rPr>
        <w:t>Book</w:t>
      </w:r>
      <w:r w:rsidRPr="008B7862">
        <w:rPr>
          <w:rFonts w:cstheme="minorHAnsi"/>
          <w:i/>
        </w:rPr>
        <w:t xml:space="preserve"> </w:t>
      </w:r>
      <w:r w:rsidRPr="008B7862">
        <w:rPr>
          <w:rFonts w:cstheme="minorHAnsi"/>
        </w:rPr>
        <w:t xml:space="preserve">VI’, in </w:t>
      </w:r>
      <w:r w:rsidRPr="008B7862">
        <w:rPr>
          <w:rFonts w:cstheme="minorHAnsi"/>
          <w:i/>
        </w:rPr>
        <w:t>Virgil in Two Volumes Vol. 1</w:t>
      </w:r>
      <w:r w:rsidRPr="008B7862">
        <w:rPr>
          <w:rFonts w:cstheme="minorHAnsi"/>
        </w:rPr>
        <w:t>,</w:t>
      </w:r>
      <w:r w:rsidRPr="008B7862">
        <w:rPr>
          <w:rFonts w:cstheme="minorHAnsi"/>
          <w:i/>
        </w:rPr>
        <w:t xml:space="preserve"> </w:t>
      </w:r>
      <w:r w:rsidRPr="008B7862">
        <w:rPr>
          <w:rFonts w:cstheme="minorHAnsi"/>
        </w:rPr>
        <w:t>trans. Fairclough, H.R., (London, 1967), Pp. 566.</w:t>
      </w:r>
    </w:p>
  </w:footnote>
  <w:footnote w:id="32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3-6.</w:t>
      </w:r>
    </w:p>
  </w:footnote>
  <w:footnote w:id="324">
    <w:p w:rsidR="00EC705D" w:rsidRPr="008B7862" w:rsidRDefault="00EC705D" w:rsidP="001D4539">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König and Whitmarsh, ‘Ordering Knowledge’, P. 5.</w:t>
      </w:r>
      <w:proofErr w:type="gramEnd"/>
    </w:p>
  </w:footnote>
  <w:footnote w:id="32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Lendon,</w:t>
      </w:r>
      <w:r w:rsidRPr="008B7862">
        <w:rPr>
          <w:rFonts w:cstheme="minorHAnsi"/>
          <w:i/>
        </w:rPr>
        <w:t xml:space="preserve"> Empire of Honour</w:t>
      </w:r>
      <w:r w:rsidRPr="008B7862">
        <w:rPr>
          <w:rFonts w:cstheme="minorHAnsi"/>
        </w:rPr>
        <w:t>, P. 9.</w:t>
      </w:r>
    </w:p>
  </w:footnote>
  <w:footnote w:id="32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Imperial Rome</w:t>
      </w:r>
      <w:r w:rsidRPr="008B7862">
        <w:rPr>
          <w:rFonts w:cstheme="minorHAnsi"/>
        </w:rPr>
        <w:t>, P. 235.</w:t>
      </w:r>
    </w:p>
  </w:footnote>
  <w:footnote w:id="32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235-236.</w:t>
      </w:r>
    </w:p>
  </w:footnote>
  <w:footnote w:id="32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257.</w:t>
      </w:r>
    </w:p>
  </w:footnote>
  <w:footnote w:id="32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1-3.</w:t>
      </w:r>
    </w:p>
  </w:footnote>
  <w:footnote w:id="33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28.</w:t>
      </w:r>
    </w:p>
  </w:footnote>
  <w:footnote w:id="331">
    <w:p w:rsidR="00EC705D" w:rsidRPr="008B7862" w:rsidRDefault="00EC705D" w:rsidP="00573A6D">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lang w:val="de-DE"/>
        </w:rPr>
        <w:t xml:space="preserve">Sumi, G.S., </w:t>
      </w:r>
      <w:r w:rsidRPr="008B7862">
        <w:rPr>
          <w:rFonts w:cstheme="minorHAnsi"/>
        </w:rPr>
        <w:t xml:space="preserve">‘Topography and Ideology: Caesar’s Monument and the </w:t>
      </w:r>
      <w:r w:rsidRPr="008B7862">
        <w:rPr>
          <w:rFonts w:cstheme="minorHAnsi"/>
          <w:i/>
          <w:iCs/>
        </w:rPr>
        <w:t xml:space="preserve">Aedes Divi Ivlii </w:t>
      </w:r>
      <w:r w:rsidRPr="008B7862">
        <w:rPr>
          <w:rFonts w:cstheme="minorHAnsi"/>
        </w:rPr>
        <w:t xml:space="preserve">in Augustan Rome’, </w:t>
      </w:r>
      <w:r w:rsidRPr="008B7862">
        <w:rPr>
          <w:rFonts w:cstheme="minorHAnsi"/>
          <w:i/>
          <w:iCs/>
        </w:rPr>
        <w:t xml:space="preserve">The Classical Quarterly Vol. 61 Issue 01 </w:t>
      </w:r>
      <w:r w:rsidRPr="008B7862">
        <w:rPr>
          <w:rFonts w:cstheme="minorHAnsi"/>
        </w:rPr>
        <w:t>(2011), P. 206.</w:t>
      </w:r>
    </w:p>
  </w:footnote>
  <w:footnote w:id="332">
    <w:p w:rsidR="00EC705D" w:rsidRPr="008B7862" w:rsidRDefault="00EC705D" w:rsidP="003B5AE4">
      <w:pPr>
        <w:pStyle w:val="FootnoteText"/>
        <w:tabs>
          <w:tab w:val="left" w:pos="5090"/>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Translated simply as </w:t>
      </w:r>
      <w:r w:rsidRPr="008B7862">
        <w:rPr>
          <w:rFonts w:cstheme="minorHAnsi"/>
          <w:i/>
        </w:rPr>
        <w:t>On Aqueducts</w:t>
      </w:r>
      <w:r w:rsidRPr="008B7862">
        <w:rPr>
          <w:rFonts w:cstheme="minorHAnsi"/>
        </w:rPr>
        <w:t>.</w:t>
      </w:r>
      <w:proofErr w:type="gramEnd"/>
      <w:r w:rsidRPr="008B7862">
        <w:rPr>
          <w:rFonts w:cstheme="minorHAnsi"/>
        </w:rPr>
        <w:tab/>
      </w:r>
    </w:p>
  </w:footnote>
  <w:footnote w:id="333">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Hermansen, ‘The Population of Imperial Rome’, P. 134.</w:t>
      </w:r>
      <w:proofErr w:type="gramEnd"/>
    </w:p>
  </w:footnote>
  <w:footnote w:id="334">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Frontinus, </w:t>
      </w:r>
      <w:r w:rsidRPr="008B7862">
        <w:rPr>
          <w:rFonts w:cstheme="minorHAnsi"/>
          <w:i/>
        </w:rPr>
        <w:t>De Aquaticibus Urbis Romae</w:t>
      </w:r>
      <w:r w:rsidRPr="008B7862">
        <w:rPr>
          <w:rFonts w:cstheme="minorHAnsi"/>
        </w:rPr>
        <w:t>, Book 1:2 (Oxford, 1925), pp. 332-334.</w:t>
      </w:r>
    </w:p>
  </w:footnote>
  <w:footnote w:id="335">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i/>
        </w:rPr>
        <w:t xml:space="preserve"> Ibid</w:t>
      </w:r>
      <w:r w:rsidRPr="008B7862">
        <w:rPr>
          <w:rFonts w:cstheme="minorHAnsi"/>
        </w:rPr>
        <w:t xml:space="preserve">., pp. 332-334: </w:t>
      </w:r>
    </w:p>
  </w:footnote>
  <w:footnote w:id="336">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Corcoran,</w:t>
      </w:r>
      <w:r w:rsidRPr="008B7862">
        <w:rPr>
          <w:rFonts w:cstheme="minorHAnsi"/>
          <w:i/>
        </w:rPr>
        <w:t xml:space="preserve"> </w:t>
      </w:r>
      <w:proofErr w:type="gramStart"/>
      <w:r w:rsidRPr="008B7862">
        <w:rPr>
          <w:rFonts w:cstheme="minorHAnsi"/>
          <w:i/>
          <w:iCs/>
        </w:rPr>
        <w:t>The</w:t>
      </w:r>
      <w:proofErr w:type="gramEnd"/>
      <w:r w:rsidRPr="008B7862">
        <w:rPr>
          <w:rFonts w:cstheme="minorHAnsi"/>
          <w:i/>
          <w:iCs/>
        </w:rPr>
        <w:t xml:space="preserve"> Empire of the Tetrarchs Imperial Pronouncements and Government Revised Edition AD 284-324</w:t>
      </w:r>
      <w:r w:rsidRPr="008B7862">
        <w:rPr>
          <w:rFonts w:cstheme="minorHAnsi"/>
        </w:rPr>
        <w:t xml:space="preserve"> (Oxford, 2007), P. 220.</w:t>
      </w:r>
    </w:p>
  </w:footnote>
  <w:footnote w:id="337">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Arce, ‘El inventario de Roma’, pp. 20-22; Kulikowski, ‘The “Notitia Dignitatum”’, </w:t>
      </w:r>
      <w:r w:rsidRPr="008B7862">
        <w:rPr>
          <w:rFonts w:cstheme="minorHAnsi"/>
          <w:i/>
          <w:iCs/>
          <w:lang w:val="de-DE"/>
        </w:rPr>
        <w:t>Historia: Zeitschrift für Alte Geschichte Bd. 49 H. 3</w:t>
      </w:r>
      <w:r w:rsidRPr="008B7862">
        <w:rPr>
          <w:rFonts w:cstheme="minorHAnsi"/>
          <w:lang w:val="de-DE"/>
        </w:rPr>
        <w:t xml:space="preserve"> (2000)</w:t>
      </w:r>
      <w:r w:rsidRPr="008B7862">
        <w:rPr>
          <w:rFonts w:cstheme="minorHAnsi"/>
        </w:rPr>
        <w:t>, P. 376.</w:t>
      </w:r>
    </w:p>
  </w:footnote>
  <w:footnote w:id="338">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Reed, N., ‘Pattern and Purpose in the Antonine Itinerary, </w:t>
      </w:r>
      <w:proofErr w:type="gramStart"/>
      <w:r w:rsidRPr="008B7862">
        <w:rPr>
          <w:rFonts w:cstheme="minorHAnsi"/>
          <w:i/>
        </w:rPr>
        <w:t>The</w:t>
      </w:r>
      <w:proofErr w:type="gramEnd"/>
      <w:r w:rsidRPr="008B7862">
        <w:rPr>
          <w:rFonts w:cstheme="minorHAnsi"/>
          <w:i/>
        </w:rPr>
        <w:t xml:space="preserve"> American Journal of Philology Vol. 99 No. 2</w:t>
      </w:r>
      <w:r w:rsidRPr="008B7862">
        <w:rPr>
          <w:rFonts w:cstheme="minorHAnsi"/>
        </w:rPr>
        <w:t xml:space="preserve"> (1978), P. 251.</w:t>
      </w:r>
    </w:p>
  </w:footnote>
  <w:footnote w:id="339">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251.</w:t>
      </w:r>
    </w:p>
  </w:footnote>
  <w:footnote w:id="340">
    <w:p w:rsidR="00EC705D" w:rsidRPr="008B7862" w:rsidRDefault="00EC705D" w:rsidP="00E96E98">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Imperial Rome</w:t>
      </w:r>
      <w:r w:rsidRPr="008B7862">
        <w:rPr>
          <w:rFonts w:cstheme="minorHAnsi"/>
        </w:rPr>
        <w:t>, pp. 177-178.</w:t>
      </w:r>
    </w:p>
  </w:footnote>
  <w:footnote w:id="341">
    <w:p w:rsidR="00EC705D" w:rsidRPr="008B7862" w:rsidRDefault="00EC705D" w:rsidP="00E96E98">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180.</w:t>
      </w:r>
    </w:p>
  </w:footnote>
  <w:footnote w:id="342">
    <w:p w:rsidR="00EC705D" w:rsidRPr="008B7862" w:rsidRDefault="00EC705D" w:rsidP="00E96E98">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Ando, </w:t>
      </w:r>
      <w:r w:rsidRPr="008B7862">
        <w:rPr>
          <w:rFonts w:cstheme="minorHAnsi"/>
          <w:i/>
        </w:rPr>
        <w:t>Imperial Ideology</w:t>
      </w:r>
      <w:r w:rsidRPr="008B7862">
        <w:rPr>
          <w:rFonts w:cstheme="minorHAnsi"/>
        </w:rPr>
        <w:t>, P. xi.</w:t>
      </w:r>
      <w:proofErr w:type="gramEnd"/>
    </w:p>
  </w:footnote>
  <w:footnote w:id="343">
    <w:p w:rsidR="00EC705D" w:rsidRPr="008B7862" w:rsidRDefault="00EC705D" w:rsidP="00E96E98">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 18.</w:t>
      </w:r>
    </w:p>
  </w:footnote>
  <w:footnote w:id="344">
    <w:p w:rsidR="00EC705D" w:rsidRPr="008B7862" w:rsidRDefault="00EC705D" w:rsidP="00E96E98">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Peachin, M. [Review], ‘</w:t>
      </w:r>
      <w:r w:rsidRPr="008B7862">
        <w:rPr>
          <w:rFonts w:cstheme="minorHAnsi"/>
          <w:i/>
        </w:rPr>
        <w:t>Empire of Honour.</w:t>
      </w:r>
      <w:proofErr w:type="gramEnd"/>
      <w:r w:rsidRPr="008B7862">
        <w:rPr>
          <w:rFonts w:cstheme="minorHAnsi"/>
          <w:i/>
        </w:rPr>
        <w:t xml:space="preserve"> The Art of Government in the Roman World</w:t>
      </w:r>
      <w:r w:rsidRPr="008B7862">
        <w:rPr>
          <w:rFonts w:cstheme="minorHAnsi"/>
        </w:rPr>
        <w:t xml:space="preserve"> by J.E. Lendon’, </w:t>
      </w:r>
      <w:r w:rsidRPr="008B7862">
        <w:rPr>
          <w:rFonts w:cstheme="minorHAnsi"/>
          <w:i/>
        </w:rPr>
        <w:t>Bryn Mawr Classical Review 98.3.06</w:t>
      </w:r>
      <w:r w:rsidRPr="008B7862">
        <w:rPr>
          <w:rFonts w:cstheme="minorHAnsi"/>
        </w:rPr>
        <w:t xml:space="preserve"> (1998); See: Millar, F., </w:t>
      </w:r>
      <w:proofErr w:type="gramStart"/>
      <w:r w:rsidRPr="008B7862">
        <w:rPr>
          <w:rFonts w:cstheme="minorHAnsi"/>
          <w:i/>
        </w:rPr>
        <w:t>The</w:t>
      </w:r>
      <w:proofErr w:type="gramEnd"/>
      <w:r w:rsidRPr="008B7862">
        <w:rPr>
          <w:rFonts w:cstheme="minorHAnsi"/>
          <w:i/>
        </w:rPr>
        <w:t xml:space="preserve"> Emperor in the Roman World 31 BC-AD 337 </w:t>
      </w:r>
      <w:r w:rsidRPr="008B7862">
        <w:rPr>
          <w:rFonts w:cstheme="minorHAnsi"/>
        </w:rPr>
        <w:t xml:space="preserve">(London, 1977) and Saller, R., </w:t>
      </w:r>
      <w:r w:rsidRPr="008B7862">
        <w:rPr>
          <w:rFonts w:cstheme="minorHAnsi"/>
          <w:i/>
        </w:rPr>
        <w:t>Personal Patronage under the Early Empire</w:t>
      </w:r>
      <w:r w:rsidRPr="008B7862">
        <w:rPr>
          <w:rFonts w:cstheme="minorHAnsi"/>
        </w:rPr>
        <w:t xml:space="preserve"> (Cambridge, 1982).</w:t>
      </w:r>
    </w:p>
  </w:footnote>
  <w:footnote w:id="345">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Ando,</w:t>
      </w:r>
      <w:r w:rsidRPr="008B7862">
        <w:rPr>
          <w:rFonts w:cstheme="minorHAnsi"/>
          <w:i/>
        </w:rPr>
        <w:t xml:space="preserve"> Imperial Ideology</w:t>
      </w:r>
      <w:r w:rsidRPr="008B7862">
        <w:rPr>
          <w:rFonts w:cstheme="minorHAnsi"/>
        </w:rPr>
        <w:t xml:space="preserve">, pp. 409-412 and </w:t>
      </w:r>
      <w:r w:rsidRPr="008B7862">
        <w:rPr>
          <w:rFonts w:cstheme="minorHAnsi"/>
          <w:i/>
        </w:rPr>
        <w:t>Imperial Rome</w:t>
      </w:r>
      <w:r w:rsidRPr="008B7862">
        <w:rPr>
          <w:rFonts w:cstheme="minorHAnsi"/>
        </w:rPr>
        <w:t>, pp. 235-236.</w:t>
      </w:r>
      <w:r w:rsidRPr="008B7862">
        <w:rPr>
          <w:rFonts w:cstheme="minorHAnsi"/>
        </w:rPr>
        <w:tab/>
      </w:r>
    </w:p>
  </w:footnote>
  <w:footnote w:id="346">
    <w:p w:rsidR="00EC705D" w:rsidRPr="008B7862" w:rsidRDefault="00EC705D" w:rsidP="003B5AE4">
      <w:pPr>
        <w:pStyle w:val="FootnoteText"/>
        <w:tabs>
          <w:tab w:val="left" w:pos="8004"/>
        </w:tabs>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2-4.</w:t>
      </w:r>
      <w:r w:rsidRPr="008B7862">
        <w:rPr>
          <w:rFonts w:cstheme="minorHAnsi"/>
        </w:rPr>
        <w:tab/>
      </w:r>
    </w:p>
  </w:footnote>
  <w:footnote w:id="347">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Imperial Ideology</w:t>
      </w:r>
      <w:r w:rsidRPr="008B7862">
        <w:rPr>
          <w:rFonts w:cstheme="minorHAnsi"/>
        </w:rPr>
        <w:t>, pp. 330-335.</w:t>
      </w:r>
    </w:p>
  </w:footnote>
  <w:footnote w:id="348">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75, 222-223.</w:t>
      </w:r>
    </w:p>
  </w:footnote>
  <w:footnote w:id="349">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36-37.</w:t>
      </w:r>
    </w:p>
  </w:footnote>
  <w:footnote w:id="350">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König, A., ‘Knowledge and power in Frontinus’ </w:t>
      </w:r>
      <w:r w:rsidRPr="008B7862">
        <w:rPr>
          <w:rFonts w:cstheme="minorHAnsi"/>
          <w:i/>
          <w:iCs/>
        </w:rPr>
        <w:t>On Aqueducts</w:t>
      </w:r>
      <w:r w:rsidRPr="008B7862">
        <w:rPr>
          <w:rFonts w:cstheme="minorHAnsi"/>
        </w:rPr>
        <w:t>’, in König, J., and Whitmarsh, T. (</w:t>
      </w:r>
      <w:proofErr w:type="gramStart"/>
      <w:r w:rsidRPr="008B7862">
        <w:rPr>
          <w:rFonts w:cstheme="minorHAnsi"/>
        </w:rPr>
        <w:t>eds</w:t>
      </w:r>
      <w:proofErr w:type="gramEnd"/>
      <w:r w:rsidRPr="008B7862">
        <w:rPr>
          <w:rFonts w:cstheme="minorHAnsi"/>
        </w:rPr>
        <w:t xml:space="preserve">), </w:t>
      </w:r>
      <w:r w:rsidRPr="008B7862">
        <w:rPr>
          <w:rFonts w:cstheme="minorHAnsi"/>
          <w:i/>
        </w:rPr>
        <w:t>Ordering Knowledge in the Roman Empire</w:t>
      </w:r>
      <w:r w:rsidRPr="008B7862">
        <w:rPr>
          <w:rFonts w:cstheme="minorHAnsi"/>
        </w:rPr>
        <w:t xml:space="preserve"> (Cambridge, 2007), pp. 201-202.</w:t>
      </w:r>
    </w:p>
  </w:footnote>
  <w:footnote w:id="35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Sidebottom, H. [Review], ‘</w:t>
      </w:r>
      <w:r w:rsidRPr="008B7862">
        <w:rPr>
          <w:rFonts w:cstheme="minorHAnsi"/>
          <w:i/>
        </w:rPr>
        <w:t>Ideology in the Provinces</w:t>
      </w:r>
      <w:r w:rsidRPr="008B7862">
        <w:rPr>
          <w:rFonts w:cstheme="minorHAnsi"/>
        </w:rPr>
        <w:t xml:space="preserve"> by Clifford Ando’, </w:t>
      </w:r>
      <w:proofErr w:type="gramStart"/>
      <w:r w:rsidRPr="008B7862">
        <w:rPr>
          <w:rFonts w:cstheme="minorHAnsi"/>
          <w:i/>
        </w:rPr>
        <w:t>The</w:t>
      </w:r>
      <w:proofErr w:type="gramEnd"/>
      <w:r w:rsidRPr="008B7862">
        <w:rPr>
          <w:rFonts w:cstheme="minorHAnsi"/>
          <w:i/>
        </w:rPr>
        <w:t xml:space="preserve"> Classical Review Vol. 56 No. 1</w:t>
      </w:r>
      <w:r w:rsidRPr="008B7862">
        <w:rPr>
          <w:rFonts w:cstheme="minorHAnsi"/>
        </w:rPr>
        <w:t xml:space="preserve"> (2006), P. 173.</w:t>
      </w:r>
    </w:p>
  </w:footnote>
  <w:footnote w:id="35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Imperial Ideology</w:t>
      </w:r>
      <w:r w:rsidRPr="008B7862">
        <w:rPr>
          <w:rFonts w:cstheme="minorHAnsi"/>
        </w:rPr>
        <w:t xml:space="preserve">, P. 5; Lendon, </w:t>
      </w:r>
      <w:r w:rsidRPr="008B7862">
        <w:rPr>
          <w:rFonts w:cstheme="minorHAnsi"/>
          <w:i/>
        </w:rPr>
        <w:t>Empire of Honour</w:t>
      </w:r>
      <w:r w:rsidRPr="008B7862">
        <w:rPr>
          <w:rFonts w:cstheme="minorHAnsi"/>
        </w:rPr>
        <w:t>, pp. 32-33.</w:t>
      </w:r>
    </w:p>
  </w:footnote>
  <w:footnote w:id="35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Imperial Ideology</w:t>
      </w:r>
      <w:r w:rsidRPr="008B7862">
        <w:rPr>
          <w:rFonts w:cstheme="minorHAnsi"/>
        </w:rPr>
        <w:t xml:space="preserve">, P. 410; Lendon, </w:t>
      </w:r>
      <w:r w:rsidRPr="008B7862">
        <w:rPr>
          <w:rFonts w:cstheme="minorHAnsi"/>
          <w:i/>
        </w:rPr>
        <w:t>Empire of Honour</w:t>
      </w:r>
      <w:r w:rsidRPr="008B7862">
        <w:rPr>
          <w:rFonts w:cstheme="minorHAnsi"/>
        </w:rPr>
        <w:t>, pp. 11-14; Rives, J.B. [Review], ‘</w:t>
      </w:r>
      <w:r w:rsidRPr="008B7862">
        <w:rPr>
          <w:rFonts w:cstheme="minorHAnsi"/>
          <w:i/>
        </w:rPr>
        <w:t>Imperial Ideology and Provincial Loyalty in the Roman Empire</w:t>
      </w:r>
      <w:r w:rsidRPr="008B7862">
        <w:rPr>
          <w:rFonts w:cstheme="minorHAnsi"/>
        </w:rPr>
        <w:t xml:space="preserve"> by Clifford Ando’, </w:t>
      </w:r>
      <w:r w:rsidRPr="008B7862">
        <w:rPr>
          <w:rFonts w:cstheme="minorHAnsi"/>
          <w:i/>
        </w:rPr>
        <w:t>Electronic Antiquity Vol. 6 No. 1</w:t>
      </w:r>
      <w:r w:rsidRPr="008B7862">
        <w:rPr>
          <w:rFonts w:cstheme="minorHAnsi"/>
        </w:rPr>
        <w:t xml:space="preserve"> (2001).</w:t>
      </w:r>
    </w:p>
  </w:footnote>
  <w:footnote w:id="35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“Novae Res” is most commonly translated as Revolution, a terrifying prospect to the deeply entrenched and conservative ruling class.</w:t>
      </w:r>
    </w:p>
  </w:footnote>
  <w:footnote w:id="35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Suetonius, </w:t>
      </w:r>
      <w:r w:rsidRPr="008B7862">
        <w:rPr>
          <w:rFonts w:cstheme="minorHAnsi"/>
          <w:i/>
        </w:rPr>
        <w:t>On Rhetoricians</w:t>
      </w:r>
      <w:r w:rsidRPr="008B7862">
        <w:rPr>
          <w:rFonts w:cstheme="minorHAnsi"/>
        </w:rPr>
        <w:t>, trans. Rolfe, J.C. (London, 1914), pp. 438-439.</w:t>
      </w:r>
    </w:p>
  </w:footnote>
  <w:footnote w:id="35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Lendon,</w:t>
      </w:r>
      <w:r w:rsidRPr="008B7862">
        <w:rPr>
          <w:rFonts w:cstheme="minorHAnsi"/>
          <w:i/>
        </w:rPr>
        <w:t xml:space="preserve"> Empire of Honour</w:t>
      </w:r>
      <w:r w:rsidRPr="008B7862">
        <w:rPr>
          <w:rFonts w:cstheme="minorHAnsi"/>
        </w:rPr>
        <w:t>, P. 8.</w:t>
      </w:r>
    </w:p>
  </w:footnote>
  <w:footnote w:id="35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Ando</w:t>
      </w:r>
      <w:r w:rsidRPr="008B7862">
        <w:rPr>
          <w:rFonts w:cstheme="minorHAnsi"/>
          <w:i/>
        </w:rPr>
        <w:t>, Imperial Ideology</w:t>
      </w:r>
      <w:r w:rsidRPr="008B7862">
        <w:rPr>
          <w:rFonts w:cstheme="minorHAnsi"/>
        </w:rPr>
        <w:t>, pp. 19-27.</w:t>
      </w:r>
    </w:p>
  </w:footnote>
  <w:footnote w:id="35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Ando</w:t>
      </w:r>
      <w:r w:rsidRPr="008B7862">
        <w:rPr>
          <w:rFonts w:cstheme="minorHAnsi"/>
          <w:i/>
        </w:rPr>
        <w:t>, Imperial Rome</w:t>
      </w:r>
      <w:r w:rsidRPr="008B7862">
        <w:rPr>
          <w:rFonts w:cstheme="minorHAnsi"/>
        </w:rPr>
        <w:t>, pp. 233-234.</w:t>
      </w:r>
    </w:p>
  </w:footnote>
  <w:footnote w:id="35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 xml:space="preserve">Empire of Honour, </w:t>
      </w:r>
      <w:r w:rsidRPr="008B7862">
        <w:rPr>
          <w:rFonts w:cstheme="minorHAnsi"/>
        </w:rPr>
        <w:t>pp. 9-10.</w:t>
      </w:r>
    </w:p>
  </w:footnote>
  <w:footnote w:id="360">
    <w:p w:rsidR="00EC705D" w:rsidRPr="008B7862" w:rsidRDefault="00EC705D" w:rsidP="003B5AE4">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Imperial Ideology</w:t>
      </w:r>
      <w:r w:rsidRPr="008B7862">
        <w:rPr>
          <w:rFonts w:cstheme="minorHAnsi"/>
        </w:rPr>
        <w:t xml:space="preserve">, pp. 23-24; Lendon, </w:t>
      </w:r>
      <w:r w:rsidRPr="008B7862">
        <w:rPr>
          <w:rFonts w:cstheme="minorHAnsi"/>
          <w:i/>
        </w:rPr>
        <w:t>Empire of Honour</w:t>
      </w:r>
      <w:r w:rsidRPr="008B7862">
        <w:rPr>
          <w:rFonts w:cstheme="minorHAnsi"/>
        </w:rPr>
        <w:t>, pp. 27-29.</w:t>
      </w:r>
    </w:p>
  </w:footnote>
  <w:footnote w:id="36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Imperial Rome</w:t>
      </w:r>
      <w:r w:rsidRPr="008B7862">
        <w:rPr>
          <w:rFonts w:cstheme="minorHAnsi"/>
        </w:rPr>
        <w:t>, P. 267.</w:t>
      </w:r>
    </w:p>
  </w:footnote>
  <w:footnote w:id="362">
    <w:p w:rsidR="00EC705D" w:rsidRPr="008B7862" w:rsidRDefault="00EC705D" w:rsidP="000616F3">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Imperial Government</w:t>
      </w:r>
      <w:r w:rsidRPr="008B7862">
        <w:rPr>
          <w:rFonts w:cstheme="minorHAnsi"/>
        </w:rPr>
        <w:t>, P. 233.</w:t>
      </w:r>
    </w:p>
  </w:footnote>
  <w:footnote w:id="363">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Barnes, T.D., ‘The Unity of the Verona List’, </w:t>
      </w:r>
      <w:r w:rsidRPr="008B7862">
        <w:rPr>
          <w:rFonts w:cstheme="minorHAnsi"/>
          <w:i/>
        </w:rPr>
        <w:t>HZAG</w:t>
      </w:r>
      <w:r w:rsidRPr="008B7862">
        <w:rPr>
          <w:rFonts w:cstheme="minorHAnsi"/>
        </w:rPr>
        <w:t xml:space="preserve">, P. 275; MacMullen, </w:t>
      </w:r>
      <w:r w:rsidRPr="008B7862">
        <w:rPr>
          <w:rFonts w:cstheme="minorHAnsi"/>
          <w:i/>
        </w:rPr>
        <w:t>Response to Crisis</w:t>
      </w:r>
      <w:r w:rsidRPr="008B7862">
        <w:rPr>
          <w:rFonts w:cstheme="minorHAnsi"/>
        </w:rPr>
        <w:t>, pp. 52-53.</w:t>
      </w:r>
    </w:p>
  </w:footnote>
  <w:footnote w:id="364">
    <w:p w:rsidR="00EC705D" w:rsidRPr="008B7862" w:rsidRDefault="00EC705D" w:rsidP="00EA0AE5">
      <w:pPr>
        <w:pStyle w:val="FootnoteText"/>
        <w:rPr>
          <w:rFonts w:cstheme="minorHAnsi"/>
        </w:rPr>
      </w:pPr>
      <w:r w:rsidRPr="008B7862">
        <w:rPr>
          <w:rStyle w:val="FootnoteReference"/>
          <w:rFonts w:cstheme="minorHAnsi"/>
        </w:rPr>
        <w:footnoteRef/>
      </w:r>
      <w:r w:rsidRPr="008B7862">
        <w:rPr>
          <w:rFonts w:cstheme="minorHAnsi"/>
        </w:rPr>
        <w:t xml:space="preserve"> Albu, E., ‘Imperial Geography and the Medieval Peutinger Map’, </w:t>
      </w:r>
      <w:r w:rsidRPr="008B7862">
        <w:rPr>
          <w:rFonts w:cstheme="minorHAnsi"/>
          <w:i/>
        </w:rPr>
        <w:t>Imago Mundi Vol. 57 No. 2</w:t>
      </w:r>
      <w:r w:rsidRPr="008B7862">
        <w:rPr>
          <w:rFonts w:cstheme="minorHAnsi"/>
        </w:rPr>
        <w:t xml:space="preserve"> (2005), P. 137; Bury, J.B., ‘The Provincial List of Verona’, </w:t>
      </w:r>
      <w:r w:rsidRPr="008B7862">
        <w:rPr>
          <w:rFonts w:cstheme="minorHAnsi"/>
          <w:i/>
        </w:rPr>
        <w:t>The Journal of Roman Studies</w:t>
      </w:r>
      <w:r w:rsidRPr="008B7862">
        <w:rPr>
          <w:rFonts w:cstheme="minorHAnsi"/>
        </w:rPr>
        <w:t xml:space="preserve"> </w:t>
      </w:r>
      <w:r w:rsidRPr="008B7862">
        <w:rPr>
          <w:rFonts w:cstheme="minorHAnsi"/>
          <w:i/>
        </w:rPr>
        <w:t>Vol. 13</w:t>
      </w:r>
      <w:r w:rsidRPr="008B7862">
        <w:rPr>
          <w:rFonts w:cstheme="minorHAnsi"/>
        </w:rPr>
        <w:t xml:space="preserve"> (1923), pp. 141-142</w:t>
      </w:r>
    </w:p>
  </w:footnote>
  <w:footnote w:id="36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Kulikowski, ‘The Notitia Dignitatum’, P. 359.</w:t>
      </w:r>
    </w:p>
  </w:footnote>
  <w:footnote w:id="366">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223-224.</w:t>
      </w:r>
    </w:p>
  </w:footnote>
  <w:footnote w:id="367">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224.</w:t>
      </w:r>
    </w:p>
  </w:footnote>
  <w:footnote w:id="368">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Fairley, W., ‘Notitia Dignitatum or Register of Dignitaries’, in </w:t>
      </w:r>
      <w:r w:rsidRPr="008B7862">
        <w:rPr>
          <w:rFonts w:cstheme="minorHAnsi"/>
          <w:i/>
        </w:rPr>
        <w:t>Translations and Reprints from Original Sources of European History Vol. VI</w:t>
      </w:r>
      <w:proofErr w:type="gramStart"/>
      <w:r w:rsidRPr="008B7862">
        <w:rPr>
          <w:rFonts w:cstheme="minorHAnsi"/>
          <w:i/>
        </w:rPr>
        <w:t>:4</w:t>
      </w:r>
      <w:proofErr w:type="gramEnd"/>
      <w:r w:rsidRPr="008B7862">
        <w:rPr>
          <w:rFonts w:cstheme="minorHAnsi"/>
        </w:rPr>
        <w:t xml:space="preserve"> (Philadelphia, 1899), P. 4; Lendon, </w:t>
      </w:r>
      <w:r w:rsidRPr="008B7862">
        <w:rPr>
          <w:rFonts w:cstheme="minorHAnsi"/>
          <w:i/>
        </w:rPr>
        <w:t>Empire of Honour</w:t>
      </w:r>
      <w:r w:rsidRPr="008B7862">
        <w:rPr>
          <w:rFonts w:cstheme="minorHAnsi"/>
        </w:rPr>
        <w:t>, pp. 224-225.</w:t>
      </w:r>
    </w:p>
  </w:footnote>
  <w:footnote w:id="36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Fairley, W., ‘Notitia Dignitatum’, pp. 4&amp;21-22; Jones, </w:t>
      </w:r>
      <w:r w:rsidRPr="008B7862">
        <w:rPr>
          <w:rFonts w:cstheme="minorHAnsi"/>
          <w:i/>
        </w:rPr>
        <w:t>Later Roman Empire</w:t>
      </w:r>
      <w:r w:rsidRPr="008B7862">
        <w:rPr>
          <w:rFonts w:cstheme="minorHAnsi"/>
        </w:rPr>
        <w:t xml:space="preserve">, pp. 106-107; Cosenza, M.E., </w:t>
      </w:r>
      <w:r w:rsidRPr="008B7862">
        <w:rPr>
          <w:rFonts w:cstheme="minorHAnsi"/>
          <w:i/>
        </w:rPr>
        <w:t>Official Positions after the time of Constantine</w:t>
      </w:r>
      <w:r w:rsidRPr="008B7862">
        <w:rPr>
          <w:rFonts w:cstheme="minorHAnsi"/>
        </w:rPr>
        <w:t xml:space="preserve"> (Lancaster PA, 1905) P. 36.</w:t>
      </w:r>
    </w:p>
  </w:footnote>
  <w:footnote w:id="370">
    <w:p w:rsidR="00EC705D" w:rsidRPr="008B7862" w:rsidRDefault="00EC705D" w:rsidP="002411B6">
      <w:pPr>
        <w:pStyle w:val="FootnoteText"/>
        <w:rPr>
          <w:rFonts w:cstheme="minorHAnsi"/>
        </w:rPr>
      </w:pPr>
      <w:r w:rsidRPr="008B7862">
        <w:rPr>
          <w:rStyle w:val="FootnoteReference"/>
          <w:rFonts w:cstheme="minorHAnsi"/>
        </w:rPr>
        <w:footnoteRef/>
      </w:r>
      <w:r w:rsidRPr="008B7862">
        <w:rPr>
          <w:rFonts w:cstheme="minorHAnsi"/>
        </w:rPr>
        <w:t xml:space="preserve"> Fairley, W., ‘Notitia Dignitatum’, P. 25.</w:t>
      </w:r>
    </w:p>
  </w:footnote>
  <w:footnote w:id="371">
    <w:p w:rsidR="00EC705D" w:rsidRPr="008B7862" w:rsidRDefault="00EC705D" w:rsidP="002411B6">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25.</w:t>
      </w:r>
    </w:p>
  </w:footnote>
  <w:footnote w:id="372">
    <w:p w:rsidR="00EC705D" w:rsidRPr="008B7862" w:rsidRDefault="00EC705D" w:rsidP="002411B6">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25-26; Sinnigen, </w:t>
      </w:r>
      <w:r w:rsidRPr="008B7862">
        <w:rPr>
          <w:rFonts w:cstheme="minorHAnsi"/>
          <w:i/>
        </w:rPr>
        <w:t>The Officium of the Urban Prefecture</w:t>
      </w:r>
      <w:r w:rsidRPr="008B7862">
        <w:rPr>
          <w:rFonts w:cstheme="minorHAnsi"/>
        </w:rPr>
        <w:t>, pp. 30-36.</w:t>
      </w:r>
    </w:p>
  </w:footnote>
  <w:footnote w:id="373">
    <w:p w:rsidR="00EC705D" w:rsidRPr="008B7862" w:rsidRDefault="00EC705D" w:rsidP="00A956F4">
      <w:pPr>
        <w:pStyle w:val="FootnoteText"/>
        <w:rPr>
          <w:rFonts w:cstheme="minorHAnsi"/>
        </w:rPr>
      </w:pPr>
      <w:r w:rsidRPr="008B7862">
        <w:rPr>
          <w:rStyle w:val="FootnoteReference"/>
          <w:rFonts w:cstheme="minorHAnsi"/>
        </w:rPr>
        <w:footnoteRef/>
      </w:r>
      <w:r w:rsidRPr="008B7862">
        <w:rPr>
          <w:rFonts w:cstheme="minorHAnsi"/>
        </w:rPr>
        <w:t xml:space="preserve"> Jones, </w:t>
      </w:r>
      <w:proofErr w:type="gramStart"/>
      <w:r w:rsidRPr="008B7862">
        <w:rPr>
          <w:rFonts w:cstheme="minorHAnsi"/>
          <w:i/>
        </w:rPr>
        <w:t>The</w:t>
      </w:r>
      <w:proofErr w:type="gramEnd"/>
      <w:r w:rsidRPr="008B7862">
        <w:rPr>
          <w:rFonts w:cstheme="minorHAnsi"/>
          <w:i/>
        </w:rPr>
        <w:t xml:space="preserve"> Later Roman Empire</w:t>
      </w:r>
      <w:r w:rsidRPr="008B7862">
        <w:rPr>
          <w:rFonts w:cstheme="minorHAnsi"/>
        </w:rPr>
        <w:t>, P. 690.</w:t>
      </w:r>
    </w:p>
  </w:footnote>
  <w:footnote w:id="374">
    <w:p w:rsidR="00EC705D" w:rsidRPr="008B7862" w:rsidRDefault="00EC705D" w:rsidP="00E756D7">
      <w:pPr>
        <w:pStyle w:val="FootnoteText"/>
        <w:rPr>
          <w:rFonts w:cstheme="minorHAnsi"/>
          <w:i/>
        </w:rPr>
      </w:pPr>
      <w:r w:rsidRPr="008B7862">
        <w:rPr>
          <w:rStyle w:val="FootnoteReference"/>
          <w:rFonts w:cstheme="minorHAnsi"/>
        </w:rPr>
        <w:footnoteRef/>
      </w:r>
      <w:r w:rsidRPr="008B7862">
        <w:rPr>
          <w:rFonts w:cstheme="minorHAnsi"/>
        </w:rPr>
        <w:t xml:space="preserve"> Bury, J.B., ‘The Provincial List of Verona’, </w:t>
      </w:r>
      <w:r w:rsidRPr="008B7862">
        <w:rPr>
          <w:rFonts w:cstheme="minorHAnsi"/>
          <w:i/>
        </w:rPr>
        <w:t>The Journal of Roman Studies</w:t>
      </w:r>
      <w:r w:rsidRPr="008B7862">
        <w:rPr>
          <w:rFonts w:cstheme="minorHAnsi"/>
        </w:rPr>
        <w:t xml:space="preserve"> </w:t>
      </w:r>
      <w:r w:rsidRPr="008B7862">
        <w:rPr>
          <w:rFonts w:cstheme="minorHAnsi"/>
          <w:i/>
        </w:rPr>
        <w:t>Vol. 13</w:t>
      </w:r>
      <w:r w:rsidRPr="008B7862">
        <w:rPr>
          <w:rFonts w:cstheme="minorHAnsi"/>
        </w:rPr>
        <w:t xml:space="preserve"> (1923), P. 129; Jones, A.H.M, ‘The Date and Value of the Verona List’, </w:t>
      </w:r>
      <w:r w:rsidRPr="008B7862">
        <w:rPr>
          <w:rFonts w:cstheme="minorHAnsi"/>
          <w:i/>
        </w:rPr>
        <w:t xml:space="preserve">The Journal of Roman Studies Vol. 44 </w:t>
      </w:r>
      <w:r w:rsidRPr="008B7862">
        <w:rPr>
          <w:rFonts w:cstheme="minorHAnsi"/>
        </w:rPr>
        <w:t xml:space="preserve">(1954), pp. 23-24; Seeck, O., </w:t>
      </w:r>
      <w:r w:rsidRPr="008B7862">
        <w:rPr>
          <w:rFonts w:cstheme="minorHAnsi"/>
          <w:i/>
        </w:rPr>
        <w:t xml:space="preserve">Notitia dignitatum accedunt notitia urbis constantinopolitanae </w:t>
      </w:r>
      <w:proofErr w:type="gramStart"/>
      <w:r w:rsidRPr="008B7862">
        <w:rPr>
          <w:rFonts w:cstheme="minorHAnsi"/>
          <w:i/>
        </w:rPr>
        <w:t>et</w:t>
      </w:r>
      <w:proofErr w:type="gramEnd"/>
      <w:r w:rsidRPr="008B7862">
        <w:rPr>
          <w:rFonts w:cstheme="minorHAnsi"/>
          <w:i/>
        </w:rPr>
        <w:t xml:space="preserve"> laterculi provinciarum</w:t>
      </w:r>
      <w:r w:rsidRPr="008B7862">
        <w:rPr>
          <w:rFonts w:cstheme="minorHAnsi"/>
        </w:rPr>
        <w:t xml:space="preserve"> (Frankfurt, 1962), pp. 247-253.</w:t>
      </w:r>
      <w:r w:rsidRPr="008B7862">
        <w:rPr>
          <w:rFonts w:cstheme="minorHAnsi"/>
          <w:i/>
        </w:rPr>
        <w:t xml:space="preserve"> </w:t>
      </w:r>
    </w:p>
  </w:footnote>
  <w:footnote w:id="37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250-251.</w:t>
      </w:r>
    </w:p>
  </w:footnote>
  <w:footnote w:id="376">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249-251; Jones, ‘Value of the Verona List’, P. 26.</w:t>
      </w:r>
    </w:p>
  </w:footnote>
  <w:footnote w:id="377">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Seeck, O., </w:t>
      </w:r>
      <w:r w:rsidRPr="008B7862">
        <w:rPr>
          <w:rFonts w:cstheme="minorHAnsi"/>
          <w:i/>
        </w:rPr>
        <w:t>Notitia dignitatum</w:t>
      </w:r>
      <w:r w:rsidRPr="008B7862">
        <w:rPr>
          <w:rFonts w:cstheme="minorHAnsi"/>
        </w:rPr>
        <w:t>’, P. 250; Jones, ‘Value of the Verona List’, P. 26.</w:t>
      </w:r>
      <w:proofErr w:type="gramEnd"/>
    </w:p>
  </w:footnote>
  <w:footnote w:id="378">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Seeck, O., </w:t>
      </w:r>
      <w:r w:rsidRPr="008B7862">
        <w:rPr>
          <w:rFonts w:cstheme="minorHAnsi"/>
          <w:i/>
        </w:rPr>
        <w:t>Notitia dignitatum</w:t>
      </w:r>
      <w:r w:rsidRPr="008B7862">
        <w:rPr>
          <w:rFonts w:cstheme="minorHAnsi"/>
        </w:rPr>
        <w:t>’, P. 250-251.</w:t>
      </w:r>
      <w:proofErr w:type="gramEnd"/>
    </w:p>
  </w:footnote>
  <w:footnote w:id="379">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MacDonald, W.L., </w:t>
      </w:r>
      <w:proofErr w:type="gramStart"/>
      <w:r w:rsidRPr="008B7862">
        <w:rPr>
          <w:rFonts w:cstheme="minorHAnsi"/>
          <w:i/>
        </w:rPr>
        <w:t>The</w:t>
      </w:r>
      <w:proofErr w:type="gramEnd"/>
      <w:r w:rsidRPr="008B7862">
        <w:rPr>
          <w:rFonts w:cstheme="minorHAnsi"/>
          <w:i/>
        </w:rPr>
        <w:t xml:space="preserve"> Architecture of the Roman Empire Vol. 2 An Urban Appraisal</w:t>
      </w:r>
      <w:r w:rsidRPr="008B7862">
        <w:rPr>
          <w:rFonts w:cstheme="minorHAnsi"/>
        </w:rPr>
        <w:t xml:space="preserve"> (London, 1986), P. 251.</w:t>
      </w:r>
    </w:p>
  </w:footnote>
  <w:footnote w:id="380">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eastAsiaTheme="majorEastAsia" w:cstheme="minorHAnsi"/>
        </w:rPr>
        <w:t>Eck, W., ‘Imperial Administration and Epigraphy: In Defence of Prosopography’,</w:t>
      </w:r>
      <w:r w:rsidRPr="008B7862">
        <w:rPr>
          <w:rFonts w:cstheme="minorHAnsi"/>
        </w:rPr>
        <w:t xml:space="preserve"> in Bowman, A.K., Cotton, H.M., Goodman, M., and Price, S. (</w:t>
      </w:r>
      <w:proofErr w:type="gramStart"/>
      <w:r w:rsidRPr="008B7862">
        <w:rPr>
          <w:rFonts w:cstheme="minorHAnsi"/>
        </w:rPr>
        <w:t>eds</w:t>
      </w:r>
      <w:proofErr w:type="gramEnd"/>
      <w:r w:rsidRPr="008B7862">
        <w:rPr>
          <w:rFonts w:cstheme="minorHAnsi"/>
        </w:rPr>
        <w:t xml:space="preserve">), </w:t>
      </w:r>
      <w:r w:rsidRPr="008B7862">
        <w:rPr>
          <w:rFonts w:cstheme="minorHAnsi"/>
          <w:i/>
        </w:rPr>
        <w:t>Representations of Empire Rome and the Mediterranean World</w:t>
      </w:r>
      <w:r w:rsidRPr="008B7862">
        <w:rPr>
          <w:rFonts w:cstheme="minorHAnsi"/>
        </w:rPr>
        <w:t xml:space="preserve"> (Oxford, 2002), P. 133. </w:t>
      </w:r>
    </w:p>
  </w:footnote>
  <w:footnote w:id="381">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Ando, </w:t>
      </w:r>
      <w:r w:rsidRPr="008B7862">
        <w:rPr>
          <w:rFonts w:cstheme="minorHAnsi"/>
          <w:i/>
        </w:rPr>
        <w:t>Imperial Ideology</w:t>
      </w:r>
      <w:r w:rsidRPr="008B7862">
        <w:rPr>
          <w:rFonts w:cstheme="minorHAnsi"/>
        </w:rPr>
        <w:t xml:space="preserve"> P. 338.</w:t>
      </w:r>
    </w:p>
  </w:footnote>
  <w:footnote w:id="382">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44-45.</w:t>
      </w:r>
    </w:p>
  </w:footnote>
  <w:footnote w:id="383">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Hadrill, </w:t>
      </w:r>
      <w:r w:rsidRPr="008B7862">
        <w:rPr>
          <w:rFonts w:cstheme="minorHAnsi"/>
          <w:i/>
        </w:rPr>
        <w:t>Cultural Revolution</w:t>
      </w:r>
      <w:r w:rsidRPr="008B7862">
        <w:rPr>
          <w:rFonts w:cstheme="minorHAnsi"/>
        </w:rPr>
        <w:t xml:space="preserve">, pp. 251-252; Beacon, </w:t>
      </w:r>
      <w:r w:rsidRPr="008B7862">
        <w:rPr>
          <w:rFonts w:cstheme="minorHAnsi"/>
          <w:i/>
        </w:rPr>
        <w:t>Roman Nature</w:t>
      </w:r>
      <w:r w:rsidRPr="008B7862">
        <w:rPr>
          <w:rFonts w:cstheme="minorHAnsi"/>
        </w:rPr>
        <w:t>, P. 5.</w:t>
      </w:r>
    </w:p>
  </w:footnote>
  <w:footnote w:id="384">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Reed, ‘Pattern and Purpose’, P. 250.</w:t>
      </w:r>
    </w:p>
  </w:footnote>
  <w:footnote w:id="385">
    <w:p w:rsidR="00EC705D" w:rsidRPr="008B7862" w:rsidRDefault="00EC705D" w:rsidP="00E756D7">
      <w:pPr>
        <w:pStyle w:val="FootnoteText"/>
        <w:rPr>
          <w:rFonts w:cstheme="minorHAnsi"/>
        </w:rPr>
      </w:pPr>
      <w:r w:rsidRPr="008B7862">
        <w:rPr>
          <w:rStyle w:val="FootnoteReference"/>
          <w:rFonts w:cstheme="minorHAnsi"/>
        </w:rPr>
        <w:footnoteRef/>
      </w:r>
      <w:r w:rsidRPr="008B7862">
        <w:rPr>
          <w:rFonts w:cstheme="minorHAnsi"/>
        </w:rPr>
        <w:t xml:space="preserve"> Salzmann, </w:t>
      </w:r>
      <w:r w:rsidRPr="008B7862">
        <w:rPr>
          <w:rFonts w:cstheme="minorHAnsi"/>
          <w:i/>
        </w:rPr>
        <w:t>On Roman Time</w:t>
      </w:r>
      <w:r w:rsidRPr="008B7862">
        <w:rPr>
          <w:rFonts w:cstheme="minorHAnsi"/>
        </w:rPr>
        <w:t xml:space="preserve">, P. 51; Albu, ‘Imperial Geography’, pp. 136-137; Salway, B., ‘The Nature and Genesis of the Peutinger Map’, </w:t>
      </w:r>
      <w:r w:rsidRPr="008B7862">
        <w:rPr>
          <w:rFonts w:cstheme="minorHAnsi"/>
          <w:i/>
        </w:rPr>
        <w:t>Imago Mundi Vol. 57 No. 2</w:t>
      </w:r>
      <w:r w:rsidRPr="008B7862">
        <w:rPr>
          <w:rFonts w:cstheme="minorHAnsi"/>
        </w:rPr>
        <w:t xml:space="preserve"> (2005), P. 131.</w:t>
      </w:r>
    </w:p>
  </w:footnote>
  <w:footnote w:id="386">
    <w:p w:rsidR="00EC705D" w:rsidRPr="008B7862" w:rsidRDefault="00EC705D" w:rsidP="0046134A">
      <w:pPr>
        <w:pStyle w:val="FootnoteText"/>
        <w:rPr>
          <w:rFonts w:cstheme="minorHAnsi"/>
          <w:i/>
        </w:rPr>
      </w:pPr>
      <w:r w:rsidRPr="008B7862">
        <w:rPr>
          <w:rStyle w:val="FootnoteReference"/>
          <w:rFonts w:cstheme="minorHAnsi"/>
        </w:rPr>
        <w:footnoteRef/>
      </w:r>
      <w:r w:rsidRPr="008B7862">
        <w:rPr>
          <w:rFonts w:cstheme="minorHAnsi"/>
        </w:rPr>
        <w:t xml:space="preserve"> Thomas, </w:t>
      </w:r>
      <w:r w:rsidRPr="008B7862">
        <w:rPr>
          <w:rFonts w:cstheme="minorHAnsi"/>
          <w:i/>
        </w:rPr>
        <w:t xml:space="preserve">Monumentality and the Roman Empire, </w:t>
      </w:r>
      <w:r w:rsidRPr="008B7862">
        <w:rPr>
          <w:rFonts w:cstheme="minorHAnsi"/>
        </w:rPr>
        <w:t>P. 17.</w:t>
      </w:r>
    </w:p>
  </w:footnote>
  <w:footnote w:id="387">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Bradley, M., ‘Crime and punishment on the Capitoline Hill’, in</w:t>
      </w:r>
      <w:r w:rsidRPr="008B7862">
        <w:rPr>
          <w:rFonts w:cstheme="minorHAnsi"/>
          <w:lang w:eastAsia="zh-TW"/>
        </w:rPr>
        <w:t xml:space="preserve"> </w:t>
      </w:r>
      <w:r w:rsidRPr="008B7862">
        <w:rPr>
          <w:rFonts w:cstheme="minorHAnsi"/>
        </w:rPr>
        <w:t xml:space="preserve">Bradley, M. (ed.), </w:t>
      </w:r>
      <w:r w:rsidRPr="008B7862">
        <w:rPr>
          <w:rFonts w:cstheme="minorHAnsi"/>
          <w:i/>
          <w:iCs/>
        </w:rPr>
        <w:t>Rome, Pollution and Propriety Dirt, Disease and Hygiene in the Eternal City from Antiquity to Modernity</w:t>
      </w:r>
      <w:r w:rsidRPr="008B7862">
        <w:rPr>
          <w:rFonts w:cstheme="minorHAnsi"/>
        </w:rPr>
        <w:t xml:space="preserve"> (Cambridge, 2012), P. 119.</w:t>
      </w:r>
      <w:proofErr w:type="gramEnd"/>
    </w:p>
  </w:footnote>
  <w:footnote w:id="388">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Richardson Jr.,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rPr>
        <w:t>, pp. 99 &amp; 103.</w:t>
      </w:r>
    </w:p>
  </w:footnote>
  <w:footnote w:id="389">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Ward-Perkins, </w:t>
      </w:r>
      <w:r w:rsidRPr="008B7862">
        <w:rPr>
          <w:rFonts w:cstheme="minorHAnsi"/>
          <w:i/>
        </w:rPr>
        <w:t>Roman Imperial Architecture</w:t>
      </w:r>
      <w:r w:rsidRPr="008B7862">
        <w:rPr>
          <w:rFonts w:cstheme="minorHAnsi"/>
        </w:rPr>
        <w:t>, P. 438.</w:t>
      </w:r>
    </w:p>
  </w:footnote>
  <w:footnote w:id="390">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Packer, J.E., </w:t>
      </w:r>
      <w:proofErr w:type="gramStart"/>
      <w:r w:rsidRPr="008B7862">
        <w:rPr>
          <w:rFonts w:cstheme="minorHAnsi"/>
          <w:i/>
        </w:rPr>
        <w:t>The</w:t>
      </w:r>
      <w:proofErr w:type="gramEnd"/>
      <w:r w:rsidRPr="008B7862">
        <w:rPr>
          <w:rFonts w:cstheme="minorHAnsi"/>
          <w:i/>
        </w:rPr>
        <w:t xml:space="preserve"> Forum of Trajan in Rome A Study of Monuments in Brief</w:t>
      </w:r>
      <w:r w:rsidRPr="008B7862">
        <w:rPr>
          <w:rFonts w:cstheme="minorHAnsi"/>
        </w:rPr>
        <w:t xml:space="preserve"> (London, 2001), pp. 2-6 and 184.</w:t>
      </w:r>
    </w:p>
  </w:footnote>
  <w:footnote w:id="391">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Coarelli, ‘Pax, templum’, pp. 69-70; Dumser, E.A., ‘The Urban Topography of Rome’, in Erdkamp, P (ed.), </w:t>
      </w:r>
      <w:r w:rsidRPr="008B7862">
        <w:rPr>
          <w:rFonts w:cstheme="minorHAnsi"/>
          <w:i/>
        </w:rPr>
        <w:t>The Cambridge Companion to Ancient Rome</w:t>
      </w:r>
      <w:r w:rsidRPr="008B7862">
        <w:rPr>
          <w:rFonts w:cstheme="minorHAnsi"/>
        </w:rPr>
        <w:t xml:space="preserve"> (Cambridge, 2013), P. 144.</w:t>
      </w:r>
    </w:p>
  </w:footnote>
  <w:footnote w:id="392">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bCs/>
        </w:rPr>
        <w:t xml:space="preserve">Gorrie, C., ‘The Restoration of the Porticus Octaviae and Severan Imperial Policy’, </w:t>
      </w:r>
      <w:r w:rsidRPr="008B7862">
        <w:rPr>
          <w:rFonts w:cstheme="minorHAnsi"/>
          <w:bCs/>
          <w:i/>
        </w:rPr>
        <w:t xml:space="preserve">Greece &amp; </w:t>
      </w:r>
      <w:proofErr w:type="gramStart"/>
      <w:r w:rsidRPr="008B7862">
        <w:rPr>
          <w:rFonts w:cstheme="minorHAnsi"/>
          <w:bCs/>
          <w:i/>
        </w:rPr>
        <w:t>Rome  Second</w:t>
      </w:r>
      <w:proofErr w:type="gramEnd"/>
      <w:r w:rsidRPr="008B7862">
        <w:rPr>
          <w:rFonts w:cstheme="minorHAnsi"/>
          <w:bCs/>
          <w:i/>
        </w:rPr>
        <w:t xml:space="preserve"> Series Vol. 54 No. 1</w:t>
      </w:r>
      <w:r w:rsidRPr="008B7862">
        <w:rPr>
          <w:rFonts w:cstheme="minorHAnsi"/>
          <w:bCs/>
        </w:rPr>
        <w:t xml:space="preserve"> (2007),P. 3; </w:t>
      </w:r>
      <w:r w:rsidRPr="008B7862">
        <w:rPr>
          <w:rFonts w:cstheme="minorHAnsi"/>
        </w:rPr>
        <w:t xml:space="preserve">Gorrie, C., ‘The Septizodium of Septimius Severus Revisted: the Monument in its Historical and Urban Context’, </w:t>
      </w:r>
      <w:r w:rsidR="007D570B">
        <w:rPr>
          <w:rFonts w:cstheme="minorHAnsi"/>
          <w:i/>
        </w:rPr>
        <w:t xml:space="preserve">Latomus </w:t>
      </w:r>
      <w:r w:rsidRPr="008B7862">
        <w:rPr>
          <w:rFonts w:cstheme="minorHAnsi"/>
          <w:i/>
        </w:rPr>
        <w:t>60 Fasc. 3</w:t>
      </w:r>
      <w:r w:rsidRPr="008B7862">
        <w:rPr>
          <w:rFonts w:cstheme="minorHAnsi"/>
        </w:rPr>
        <w:t xml:space="preserve"> (Juillet-Septembre 2001), pp. 660-663.</w:t>
      </w:r>
    </w:p>
  </w:footnote>
  <w:footnote w:id="393">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Zanker, </w:t>
      </w:r>
      <w:r w:rsidRPr="008B7862">
        <w:rPr>
          <w:rFonts w:cstheme="minorHAnsi"/>
          <w:i/>
        </w:rPr>
        <w:t>The Power of Images in the Age of Augustus</w:t>
      </w:r>
      <w:r w:rsidRPr="008B7862">
        <w:rPr>
          <w:rFonts w:cstheme="minorHAnsi"/>
        </w:rPr>
        <w:t xml:space="preserve">, pp. 336-338; Ando, </w:t>
      </w:r>
      <w:r w:rsidRPr="008B7862">
        <w:rPr>
          <w:rFonts w:cstheme="minorHAnsi"/>
          <w:i/>
        </w:rPr>
        <w:t>Imperial Ideology</w:t>
      </w:r>
      <w:r w:rsidRPr="008B7862">
        <w:rPr>
          <w:rFonts w:cstheme="minorHAnsi"/>
        </w:rPr>
        <w:t xml:space="preserve">, pp. 5-8; Lendon, </w:t>
      </w:r>
      <w:r w:rsidRPr="008B7862">
        <w:rPr>
          <w:rFonts w:cstheme="minorHAnsi"/>
          <w:i/>
        </w:rPr>
        <w:t>Empire of Honour</w:t>
      </w:r>
      <w:r w:rsidRPr="008B7862">
        <w:rPr>
          <w:rFonts w:cstheme="minorHAnsi"/>
        </w:rPr>
        <w:t xml:space="preserve">, pp. 173-175; Potter, </w:t>
      </w:r>
      <w:r w:rsidRPr="008B7862">
        <w:rPr>
          <w:rFonts w:cstheme="minorHAnsi"/>
          <w:i/>
        </w:rPr>
        <w:t>Roman Empire at Bay,</w:t>
      </w:r>
      <w:r w:rsidRPr="008B7862">
        <w:rPr>
          <w:rFonts w:cstheme="minorHAnsi"/>
        </w:rPr>
        <w:t xml:space="preserve"> P. 358.</w:t>
      </w:r>
    </w:p>
  </w:footnote>
  <w:footnote w:id="394">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LRUR</w:t>
      </w:r>
      <w:r w:rsidRPr="008B7862">
        <w:rPr>
          <w:rFonts w:cstheme="minorHAnsi"/>
        </w:rPr>
        <w:t>, pp. 75 &amp; 89.</w:t>
      </w:r>
      <w:proofErr w:type="gramEnd"/>
    </w:p>
  </w:footnote>
  <w:footnote w:id="395">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76 &amp; 92.</w:t>
      </w:r>
    </w:p>
  </w:footnote>
  <w:footnote w:id="396">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74 &amp;  84.</w:t>
      </w:r>
    </w:p>
  </w:footnote>
  <w:footnote w:id="397">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75, 78, 84-85, 88.</w:t>
      </w:r>
    </w:p>
  </w:footnote>
  <w:footnote w:id="398">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Zanker, P., ‘By the Emperor, for the people: “Popular” architecture in Rome’, in Ewald, B.C., and Noreña, C.F. (</w:t>
      </w:r>
      <w:proofErr w:type="gramStart"/>
      <w:r w:rsidRPr="008B7862">
        <w:rPr>
          <w:rFonts w:cstheme="minorHAnsi"/>
        </w:rPr>
        <w:t>eds</w:t>
      </w:r>
      <w:proofErr w:type="gramEnd"/>
      <w:r w:rsidRPr="008B7862">
        <w:rPr>
          <w:rFonts w:cstheme="minorHAnsi"/>
        </w:rPr>
        <w:t xml:space="preserve">), </w:t>
      </w:r>
      <w:r w:rsidRPr="008B7862">
        <w:rPr>
          <w:rFonts w:cstheme="minorHAnsi"/>
          <w:i/>
        </w:rPr>
        <w:t>The Emperor and Rome Space, Representation, and Ritual</w:t>
      </w:r>
      <w:r w:rsidRPr="008B7862">
        <w:rPr>
          <w:rFonts w:cstheme="minorHAnsi"/>
        </w:rPr>
        <w:t xml:space="preserve"> (Cambridge, 2010), pp. 77-78.</w:t>
      </w:r>
    </w:p>
  </w:footnote>
  <w:footnote w:id="399">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Coates-Stephens, ‘The Walls of Aurelian’, </w:t>
      </w:r>
      <w:r w:rsidRPr="008B7862">
        <w:rPr>
          <w:rStyle w:val="apple-converted-space"/>
          <w:rFonts w:cstheme="minorHAnsi"/>
          <w:shd w:val="clear" w:color="auto" w:fill="FFFFE4"/>
        </w:rPr>
        <w:t xml:space="preserve">pp. 85-88; Dey, </w:t>
      </w:r>
      <w:r w:rsidRPr="008B7862">
        <w:rPr>
          <w:rStyle w:val="apple-converted-space"/>
          <w:rFonts w:cstheme="minorHAnsi"/>
          <w:i/>
          <w:shd w:val="clear" w:color="auto" w:fill="FFFFE4"/>
        </w:rPr>
        <w:t>The Aurelian Wall</w:t>
      </w:r>
      <w:r w:rsidRPr="008B7862">
        <w:rPr>
          <w:rStyle w:val="apple-converted-space"/>
          <w:rFonts w:cstheme="minorHAnsi"/>
          <w:shd w:val="clear" w:color="auto" w:fill="FFFFE4"/>
        </w:rPr>
        <w:t>, pp. 110, 121-122, 280</w:t>
      </w:r>
    </w:p>
  </w:footnote>
  <w:footnote w:id="400">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Dey, </w:t>
      </w:r>
      <w:proofErr w:type="gramStart"/>
      <w:r w:rsidRPr="008B7862">
        <w:rPr>
          <w:rFonts w:cstheme="minorHAnsi"/>
          <w:i/>
        </w:rPr>
        <w:t>The</w:t>
      </w:r>
      <w:proofErr w:type="gramEnd"/>
      <w:r w:rsidRPr="008B7862">
        <w:rPr>
          <w:rFonts w:cstheme="minorHAnsi"/>
          <w:i/>
        </w:rPr>
        <w:t xml:space="preserve"> Aurelian Wall</w:t>
      </w:r>
      <w:r w:rsidRPr="008B7862">
        <w:rPr>
          <w:rFonts w:cstheme="minorHAnsi"/>
        </w:rPr>
        <w:t>, pp. 89-90.</w:t>
      </w:r>
    </w:p>
  </w:footnote>
  <w:footnote w:id="401">
    <w:p w:rsidR="00EC705D" w:rsidRPr="008B7862" w:rsidRDefault="00EC705D" w:rsidP="00B96FE5">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107-108.</w:t>
      </w:r>
    </w:p>
  </w:footnote>
  <w:footnote w:id="402">
    <w:p w:rsidR="00EC705D" w:rsidRPr="008B7862" w:rsidRDefault="00EC705D" w:rsidP="0046134A">
      <w:pPr>
        <w:pStyle w:val="FootnoteText"/>
        <w:rPr>
          <w:rFonts w:cstheme="minorHAnsi"/>
        </w:rPr>
      </w:pPr>
      <w:r w:rsidRPr="008B7862">
        <w:rPr>
          <w:rStyle w:val="FootnoteReference"/>
          <w:rFonts w:cstheme="minorHAnsi"/>
        </w:rPr>
        <w:footnoteRef/>
      </w:r>
      <w:proofErr w:type="gramStart"/>
      <w:r w:rsidRPr="008B7862">
        <w:rPr>
          <w:rFonts w:cstheme="minorHAnsi"/>
        </w:rPr>
        <w:t>Neudecker, ‘sacred space in Rome’, pp. 325-326.</w:t>
      </w:r>
      <w:proofErr w:type="gramEnd"/>
    </w:p>
  </w:footnote>
  <w:footnote w:id="403">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Dyson,</w:t>
      </w:r>
      <w:r w:rsidRPr="008B7862">
        <w:rPr>
          <w:rFonts w:cstheme="minorHAnsi"/>
          <w:i/>
        </w:rPr>
        <w:t xml:space="preserve"> </w:t>
      </w:r>
      <w:proofErr w:type="gramStart"/>
      <w:r w:rsidRPr="008B7862">
        <w:rPr>
          <w:rFonts w:cstheme="minorHAnsi"/>
          <w:i/>
        </w:rPr>
        <w:t>A</w:t>
      </w:r>
      <w:proofErr w:type="gramEnd"/>
      <w:r w:rsidRPr="008B7862">
        <w:rPr>
          <w:rFonts w:cstheme="minorHAnsi"/>
          <w:i/>
        </w:rPr>
        <w:t xml:space="preserve"> Living Portrait, </w:t>
      </w:r>
      <w:r w:rsidRPr="008B7862">
        <w:rPr>
          <w:rFonts w:cstheme="minorHAnsi"/>
        </w:rPr>
        <w:t>P. 175.</w:t>
      </w:r>
    </w:p>
  </w:footnote>
  <w:footnote w:id="404">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Ward-Perkins, J.B., ‘Old and New Rome Compared: The Rise of Constantinople’, in Grig, L. and Kelly, G. (</w:t>
      </w:r>
      <w:proofErr w:type="gramStart"/>
      <w:r w:rsidRPr="008B7862">
        <w:rPr>
          <w:rFonts w:cstheme="minorHAnsi"/>
        </w:rPr>
        <w:t>eds</w:t>
      </w:r>
      <w:proofErr w:type="gramEnd"/>
      <w:r w:rsidRPr="008B7862">
        <w:rPr>
          <w:rFonts w:cstheme="minorHAnsi"/>
        </w:rPr>
        <w:t xml:space="preserve">), </w:t>
      </w:r>
      <w:r w:rsidRPr="008B7862">
        <w:rPr>
          <w:rFonts w:cstheme="minorHAnsi"/>
          <w:i/>
          <w:iCs/>
        </w:rPr>
        <w:t>Two Romes Rome and Constantinople in Late Antiquity</w:t>
      </w:r>
      <w:r w:rsidRPr="008B7862">
        <w:rPr>
          <w:rFonts w:cstheme="minorHAnsi"/>
        </w:rPr>
        <w:t xml:space="preserve"> (Oxford, 2012), P. 57.</w:t>
      </w:r>
    </w:p>
  </w:footnote>
  <w:footnote w:id="405">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pp. 97-106.</w:t>
      </w:r>
    </w:p>
  </w:footnote>
  <w:footnote w:id="406">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Bell, A., </w:t>
      </w:r>
      <w:r w:rsidRPr="008B7862">
        <w:rPr>
          <w:rFonts w:cstheme="minorHAnsi"/>
          <w:i/>
        </w:rPr>
        <w:t>Spectacular Power in the Greek and Roman City</w:t>
      </w:r>
      <w:r w:rsidRPr="008B7862">
        <w:rPr>
          <w:rFonts w:cstheme="minorHAnsi"/>
        </w:rPr>
        <w:t xml:space="preserve"> (Oxford, 2006), P. 188; Smith, R.B.E., ‘‘Restored utility, eternal city’: patronal imagery at Rome in the fourth century AD’, in Lomas, K., and Cornell, T. (</w:t>
      </w:r>
      <w:proofErr w:type="gramStart"/>
      <w:r w:rsidRPr="008B7862">
        <w:rPr>
          <w:rFonts w:cstheme="minorHAnsi"/>
        </w:rPr>
        <w:t>eds</w:t>
      </w:r>
      <w:proofErr w:type="gramEnd"/>
      <w:r w:rsidRPr="008B7862">
        <w:rPr>
          <w:rFonts w:cstheme="minorHAnsi"/>
        </w:rPr>
        <w:t xml:space="preserve">), </w:t>
      </w:r>
      <w:r w:rsidRPr="008B7862">
        <w:rPr>
          <w:rFonts w:cstheme="minorHAnsi"/>
          <w:i/>
          <w:iCs/>
        </w:rPr>
        <w:t>‘Bread and Circuses’ Euergetism and municipal patronage in Roman Italy</w:t>
      </w:r>
      <w:r w:rsidRPr="008B7862">
        <w:rPr>
          <w:rFonts w:cstheme="minorHAnsi"/>
        </w:rPr>
        <w:t xml:space="preserve"> (London, 2003), P. 151.</w:t>
      </w:r>
    </w:p>
  </w:footnote>
  <w:footnote w:id="407">
    <w:p w:rsidR="00EC705D" w:rsidRPr="008B7862" w:rsidRDefault="00EC705D" w:rsidP="00BC0C4C">
      <w:pPr>
        <w:pStyle w:val="FootnoteText"/>
        <w:rPr>
          <w:rFonts w:cstheme="minorHAnsi"/>
        </w:rPr>
      </w:pPr>
      <w:r w:rsidRPr="008B7862">
        <w:rPr>
          <w:rStyle w:val="FootnoteReference"/>
          <w:rFonts w:cstheme="minorHAnsi"/>
        </w:rPr>
        <w:footnoteRef/>
      </w:r>
      <w:r w:rsidRPr="008B7862">
        <w:rPr>
          <w:rFonts w:cstheme="minorHAnsi"/>
        </w:rPr>
        <w:t xml:space="preserve"> Lendon,</w:t>
      </w:r>
      <w:r w:rsidRPr="008B7862">
        <w:rPr>
          <w:rFonts w:cstheme="minorHAnsi"/>
          <w:i/>
        </w:rPr>
        <w:t xml:space="preserve"> Empire of Honour</w:t>
      </w:r>
      <w:r w:rsidRPr="008B7862">
        <w:rPr>
          <w:rFonts w:cstheme="minorHAnsi"/>
        </w:rPr>
        <w:t>, pp. 137-138.</w:t>
      </w:r>
    </w:p>
  </w:footnote>
  <w:footnote w:id="408">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pp. 226-227.</w:t>
      </w:r>
    </w:p>
  </w:footnote>
  <w:footnote w:id="409">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Robinson, </w:t>
      </w:r>
      <w:r w:rsidRPr="008B7862">
        <w:rPr>
          <w:rFonts w:cstheme="minorHAnsi"/>
          <w:i/>
          <w:iCs/>
        </w:rPr>
        <w:t>City Planning</w:t>
      </w:r>
      <w:r w:rsidRPr="008B7862">
        <w:rPr>
          <w:rFonts w:cstheme="minorHAnsi"/>
        </w:rPr>
        <w:t>, pp. 11-12.</w:t>
      </w:r>
    </w:p>
  </w:footnote>
  <w:footnote w:id="410">
    <w:p w:rsidR="00EC705D" w:rsidRPr="008B7862" w:rsidRDefault="00EC705D" w:rsidP="0046134A">
      <w:pPr>
        <w:pStyle w:val="FootnoteText"/>
        <w:rPr>
          <w:rFonts w:cstheme="minorHAnsi"/>
          <w:iCs/>
        </w:rPr>
      </w:pPr>
      <w:r w:rsidRPr="008B7862">
        <w:rPr>
          <w:rStyle w:val="FootnoteReference"/>
          <w:rFonts w:cstheme="minorHAnsi"/>
        </w:rPr>
        <w:footnoteRef/>
      </w:r>
      <w:r w:rsidRPr="008B7862">
        <w:rPr>
          <w:rFonts w:cstheme="minorHAnsi"/>
        </w:rPr>
        <w:t xml:space="preserve"> Pollini, J., </w:t>
      </w:r>
      <w:r w:rsidRPr="008B7862">
        <w:rPr>
          <w:rFonts w:cstheme="minorHAnsi"/>
          <w:i/>
        </w:rPr>
        <w:t>From Republic to Empire Rhetoric, Religion, and Power in the Visual Culture of Ancient Rome</w:t>
      </w:r>
      <w:r w:rsidRPr="008B7862">
        <w:rPr>
          <w:rFonts w:cstheme="minorHAnsi"/>
          <w:iCs/>
        </w:rPr>
        <w:t xml:space="preserve"> (Norman, 2012), P. 313.</w:t>
      </w:r>
    </w:p>
  </w:footnote>
  <w:footnote w:id="411">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Jordan, </w:t>
      </w:r>
      <w:r w:rsidRPr="008B7862">
        <w:rPr>
          <w:rFonts w:cstheme="minorHAnsi"/>
          <w:i/>
          <w:iCs/>
        </w:rPr>
        <w:t>Topographie</w:t>
      </w:r>
      <w:r w:rsidRPr="008B7862">
        <w:rPr>
          <w:rFonts w:cstheme="minorHAnsi"/>
        </w:rPr>
        <w:t>, pp. 542-564.</w:t>
      </w:r>
    </w:p>
  </w:footnote>
  <w:footnote w:id="412">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Abbott, F.F., </w:t>
      </w:r>
      <w:r w:rsidRPr="008B7862">
        <w:rPr>
          <w:rFonts w:cstheme="minorHAnsi"/>
          <w:i/>
          <w:iCs/>
        </w:rPr>
        <w:t>A History and Description of Roman Political Institutions</w:t>
      </w:r>
      <w:r w:rsidRPr="008B7862">
        <w:rPr>
          <w:rFonts w:cstheme="minorHAnsi"/>
        </w:rPr>
        <w:t xml:space="preserve"> (London, 1901), pp. 339-340.</w:t>
      </w:r>
    </w:p>
  </w:footnote>
  <w:footnote w:id="413">
    <w:p w:rsidR="00EC705D" w:rsidRPr="008B7862" w:rsidRDefault="00EC705D" w:rsidP="00BC0C4C">
      <w:pPr>
        <w:pStyle w:val="FootnoteText"/>
        <w:rPr>
          <w:rFonts w:cstheme="minorHAnsi"/>
        </w:rPr>
      </w:pPr>
      <w:r w:rsidRPr="008B7862">
        <w:rPr>
          <w:rStyle w:val="FootnoteReference"/>
          <w:rFonts w:cstheme="minorHAnsi"/>
        </w:rPr>
        <w:footnoteRef/>
      </w:r>
      <w:r w:rsidRPr="008B7862">
        <w:rPr>
          <w:rFonts w:cstheme="minorHAnsi"/>
        </w:rPr>
        <w:t xml:space="preserve"> Robinson, </w:t>
      </w:r>
      <w:r w:rsidRPr="008B7862">
        <w:rPr>
          <w:rFonts w:cstheme="minorHAnsi"/>
          <w:i/>
          <w:iCs/>
        </w:rPr>
        <w:t>Ancient City Planning</w:t>
      </w:r>
      <w:r w:rsidRPr="008B7862">
        <w:rPr>
          <w:rFonts w:cstheme="minorHAnsi"/>
        </w:rPr>
        <w:t xml:space="preserve">, pp. 12-13; Zanker, P., </w:t>
      </w:r>
      <w:r w:rsidRPr="008B7862">
        <w:rPr>
          <w:rFonts w:cstheme="minorHAnsi"/>
          <w:i/>
          <w:iCs/>
        </w:rPr>
        <w:t>The Power of Images in the Age of Augustus</w:t>
      </w:r>
      <w:r w:rsidRPr="008B7862">
        <w:rPr>
          <w:rFonts w:cstheme="minorHAnsi"/>
        </w:rPr>
        <w:t xml:space="preserve">, </w:t>
      </w:r>
      <w:proofErr w:type="gramStart"/>
      <w:r w:rsidRPr="008B7862">
        <w:rPr>
          <w:rFonts w:cstheme="minorHAnsi"/>
        </w:rPr>
        <w:t>trans</w:t>
      </w:r>
      <w:proofErr w:type="gramEnd"/>
      <w:r w:rsidRPr="008B7862">
        <w:rPr>
          <w:rFonts w:cstheme="minorHAnsi"/>
        </w:rPr>
        <w:t>, Shapiro, A. (Ann Arbor, 1990), pp. 155.</w:t>
      </w:r>
    </w:p>
  </w:footnote>
  <w:footnote w:id="414">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Robinson, </w:t>
      </w:r>
      <w:r w:rsidRPr="008B7862">
        <w:rPr>
          <w:rFonts w:cstheme="minorHAnsi"/>
          <w:i/>
        </w:rPr>
        <w:t>Ancient City Planning</w:t>
      </w:r>
      <w:r w:rsidRPr="008B7862">
        <w:rPr>
          <w:rFonts w:cstheme="minorHAnsi"/>
        </w:rPr>
        <w:t>, pp. 11-12</w:t>
      </w:r>
    </w:p>
  </w:footnote>
  <w:footnote w:id="415">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Lendon, </w:t>
      </w:r>
      <w:r w:rsidRPr="008B7862">
        <w:rPr>
          <w:rFonts w:cstheme="minorHAnsi"/>
          <w:i/>
        </w:rPr>
        <w:t>Empire of Honour</w:t>
      </w:r>
      <w:r w:rsidRPr="008B7862">
        <w:rPr>
          <w:rFonts w:cstheme="minorHAnsi"/>
        </w:rPr>
        <w:t xml:space="preserve">, pp. 66-67; Beard, M., North, S., and Price, S., </w:t>
      </w:r>
      <w:r w:rsidRPr="008B7862">
        <w:rPr>
          <w:rFonts w:cstheme="minorHAnsi"/>
          <w:i/>
        </w:rPr>
        <w:t>Religions of Rome Vol. 2</w:t>
      </w:r>
      <w:r w:rsidRPr="008B7862">
        <w:rPr>
          <w:rFonts w:cstheme="minorHAnsi"/>
        </w:rPr>
        <w:t xml:space="preserve"> (Cambridge, 1998), pp. 207-208.</w:t>
      </w:r>
      <w:proofErr w:type="gramEnd"/>
    </w:p>
  </w:footnote>
  <w:footnote w:id="416">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P. 177.</w:t>
      </w:r>
    </w:p>
  </w:footnote>
  <w:footnote w:id="417">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Hölscher, T., ‘The Transformation of Victory’, pp. 39-42.</w:t>
      </w:r>
    </w:p>
  </w:footnote>
  <w:footnote w:id="418">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Lendon, </w:t>
      </w:r>
      <w:r w:rsidRPr="008B7862">
        <w:rPr>
          <w:rFonts w:cstheme="minorHAnsi"/>
          <w:i/>
        </w:rPr>
        <w:t>Empire of Honour</w:t>
      </w:r>
      <w:r w:rsidRPr="008B7862">
        <w:rPr>
          <w:rFonts w:cstheme="minorHAnsi"/>
        </w:rPr>
        <w:t xml:space="preserve">, pp. 15-16; Salway, ‘the Peutinger Map’, P. 123; Thomas, </w:t>
      </w:r>
      <w:r w:rsidRPr="008B7862">
        <w:rPr>
          <w:rFonts w:cstheme="minorHAnsi"/>
          <w:i/>
        </w:rPr>
        <w:t>Monumentality and the Roman Empire</w:t>
      </w:r>
      <w:r w:rsidRPr="008B7862">
        <w:rPr>
          <w:rFonts w:cstheme="minorHAnsi"/>
        </w:rPr>
        <w:t>, P. 121.</w:t>
      </w:r>
    </w:p>
  </w:footnote>
  <w:footnote w:id="419">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MacDonald, W.L., </w:t>
      </w:r>
      <w:r w:rsidRPr="008B7862">
        <w:rPr>
          <w:rFonts w:cstheme="minorHAnsi"/>
          <w:i/>
        </w:rPr>
        <w:t xml:space="preserve">The Architecture of the Roman Empire Vol. 1 An Introductory </w:t>
      </w:r>
      <w:proofErr w:type="gramStart"/>
      <w:r w:rsidRPr="008B7862">
        <w:rPr>
          <w:rFonts w:cstheme="minorHAnsi"/>
          <w:i/>
        </w:rPr>
        <w:t>Study</w:t>
      </w:r>
      <w:r w:rsidRPr="008B7862">
        <w:rPr>
          <w:rFonts w:cstheme="minorHAnsi"/>
        </w:rPr>
        <w:t xml:space="preserve">  (</w:t>
      </w:r>
      <w:proofErr w:type="gramEnd"/>
      <w:r w:rsidRPr="008B7862">
        <w:rPr>
          <w:rFonts w:cstheme="minorHAnsi"/>
        </w:rPr>
        <w:t>London, 1965), P. 71.</w:t>
      </w:r>
    </w:p>
  </w:footnote>
  <w:footnote w:id="420">
    <w:p w:rsidR="00EC705D" w:rsidRPr="008B7862" w:rsidRDefault="00EC705D" w:rsidP="00BC0C4C">
      <w:pPr>
        <w:pStyle w:val="FootnoteText"/>
        <w:rPr>
          <w:rFonts w:cstheme="minorHAnsi"/>
        </w:rPr>
      </w:pPr>
      <w:r w:rsidRPr="008B7862">
        <w:rPr>
          <w:rStyle w:val="FootnoteReference"/>
          <w:rFonts w:cstheme="minorHAnsi"/>
        </w:rPr>
        <w:footnoteRef/>
      </w:r>
      <w:r w:rsidRPr="008B7862">
        <w:rPr>
          <w:rFonts w:cstheme="minorHAnsi"/>
        </w:rPr>
        <w:t xml:space="preserve"> Veyne, </w:t>
      </w:r>
      <w:r w:rsidRPr="008B7862">
        <w:rPr>
          <w:rFonts w:cstheme="minorHAnsi"/>
          <w:i/>
        </w:rPr>
        <w:t>Bread and Circuses</w:t>
      </w:r>
      <w:r w:rsidRPr="008B7862">
        <w:rPr>
          <w:rFonts w:cstheme="minorHAnsi"/>
        </w:rPr>
        <w:t>, pp. 388-389.</w:t>
      </w:r>
    </w:p>
  </w:footnote>
  <w:footnote w:id="421">
    <w:p w:rsidR="00EC705D" w:rsidRPr="008B7862" w:rsidRDefault="00EC705D" w:rsidP="00BC0C4C">
      <w:pPr>
        <w:pStyle w:val="FootnoteText"/>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259-261.</w:t>
      </w:r>
    </w:p>
  </w:footnote>
  <w:footnote w:id="422">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Noreña C.F., </w:t>
      </w:r>
      <w:r w:rsidRPr="008B7862">
        <w:rPr>
          <w:rFonts w:cstheme="minorHAnsi"/>
          <w:i/>
        </w:rPr>
        <w:t>Imperial Ideals in the Roman West Representation, Circulation, Power</w:t>
      </w:r>
      <w:r w:rsidRPr="008B7862">
        <w:rPr>
          <w:rFonts w:cstheme="minorHAnsi"/>
        </w:rPr>
        <w:t xml:space="preserve"> (Cambridge, 2011), pp. 201-202.</w:t>
      </w:r>
    </w:p>
  </w:footnote>
  <w:footnote w:id="423">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rPr>
        <w:t>LRUR</w:t>
      </w:r>
      <w:r w:rsidRPr="008B7862">
        <w:rPr>
          <w:rFonts w:cstheme="minorHAnsi"/>
        </w:rPr>
        <w:t>, pp. 104-106.</w:t>
      </w:r>
    </w:p>
  </w:footnote>
  <w:footnote w:id="424">
    <w:p w:rsidR="00EC705D" w:rsidRPr="008B7862" w:rsidRDefault="00EC705D" w:rsidP="0046134A">
      <w:pPr>
        <w:pStyle w:val="FootnoteText"/>
        <w:tabs>
          <w:tab w:val="left" w:pos="7903"/>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Hölscher, T., ‘The Transformation of Victory’, P. 28.</w:t>
      </w:r>
      <w:proofErr w:type="gramEnd"/>
      <w:r w:rsidRPr="008B7862">
        <w:rPr>
          <w:rFonts w:cstheme="minorHAnsi"/>
        </w:rPr>
        <w:tab/>
      </w:r>
    </w:p>
  </w:footnote>
  <w:footnote w:id="425">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Ando, C.,</w:t>
      </w:r>
      <w:r w:rsidRPr="008B7862">
        <w:rPr>
          <w:rFonts w:cstheme="minorHAnsi"/>
          <w:i/>
          <w:iCs/>
        </w:rPr>
        <w:t xml:space="preserve"> </w:t>
      </w:r>
      <w:proofErr w:type="gramStart"/>
      <w:r w:rsidRPr="008B7862">
        <w:rPr>
          <w:rFonts w:cstheme="minorHAnsi"/>
          <w:i/>
          <w:iCs/>
        </w:rPr>
        <w:t>The</w:t>
      </w:r>
      <w:proofErr w:type="gramEnd"/>
      <w:r w:rsidRPr="008B7862">
        <w:rPr>
          <w:rFonts w:cstheme="minorHAnsi"/>
          <w:i/>
          <w:iCs/>
        </w:rPr>
        <w:t xml:space="preserve"> Matter of the Gods, Religion and the Roman Empire</w:t>
      </w:r>
      <w:r w:rsidRPr="008B7862">
        <w:rPr>
          <w:rFonts w:cstheme="minorHAnsi"/>
        </w:rPr>
        <w:t xml:space="preserve"> (London, 2009), pp. 6-7; Valerius Maximus, </w:t>
      </w:r>
      <w:r w:rsidRPr="008B7862">
        <w:rPr>
          <w:rFonts w:cstheme="minorHAnsi"/>
          <w:i/>
          <w:iCs/>
        </w:rPr>
        <w:t>Memorable Deeds and Sayings</w:t>
      </w:r>
      <w:r w:rsidRPr="008B7862">
        <w:rPr>
          <w:rFonts w:cstheme="minorHAnsi"/>
        </w:rPr>
        <w:t>, trans. Walker, H.J., (Indianapolis, 2004), P. 2.</w:t>
      </w:r>
    </w:p>
  </w:footnote>
  <w:footnote w:id="426">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cstheme="minorHAnsi"/>
          <w:i/>
          <w:iCs/>
        </w:rPr>
        <w:t>Digest</w:t>
      </w:r>
      <w:r w:rsidRPr="008B7862">
        <w:rPr>
          <w:rFonts w:cstheme="minorHAnsi"/>
        </w:rPr>
        <w:t>, I:1:1</w:t>
      </w:r>
    </w:p>
  </w:footnote>
  <w:footnote w:id="427">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Jordan, </w:t>
      </w:r>
      <w:r w:rsidRPr="008B7862">
        <w:rPr>
          <w:rFonts w:cstheme="minorHAnsi"/>
          <w:i/>
          <w:iCs/>
        </w:rPr>
        <w:t>Topographie</w:t>
      </w:r>
      <w:r w:rsidRPr="008B7862">
        <w:rPr>
          <w:rFonts w:cstheme="minorHAnsi"/>
        </w:rPr>
        <w:t xml:space="preserve">, P. 552; Richardson,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iCs/>
        </w:rPr>
        <w:t>, P. 343.</w:t>
      </w:r>
    </w:p>
  </w:footnote>
  <w:footnote w:id="428">
    <w:p w:rsidR="00EC705D" w:rsidRPr="008B7862" w:rsidRDefault="00EC705D" w:rsidP="0046134A">
      <w:pPr>
        <w:pStyle w:val="FootnoteText"/>
        <w:rPr>
          <w:rFonts w:cstheme="minorHAnsi"/>
          <w:u w:val="single"/>
        </w:rPr>
      </w:pPr>
      <w:r w:rsidRPr="008B7862">
        <w:rPr>
          <w:rStyle w:val="FootnoteReference"/>
          <w:rFonts w:cstheme="minorHAnsi"/>
        </w:rPr>
        <w:footnoteRef/>
      </w:r>
      <w:r w:rsidRPr="008B7862">
        <w:rPr>
          <w:rFonts w:cstheme="minorHAnsi"/>
        </w:rPr>
        <w:t xml:space="preserve"> At the time the </w:t>
      </w:r>
      <w:proofErr w:type="gramStart"/>
      <w:r w:rsidRPr="008B7862">
        <w:rPr>
          <w:rFonts w:cstheme="minorHAnsi"/>
        </w:rPr>
        <w:t>stella</w:t>
      </w:r>
      <w:proofErr w:type="gramEnd"/>
      <w:r w:rsidRPr="008B7862">
        <w:rPr>
          <w:rFonts w:cstheme="minorHAnsi"/>
        </w:rPr>
        <w:t xml:space="preserve"> was created it specifically referred to Rome’s relationship with the Latin states of Italy. Richardson, </w:t>
      </w:r>
      <w:proofErr w:type="gramStart"/>
      <w:r w:rsidRPr="008B7862">
        <w:rPr>
          <w:rFonts w:cstheme="minorHAnsi"/>
          <w:i/>
        </w:rPr>
        <w:t>A</w:t>
      </w:r>
      <w:proofErr w:type="gramEnd"/>
      <w:r w:rsidRPr="008B7862">
        <w:rPr>
          <w:rFonts w:cstheme="minorHAnsi"/>
          <w:i/>
        </w:rPr>
        <w:t xml:space="preserve"> New Topographical Dictionary, </w:t>
      </w:r>
      <w:r w:rsidRPr="008B7862">
        <w:rPr>
          <w:rFonts w:cstheme="minorHAnsi"/>
        </w:rPr>
        <w:t>pp. 108-109.</w:t>
      </w:r>
    </w:p>
  </w:footnote>
  <w:footnote w:id="429">
    <w:p w:rsidR="00EC705D" w:rsidRPr="008B7862" w:rsidRDefault="00EC705D" w:rsidP="0046134A">
      <w:pPr>
        <w:pStyle w:val="FootnoteText"/>
        <w:tabs>
          <w:tab w:val="left" w:pos="6386"/>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rPr>
        <w:t xml:space="preserve">Jordan, </w:t>
      </w:r>
      <w:r w:rsidRPr="008B7862">
        <w:rPr>
          <w:rFonts w:cstheme="minorHAnsi"/>
          <w:i/>
          <w:iCs/>
        </w:rPr>
        <w:t>Topographie</w:t>
      </w:r>
      <w:r w:rsidRPr="008B7862">
        <w:rPr>
          <w:rFonts w:cstheme="minorHAnsi"/>
        </w:rPr>
        <w:t>, P. 546 and 550.</w:t>
      </w:r>
      <w:proofErr w:type="gramEnd"/>
      <w:r w:rsidRPr="008B7862">
        <w:rPr>
          <w:rFonts w:cstheme="minorHAnsi"/>
        </w:rPr>
        <w:tab/>
      </w:r>
    </w:p>
  </w:footnote>
  <w:footnote w:id="430">
    <w:p w:rsidR="00EC705D" w:rsidRPr="008B7862" w:rsidRDefault="00EC705D" w:rsidP="0046134A">
      <w:pPr>
        <w:pStyle w:val="FootnoteText"/>
        <w:tabs>
          <w:tab w:val="left" w:pos="3131"/>
        </w:tabs>
        <w:rPr>
          <w:rFonts w:cstheme="minorHAnsi"/>
        </w:rPr>
      </w:pPr>
      <w:r w:rsidRPr="008B7862">
        <w:rPr>
          <w:rStyle w:val="FootnoteReference"/>
          <w:rFonts w:cstheme="minorHAnsi"/>
        </w:rPr>
        <w:footnoteRef/>
      </w:r>
      <w:r w:rsidRPr="008B7862">
        <w:rPr>
          <w:rFonts w:cstheme="minorHAnsi"/>
        </w:rPr>
        <w:t xml:space="preserve"> Richardson,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iCs/>
        </w:rPr>
        <w:t xml:space="preserve">, pp. 11-12, 87, 465. </w:t>
      </w:r>
      <w:r w:rsidRPr="008B7862">
        <w:rPr>
          <w:rFonts w:cstheme="minorHAnsi"/>
        </w:rPr>
        <w:tab/>
      </w:r>
    </w:p>
  </w:footnote>
  <w:footnote w:id="431">
    <w:p w:rsidR="00EC705D" w:rsidRPr="008B7862" w:rsidRDefault="00EC705D" w:rsidP="0046134A">
      <w:pPr>
        <w:pStyle w:val="FootnoteText"/>
        <w:rPr>
          <w:rFonts w:cstheme="minorHAnsi"/>
          <w:b/>
        </w:rPr>
      </w:pPr>
      <w:r w:rsidRPr="008B7862">
        <w:rPr>
          <w:rStyle w:val="FootnoteReference"/>
          <w:rFonts w:cstheme="minorHAnsi"/>
        </w:rPr>
        <w:footnoteRef/>
      </w:r>
      <w:r w:rsidRPr="008B7862">
        <w:rPr>
          <w:rFonts w:cstheme="minorHAnsi"/>
        </w:rPr>
        <w:t xml:space="preserve"> Hölscher, ‘The Transformation of Victory’, pp. 41-42.</w:t>
      </w:r>
    </w:p>
  </w:footnote>
  <w:footnote w:id="432">
    <w:p w:rsidR="00EC705D" w:rsidRPr="008B7862" w:rsidRDefault="00EC705D">
      <w:pPr>
        <w:pStyle w:val="FootnoteText"/>
        <w:rPr>
          <w:rFonts w:cstheme="minorHAnsi"/>
        </w:rPr>
      </w:pPr>
      <w:r w:rsidRPr="008B7862">
        <w:rPr>
          <w:rStyle w:val="FootnoteReference"/>
          <w:rFonts w:cstheme="minorHAnsi"/>
        </w:rPr>
        <w:footnoteRef/>
      </w:r>
      <w:r w:rsidRPr="008B7862">
        <w:rPr>
          <w:rFonts w:cstheme="minorHAnsi"/>
        </w:rPr>
        <w:t xml:space="preserve"> </w:t>
      </w:r>
      <w:r w:rsidRPr="008B7862">
        <w:rPr>
          <w:rFonts w:eastAsiaTheme="majorEastAsia" w:cstheme="minorHAnsi"/>
        </w:rPr>
        <w:t xml:space="preserve">Machado, C., ‘Building the Past: Monuments and Memory in the </w:t>
      </w:r>
      <w:r w:rsidRPr="008B7862">
        <w:rPr>
          <w:rFonts w:eastAsiaTheme="majorEastAsia" w:cstheme="minorHAnsi"/>
          <w:i/>
        </w:rPr>
        <w:t>Forum Romanum</w:t>
      </w:r>
      <w:r w:rsidRPr="008B7862">
        <w:rPr>
          <w:rFonts w:eastAsiaTheme="majorEastAsia" w:cstheme="minorHAnsi"/>
        </w:rPr>
        <w:t xml:space="preserve">’, </w:t>
      </w:r>
      <w:r w:rsidRPr="008B7862">
        <w:rPr>
          <w:rFonts w:cstheme="minorHAnsi"/>
        </w:rPr>
        <w:t xml:space="preserve">in Bowden, W., Gutteridge, A., and Machado, C. (eds), </w:t>
      </w:r>
      <w:r w:rsidRPr="008B7862">
        <w:rPr>
          <w:rFonts w:cstheme="minorHAnsi"/>
          <w:i/>
        </w:rPr>
        <w:t>Social and Political Life in Late Antiquity</w:t>
      </w:r>
      <w:r w:rsidRPr="008B7862">
        <w:rPr>
          <w:rFonts w:cstheme="minorHAnsi"/>
        </w:rPr>
        <w:t xml:space="preserve"> (Leiden, 2006), pp. 158, 186-187; See also: Lim R., ‘Inventing Secular Space in the Late Antique City: Reading the Circus Maximus’ pp. 61-82</w:t>
      </w:r>
      <w:r w:rsidRPr="008B7862">
        <w:rPr>
          <w:rStyle w:val="apple-converted-space"/>
          <w:rFonts w:cstheme="minorHAnsi"/>
          <w:shd w:val="clear" w:color="auto" w:fill="FFFFE4"/>
        </w:rPr>
        <w:t>,</w:t>
      </w:r>
      <w:r w:rsidRPr="008B7862">
        <w:rPr>
          <w:rFonts w:cstheme="minorHAnsi"/>
        </w:rPr>
        <w:t xml:space="preserve"> and Machado, C., ‘Between Memory and Oblivion: The End of the Roman </w:t>
      </w:r>
      <w:r w:rsidRPr="008B7862">
        <w:rPr>
          <w:rFonts w:cstheme="minorHAnsi"/>
          <w:i/>
        </w:rPr>
        <w:t>Domus</w:t>
      </w:r>
      <w:r w:rsidRPr="008B7862">
        <w:rPr>
          <w:rFonts w:cstheme="minorHAnsi"/>
        </w:rPr>
        <w:t xml:space="preserve">’ pp. 111-138, in Behrwald, R., and Witschel, C. (eds), </w:t>
      </w:r>
      <w:hyperlink r:id="rId2" w:history="1">
        <w:r w:rsidRPr="007D570B">
          <w:rPr>
            <w:rStyle w:val="Hyperlink"/>
            <w:rFonts w:cstheme="minorHAnsi"/>
            <w:bCs/>
            <w:i/>
            <w:color w:val="auto"/>
            <w:u w:val="none"/>
            <w:shd w:val="clear" w:color="auto" w:fill="FFFFE4"/>
          </w:rPr>
          <w:t>Rom in der Spätantike : historische Erinnerung im städtischen Raum</w:t>
        </w:r>
      </w:hyperlink>
      <w:r w:rsidRPr="008B7862">
        <w:rPr>
          <w:rStyle w:val="apple-converted-space"/>
          <w:rFonts w:cstheme="minorHAnsi"/>
          <w:shd w:val="clear" w:color="auto" w:fill="FFFFE4"/>
        </w:rPr>
        <w:t> (Stuttgart, 2012)</w:t>
      </w:r>
      <w:r w:rsidRPr="008B7862">
        <w:rPr>
          <w:rFonts w:cstheme="minorHAnsi"/>
        </w:rPr>
        <w:t xml:space="preserve"> for excellent exploration of how both Public and Private buildings with powerful historical associations continued to be used due to the role they played in Rome’s, “topography of power”.</w:t>
      </w:r>
    </w:p>
  </w:footnote>
  <w:footnote w:id="433">
    <w:p w:rsidR="00EC705D" w:rsidRPr="008B7862" w:rsidRDefault="00EC705D" w:rsidP="0046134A">
      <w:pPr>
        <w:pStyle w:val="FootnoteText"/>
        <w:rPr>
          <w:rFonts w:cstheme="minorHAnsi"/>
        </w:rPr>
      </w:pPr>
      <w:r w:rsidRPr="008B7862">
        <w:rPr>
          <w:rStyle w:val="FootnoteReference"/>
          <w:rFonts w:cstheme="minorHAnsi"/>
        </w:rPr>
        <w:footnoteRef/>
      </w:r>
      <w:r w:rsidRPr="008B7862">
        <w:rPr>
          <w:rFonts w:cstheme="minorHAnsi"/>
        </w:rPr>
        <w:t xml:space="preserve"> Richardson Jr., </w:t>
      </w:r>
      <w:proofErr w:type="gramStart"/>
      <w:r w:rsidRPr="008B7862">
        <w:rPr>
          <w:rFonts w:cstheme="minorHAnsi"/>
          <w:i/>
        </w:rPr>
        <w:t>A</w:t>
      </w:r>
      <w:proofErr w:type="gramEnd"/>
      <w:r w:rsidRPr="008B7862">
        <w:rPr>
          <w:rFonts w:cstheme="minorHAnsi"/>
          <w:i/>
        </w:rPr>
        <w:t xml:space="preserve"> New Topographical Dictionary</w:t>
      </w:r>
      <w:r w:rsidRPr="008B7862">
        <w:rPr>
          <w:rFonts w:cstheme="minorHAnsi"/>
        </w:rPr>
        <w:t>, P. 378.</w:t>
      </w:r>
    </w:p>
  </w:footnote>
  <w:footnote w:id="434">
    <w:p w:rsidR="00EC705D" w:rsidRPr="008B7862" w:rsidRDefault="00EC705D" w:rsidP="0046134A">
      <w:pPr>
        <w:pStyle w:val="FootnoteText"/>
        <w:tabs>
          <w:tab w:val="left" w:pos="6966"/>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pp. 103-105</w:t>
      </w:r>
      <w:r w:rsidRPr="008B7862">
        <w:rPr>
          <w:rFonts w:cstheme="minorHAnsi"/>
          <w:b/>
        </w:rPr>
        <w:t xml:space="preserve">; </w:t>
      </w:r>
      <w:r w:rsidRPr="008B7862">
        <w:rPr>
          <w:rFonts w:cstheme="minorHAnsi"/>
        </w:rPr>
        <w:t xml:space="preserve">Todd, </w:t>
      </w:r>
      <w:r w:rsidRPr="008B7862">
        <w:rPr>
          <w:rFonts w:cstheme="minorHAnsi"/>
          <w:i/>
        </w:rPr>
        <w:t>The Walls of Rome</w:t>
      </w:r>
      <w:r w:rsidRPr="008B7862">
        <w:rPr>
          <w:rFonts w:cstheme="minorHAnsi"/>
        </w:rPr>
        <w:t>, P. 82.</w:t>
      </w:r>
      <w:r w:rsidRPr="008B7862">
        <w:rPr>
          <w:rFonts w:cstheme="minorHAnsi"/>
        </w:rPr>
        <w:tab/>
      </w:r>
    </w:p>
  </w:footnote>
  <w:footnote w:id="435">
    <w:p w:rsidR="00EC705D" w:rsidRPr="008B7862" w:rsidRDefault="00EC705D" w:rsidP="0081093D">
      <w:pPr>
        <w:pStyle w:val="FootnoteText"/>
        <w:rPr>
          <w:rFonts w:cstheme="minorHAnsi"/>
        </w:rPr>
      </w:pPr>
      <w:r w:rsidRPr="008B7862">
        <w:rPr>
          <w:rStyle w:val="FootnoteReference"/>
          <w:rFonts w:cstheme="minorHAnsi"/>
        </w:rPr>
        <w:footnoteRef/>
      </w:r>
      <w:r w:rsidRPr="008B7862">
        <w:rPr>
          <w:rFonts w:cstheme="minorHAnsi"/>
        </w:rPr>
        <w:t xml:space="preserve"> Murray, J (ed.), </w:t>
      </w:r>
      <w:proofErr w:type="gramStart"/>
      <w:r w:rsidRPr="008B7862">
        <w:rPr>
          <w:rFonts w:cstheme="minorHAnsi"/>
          <w:i/>
        </w:rPr>
        <w:t>The</w:t>
      </w:r>
      <w:proofErr w:type="gramEnd"/>
      <w:r w:rsidRPr="008B7862">
        <w:rPr>
          <w:rFonts w:cstheme="minorHAnsi"/>
          <w:i/>
        </w:rPr>
        <w:t xml:space="preserve"> Autobiographies of Edward Gibbon Second Edition </w:t>
      </w:r>
      <w:r w:rsidRPr="008B7862">
        <w:rPr>
          <w:rFonts w:cstheme="minorHAnsi"/>
        </w:rPr>
        <w:t>(London, 1897), P. 302.</w:t>
      </w:r>
    </w:p>
  </w:footnote>
  <w:footnote w:id="436">
    <w:p w:rsidR="00EC705D" w:rsidRPr="008B7862" w:rsidRDefault="00EC705D" w:rsidP="0081093D">
      <w:pPr>
        <w:pStyle w:val="FootnoteText"/>
        <w:rPr>
          <w:rFonts w:cstheme="minorHAnsi"/>
        </w:rPr>
      </w:pPr>
      <w:r w:rsidRPr="008B7862">
        <w:rPr>
          <w:rStyle w:val="FootnoteReference"/>
          <w:rFonts w:cstheme="minorHAnsi"/>
        </w:rPr>
        <w:footnoteRef/>
      </w:r>
      <w:r w:rsidRPr="008B7862">
        <w:rPr>
          <w:rFonts w:cstheme="minorHAnsi"/>
        </w:rPr>
        <w:t xml:space="preserve"> Merrill, ‘Notitia and Curiosum’ P. 137.</w:t>
      </w:r>
    </w:p>
  </w:footnote>
  <w:footnote w:id="437">
    <w:p w:rsidR="00EC705D" w:rsidRPr="008B7862" w:rsidRDefault="00EC705D" w:rsidP="00B6603F">
      <w:pPr>
        <w:pStyle w:val="FootnoteText"/>
        <w:tabs>
          <w:tab w:val="left" w:pos="2445"/>
        </w:tabs>
        <w:rPr>
          <w:rFonts w:cstheme="minorHAnsi"/>
        </w:rPr>
      </w:pPr>
      <w:r w:rsidRPr="008B7862">
        <w:rPr>
          <w:rStyle w:val="FootnoteReference"/>
          <w:rFonts w:cstheme="minorHAnsi"/>
        </w:rPr>
        <w:footnoteRef/>
      </w:r>
      <w:r w:rsidRPr="008B7862">
        <w:rPr>
          <w:rFonts w:cstheme="minorHAnsi"/>
        </w:rPr>
        <w:t xml:space="preserve"> </w:t>
      </w:r>
      <w:proofErr w:type="gramStart"/>
      <w:r w:rsidRPr="008B7862">
        <w:rPr>
          <w:rFonts w:cstheme="minorHAnsi"/>
          <w:i/>
        </w:rPr>
        <w:t>Ibid</w:t>
      </w:r>
      <w:r w:rsidRPr="008B7862">
        <w:rPr>
          <w:rFonts w:cstheme="minorHAnsi"/>
        </w:rPr>
        <w:t>.,</w:t>
      </w:r>
      <w:proofErr w:type="gramEnd"/>
      <w:r w:rsidRPr="008B7862">
        <w:rPr>
          <w:rFonts w:cstheme="minorHAnsi"/>
        </w:rPr>
        <w:t xml:space="preserve"> P. 138.</w:t>
      </w:r>
      <w:r w:rsidRPr="008B7862">
        <w:rPr>
          <w:rFonts w:cstheme="minorHAnsi"/>
        </w:rPr>
        <w:tab/>
      </w:r>
    </w:p>
  </w:footnote>
  <w:footnote w:id="438">
    <w:p w:rsidR="00EC705D" w:rsidRPr="008B7862" w:rsidRDefault="00EC705D" w:rsidP="0081093D">
      <w:pPr>
        <w:pStyle w:val="FootnoteText"/>
        <w:rPr>
          <w:rFonts w:cstheme="minorHAnsi"/>
        </w:rPr>
      </w:pPr>
      <w:r w:rsidRPr="008B7862">
        <w:rPr>
          <w:rStyle w:val="FootnoteReference"/>
          <w:rFonts w:cstheme="minorHAnsi"/>
        </w:rPr>
        <w:footnoteRef/>
      </w:r>
      <w:r w:rsidRPr="008B7862">
        <w:rPr>
          <w:rFonts w:cstheme="minorHAnsi"/>
        </w:rPr>
        <w:t xml:space="preserve"> Tucci, ‘New fragments’, P. 476.</w:t>
      </w:r>
    </w:p>
  </w:footnote>
  <w:footnote w:id="439">
    <w:p w:rsidR="00EC705D" w:rsidRPr="008B7862" w:rsidRDefault="00EC705D" w:rsidP="00972DCE">
      <w:pPr>
        <w:pStyle w:val="FootnoteText"/>
        <w:rPr>
          <w:rFonts w:cstheme="minorHAnsi"/>
        </w:rPr>
      </w:pPr>
      <w:r w:rsidRPr="008B7862">
        <w:rPr>
          <w:rStyle w:val="FootnoteReference"/>
          <w:rFonts w:cstheme="minorHAnsi"/>
        </w:rPr>
        <w:footnoteRef/>
      </w:r>
      <w:r w:rsidRPr="008B7862">
        <w:rPr>
          <w:rFonts w:cstheme="minorHAnsi"/>
        </w:rPr>
        <w:t xml:space="preserve"> Transcribed from Henri Jordan, </w:t>
      </w:r>
      <w:r w:rsidRPr="008B7862">
        <w:rPr>
          <w:rFonts w:cstheme="minorHAnsi"/>
          <w:i/>
        </w:rPr>
        <w:t>Topographie der Stadt Rom in Alterthum Vol. 2</w:t>
      </w:r>
      <w:r w:rsidRPr="008B7862">
        <w:rPr>
          <w:rFonts w:cstheme="minorHAnsi"/>
        </w:rPr>
        <w:t xml:space="preserve">(1871), </w:t>
      </w:r>
      <w:proofErr w:type="gramStart"/>
      <w:r w:rsidRPr="008B7862">
        <w:rPr>
          <w:rFonts w:cstheme="minorHAnsi"/>
        </w:rPr>
        <w:t>pp</w:t>
      </w:r>
      <w:proofErr w:type="gramEnd"/>
      <w:r w:rsidRPr="008B7862">
        <w:rPr>
          <w:rFonts w:cstheme="minorHAnsi"/>
        </w:rPr>
        <w:t>. 543-571.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E5C"/>
    <w:rsid w:val="000052E7"/>
    <w:rsid w:val="0001182D"/>
    <w:rsid w:val="00014A72"/>
    <w:rsid w:val="00016E3E"/>
    <w:rsid w:val="00021AAA"/>
    <w:rsid w:val="0002337D"/>
    <w:rsid w:val="00025BF3"/>
    <w:rsid w:val="00036C93"/>
    <w:rsid w:val="00040ACF"/>
    <w:rsid w:val="000428E0"/>
    <w:rsid w:val="00042CD2"/>
    <w:rsid w:val="00046D28"/>
    <w:rsid w:val="00052514"/>
    <w:rsid w:val="0005272B"/>
    <w:rsid w:val="00054197"/>
    <w:rsid w:val="00054882"/>
    <w:rsid w:val="000567E4"/>
    <w:rsid w:val="000616F3"/>
    <w:rsid w:val="00064041"/>
    <w:rsid w:val="00066A5E"/>
    <w:rsid w:val="000733FB"/>
    <w:rsid w:val="00076FF2"/>
    <w:rsid w:val="00082952"/>
    <w:rsid w:val="00095742"/>
    <w:rsid w:val="00095DC1"/>
    <w:rsid w:val="00096170"/>
    <w:rsid w:val="00096398"/>
    <w:rsid w:val="000A490C"/>
    <w:rsid w:val="000A4EDE"/>
    <w:rsid w:val="000A7B71"/>
    <w:rsid w:val="000A7C92"/>
    <w:rsid w:val="000B3781"/>
    <w:rsid w:val="000C0AE4"/>
    <w:rsid w:val="000C306D"/>
    <w:rsid w:val="000C4010"/>
    <w:rsid w:val="000C666C"/>
    <w:rsid w:val="000C6B31"/>
    <w:rsid w:val="000D29DC"/>
    <w:rsid w:val="000D2B7D"/>
    <w:rsid w:val="000D48F6"/>
    <w:rsid w:val="000E2BCF"/>
    <w:rsid w:val="000E7ED6"/>
    <w:rsid w:val="000F0C3B"/>
    <w:rsid w:val="000F16A5"/>
    <w:rsid w:val="00104B2B"/>
    <w:rsid w:val="00105B2D"/>
    <w:rsid w:val="00110DB2"/>
    <w:rsid w:val="00114730"/>
    <w:rsid w:val="001166A9"/>
    <w:rsid w:val="001169AC"/>
    <w:rsid w:val="00122F69"/>
    <w:rsid w:val="0012393E"/>
    <w:rsid w:val="001253F8"/>
    <w:rsid w:val="00146598"/>
    <w:rsid w:val="00150FD6"/>
    <w:rsid w:val="001512AA"/>
    <w:rsid w:val="00160FBD"/>
    <w:rsid w:val="00163AAC"/>
    <w:rsid w:val="00175110"/>
    <w:rsid w:val="001768F2"/>
    <w:rsid w:val="00176E47"/>
    <w:rsid w:val="00182EFE"/>
    <w:rsid w:val="00183356"/>
    <w:rsid w:val="00186A99"/>
    <w:rsid w:val="00191F2F"/>
    <w:rsid w:val="00197A3C"/>
    <w:rsid w:val="00197D4D"/>
    <w:rsid w:val="001A04C3"/>
    <w:rsid w:val="001C1446"/>
    <w:rsid w:val="001C3B37"/>
    <w:rsid w:val="001C6E30"/>
    <w:rsid w:val="001D0129"/>
    <w:rsid w:val="001D293C"/>
    <w:rsid w:val="001D2CE1"/>
    <w:rsid w:val="001D4539"/>
    <w:rsid w:val="001D4736"/>
    <w:rsid w:val="001E0974"/>
    <w:rsid w:val="001E6F4E"/>
    <w:rsid w:val="001F1C61"/>
    <w:rsid w:val="001F63D2"/>
    <w:rsid w:val="00201C35"/>
    <w:rsid w:val="00202BDD"/>
    <w:rsid w:val="0021070D"/>
    <w:rsid w:val="00213F5B"/>
    <w:rsid w:val="002175F5"/>
    <w:rsid w:val="0023372E"/>
    <w:rsid w:val="0024084D"/>
    <w:rsid w:val="002411B6"/>
    <w:rsid w:val="002456E3"/>
    <w:rsid w:val="002522BC"/>
    <w:rsid w:val="00257E67"/>
    <w:rsid w:val="0026579D"/>
    <w:rsid w:val="00265B2E"/>
    <w:rsid w:val="00265C84"/>
    <w:rsid w:val="00274AA5"/>
    <w:rsid w:val="00276A2B"/>
    <w:rsid w:val="00280A29"/>
    <w:rsid w:val="00281510"/>
    <w:rsid w:val="002A19C9"/>
    <w:rsid w:val="002A3537"/>
    <w:rsid w:val="002A47C9"/>
    <w:rsid w:val="002A5C46"/>
    <w:rsid w:val="002B0E6E"/>
    <w:rsid w:val="002B1313"/>
    <w:rsid w:val="002B637C"/>
    <w:rsid w:val="002C2C8B"/>
    <w:rsid w:val="002C3251"/>
    <w:rsid w:val="002C36C7"/>
    <w:rsid w:val="002C5960"/>
    <w:rsid w:val="002C6E83"/>
    <w:rsid w:val="002D4202"/>
    <w:rsid w:val="002E4A43"/>
    <w:rsid w:val="002E6E4A"/>
    <w:rsid w:val="002F29BA"/>
    <w:rsid w:val="002F59EB"/>
    <w:rsid w:val="002F60DA"/>
    <w:rsid w:val="002F6883"/>
    <w:rsid w:val="00301134"/>
    <w:rsid w:val="0030130A"/>
    <w:rsid w:val="003038B0"/>
    <w:rsid w:val="00323C86"/>
    <w:rsid w:val="00326AF8"/>
    <w:rsid w:val="00330D3D"/>
    <w:rsid w:val="003408E8"/>
    <w:rsid w:val="00342E82"/>
    <w:rsid w:val="00347D46"/>
    <w:rsid w:val="00352EDB"/>
    <w:rsid w:val="00354E8E"/>
    <w:rsid w:val="00355934"/>
    <w:rsid w:val="00357B9B"/>
    <w:rsid w:val="003636F2"/>
    <w:rsid w:val="00364E59"/>
    <w:rsid w:val="00370C8C"/>
    <w:rsid w:val="00375DAD"/>
    <w:rsid w:val="00385C59"/>
    <w:rsid w:val="003924FE"/>
    <w:rsid w:val="00395A80"/>
    <w:rsid w:val="003A06C2"/>
    <w:rsid w:val="003B5AE4"/>
    <w:rsid w:val="003C3881"/>
    <w:rsid w:val="003F4B96"/>
    <w:rsid w:val="003F65A8"/>
    <w:rsid w:val="003F78D7"/>
    <w:rsid w:val="0040314F"/>
    <w:rsid w:val="004068C3"/>
    <w:rsid w:val="004104D6"/>
    <w:rsid w:val="004127CE"/>
    <w:rsid w:val="00413A3F"/>
    <w:rsid w:val="00425A1B"/>
    <w:rsid w:val="00426B0D"/>
    <w:rsid w:val="00437533"/>
    <w:rsid w:val="004426A0"/>
    <w:rsid w:val="00444856"/>
    <w:rsid w:val="00450AD1"/>
    <w:rsid w:val="0046134A"/>
    <w:rsid w:val="0046184E"/>
    <w:rsid w:val="00461FF0"/>
    <w:rsid w:val="0046414C"/>
    <w:rsid w:val="004677DE"/>
    <w:rsid w:val="00482735"/>
    <w:rsid w:val="004843F8"/>
    <w:rsid w:val="0048561F"/>
    <w:rsid w:val="00486B37"/>
    <w:rsid w:val="0049637A"/>
    <w:rsid w:val="00496512"/>
    <w:rsid w:val="0049756E"/>
    <w:rsid w:val="00497923"/>
    <w:rsid w:val="004A1254"/>
    <w:rsid w:val="004A2CEC"/>
    <w:rsid w:val="004A53CF"/>
    <w:rsid w:val="004B42E9"/>
    <w:rsid w:val="004B6A67"/>
    <w:rsid w:val="004B7DB9"/>
    <w:rsid w:val="004C2737"/>
    <w:rsid w:val="004C3187"/>
    <w:rsid w:val="004C7171"/>
    <w:rsid w:val="004D3DB8"/>
    <w:rsid w:val="004D4C90"/>
    <w:rsid w:val="004D7E6B"/>
    <w:rsid w:val="004F21D0"/>
    <w:rsid w:val="004F2C33"/>
    <w:rsid w:val="004F684D"/>
    <w:rsid w:val="004F6B0E"/>
    <w:rsid w:val="005064C8"/>
    <w:rsid w:val="00506FE9"/>
    <w:rsid w:val="00523ECB"/>
    <w:rsid w:val="00524F6A"/>
    <w:rsid w:val="005305E9"/>
    <w:rsid w:val="00533183"/>
    <w:rsid w:val="00536901"/>
    <w:rsid w:val="0054596C"/>
    <w:rsid w:val="00550677"/>
    <w:rsid w:val="00551E4B"/>
    <w:rsid w:val="00564D33"/>
    <w:rsid w:val="00573388"/>
    <w:rsid w:val="00573A6D"/>
    <w:rsid w:val="00574B79"/>
    <w:rsid w:val="00590D66"/>
    <w:rsid w:val="00592B39"/>
    <w:rsid w:val="005947CB"/>
    <w:rsid w:val="005A222E"/>
    <w:rsid w:val="005A2527"/>
    <w:rsid w:val="005A3F02"/>
    <w:rsid w:val="005A6195"/>
    <w:rsid w:val="005A71E2"/>
    <w:rsid w:val="005B2DEC"/>
    <w:rsid w:val="005C475D"/>
    <w:rsid w:val="005C4E8D"/>
    <w:rsid w:val="005C6C36"/>
    <w:rsid w:val="005D19C6"/>
    <w:rsid w:val="005E1455"/>
    <w:rsid w:val="005E4BE4"/>
    <w:rsid w:val="005E7120"/>
    <w:rsid w:val="005E7C25"/>
    <w:rsid w:val="005F798E"/>
    <w:rsid w:val="0060150C"/>
    <w:rsid w:val="00602500"/>
    <w:rsid w:val="00603173"/>
    <w:rsid w:val="0060496B"/>
    <w:rsid w:val="0060674D"/>
    <w:rsid w:val="00610FCD"/>
    <w:rsid w:val="006137F3"/>
    <w:rsid w:val="006171B5"/>
    <w:rsid w:val="00621301"/>
    <w:rsid w:val="00631532"/>
    <w:rsid w:val="006363EB"/>
    <w:rsid w:val="00640A17"/>
    <w:rsid w:val="006417EE"/>
    <w:rsid w:val="00643B1F"/>
    <w:rsid w:val="0064451D"/>
    <w:rsid w:val="00647263"/>
    <w:rsid w:val="00656F16"/>
    <w:rsid w:val="00657E36"/>
    <w:rsid w:val="00660606"/>
    <w:rsid w:val="006674B8"/>
    <w:rsid w:val="00667627"/>
    <w:rsid w:val="00676018"/>
    <w:rsid w:val="00687881"/>
    <w:rsid w:val="00690CCE"/>
    <w:rsid w:val="006A23B1"/>
    <w:rsid w:val="006A2642"/>
    <w:rsid w:val="006A4317"/>
    <w:rsid w:val="006A7CE4"/>
    <w:rsid w:val="006B0902"/>
    <w:rsid w:val="006B175F"/>
    <w:rsid w:val="006B3B52"/>
    <w:rsid w:val="006B4124"/>
    <w:rsid w:val="006B4565"/>
    <w:rsid w:val="006B7CB7"/>
    <w:rsid w:val="006C07CC"/>
    <w:rsid w:val="006C1423"/>
    <w:rsid w:val="006C22C8"/>
    <w:rsid w:val="006C62EE"/>
    <w:rsid w:val="006D06BD"/>
    <w:rsid w:val="006D1C71"/>
    <w:rsid w:val="006D2A5F"/>
    <w:rsid w:val="006D6CDA"/>
    <w:rsid w:val="006E1E5C"/>
    <w:rsid w:val="006F0AB3"/>
    <w:rsid w:val="006F0FD6"/>
    <w:rsid w:val="006F2232"/>
    <w:rsid w:val="006F23C4"/>
    <w:rsid w:val="006F6463"/>
    <w:rsid w:val="0070136E"/>
    <w:rsid w:val="007039DE"/>
    <w:rsid w:val="00706024"/>
    <w:rsid w:val="00717F15"/>
    <w:rsid w:val="00722391"/>
    <w:rsid w:val="00722863"/>
    <w:rsid w:val="00722EAB"/>
    <w:rsid w:val="00741772"/>
    <w:rsid w:val="00744FD5"/>
    <w:rsid w:val="00753AD2"/>
    <w:rsid w:val="007602C3"/>
    <w:rsid w:val="007623A4"/>
    <w:rsid w:val="00764C26"/>
    <w:rsid w:val="00765BAB"/>
    <w:rsid w:val="0077597E"/>
    <w:rsid w:val="00782CE7"/>
    <w:rsid w:val="00784C52"/>
    <w:rsid w:val="00785BF5"/>
    <w:rsid w:val="00787554"/>
    <w:rsid w:val="007A274E"/>
    <w:rsid w:val="007A3F5E"/>
    <w:rsid w:val="007A68F6"/>
    <w:rsid w:val="007B176D"/>
    <w:rsid w:val="007B50AB"/>
    <w:rsid w:val="007B7135"/>
    <w:rsid w:val="007B71B0"/>
    <w:rsid w:val="007C365A"/>
    <w:rsid w:val="007C5405"/>
    <w:rsid w:val="007D182A"/>
    <w:rsid w:val="007D31A3"/>
    <w:rsid w:val="007D3266"/>
    <w:rsid w:val="007D3A7D"/>
    <w:rsid w:val="007D570B"/>
    <w:rsid w:val="007D6DDC"/>
    <w:rsid w:val="007E21E1"/>
    <w:rsid w:val="007F1BDB"/>
    <w:rsid w:val="00801022"/>
    <w:rsid w:val="00801D31"/>
    <w:rsid w:val="008039FB"/>
    <w:rsid w:val="00805C4D"/>
    <w:rsid w:val="00805C67"/>
    <w:rsid w:val="008066FF"/>
    <w:rsid w:val="008072F2"/>
    <w:rsid w:val="0081093D"/>
    <w:rsid w:val="008142FC"/>
    <w:rsid w:val="00816137"/>
    <w:rsid w:val="00816ED1"/>
    <w:rsid w:val="00820B3F"/>
    <w:rsid w:val="00822108"/>
    <w:rsid w:val="00825938"/>
    <w:rsid w:val="0083055F"/>
    <w:rsid w:val="008333D8"/>
    <w:rsid w:val="008361E3"/>
    <w:rsid w:val="00836682"/>
    <w:rsid w:val="00836C2D"/>
    <w:rsid w:val="00840ADC"/>
    <w:rsid w:val="008468C7"/>
    <w:rsid w:val="008521AD"/>
    <w:rsid w:val="0085288B"/>
    <w:rsid w:val="008560A9"/>
    <w:rsid w:val="0085697B"/>
    <w:rsid w:val="00860B16"/>
    <w:rsid w:val="008654B4"/>
    <w:rsid w:val="00866823"/>
    <w:rsid w:val="008706A1"/>
    <w:rsid w:val="0087599E"/>
    <w:rsid w:val="00876004"/>
    <w:rsid w:val="00877C4D"/>
    <w:rsid w:val="008807A0"/>
    <w:rsid w:val="00881EA0"/>
    <w:rsid w:val="008902C4"/>
    <w:rsid w:val="008944DF"/>
    <w:rsid w:val="008A5D40"/>
    <w:rsid w:val="008A797A"/>
    <w:rsid w:val="008B01B2"/>
    <w:rsid w:val="008B44B0"/>
    <w:rsid w:val="008B7862"/>
    <w:rsid w:val="008B7ADA"/>
    <w:rsid w:val="008D25B7"/>
    <w:rsid w:val="008D31F9"/>
    <w:rsid w:val="008D7961"/>
    <w:rsid w:val="008D7BDB"/>
    <w:rsid w:val="008E023B"/>
    <w:rsid w:val="008E0604"/>
    <w:rsid w:val="008E0CD5"/>
    <w:rsid w:val="008E78E8"/>
    <w:rsid w:val="008E7BDA"/>
    <w:rsid w:val="008F4329"/>
    <w:rsid w:val="008F494F"/>
    <w:rsid w:val="008F698A"/>
    <w:rsid w:val="00902636"/>
    <w:rsid w:val="00907B07"/>
    <w:rsid w:val="00910529"/>
    <w:rsid w:val="00911594"/>
    <w:rsid w:val="0091291A"/>
    <w:rsid w:val="00916361"/>
    <w:rsid w:val="00920F33"/>
    <w:rsid w:val="00925224"/>
    <w:rsid w:val="0093299C"/>
    <w:rsid w:val="00933A44"/>
    <w:rsid w:val="009356FB"/>
    <w:rsid w:val="009366B8"/>
    <w:rsid w:val="00945F03"/>
    <w:rsid w:val="00951DCC"/>
    <w:rsid w:val="0095241A"/>
    <w:rsid w:val="0095335D"/>
    <w:rsid w:val="009540E7"/>
    <w:rsid w:val="009556E6"/>
    <w:rsid w:val="009575B9"/>
    <w:rsid w:val="00965A99"/>
    <w:rsid w:val="00966CD0"/>
    <w:rsid w:val="00970496"/>
    <w:rsid w:val="00970930"/>
    <w:rsid w:val="0097190B"/>
    <w:rsid w:val="00972DCE"/>
    <w:rsid w:val="009867D2"/>
    <w:rsid w:val="0099477F"/>
    <w:rsid w:val="00996C25"/>
    <w:rsid w:val="009A041F"/>
    <w:rsid w:val="009A0582"/>
    <w:rsid w:val="009A1E36"/>
    <w:rsid w:val="009A2E16"/>
    <w:rsid w:val="009A303B"/>
    <w:rsid w:val="009B34F3"/>
    <w:rsid w:val="009B427E"/>
    <w:rsid w:val="009C2896"/>
    <w:rsid w:val="009C4CB0"/>
    <w:rsid w:val="009C7396"/>
    <w:rsid w:val="009C7AF1"/>
    <w:rsid w:val="009D1DD8"/>
    <w:rsid w:val="009D5A24"/>
    <w:rsid w:val="009E6AB2"/>
    <w:rsid w:val="009E6CB4"/>
    <w:rsid w:val="009E7336"/>
    <w:rsid w:val="009E79C9"/>
    <w:rsid w:val="009F365C"/>
    <w:rsid w:val="00A01A28"/>
    <w:rsid w:val="00A059B2"/>
    <w:rsid w:val="00A167D6"/>
    <w:rsid w:val="00A206BB"/>
    <w:rsid w:val="00A2092A"/>
    <w:rsid w:val="00A218EE"/>
    <w:rsid w:val="00A23542"/>
    <w:rsid w:val="00A24B94"/>
    <w:rsid w:val="00A2673C"/>
    <w:rsid w:val="00A3137A"/>
    <w:rsid w:val="00A32B7F"/>
    <w:rsid w:val="00A44B33"/>
    <w:rsid w:val="00A46203"/>
    <w:rsid w:val="00A46BA7"/>
    <w:rsid w:val="00A47387"/>
    <w:rsid w:val="00A473AA"/>
    <w:rsid w:val="00A51DFC"/>
    <w:rsid w:val="00A52190"/>
    <w:rsid w:val="00A604F4"/>
    <w:rsid w:val="00A612CB"/>
    <w:rsid w:val="00A66332"/>
    <w:rsid w:val="00A67828"/>
    <w:rsid w:val="00A720D0"/>
    <w:rsid w:val="00A72BB9"/>
    <w:rsid w:val="00A72FE2"/>
    <w:rsid w:val="00A7393C"/>
    <w:rsid w:val="00A74DCB"/>
    <w:rsid w:val="00A8582C"/>
    <w:rsid w:val="00A879E8"/>
    <w:rsid w:val="00A91492"/>
    <w:rsid w:val="00A956F4"/>
    <w:rsid w:val="00AA5568"/>
    <w:rsid w:val="00AA6B30"/>
    <w:rsid w:val="00AB606C"/>
    <w:rsid w:val="00AB6280"/>
    <w:rsid w:val="00AB73ED"/>
    <w:rsid w:val="00AC0619"/>
    <w:rsid w:val="00AC10CA"/>
    <w:rsid w:val="00AC1E92"/>
    <w:rsid w:val="00AC6F00"/>
    <w:rsid w:val="00AD6D75"/>
    <w:rsid w:val="00AE2C65"/>
    <w:rsid w:val="00AE4B8D"/>
    <w:rsid w:val="00AE5718"/>
    <w:rsid w:val="00AE5A32"/>
    <w:rsid w:val="00AE7BEB"/>
    <w:rsid w:val="00AF0A61"/>
    <w:rsid w:val="00AF2C58"/>
    <w:rsid w:val="00AF3108"/>
    <w:rsid w:val="00AF319C"/>
    <w:rsid w:val="00AF3C7C"/>
    <w:rsid w:val="00B003FC"/>
    <w:rsid w:val="00B034D4"/>
    <w:rsid w:val="00B0500A"/>
    <w:rsid w:val="00B05459"/>
    <w:rsid w:val="00B06566"/>
    <w:rsid w:val="00B11848"/>
    <w:rsid w:val="00B13918"/>
    <w:rsid w:val="00B17940"/>
    <w:rsid w:val="00B30E04"/>
    <w:rsid w:val="00B32E8B"/>
    <w:rsid w:val="00B36E06"/>
    <w:rsid w:val="00B3711E"/>
    <w:rsid w:val="00B4043B"/>
    <w:rsid w:val="00B41724"/>
    <w:rsid w:val="00B42DC7"/>
    <w:rsid w:val="00B43310"/>
    <w:rsid w:val="00B526B9"/>
    <w:rsid w:val="00B54555"/>
    <w:rsid w:val="00B6603F"/>
    <w:rsid w:val="00B674AD"/>
    <w:rsid w:val="00B71323"/>
    <w:rsid w:val="00B745E7"/>
    <w:rsid w:val="00B777B2"/>
    <w:rsid w:val="00B83FCF"/>
    <w:rsid w:val="00B87B77"/>
    <w:rsid w:val="00B952E8"/>
    <w:rsid w:val="00B96FE5"/>
    <w:rsid w:val="00BA57CF"/>
    <w:rsid w:val="00BA743A"/>
    <w:rsid w:val="00BB3F13"/>
    <w:rsid w:val="00BB6603"/>
    <w:rsid w:val="00BB66EA"/>
    <w:rsid w:val="00BC0C4C"/>
    <w:rsid w:val="00BC12EF"/>
    <w:rsid w:val="00BC34DA"/>
    <w:rsid w:val="00BD1EFD"/>
    <w:rsid w:val="00BE015B"/>
    <w:rsid w:val="00BF285B"/>
    <w:rsid w:val="00BF5786"/>
    <w:rsid w:val="00C00213"/>
    <w:rsid w:val="00C003D2"/>
    <w:rsid w:val="00C02123"/>
    <w:rsid w:val="00C14091"/>
    <w:rsid w:val="00C26365"/>
    <w:rsid w:val="00C2672D"/>
    <w:rsid w:val="00C33DE5"/>
    <w:rsid w:val="00C41DC5"/>
    <w:rsid w:val="00C43F79"/>
    <w:rsid w:val="00C501BA"/>
    <w:rsid w:val="00C55A2A"/>
    <w:rsid w:val="00C570A9"/>
    <w:rsid w:val="00C62DF0"/>
    <w:rsid w:val="00C63702"/>
    <w:rsid w:val="00C645A8"/>
    <w:rsid w:val="00C722EF"/>
    <w:rsid w:val="00C76CC5"/>
    <w:rsid w:val="00C812B0"/>
    <w:rsid w:val="00C864FC"/>
    <w:rsid w:val="00C866B3"/>
    <w:rsid w:val="00CA02FC"/>
    <w:rsid w:val="00CB0D3E"/>
    <w:rsid w:val="00CB4155"/>
    <w:rsid w:val="00CB490D"/>
    <w:rsid w:val="00CC6095"/>
    <w:rsid w:val="00CC637F"/>
    <w:rsid w:val="00CF2F4D"/>
    <w:rsid w:val="00D00407"/>
    <w:rsid w:val="00D04D68"/>
    <w:rsid w:val="00D060B3"/>
    <w:rsid w:val="00D153D7"/>
    <w:rsid w:val="00D16568"/>
    <w:rsid w:val="00D21BEF"/>
    <w:rsid w:val="00D246E9"/>
    <w:rsid w:val="00D2514C"/>
    <w:rsid w:val="00D27B71"/>
    <w:rsid w:val="00D310C2"/>
    <w:rsid w:val="00D3144C"/>
    <w:rsid w:val="00D32468"/>
    <w:rsid w:val="00D351C7"/>
    <w:rsid w:val="00D534AA"/>
    <w:rsid w:val="00D5359D"/>
    <w:rsid w:val="00D55BB7"/>
    <w:rsid w:val="00D55C25"/>
    <w:rsid w:val="00D5607C"/>
    <w:rsid w:val="00D632B4"/>
    <w:rsid w:val="00D6440E"/>
    <w:rsid w:val="00D665FC"/>
    <w:rsid w:val="00D727C4"/>
    <w:rsid w:val="00D84279"/>
    <w:rsid w:val="00D8439B"/>
    <w:rsid w:val="00D86111"/>
    <w:rsid w:val="00D87D21"/>
    <w:rsid w:val="00D91D3F"/>
    <w:rsid w:val="00DA2946"/>
    <w:rsid w:val="00DB50D4"/>
    <w:rsid w:val="00DB632E"/>
    <w:rsid w:val="00DC268E"/>
    <w:rsid w:val="00DC4533"/>
    <w:rsid w:val="00DD42FA"/>
    <w:rsid w:val="00DD5328"/>
    <w:rsid w:val="00DE3BD3"/>
    <w:rsid w:val="00DF1B24"/>
    <w:rsid w:val="00DF274F"/>
    <w:rsid w:val="00DF75BC"/>
    <w:rsid w:val="00E01B1B"/>
    <w:rsid w:val="00E07BAD"/>
    <w:rsid w:val="00E10D9D"/>
    <w:rsid w:val="00E13ED6"/>
    <w:rsid w:val="00E15AD1"/>
    <w:rsid w:val="00E261D5"/>
    <w:rsid w:val="00E301B4"/>
    <w:rsid w:val="00E34DD8"/>
    <w:rsid w:val="00E36B5B"/>
    <w:rsid w:val="00E54385"/>
    <w:rsid w:val="00E549C1"/>
    <w:rsid w:val="00E60A99"/>
    <w:rsid w:val="00E61BB2"/>
    <w:rsid w:val="00E61F1A"/>
    <w:rsid w:val="00E6260C"/>
    <w:rsid w:val="00E64EB9"/>
    <w:rsid w:val="00E6660B"/>
    <w:rsid w:val="00E715CF"/>
    <w:rsid w:val="00E71EC5"/>
    <w:rsid w:val="00E73617"/>
    <w:rsid w:val="00E743CB"/>
    <w:rsid w:val="00E756D7"/>
    <w:rsid w:val="00E7782B"/>
    <w:rsid w:val="00E81061"/>
    <w:rsid w:val="00E9160B"/>
    <w:rsid w:val="00E94AD9"/>
    <w:rsid w:val="00E9665F"/>
    <w:rsid w:val="00E96E98"/>
    <w:rsid w:val="00EA0AE5"/>
    <w:rsid w:val="00EA0C5F"/>
    <w:rsid w:val="00EA404F"/>
    <w:rsid w:val="00EA70A3"/>
    <w:rsid w:val="00EB0030"/>
    <w:rsid w:val="00EB299E"/>
    <w:rsid w:val="00EB3070"/>
    <w:rsid w:val="00EB7428"/>
    <w:rsid w:val="00EC0E96"/>
    <w:rsid w:val="00EC2683"/>
    <w:rsid w:val="00EC40BD"/>
    <w:rsid w:val="00EC4F54"/>
    <w:rsid w:val="00EC705D"/>
    <w:rsid w:val="00ED38DB"/>
    <w:rsid w:val="00EF3B18"/>
    <w:rsid w:val="00EF3BBB"/>
    <w:rsid w:val="00EF6BCC"/>
    <w:rsid w:val="00EF6C99"/>
    <w:rsid w:val="00EF7BAD"/>
    <w:rsid w:val="00F11669"/>
    <w:rsid w:val="00F13E8A"/>
    <w:rsid w:val="00F22076"/>
    <w:rsid w:val="00F31FAB"/>
    <w:rsid w:val="00F3516D"/>
    <w:rsid w:val="00F3656F"/>
    <w:rsid w:val="00F367CD"/>
    <w:rsid w:val="00F4313D"/>
    <w:rsid w:val="00F544D4"/>
    <w:rsid w:val="00F56C98"/>
    <w:rsid w:val="00F630A0"/>
    <w:rsid w:val="00F647C5"/>
    <w:rsid w:val="00F73D00"/>
    <w:rsid w:val="00F775F6"/>
    <w:rsid w:val="00F81B31"/>
    <w:rsid w:val="00F85F95"/>
    <w:rsid w:val="00F90328"/>
    <w:rsid w:val="00F91B1F"/>
    <w:rsid w:val="00F924EE"/>
    <w:rsid w:val="00F934F1"/>
    <w:rsid w:val="00F95193"/>
    <w:rsid w:val="00F97BFB"/>
    <w:rsid w:val="00FB0E26"/>
    <w:rsid w:val="00FB14C7"/>
    <w:rsid w:val="00FB76CA"/>
    <w:rsid w:val="00FC5496"/>
    <w:rsid w:val="00FD1646"/>
    <w:rsid w:val="00FD364D"/>
    <w:rsid w:val="00FD5E24"/>
    <w:rsid w:val="00FD7D2E"/>
    <w:rsid w:val="00FE49B1"/>
    <w:rsid w:val="00FE5683"/>
    <w:rsid w:val="00FF5C5E"/>
    <w:rsid w:val="00FF64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E5C"/>
    <w:rPr>
      <w:rFonts w:eastAsia="PMingLi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E1E5C"/>
    <w:pPr>
      <w:spacing w:after="0" w:line="240" w:lineRule="auto"/>
    </w:pPr>
    <w:rPr>
      <w:sz w:val="20"/>
      <w:szCs w:val="20"/>
    </w:rPr>
  </w:style>
  <w:style w:type="character" w:customStyle="1" w:styleId="FootnoteTextChar">
    <w:name w:val="Footnote Text Char"/>
    <w:basedOn w:val="DefaultParagraphFont"/>
    <w:link w:val="FootnoteText"/>
    <w:uiPriority w:val="99"/>
    <w:rsid w:val="006E1E5C"/>
    <w:rPr>
      <w:rFonts w:eastAsia="PMingLiU"/>
      <w:sz w:val="20"/>
      <w:szCs w:val="20"/>
    </w:rPr>
  </w:style>
  <w:style w:type="paragraph" w:styleId="CommentText">
    <w:name w:val="annotation text"/>
    <w:basedOn w:val="Normal"/>
    <w:link w:val="CommentTextChar"/>
    <w:uiPriority w:val="99"/>
    <w:unhideWhenUsed/>
    <w:rsid w:val="006E1E5C"/>
    <w:pPr>
      <w:spacing w:line="240" w:lineRule="auto"/>
    </w:pPr>
    <w:rPr>
      <w:sz w:val="20"/>
      <w:szCs w:val="20"/>
    </w:rPr>
  </w:style>
  <w:style w:type="character" w:customStyle="1" w:styleId="CommentTextChar">
    <w:name w:val="Comment Text Char"/>
    <w:basedOn w:val="DefaultParagraphFont"/>
    <w:link w:val="CommentText"/>
    <w:uiPriority w:val="99"/>
    <w:rsid w:val="006E1E5C"/>
    <w:rPr>
      <w:rFonts w:eastAsia="PMingLiU"/>
      <w:sz w:val="20"/>
      <w:szCs w:val="20"/>
    </w:rPr>
  </w:style>
  <w:style w:type="character" w:styleId="FootnoteReference">
    <w:name w:val="footnote reference"/>
    <w:basedOn w:val="DefaultParagraphFont"/>
    <w:uiPriority w:val="99"/>
    <w:semiHidden/>
    <w:unhideWhenUsed/>
    <w:rsid w:val="006E1E5C"/>
    <w:rPr>
      <w:vertAlign w:val="superscript"/>
    </w:rPr>
  </w:style>
  <w:style w:type="character" w:customStyle="1" w:styleId="apple-converted-space">
    <w:name w:val="apple-converted-space"/>
    <w:basedOn w:val="DefaultParagraphFont"/>
    <w:rsid w:val="006E1E5C"/>
  </w:style>
  <w:style w:type="character" w:styleId="CommentReference">
    <w:name w:val="annotation reference"/>
    <w:basedOn w:val="DefaultParagraphFont"/>
    <w:uiPriority w:val="99"/>
    <w:semiHidden/>
    <w:unhideWhenUsed/>
    <w:rsid w:val="00E756D7"/>
    <w:rPr>
      <w:sz w:val="16"/>
      <w:szCs w:val="16"/>
    </w:rPr>
  </w:style>
  <w:style w:type="paragraph" w:styleId="BalloonText">
    <w:name w:val="Balloon Text"/>
    <w:basedOn w:val="Normal"/>
    <w:link w:val="BalloonTextChar"/>
    <w:uiPriority w:val="99"/>
    <w:semiHidden/>
    <w:unhideWhenUsed/>
    <w:rsid w:val="00E7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6D7"/>
    <w:rPr>
      <w:rFonts w:ascii="Tahoma" w:eastAsia="PMingLiU" w:hAnsi="Tahoma" w:cs="Tahoma"/>
      <w:sz w:val="16"/>
      <w:szCs w:val="16"/>
    </w:rPr>
  </w:style>
  <w:style w:type="paragraph" w:styleId="Header">
    <w:name w:val="header"/>
    <w:basedOn w:val="Normal"/>
    <w:link w:val="HeaderChar"/>
    <w:uiPriority w:val="99"/>
    <w:unhideWhenUsed/>
    <w:rsid w:val="002B63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37C"/>
    <w:rPr>
      <w:rFonts w:eastAsia="PMingLiU"/>
    </w:rPr>
  </w:style>
  <w:style w:type="paragraph" w:styleId="Footer">
    <w:name w:val="footer"/>
    <w:basedOn w:val="Normal"/>
    <w:link w:val="FooterChar"/>
    <w:uiPriority w:val="99"/>
    <w:unhideWhenUsed/>
    <w:rsid w:val="002B63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37C"/>
    <w:rPr>
      <w:rFonts w:eastAsia="PMingLiU"/>
    </w:rPr>
  </w:style>
  <w:style w:type="paragraph" w:styleId="CommentSubject">
    <w:name w:val="annotation subject"/>
    <w:basedOn w:val="CommentText"/>
    <w:next w:val="CommentText"/>
    <w:link w:val="CommentSubjectChar"/>
    <w:uiPriority w:val="99"/>
    <w:semiHidden/>
    <w:unhideWhenUsed/>
    <w:rsid w:val="00996C25"/>
    <w:rPr>
      <w:b/>
      <w:bCs/>
    </w:rPr>
  </w:style>
  <w:style w:type="character" w:customStyle="1" w:styleId="CommentSubjectChar">
    <w:name w:val="Comment Subject Char"/>
    <w:basedOn w:val="CommentTextChar"/>
    <w:link w:val="CommentSubject"/>
    <w:uiPriority w:val="99"/>
    <w:semiHidden/>
    <w:rsid w:val="00996C25"/>
    <w:rPr>
      <w:rFonts w:eastAsia="PMingLiU"/>
      <w:b/>
      <w:bCs/>
      <w:sz w:val="20"/>
      <w:szCs w:val="20"/>
    </w:rPr>
  </w:style>
  <w:style w:type="character" w:styleId="Hyperlink">
    <w:name w:val="Hyperlink"/>
    <w:basedOn w:val="DefaultParagraphFont"/>
    <w:uiPriority w:val="99"/>
    <w:unhideWhenUsed/>
    <w:rsid w:val="00A66332"/>
    <w:rPr>
      <w:color w:val="0000FF" w:themeColor="hyperlink"/>
      <w:u w:val="single"/>
    </w:rPr>
  </w:style>
  <w:style w:type="table" w:styleId="TableGrid">
    <w:name w:val="Table Grid"/>
    <w:basedOn w:val="TableNormal"/>
    <w:uiPriority w:val="59"/>
    <w:rsid w:val="005C6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doverline">
    <w:name w:val="td_overline"/>
    <w:basedOn w:val="DefaultParagraphFont"/>
    <w:rsid w:val="005C6C36"/>
  </w:style>
  <w:style w:type="paragraph" w:customStyle="1" w:styleId="Default">
    <w:name w:val="Default"/>
    <w:rsid w:val="00551E4B"/>
    <w:pPr>
      <w:autoSpaceDE w:val="0"/>
      <w:autoSpaceDN w:val="0"/>
      <w:adjustRightInd w:val="0"/>
      <w:spacing w:after="0" w:line="240" w:lineRule="auto"/>
    </w:pPr>
    <w:rPr>
      <w:rFonts w:ascii="Code" w:eastAsia="PMingLiU" w:hAnsi="Code" w:cs="Code"/>
      <w:color w:val="000000"/>
      <w:sz w:val="24"/>
      <w:szCs w:val="24"/>
    </w:rPr>
  </w:style>
  <w:style w:type="character" w:customStyle="1" w:styleId="briefcittitle">
    <w:name w:val="briefcittitle"/>
    <w:basedOn w:val="DefaultParagraphFont"/>
    <w:rsid w:val="00122F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E5C"/>
    <w:rPr>
      <w:rFonts w:eastAsia="PMingLi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E1E5C"/>
    <w:pPr>
      <w:spacing w:after="0" w:line="240" w:lineRule="auto"/>
    </w:pPr>
    <w:rPr>
      <w:sz w:val="20"/>
      <w:szCs w:val="20"/>
    </w:rPr>
  </w:style>
  <w:style w:type="character" w:customStyle="1" w:styleId="FootnoteTextChar">
    <w:name w:val="Footnote Text Char"/>
    <w:basedOn w:val="DefaultParagraphFont"/>
    <w:link w:val="FootnoteText"/>
    <w:uiPriority w:val="99"/>
    <w:rsid w:val="006E1E5C"/>
    <w:rPr>
      <w:rFonts w:eastAsia="PMingLiU"/>
      <w:sz w:val="20"/>
      <w:szCs w:val="20"/>
    </w:rPr>
  </w:style>
  <w:style w:type="paragraph" w:styleId="CommentText">
    <w:name w:val="annotation text"/>
    <w:basedOn w:val="Normal"/>
    <w:link w:val="CommentTextChar"/>
    <w:uiPriority w:val="99"/>
    <w:unhideWhenUsed/>
    <w:rsid w:val="006E1E5C"/>
    <w:pPr>
      <w:spacing w:line="240" w:lineRule="auto"/>
    </w:pPr>
    <w:rPr>
      <w:sz w:val="20"/>
      <w:szCs w:val="20"/>
    </w:rPr>
  </w:style>
  <w:style w:type="character" w:customStyle="1" w:styleId="CommentTextChar">
    <w:name w:val="Comment Text Char"/>
    <w:basedOn w:val="DefaultParagraphFont"/>
    <w:link w:val="CommentText"/>
    <w:uiPriority w:val="99"/>
    <w:rsid w:val="006E1E5C"/>
    <w:rPr>
      <w:rFonts w:eastAsia="PMingLiU"/>
      <w:sz w:val="20"/>
      <w:szCs w:val="20"/>
    </w:rPr>
  </w:style>
  <w:style w:type="character" w:styleId="FootnoteReference">
    <w:name w:val="footnote reference"/>
    <w:basedOn w:val="DefaultParagraphFont"/>
    <w:uiPriority w:val="99"/>
    <w:semiHidden/>
    <w:unhideWhenUsed/>
    <w:rsid w:val="006E1E5C"/>
    <w:rPr>
      <w:vertAlign w:val="superscript"/>
    </w:rPr>
  </w:style>
  <w:style w:type="character" w:customStyle="1" w:styleId="apple-converted-space">
    <w:name w:val="apple-converted-space"/>
    <w:basedOn w:val="DefaultParagraphFont"/>
    <w:rsid w:val="006E1E5C"/>
  </w:style>
  <w:style w:type="character" w:styleId="CommentReference">
    <w:name w:val="annotation reference"/>
    <w:basedOn w:val="DefaultParagraphFont"/>
    <w:uiPriority w:val="99"/>
    <w:semiHidden/>
    <w:unhideWhenUsed/>
    <w:rsid w:val="00E756D7"/>
    <w:rPr>
      <w:sz w:val="16"/>
      <w:szCs w:val="16"/>
    </w:rPr>
  </w:style>
  <w:style w:type="paragraph" w:styleId="BalloonText">
    <w:name w:val="Balloon Text"/>
    <w:basedOn w:val="Normal"/>
    <w:link w:val="BalloonTextChar"/>
    <w:uiPriority w:val="99"/>
    <w:semiHidden/>
    <w:unhideWhenUsed/>
    <w:rsid w:val="00E7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6D7"/>
    <w:rPr>
      <w:rFonts w:ascii="Tahoma" w:eastAsia="PMingLiU" w:hAnsi="Tahoma" w:cs="Tahoma"/>
      <w:sz w:val="16"/>
      <w:szCs w:val="16"/>
    </w:rPr>
  </w:style>
  <w:style w:type="paragraph" w:styleId="Header">
    <w:name w:val="header"/>
    <w:basedOn w:val="Normal"/>
    <w:link w:val="HeaderChar"/>
    <w:uiPriority w:val="99"/>
    <w:unhideWhenUsed/>
    <w:rsid w:val="002B63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37C"/>
    <w:rPr>
      <w:rFonts w:eastAsia="PMingLiU"/>
    </w:rPr>
  </w:style>
  <w:style w:type="paragraph" w:styleId="Footer">
    <w:name w:val="footer"/>
    <w:basedOn w:val="Normal"/>
    <w:link w:val="FooterChar"/>
    <w:uiPriority w:val="99"/>
    <w:unhideWhenUsed/>
    <w:rsid w:val="002B63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37C"/>
    <w:rPr>
      <w:rFonts w:eastAsia="PMingLiU"/>
    </w:rPr>
  </w:style>
  <w:style w:type="paragraph" w:styleId="CommentSubject">
    <w:name w:val="annotation subject"/>
    <w:basedOn w:val="CommentText"/>
    <w:next w:val="CommentText"/>
    <w:link w:val="CommentSubjectChar"/>
    <w:uiPriority w:val="99"/>
    <w:semiHidden/>
    <w:unhideWhenUsed/>
    <w:rsid w:val="00996C25"/>
    <w:rPr>
      <w:b/>
      <w:bCs/>
    </w:rPr>
  </w:style>
  <w:style w:type="character" w:customStyle="1" w:styleId="CommentSubjectChar">
    <w:name w:val="Comment Subject Char"/>
    <w:basedOn w:val="CommentTextChar"/>
    <w:link w:val="CommentSubject"/>
    <w:uiPriority w:val="99"/>
    <w:semiHidden/>
    <w:rsid w:val="00996C25"/>
    <w:rPr>
      <w:rFonts w:eastAsia="PMingLiU"/>
      <w:b/>
      <w:bCs/>
      <w:sz w:val="20"/>
      <w:szCs w:val="20"/>
    </w:rPr>
  </w:style>
  <w:style w:type="character" w:styleId="Hyperlink">
    <w:name w:val="Hyperlink"/>
    <w:basedOn w:val="DefaultParagraphFont"/>
    <w:uiPriority w:val="99"/>
    <w:unhideWhenUsed/>
    <w:rsid w:val="00A66332"/>
    <w:rPr>
      <w:color w:val="0000FF" w:themeColor="hyperlink"/>
      <w:u w:val="single"/>
    </w:rPr>
  </w:style>
  <w:style w:type="table" w:styleId="TableGrid">
    <w:name w:val="Table Grid"/>
    <w:basedOn w:val="TableNormal"/>
    <w:uiPriority w:val="59"/>
    <w:rsid w:val="005C6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doverline">
    <w:name w:val="td_overline"/>
    <w:basedOn w:val="DefaultParagraphFont"/>
    <w:rsid w:val="005C6C36"/>
  </w:style>
  <w:style w:type="paragraph" w:customStyle="1" w:styleId="Default">
    <w:name w:val="Default"/>
    <w:rsid w:val="00551E4B"/>
    <w:pPr>
      <w:autoSpaceDE w:val="0"/>
      <w:autoSpaceDN w:val="0"/>
      <w:adjustRightInd w:val="0"/>
      <w:spacing w:after="0" w:line="240" w:lineRule="auto"/>
    </w:pPr>
    <w:rPr>
      <w:rFonts w:ascii="Code" w:eastAsia="PMingLiU" w:hAnsi="Code" w:cs="Code"/>
      <w:color w:val="000000"/>
      <w:sz w:val="24"/>
      <w:szCs w:val="24"/>
    </w:rPr>
  </w:style>
  <w:style w:type="character" w:customStyle="1" w:styleId="briefcittitle">
    <w:name w:val="briefcittitle"/>
    <w:basedOn w:val="DefaultParagraphFont"/>
    <w:rsid w:val="00122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447267">
      <w:bodyDiv w:val="1"/>
      <w:marLeft w:val="0"/>
      <w:marRight w:val="0"/>
      <w:marTop w:val="0"/>
      <w:marBottom w:val="0"/>
      <w:divBdr>
        <w:top w:val="none" w:sz="0" w:space="0" w:color="auto"/>
        <w:left w:val="none" w:sz="0" w:space="0" w:color="auto"/>
        <w:bottom w:val="none" w:sz="0" w:space="0" w:color="auto"/>
        <w:right w:val="none" w:sz="0" w:space="0" w:color="auto"/>
      </w:divBdr>
    </w:div>
    <w:div w:id="540825428">
      <w:bodyDiv w:val="1"/>
      <w:marLeft w:val="0"/>
      <w:marRight w:val="0"/>
      <w:marTop w:val="0"/>
      <w:marBottom w:val="0"/>
      <w:divBdr>
        <w:top w:val="none" w:sz="0" w:space="0" w:color="auto"/>
        <w:left w:val="none" w:sz="0" w:space="0" w:color="auto"/>
        <w:bottom w:val="none" w:sz="0" w:space="0" w:color="auto"/>
        <w:right w:val="none" w:sz="0" w:space="0" w:color="auto"/>
      </w:divBdr>
    </w:div>
    <w:div w:id="572008281">
      <w:bodyDiv w:val="1"/>
      <w:marLeft w:val="0"/>
      <w:marRight w:val="0"/>
      <w:marTop w:val="0"/>
      <w:marBottom w:val="0"/>
      <w:divBdr>
        <w:top w:val="none" w:sz="0" w:space="0" w:color="auto"/>
        <w:left w:val="none" w:sz="0" w:space="0" w:color="auto"/>
        <w:bottom w:val="none" w:sz="0" w:space="0" w:color="auto"/>
        <w:right w:val="none" w:sz="0" w:space="0" w:color="auto"/>
      </w:divBdr>
    </w:div>
    <w:div w:id="612129089">
      <w:bodyDiv w:val="1"/>
      <w:marLeft w:val="0"/>
      <w:marRight w:val="0"/>
      <w:marTop w:val="0"/>
      <w:marBottom w:val="0"/>
      <w:divBdr>
        <w:top w:val="none" w:sz="0" w:space="0" w:color="auto"/>
        <w:left w:val="none" w:sz="0" w:space="0" w:color="auto"/>
        <w:bottom w:val="none" w:sz="0" w:space="0" w:color="auto"/>
        <w:right w:val="none" w:sz="0" w:space="0" w:color="auto"/>
      </w:divBdr>
    </w:div>
    <w:div w:id="629826867">
      <w:bodyDiv w:val="1"/>
      <w:marLeft w:val="0"/>
      <w:marRight w:val="0"/>
      <w:marTop w:val="0"/>
      <w:marBottom w:val="0"/>
      <w:divBdr>
        <w:top w:val="none" w:sz="0" w:space="0" w:color="auto"/>
        <w:left w:val="none" w:sz="0" w:space="0" w:color="auto"/>
        <w:bottom w:val="none" w:sz="0" w:space="0" w:color="auto"/>
        <w:right w:val="none" w:sz="0" w:space="0" w:color="auto"/>
      </w:divBdr>
    </w:div>
    <w:div w:id="756167913">
      <w:bodyDiv w:val="1"/>
      <w:marLeft w:val="0"/>
      <w:marRight w:val="0"/>
      <w:marTop w:val="0"/>
      <w:marBottom w:val="0"/>
      <w:divBdr>
        <w:top w:val="none" w:sz="0" w:space="0" w:color="auto"/>
        <w:left w:val="none" w:sz="0" w:space="0" w:color="auto"/>
        <w:bottom w:val="none" w:sz="0" w:space="0" w:color="auto"/>
        <w:right w:val="none" w:sz="0" w:space="0" w:color="auto"/>
      </w:divBdr>
    </w:div>
    <w:div w:id="768354527">
      <w:bodyDiv w:val="1"/>
      <w:marLeft w:val="0"/>
      <w:marRight w:val="0"/>
      <w:marTop w:val="0"/>
      <w:marBottom w:val="0"/>
      <w:divBdr>
        <w:top w:val="none" w:sz="0" w:space="0" w:color="auto"/>
        <w:left w:val="none" w:sz="0" w:space="0" w:color="auto"/>
        <w:bottom w:val="none" w:sz="0" w:space="0" w:color="auto"/>
        <w:right w:val="none" w:sz="0" w:space="0" w:color="auto"/>
      </w:divBdr>
    </w:div>
    <w:div w:id="1109741256">
      <w:bodyDiv w:val="1"/>
      <w:marLeft w:val="0"/>
      <w:marRight w:val="0"/>
      <w:marTop w:val="0"/>
      <w:marBottom w:val="0"/>
      <w:divBdr>
        <w:top w:val="none" w:sz="0" w:space="0" w:color="auto"/>
        <w:left w:val="none" w:sz="0" w:space="0" w:color="auto"/>
        <w:bottom w:val="none" w:sz="0" w:space="0" w:color="auto"/>
        <w:right w:val="none" w:sz="0" w:space="0" w:color="auto"/>
      </w:divBdr>
    </w:div>
    <w:div w:id="1219977300">
      <w:bodyDiv w:val="1"/>
      <w:marLeft w:val="0"/>
      <w:marRight w:val="0"/>
      <w:marTop w:val="0"/>
      <w:marBottom w:val="0"/>
      <w:divBdr>
        <w:top w:val="none" w:sz="0" w:space="0" w:color="auto"/>
        <w:left w:val="none" w:sz="0" w:space="0" w:color="auto"/>
        <w:bottom w:val="none" w:sz="0" w:space="0" w:color="auto"/>
        <w:right w:val="none" w:sz="0" w:space="0" w:color="auto"/>
      </w:divBdr>
    </w:div>
    <w:div w:id="1511797452">
      <w:bodyDiv w:val="1"/>
      <w:marLeft w:val="0"/>
      <w:marRight w:val="0"/>
      <w:marTop w:val="0"/>
      <w:marBottom w:val="0"/>
      <w:divBdr>
        <w:top w:val="none" w:sz="0" w:space="0" w:color="auto"/>
        <w:left w:val="none" w:sz="0" w:space="0" w:color="auto"/>
        <w:bottom w:val="none" w:sz="0" w:space="0" w:color="auto"/>
        <w:right w:val="none" w:sz="0" w:space="0" w:color="auto"/>
      </w:divBdr>
    </w:div>
    <w:div w:id="1663195223">
      <w:bodyDiv w:val="1"/>
      <w:marLeft w:val="0"/>
      <w:marRight w:val="0"/>
      <w:marTop w:val="0"/>
      <w:marBottom w:val="0"/>
      <w:divBdr>
        <w:top w:val="none" w:sz="0" w:space="0" w:color="auto"/>
        <w:left w:val="none" w:sz="0" w:space="0" w:color="auto"/>
        <w:bottom w:val="none" w:sz="0" w:space="0" w:color="auto"/>
        <w:right w:val="none" w:sz="0" w:space="0" w:color="auto"/>
      </w:divBdr>
    </w:div>
    <w:div w:id="1722172175">
      <w:bodyDiv w:val="1"/>
      <w:marLeft w:val="0"/>
      <w:marRight w:val="0"/>
      <w:marTop w:val="0"/>
      <w:marBottom w:val="0"/>
      <w:divBdr>
        <w:top w:val="none" w:sz="0" w:space="0" w:color="auto"/>
        <w:left w:val="none" w:sz="0" w:space="0" w:color="auto"/>
        <w:bottom w:val="none" w:sz="0" w:space="0" w:color="auto"/>
        <w:right w:val="none" w:sz="0" w:space="0" w:color="auto"/>
      </w:divBdr>
    </w:div>
    <w:div w:id="1904099191">
      <w:bodyDiv w:val="1"/>
      <w:marLeft w:val="0"/>
      <w:marRight w:val="0"/>
      <w:marTop w:val="0"/>
      <w:marBottom w:val="0"/>
      <w:divBdr>
        <w:top w:val="none" w:sz="0" w:space="0" w:color="auto"/>
        <w:left w:val="none" w:sz="0" w:space="0" w:color="auto"/>
        <w:bottom w:val="none" w:sz="0" w:space="0" w:color="auto"/>
        <w:right w:val="none" w:sz="0" w:space="0" w:color="auto"/>
      </w:divBdr>
    </w:div>
    <w:div w:id="1991324865">
      <w:bodyDiv w:val="1"/>
      <w:marLeft w:val="0"/>
      <w:marRight w:val="0"/>
      <w:marTop w:val="0"/>
      <w:marBottom w:val="0"/>
      <w:divBdr>
        <w:top w:val="none" w:sz="0" w:space="0" w:color="auto"/>
        <w:left w:val="none" w:sz="0" w:space="0" w:color="auto"/>
        <w:bottom w:val="none" w:sz="0" w:space="0" w:color="auto"/>
        <w:right w:val="none" w:sz="0" w:space="0" w:color="auto"/>
      </w:divBdr>
    </w:div>
    <w:div w:id="211917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hyperlink" Target="http://penelope.uchicago.edu/Thayer/I/Gazetteer/Places/Europe/Italy/Lazio/Roma/Rome/Forum_Romanum/_Texts/Huelsen*/2/6.html" TargetMode="Externa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penelope.uchicago.edu/Thayer/I/Gazetteer/Places/Europe/Italy/Lazio/Roma/Rome/Forum_Romanum/_Texts/Huelsen*/2/6.html" TargetMode="Externa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penelope.uchicago.edu/Thayer/I/Gazetteer/Places/Europe/Italy/Lazio/Roma/Rome/Forum_Romanum/_Texts/Huelsen*/2/41.html" TargetMode="External"/><Relationship Id="rId28" Type="http://schemas.openxmlformats.org/officeDocument/2006/relationships/hyperlink" Target="http://penelope.uchicago.edu/Thayer/I/Gazetteer/Places/Europe/Italy/Lazio/Roma/Rome/Forum_Romanum/_Texts/Huelsen*/2/13.htm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hyperlink" Target="http://penelope.uchicago.edu/Thayer/E/Gazetteer/Places/Europe/Italy/Lazio/Roma/Rome/_Texts/PLATOP*/porticu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penelope.uchicago.edu/Thayer/E/Gazetteer/Places/Europe/Italy/Lazio/Roma/Rome/_Texts/PLATOP*/Graecostadium.html" TargetMode="External"/><Relationship Id="rId30" Type="http://schemas.openxmlformats.org/officeDocument/2006/relationships/image" Target="media/image11.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lib.exeter.ac.uk/search~S6?/X(+Rom+in+der+Sp%7bu00E4%7dtantike+)&amp;searchscope=6&amp;SORT=D/X(+Rom+in+der+Sp%7bu00E4%7dtantike+)&amp;searchscope=6&amp;SORT=D&amp;SUBKEY=(+Rom+in+der+Sp%C3%A4tantike+)/1%2C2%2C2%2CB/frameset&amp;FF=X(+Rom+in+der+Sp%7bu00E4%7dtantike+)&amp;searchscope=6&amp;SORT=D&amp;1%2C1%2C" TargetMode="External"/><Relationship Id="rId1" Type="http://schemas.openxmlformats.org/officeDocument/2006/relationships/hyperlink" Target="http://lib.exeter.ac.uk/search~S6?/X(+Rom+in+der+Sp%7bu00E4%7dtantike+)&amp;searchscope=6&amp;SORT=D/X(+Rom+in+der+Sp%7bu00E4%7dtantike+)&amp;searchscope=6&amp;SORT=D&amp;SUBKEY=(+Rom+in+der+Sp%C3%A4tantike+)/1%2C2%2C2%2CB/frameset&amp;FF=X(+Rom+in+der+Sp%7bu00E4%7dtantike+)&amp;searchscope=6&amp;SORT=D&amp;1%2C1%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D0A23-2DE1-412D-A152-34918505B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198</Pages>
  <Words>48470</Words>
  <Characters>276279</Characters>
  <Application>Microsoft Office Word</Application>
  <DocSecurity>0</DocSecurity>
  <Lines>2302</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Hosie</dc:creator>
  <cp:lastModifiedBy>Simon Hosie</cp:lastModifiedBy>
  <cp:revision>2</cp:revision>
  <cp:lastPrinted>2016-07-22T19:21:00Z</cp:lastPrinted>
  <dcterms:created xsi:type="dcterms:W3CDTF">2016-12-22T21:05:00Z</dcterms:created>
  <dcterms:modified xsi:type="dcterms:W3CDTF">2016-12-22T21:05:00Z</dcterms:modified>
</cp:coreProperties>
</file>